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EF037" w14:textId="77777777" w:rsidR="00056EC4" w:rsidRPr="00315936" w:rsidRDefault="00E9042A" w:rsidP="00056EC4">
      <w:pPr>
        <w:pStyle w:val="Body"/>
      </w:pPr>
      <w:r w:rsidRPr="00315936">
        <w:rPr>
          <w:noProof/>
        </w:rPr>
        <w:drawing>
          <wp:anchor distT="0" distB="0" distL="114300" distR="114300" simplePos="0" relativeHeight="251658240" behindDoc="1" locked="1" layoutInCell="1" allowOverlap="0" wp14:anchorId="3CA97187" wp14:editId="20697FF0">
            <wp:simplePos x="0" y="0"/>
            <wp:positionH relativeFrom="page">
              <wp:posOffset>0</wp:posOffset>
            </wp:positionH>
            <wp:positionV relativeFrom="page">
              <wp:posOffset>0</wp:posOffset>
            </wp:positionV>
            <wp:extent cx="7555865" cy="10146665"/>
            <wp:effectExtent l="0" t="0" r="635" b="63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5865" cy="10146665"/>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AD784C" w:rsidRPr="00315936" w14:paraId="0D4DED98" w14:textId="77777777" w:rsidTr="00535D2B">
        <w:tc>
          <w:tcPr>
            <w:tcW w:w="0" w:type="auto"/>
          </w:tcPr>
          <w:p w14:paraId="20A24C18" w14:textId="14182D86" w:rsidR="00AD784C" w:rsidRPr="00315936" w:rsidRDefault="00CC7B7A" w:rsidP="00CC3BB0">
            <w:pPr>
              <w:pStyle w:val="Documenttitle"/>
            </w:pPr>
            <w:r w:rsidRPr="00315936">
              <w:t>Victorian Health Services Performance Monitoring Framework 202</w:t>
            </w:r>
            <w:r w:rsidR="00CC512B">
              <w:t>5</w:t>
            </w:r>
            <w:r w:rsidRPr="00315936">
              <w:t>–2</w:t>
            </w:r>
            <w:r w:rsidR="00CC512B">
              <w:t>6</w:t>
            </w:r>
          </w:p>
        </w:tc>
      </w:tr>
      <w:tr w:rsidR="00AD784C" w:rsidRPr="00315936" w14:paraId="07888E43" w14:textId="77777777" w:rsidTr="00535D2B">
        <w:tc>
          <w:tcPr>
            <w:tcW w:w="0" w:type="auto"/>
          </w:tcPr>
          <w:p w14:paraId="01A08E87" w14:textId="09217B03" w:rsidR="00386109" w:rsidRPr="00315936" w:rsidRDefault="655E66CF" w:rsidP="009315BE">
            <w:pPr>
              <w:pStyle w:val="Documentsubtitle"/>
            </w:pPr>
            <w:r>
              <w:t>Business rules</w:t>
            </w:r>
            <w:r w:rsidR="5A1285BC">
              <w:t xml:space="preserve"> </w:t>
            </w:r>
            <w:r w:rsidR="00D8676D">
              <w:t>(V1.1)</w:t>
            </w:r>
          </w:p>
        </w:tc>
      </w:tr>
      <w:tr w:rsidR="00430393" w:rsidRPr="00315936" w14:paraId="01D79B97" w14:textId="77777777" w:rsidTr="00535D2B">
        <w:tc>
          <w:tcPr>
            <w:tcW w:w="0" w:type="auto"/>
          </w:tcPr>
          <w:p w14:paraId="1CC6632E" w14:textId="77777777" w:rsidR="00430393" w:rsidRPr="00315936" w:rsidRDefault="007C710D" w:rsidP="00430393">
            <w:pPr>
              <w:pStyle w:val="Bannermarking"/>
            </w:pPr>
            <w:fldSimple w:instr="FILLIN  &quot;Type the protective marking&quot; \d OFFICIAL \o  \* MERGEFORMAT">
              <w:r w:rsidRPr="00315936">
                <w:t>OFFICIAL</w:t>
              </w:r>
            </w:fldSimple>
          </w:p>
        </w:tc>
      </w:tr>
    </w:tbl>
    <w:p w14:paraId="4778B0B5" w14:textId="77777777" w:rsidR="00FE4081" w:rsidRPr="00315936" w:rsidRDefault="00FE4081" w:rsidP="00FE4081">
      <w:pPr>
        <w:pStyle w:val="Body"/>
      </w:pPr>
    </w:p>
    <w:p w14:paraId="7C1FDE77" w14:textId="77777777" w:rsidR="00FE4081" w:rsidRPr="00315936" w:rsidRDefault="00FE4081" w:rsidP="00FE4081">
      <w:pPr>
        <w:pStyle w:val="Body"/>
        <w:sectPr w:rsidR="00FE4081" w:rsidRPr="00315936" w:rsidSect="002C5B7C">
          <w:headerReference w:type="default" r:id="rId12"/>
          <w:footerReference w:type="even" r:id="rId13"/>
          <w:footerReference w:type="default" r:id="rId14"/>
          <w:headerReference w:type="first" r:id="rId15"/>
          <w:footerReference w:type="first" r:id="rId16"/>
          <w:type w:val="continuous"/>
          <w:pgSz w:w="11906" w:h="16838" w:code="9"/>
          <w:pgMar w:top="3969" w:right="1304" w:bottom="1418" w:left="1304" w:header="680" w:footer="851" w:gutter="0"/>
          <w:cols w:space="340"/>
          <w:docGrid w:linePitch="360"/>
        </w:sectPr>
      </w:pPr>
    </w:p>
    <w:p w14:paraId="43FDEC30" w14:textId="6F645953" w:rsidR="009F2182" w:rsidRPr="00315936" w:rsidRDefault="009F2182" w:rsidP="00076BEC">
      <w:pPr>
        <w:pStyle w:val="Body"/>
        <w:ind w:firstLine="720"/>
      </w:pPr>
    </w:p>
    <w:tbl>
      <w:tblPr>
        <w:tblW w:w="0" w:type="auto"/>
        <w:tblLook w:val="04A0" w:firstRow="1" w:lastRow="0" w:firstColumn="1" w:lastColumn="0" w:noHBand="0" w:noVBand="1"/>
      </w:tblPr>
      <w:tblGrid>
        <w:gridCol w:w="9288"/>
      </w:tblGrid>
      <w:tr w:rsidR="009F2182" w:rsidRPr="00315936" w14:paraId="478FC05C" w14:textId="77777777" w:rsidTr="00535D2B">
        <w:trPr>
          <w:trHeight w:val="7088"/>
        </w:trPr>
        <w:tc>
          <w:tcPr>
            <w:tcW w:w="9288" w:type="dxa"/>
          </w:tcPr>
          <w:p w14:paraId="50392010" w14:textId="77777777" w:rsidR="00D936DB" w:rsidRPr="00315936" w:rsidRDefault="00D936DB" w:rsidP="00D936DB">
            <w:pPr>
              <w:rPr>
                <w:color w:val="201547"/>
                <w:sz w:val="44"/>
                <w:szCs w:val="44"/>
              </w:rPr>
            </w:pPr>
            <w:r w:rsidRPr="00315936">
              <w:rPr>
                <w:color w:val="201547"/>
                <w:sz w:val="44"/>
                <w:szCs w:val="44"/>
              </w:rPr>
              <w:t>Feedback</w:t>
            </w:r>
          </w:p>
          <w:p w14:paraId="29CFF0D0" w14:textId="039D04D9" w:rsidR="00D936DB" w:rsidRPr="00315936" w:rsidRDefault="72DE3F42" w:rsidP="00D936DB">
            <w:pPr>
              <w:pStyle w:val="Body"/>
            </w:pPr>
            <w:r>
              <w:t>We are always striving to improve our products. Your input will help us shape future reports to ensure they meet your need for accurate and easy to digest information about the safety and quality of your health service.</w:t>
            </w:r>
          </w:p>
          <w:p w14:paraId="29562080" w14:textId="77777777" w:rsidR="00D936DB" w:rsidRPr="00315936" w:rsidRDefault="00D936DB" w:rsidP="00D936DB">
            <w:pPr>
              <w:pStyle w:val="Body"/>
            </w:pPr>
            <w:r w:rsidRPr="00315936">
              <w:t>Please provide feedback to:</w:t>
            </w:r>
          </w:p>
          <w:p w14:paraId="6829862B" w14:textId="70E8E9D5" w:rsidR="00D936DB" w:rsidRPr="00315936" w:rsidRDefault="00D936DB" w:rsidP="00D936DB">
            <w:pPr>
              <w:pStyle w:val="Body"/>
            </w:pPr>
            <w:r w:rsidRPr="00315936">
              <w:t xml:space="preserve">Director, </w:t>
            </w:r>
            <w:r w:rsidR="00EC0054">
              <w:t>Analytic Services</w:t>
            </w:r>
          </w:p>
          <w:p w14:paraId="1C0D1E41" w14:textId="77777777" w:rsidR="00D936DB" w:rsidRPr="00315936" w:rsidRDefault="00D936DB" w:rsidP="00D936DB">
            <w:pPr>
              <w:pStyle w:val="Body"/>
            </w:pPr>
            <w:r w:rsidRPr="00315936">
              <w:t>eHealth, Victorian Department of Health</w:t>
            </w:r>
          </w:p>
          <w:p w14:paraId="01296D17" w14:textId="0154FD7A" w:rsidR="009F2182" w:rsidRPr="00315936" w:rsidRDefault="12B3850E" w:rsidP="00D936DB">
            <w:pPr>
              <w:rPr>
                <w:rStyle w:val="Hyperlink"/>
              </w:rPr>
            </w:pPr>
            <w:hyperlink r:id="rId17">
              <w:r w:rsidRPr="79F3CB50">
                <w:rPr>
                  <w:rStyle w:val="Hyperlink"/>
                </w:rPr>
                <w:t>insights@health.vic.gov.au</w:t>
              </w:r>
            </w:hyperlink>
          </w:p>
          <w:p w14:paraId="3C37DAA1" w14:textId="3843617F" w:rsidR="00D936DB" w:rsidRPr="00315936" w:rsidRDefault="00D936DB" w:rsidP="00D936DB"/>
          <w:p w14:paraId="4EAA4B96" w14:textId="544CD2DC" w:rsidR="00D936DB" w:rsidRPr="00315936" w:rsidRDefault="00D936DB" w:rsidP="00D936DB"/>
          <w:p w14:paraId="06268F0B" w14:textId="12B27237" w:rsidR="00D936DB" w:rsidRPr="00315936" w:rsidRDefault="00D936DB" w:rsidP="00D936DB"/>
          <w:p w14:paraId="2B5EEFFF" w14:textId="20530A97" w:rsidR="00D936DB" w:rsidRPr="00315936" w:rsidRDefault="00D936DB" w:rsidP="00D936DB"/>
          <w:p w14:paraId="411FA2FE" w14:textId="57BFE725" w:rsidR="00D936DB" w:rsidRPr="00315936" w:rsidRDefault="00D936DB" w:rsidP="00D936DB"/>
          <w:p w14:paraId="39B18E78" w14:textId="3769C04F" w:rsidR="00D936DB" w:rsidRPr="00315936" w:rsidRDefault="00D936DB" w:rsidP="00D936DB"/>
          <w:p w14:paraId="41028BE1" w14:textId="4934ADA1" w:rsidR="00D936DB" w:rsidRPr="00315936" w:rsidRDefault="00D936DB" w:rsidP="00D936DB"/>
          <w:p w14:paraId="7D6E7440" w14:textId="034ECAC8" w:rsidR="00D936DB" w:rsidRPr="00315936" w:rsidRDefault="00D936DB" w:rsidP="00D936DB"/>
          <w:p w14:paraId="25139967" w14:textId="6522ADA5" w:rsidR="00D936DB" w:rsidRDefault="00D936DB" w:rsidP="00D936DB"/>
          <w:p w14:paraId="7FBDB381" w14:textId="77777777" w:rsidR="00596023" w:rsidRDefault="00596023" w:rsidP="00D936DB"/>
          <w:p w14:paraId="2CF89897" w14:textId="77777777" w:rsidR="00FB448F" w:rsidRDefault="00FB448F" w:rsidP="00D936DB"/>
          <w:p w14:paraId="514FA238" w14:textId="77777777" w:rsidR="00FB448F" w:rsidRDefault="00FB448F" w:rsidP="00D936DB"/>
          <w:p w14:paraId="7D2FCA02" w14:textId="77777777" w:rsidR="00FB448F" w:rsidRDefault="00FB448F" w:rsidP="00D936DB"/>
          <w:p w14:paraId="149752C2" w14:textId="77777777" w:rsidR="00FB448F" w:rsidRPr="00315936" w:rsidRDefault="00FB448F" w:rsidP="00D936DB"/>
          <w:p w14:paraId="6D35E499" w14:textId="4D12A7E5" w:rsidR="004E018A" w:rsidRPr="00315936" w:rsidRDefault="004E018A" w:rsidP="00D936DB"/>
        </w:tc>
      </w:tr>
      <w:tr w:rsidR="009F2182" w:rsidRPr="00315936" w14:paraId="5E2F8D27" w14:textId="77777777" w:rsidTr="00535D2B">
        <w:trPr>
          <w:trHeight w:val="2835"/>
        </w:trPr>
        <w:tc>
          <w:tcPr>
            <w:tcW w:w="9288" w:type="dxa"/>
          </w:tcPr>
          <w:p w14:paraId="7C9B728A" w14:textId="14EA5085" w:rsidR="009F2182" w:rsidRPr="00315936" w:rsidRDefault="009F2182" w:rsidP="1DCA6BC6">
            <w:pPr>
              <w:pStyle w:val="Accessibilitypara"/>
            </w:pPr>
            <w:r w:rsidRPr="00315936">
              <w:t>To receive this document in another format, email</w:t>
            </w:r>
            <w:r w:rsidR="1941E6ED" w:rsidRPr="00315936">
              <w:t xml:space="preserve"> </w:t>
            </w:r>
            <w:hyperlink r:id="rId18">
              <w:r w:rsidR="00F06495">
                <w:rPr>
                  <w:rStyle w:val="Hyperlink"/>
                </w:rPr>
                <w:t>Analytic Services</w:t>
              </w:r>
            </w:hyperlink>
            <w:r w:rsidR="1941E6ED" w:rsidRPr="00315936">
              <w:t xml:space="preserve"> &lt;insights@health.vic.gov.au&gt;</w:t>
            </w:r>
            <w:r w:rsidRPr="00315936">
              <w:t xml:space="preserve"> </w:t>
            </w:r>
          </w:p>
          <w:p w14:paraId="7A823CC4" w14:textId="10E3823F" w:rsidR="009F2182" w:rsidRPr="00315936" w:rsidRDefault="009F2182" w:rsidP="1DCA6BC6">
            <w:pPr>
              <w:pStyle w:val="Accessibilitypara"/>
            </w:pPr>
            <w:r w:rsidRPr="00315936">
              <w:t>Authorised and published by the Victorian Government, 1 Treasury Place, Melbourne.</w:t>
            </w:r>
          </w:p>
          <w:p w14:paraId="716218D2" w14:textId="758A2EC1" w:rsidR="009F2182" w:rsidRPr="00315936" w:rsidRDefault="4DD89A7B" w:rsidP="009F2182">
            <w:pPr>
              <w:pStyle w:val="Imprint"/>
            </w:pPr>
            <w:r>
              <w:t xml:space="preserve">© State of Victoria, Australia, Department of </w:t>
            </w:r>
            <w:r w:rsidR="4AF7CFB0">
              <w:t>Health</w:t>
            </w:r>
            <w:r>
              <w:t xml:space="preserve">, </w:t>
            </w:r>
            <w:r w:rsidR="4B43D827">
              <w:t>July</w:t>
            </w:r>
            <w:r w:rsidR="5FA7207F">
              <w:t xml:space="preserve"> </w:t>
            </w:r>
            <w:r w:rsidR="75FC33E5">
              <w:t>202</w:t>
            </w:r>
            <w:r w:rsidR="6CFCCA97">
              <w:t>5</w:t>
            </w:r>
            <w:r>
              <w:t>.</w:t>
            </w:r>
          </w:p>
          <w:p w14:paraId="2214EC1C" w14:textId="3FCD1D45" w:rsidR="009F2182" w:rsidRPr="00315936" w:rsidRDefault="009F2182" w:rsidP="009F2182">
            <w:pPr>
              <w:pStyle w:val="Imprint"/>
              <w:rPr>
                <w:color w:val="004C97"/>
              </w:rPr>
            </w:pPr>
            <w:bookmarkStart w:id="0" w:name="_Hlk62746129"/>
            <w:r>
              <w:t xml:space="preserve">ISSN </w:t>
            </w:r>
            <w:r w:rsidR="23667579">
              <w:t>2209-4172</w:t>
            </w:r>
            <w:r w:rsidRPr="1FF5711D">
              <w:rPr>
                <w:color w:val="004C97"/>
              </w:rPr>
              <w:t xml:space="preserve"> </w:t>
            </w:r>
            <w:r>
              <w:t xml:space="preserve">(online//Word) </w:t>
            </w:r>
          </w:p>
          <w:p w14:paraId="3CB09ACD" w14:textId="4A88859B" w:rsidR="009F2182" w:rsidRPr="00315936" w:rsidRDefault="205C7F9F" w:rsidP="004E018A">
            <w:r w:rsidRPr="686ABE5A">
              <w:rPr>
                <w:rFonts w:eastAsia="Arial" w:cs="Arial"/>
                <w:sz w:val="20"/>
              </w:rPr>
              <w:t xml:space="preserve">Available at </w:t>
            </w:r>
            <w:hyperlink r:id="rId19">
              <w:r w:rsidRPr="686ABE5A">
                <w:rPr>
                  <w:rStyle w:val="Hyperlink"/>
                  <w:rFonts w:eastAsia="Arial" w:cs="Arial"/>
                  <w:color w:val="0072CE"/>
                  <w:sz w:val="20"/>
                  <w:u w:val="single"/>
                </w:rPr>
                <w:t>Funding, performance and accountability webpage</w:t>
              </w:r>
            </w:hyperlink>
            <w:r w:rsidRPr="686ABE5A">
              <w:rPr>
                <w:rFonts w:eastAsia="Arial" w:cs="Arial"/>
                <w:sz w:val="20"/>
              </w:rPr>
              <w:t xml:space="preserve"> &lt;https://www.health.vic.gov.au/hospitals-and-health-services/funding-performance-and-accountability&gt;</w:t>
            </w:r>
            <w:bookmarkEnd w:id="0"/>
          </w:p>
        </w:tc>
      </w:tr>
    </w:tbl>
    <w:p w14:paraId="68047FA9" w14:textId="39942768" w:rsidR="00AD784C" w:rsidRPr="00315936" w:rsidRDefault="00AD784C" w:rsidP="002365B4">
      <w:pPr>
        <w:pStyle w:val="TOCheadingreport"/>
      </w:pPr>
      <w:r w:rsidRPr="00315936">
        <w:lastRenderedPageBreak/>
        <w:t>Contents</w:t>
      </w:r>
    </w:p>
    <w:p w14:paraId="7A49571E" w14:textId="5315F34E" w:rsidR="00B94E8C" w:rsidRDefault="00AD784C">
      <w:pPr>
        <w:pStyle w:val="TOC1"/>
        <w:rPr>
          <w:rFonts w:asciiTheme="minorHAnsi" w:eastAsiaTheme="minorEastAsia" w:hAnsiTheme="minorHAnsi" w:cstheme="minorBidi"/>
          <w:b w:val="0"/>
          <w:kern w:val="2"/>
          <w:sz w:val="24"/>
          <w:szCs w:val="24"/>
          <w:lang w:eastAsia="en-AU"/>
          <w14:ligatures w14:val="standardContextual"/>
        </w:rPr>
      </w:pPr>
      <w:r w:rsidRPr="00315936">
        <w:fldChar w:fldCharType="begin"/>
      </w:r>
      <w:r w:rsidR="00DF1344">
        <w:instrText xml:space="preserve"> TOC \h \z \t "Heading 1,1,Heading 2,2" </w:instrText>
      </w:r>
      <w:r w:rsidRPr="00315936">
        <w:fldChar w:fldCharType="separate"/>
      </w:r>
      <w:hyperlink w:anchor="_Toc234580059" w:history="1">
        <w:r w:rsidR="00B94E8C" w:rsidRPr="008E01FB">
          <w:rPr>
            <w:rStyle w:val="Hyperlink"/>
          </w:rPr>
          <w:t>Document version history</w:t>
        </w:r>
        <w:r w:rsidR="00B94E8C">
          <w:rPr>
            <w:webHidden/>
          </w:rPr>
          <w:tab/>
        </w:r>
        <w:r w:rsidR="00B94E8C">
          <w:rPr>
            <w:webHidden/>
          </w:rPr>
          <w:fldChar w:fldCharType="begin"/>
        </w:r>
        <w:r w:rsidR="00B94E8C">
          <w:rPr>
            <w:webHidden/>
          </w:rPr>
          <w:instrText xml:space="preserve"> PAGEREF _Toc234580059 \h </w:instrText>
        </w:r>
        <w:r w:rsidR="00B94E8C">
          <w:rPr>
            <w:webHidden/>
          </w:rPr>
        </w:r>
        <w:r w:rsidR="00B94E8C">
          <w:rPr>
            <w:webHidden/>
          </w:rPr>
          <w:fldChar w:fldCharType="separate"/>
        </w:r>
        <w:r w:rsidR="00A86ACE">
          <w:rPr>
            <w:webHidden/>
          </w:rPr>
          <w:t>4</w:t>
        </w:r>
        <w:r w:rsidR="00B94E8C">
          <w:rPr>
            <w:webHidden/>
          </w:rPr>
          <w:fldChar w:fldCharType="end"/>
        </w:r>
      </w:hyperlink>
    </w:p>
    <w:p w14:paraId="6AA006FE" w14:textId="0C23CEEE"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60" w:history="1">
        <w:r w:rsidRPr="008E01FB">
          <w:rPr>
            <w:rStyle w:val="Hyperlink"/>
          </w:rPr>
          <w:t>Introduction</w:t>
        </w:r>
        <w:r>
          <w:rPr>
            <w:webHidden/>
          </w:rPr>
          <w:tab/>
        </w:r>
        <w:r>
          <w:rPr>
            <w:webHidden/>
          </w:rPr>
          <w:fldChar w:fldCharType="begin"/>
        </w:r>
        <w:r>
          <w:rPr>
            <w:webHidden/>
          </w:rPr>
          <w:instrText xml:space="preserve"> PAGEREF _Toc234580060 \h </w:instrText>
        </w:r>
        <w:r>
          <w:rPr>
            <w:webHidden/>
          </w:rPr>
        </w:r>
        <w:r>
          <w:rPr>
            <w:webHidden/>
          </w:rPr>
          <w:fldChar w:fldCharType="separate"/>
        </w:r>
        <w:r w:rsidR="00A86ACE">
          <w:rPr>
            <w:webHidden/>
          </w:rPr>
          <w:t>6</w:t>
        </w:r>
        <w:r>
          <w:rPr>
            <w:webHidden/>
          </w:rPr>
          <w:fldChar w:fldCharType="end"/>
        </w:r>
      </w:hyperlink>
    </w:p>
    <w:p w14:paraId="18392A19" w14:textId="54C640E6"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1" w:history="1">
        <w:r w:rsidRPr="008E01FB">
          <w:rPr>
            <w:rStyle w:val="Hyperlink"/>
          </w:rPr>
          <w:t>Accountability and monitoring</w:t>
        </w:r>
        <w:r>
          <w:rPr>
            <w:webHidden/>
          </w:rPr>
          <w:tab/>
        </w:r>
        <w:r>
          <w:rPr>
            <w:webHidden/>
          </w:rPr>
          <w:fldChar w:fldCharType="begin"/>
        </w:r>
        <w:r>
          <w:rPr>
            <w:webHidden/>
          </w:rPr>
          <w:instrText xml:space="preserve"> PAGEREF _Toc234580061 \h </w:instrText>
        </w:r>
        <w:r>
          <w:rPr>
            <w:webHidden/>
          </w:rPr>
        </w:r>
        <w:r>
          <w:rPr>
            <w:webHidden/>
          </w:rPr>
          <w:fldChar w:fldCharType="separate"/>
        </w:r>
        <w:r w:rsidR="00A86ACE">
          <w:rPr>
            <w:webHidden/>
          </w:rPr>
          <w:t>6</w:t>
        </w:r>
        <w:r>
          <w:rPr>
            <w:webHidden/>
          </w:rPr>
          <w:fldChar w:fldCharType="end"/>
        </w:r>
      </w:hyperlink>
    </w:p>
    <w:p w14:paraId="6410C32B" w14:textId="54B4997C"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62" w:history="1">
        <w:r w:rsidRPr="008E01FB">
          <w:rPr>
            <w:rStyle w:val="Hyperlink"/>
          </w:rPr>
          <w:t>Change summary</w:t>
        </w:r>
        <w:r>
          <w:rPr>
            <w:webHidden/>
          </w:rPr>
          <w:tab/>
        </w:r>
        <w:r>
          <w:rPr>
            <w:webHidden/>
          </w:rPr>
          <w:fldChar w:fldCharType="begin"/>
        </w:r>
        <w:r>
          <w:rPr>
            <w:webHidden/>
          </w:rPr>
          <w:instrText xml:space="preserve"> PAGEREF _Toc234580062 \h </w:instrText>
        </w:r>
        <w:r>
          <w:rPr>
            <w:webHidden/>
          </w:rPr>
        </w:r>
        <w:r>
          <w:rPr>
            <w:webHidden/>
          </w:rPr>
          <w:fldChar w:fldCharType="separate"/>
        </w:r>
        <w:r w:rsidR="00A86ACE">
          <w:rPr>
            <w:webHidden/>
          </w:rPr>
          <w:t>7</w:t>
        </w:r>
        <w:r>
          <w:rPr>
            <w:webHidden/>
          </w:rPr>
          <w:fldChar w:fldCharType="end"/>
        </w:r>
      </w:hyperlink>
    </w:p>
    <w:p w14:paraId="721C2A66" w14:textId="2F711366"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3" w:history="1">
        <w:r w:rsidRPr="008E01FB">
          <w:rPr>
            <w:rStyle w:val="Hyperlink"/>
          </w:rPr>
          <w:t>High quality and safe care</w:t>
        </w:r>
        <w:r>
          <w:rPr>
            <w:webHidden/>
          </w:rPr>
          <w:tab/>
        </w:r>
        <w:r>
          <w:rPr>
            <w:webHidden/>
          </w:rPr>
          <w:fldChar w:fldCharType="begin"/>
        </w:r>
        <w:r>
          <w:rPr>
            <w:webHidden/>
          </w:rPr>
          <w:instrText xml:space="preserve"> PAGEREF _Toc234580063 \h </w:instrText>
        </w:r>
        <w:r>
          <w:rPr>
            <w:webHidden/>
          </w:rPr>
        </w:r>
        <w:r>
          <w:rPr>
            <w:webHidden/>
          </w:rPr>
          <w:fldChar w:fldCharType="separate"/>
        </w:r>
        <w:r w:rsidR="00A86ACE">
          <w:rPr>
            <w:webHidden/>
          </w:rPr>
          <w:t>7</w:t>
        </w:r>
        <w:r>
          <w:rPr>
            <w:webHidden/>
          </w:rPr>
          <w:fldChar w:fldCharType="end"/>
        </w:r>
      </w:hyperlink>
    </w:p>
    <w:p w14:paraId="3D938CD5" w14:textId="2001F25E"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4" w:history="1">
        <w:r w:rsidRPr="008E01FB">
          <w:rPr>
            <w:rStyle w:val="Hyperlink"/>
          </w:rPr>
          <w:t>Strong governance, leadership and culture</w:t>
        </w:r>
        <w:r>
          <w:rPr>
            <w:webHidden/>
          </w:rPr>
          <w:tab/>
        </w:r>
        <w:r>
          <w:rPr>
            <w:webHidden/>
          </w:rPr>
          <w:fldChar w:fldCharType="begin"/>
        </w:r>
        <w:r>
          <w:rPr>
            <w:webHidden/>
          </w:rPr>
          <w:instrText xml:space="preserve"> PAGEREF _Toc234580064 \h </w:instrText>
        </w:r>
        <w:r>
          <w:rPr>
            <w:webHidden/>
          </w:rPr>
        </w:r>
        <w:r>
          <w:rPr>
            <w:webHidden/>
          </w:rPr>
          <w:fldChar w:fldCharType="separate"/>
        </w:r>
        <w:r w:rsidR="00A86ACE">
          <w:rPr>
            <w:webHidden/>
          </w:rPr>
          <w:t>7</w:t>
        </w:r>
        <w:r>
          <w:rPr>
            <w:webHidden/>
          </w:rPr>
          <w:fldChar w:fldCharType="end"/>
        </w:r>
      </w:hyperlink>
    </w:p>
    <w:p w14:paraId="608E91EE" w14:textId="05BBD07A"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5" w:history="1">
        <w:r w:rsidRPr="008E01FB">
          <w:rPr>
            <w:rStyle w:val="Hyperlink"/>
          </w:rPr>
          <w:t>Timely access to care</w:t>
        </w:r>
        <w:r>
          <w:rPr>
            <w:webHidden/>
          </w:rPr>
          <w:tab/>
        </w:r>
        <w:r>
          <w:rPr>
            <w:webHidden/>
          </w:rPr>
          <w:fldChar w:fldCharType="begin"/>
        </w:r>
        <w:r>
          <w:rPr>
            <w:webHidden/>
          </w:rPr>
          <w:instrText xml:space="preserve"> PAGEREF _Toc234580065 \h </w:instrText>
        </w:r>
        <w:r>
          <w:rPr>
            <w:webHidden/>
          </w:rPr>
        </w:r>
        <w:r>
          <w:rPr>
            <w:webHidden/>
          </w:rPr>
          <w:fldChar w:fldCharType="separate"/>
        </w:r>
        <w:r w:rsidR="00A86ACE">
          <w:rPr>
            <w:webHidden/>
          </w:rPr>
          <w:t>7</w:t>
        </w:r>
        <w:r>
          <w:rPr>
            <w:webHidden/>
          </w:rPr>
          <w:fldChar w:fldCharType="end"/>
        </w:r>
      </w:hyperlink>
    </w:p>
    <w:p w14:paraId="58814D66" w14:textId="11398102"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6" w:history="1">
        <w:r w:rsidRPr="008E01FB">
          <w:rPr>
            <w:rStyle w:val="Hyperlink"/>
          </w:rPr>
          <w:t>Effective financial management</w:t>
        </w:r>
        <w:r>
          <w:rPr>
            <w:webHidden/>
          </w:rPr>
          <w:tab/>
        </w:r>
        <w:r>
          <w:rPr>
            <w:webHidden/>
          </w:rPr>
          <w:fldChar w:fldCharType="begin"/>
        </w:r>
        <w:r>
          <w:rPr>
            <w:webHidden/>
          </w:rPr>
          <w:instrText xml:space="preserve"> PAGEREF _Toc234580066 \h </w:instrText>
        </w:r>
        <w:r>
          <w:rPr>
            <w:webHidden/>
          </w:rPr>
        </w:r>
        <w:r>
          <w:rPr>
            <w:webHidden/>
          </w:rPr>
          <w:fldChar w:fldCharType="separate"/>
        </w:r>
        <w:r w:rsidR="00A86ACE">
          <w:rPr>
            <w:webHidden/>
          </w:rPr>
          <w:t>8</w:t>
        </w:r>
        <w:r>
          <w:rPr>
            <w:webHidden/>
          </w:rPr>
          <w:fldChar w:fldCharType="end"/>
        </w:r>
      </w:hyperlink>
    </w:p>
    <w:p w14:paraId="73831825" w14:textId="6616F567"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67" w:history="1">
        <w:r w:rsidRPr="008E01FB">
          <w:rPr>
            <w:rStyle w:val="Hyperlink"/>
          </w:rPr>
          <w:t>2025–26 Key performance measures</w:t>
        </w:r>
        <w:r>
          <w:rPr>
            <w:webHidden/>
          </w:rPr>
          <w:tab/>
        </w:r>
        <w:r>
          <w:rPr>
            <w:webHidden/>
          </w:rPr>
          <w:fldChar w:fldCharType="begin"/>
        </w:r>
        <w:r>
          <w:rPr>
            <w:webHidden/>
          </w:rPr>
          <w:instrText xml:space="preserve"> PAGEREF _Toc234580067 \h </w:instrText>
        </w:r>
        <w:r>
          <w:rPr>
            <w:webHidden/>
          </w:rPr>
        </w:r>
        <w:r>
          <w:rPr>
            <w:webHidden/>
          </w:rPr>
          <w:fldChar w:fldCharType="separate"/>
        </w:r>
        <w:r w:rsidR="00A86ACE">
          <w:rPr>
            <w:webHidden/>
          </w:rPr>
          <w:t>9</w:t>
        </w:r>
        <w:r>
          <w:rPr>
            <w:webHidden/>
          </w:rPr>
          <w:fldChar w:fldCharType="end"/>
        </w:r>
      </w:hyperlink>
    </w:p>
    <w:p w14:paraId="07423855" w14:textId="19D15BCB"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8" w:history="1">
        <w:r w:rsidRPr="008E01FB">
          <w:rPr>
            <w:rStyle w:val="Hyperlink"/>
          </w:rPr>
          <w:t>High quality and safe care</w:t>
        </w:r>
        <w:r>
          <w:rPr>
            <w:webHidden/>
          </w:rPr>
          <w:tab/>
        </w:r>
        <w:r>
          <w:rPr>
            <w:webHidden/>
          </w:rPr>
          <w:fldChar w:fldCharType="begin"/>
        </w:r>
        <w:r>
          <w:rPr>
            <w:webHidden/>
          </w:rPr>
          <w:instrText xml:space="preserve"> PAGEREF _Toc234580068 \h </w:instrText>
        </w:r>
        <w:r>
          <w:rPr>
            <w:webHidden/>
          </w:rPr>
        </w:r>
        <w:r>
          <w:rPr>
            <w:webHidden/>
          </w:rPr>
          <w:fldChar w:fldCharType="separate"/>
        </w:r>
        <w:r w:rsidR="00A86ACE">
          <w:rPr>
            <w:webHidden/>
          </w:rPr>
          <w:t>9</w:t>
        </w:r>
        <w:r>
          <w:rPr>
            <w:webHidden/>
          </w:rPr>
          <w:fldChar w:fldCharType="end"/>
        </w:r>
      </w:hyperlink>
    </w:p>
    <w:p w14:paraId="1277D625" w14:textId="0FBB3964"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69" w:history="1">
        <w:r w:rsidRPr="008E01FB">
          <w:rPr>
            <w:rStyle w:val="Hyperlink"/>
          </w:rPr>
          <w:t>Strong governance, leadership and culture</w:t>
        </w:r>
        <w:r>
          <w:rPr>
            <w:webHidden/>
          </w:rPr>
          <w:tab/>
        </w:r>
        <w:r>
          <w:rPr>
            <w:webHidden/>
          </w:rPr>
          <w:fldChar w:fldCharType="begin"/>
        </w:r>
        <w:r>
          <w:rPr>
            <w:webHidden/>
          </w:rPr>
          <w:instrText xml:space="preserve"> PAGEREF _Toc234580069 \h </w:instrText>
        </w:r>
        <w:r>
          <w:rPr>
            <w:webHidden/>
          </w:rPr>
        </w:r>
        <w:r>
          <w:rPr>
            <w:webHidden/>
          </w:rPr>
          <w:fldChar w:fldCharType="separate"/>
        </w:r>
        <w:r w:rsidR="00A86ACE">
          <w:rPr>
            <w:webHidden/>
          </w:rPr>
          <w:t>10</w:t>
        </w:r>
        <w:r>
          <w:rPr>
            <w:webHidden/>
          </w:rPr>
          <w:fldChar w:fldCharType="end"/>
        </w:r>
      </w:hyperlink>
    </w:p>
    <w:p w14:paraId="1A5F04F0" w14:textId="1C955F1D"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0" w:history="1">
        <w:r w:rsidRPr="008E01FB">
          <w:rPr>
            <w:rStyle w:val="Hyperlink"/>
          </w:rPr>
          <w:t>Timely access to care</w:t>
        </w:r>
        <w:r>
          <w:rPr>
            <w:webHidden/>
          </w:rPr>
          <w:tab/>
        </w:r>
        <w:r>
          <w:rPr>
            <w:webHidden/>
          </w:rPr>
          <w:fldChar w:fldCharType="begin"/>
        </w:r>
        <w:r>
          <w:rPr>
            <w:webHidden/>
          </w:rPr>
          <w:instrText xml:space="preserve"> PAGEREF _Toc234580070 \h </w:instrText>
        </w:r>
        <w:r>
          <w:rPr>
            <w:webHidden/>
          </w:rPr>
        </w:r>
        <w:r>
          <w:rPr>
            <w:webHidden/>
          </w:rPr>
          <w:fldChar w:fldCharType="separate"/>
        </w:r>
        <w:r w:rsidR="00A86ACE">
          <w:rPr>
            <w:webHidden/>
          </w:rPr>
          <w:t>10</w:t>
        </w:r>
        <w:r>
          <w:rPr>
            <w:webHidden/>
          </w:rPr>
          <w:fldChar w:fldCharType="end"/>
        </w:r>
      </w:hyperlink>
    </w:p>
    <w:p w14:paraId="4A4D2734" w14:textId="296E8E57"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1" w:history="1">
        <w:r w:rsidRPr="008E01FB">
          <w:rPr>
            <w:rStyle w:val="Hyperlink"/>
          </w:rPr>
          <w:t>Effective financial management</w:t>
        </w:r>
        <w:r>
          <w:rPr>
            <w:webHidden/>
          </w:rPr>
          <w:tab/>
        </w:r>
        <w:r>
          <w:rPr>
            <w:webHidden/>
          </w:rPr>
          <w:fldChar w:fldCharType="begin"/>
        </w:r>
        <w:r>
          <w:rPr>
            <w:webHidden/>
          </w:rPr>
          <w:instrText xml:space="preserve"> PAGEREF _Toc234580071 \h </w:instrText>
        </w:r>
        <w:r>
          <w:rPr>
            <w:webHidden/>
          </w:rPr>
        </w:r>
        <w:r>
          <w:rPr>
            <w:webHidden/>
          </w:rPr>
          <w:fldChar w:fldCharType="separate"/>
        </w:r>
        <w:r w:rsidR="00A86ACE">
          <w:rPr>
            <w:webHidden/>
          </w:rPr>
          <w:t>11</w:t>
        </w:r>
        <w:r>
          <w:rPr>
            <w:webHidden/>
          </w:rPr>
          <w:fldChar w:fldCharType="end"/>
        </w:r>
      </w:hyperlink>
    </w:p>
    <w:p w14:paraId="0CE5E2B1" w14:textId="115758EE"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72" w:history="1">
        <w:r w:rsidRPr="008E01FB">
          <w:rPr>
            <w:rStyle w:val="Hyperlink"/>
          </w:rPr>
          <w:t>Business rules</w:t>
        </w:r>
        <w:r>
          <w:rPr>
            <w:webHidden/>
          </w:rPr>
          <w:tab/>
        </w:r>
        <w:r>
          <w:rPr>
            <w:webHidden/>
          </w:rPr>
          <w:fldChar w:fldCharType="begin"/>
        </w:r>
        <w:r>
          <w:rPr>
            <w:webHidden/>
          </w:rPr>
          <w:instrText xml:space="preserve"> PAGEREF _Toc234580072 \h </w:instrText>
        </w:r>
        <w:r>
          <w:rPr>
            <w:webHidden/>
          </w:rPr>
        </w:r>
        <w:r>
          <w:rPr>
            <w:webHidden/>
          </w:rPr>
          <w:fldChar w:fldCharType="separate"/>
        </w:r>
        <w:r w:rsidR="00A86ACE">
          <w:rPr>
            <w:webHidden/>
          </w:rPr>
          <w:t>12</w:t>
        </w:r>
        <w:r>
          <w:rPr>
            <w:webHidden/>
          </w:rPr>
          <w:fldChar w:fldCharType="end"/>
        </w:r>
      </w:hyperlink>
    </w:p>
    <w:p w14:paraId="6A3649E2" w14:textId="5EFB5436"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3" w:history="1">
        <w:r w:rsidRPr="008E01FB">
          <w:rPr>
            <w:rStyle w:val="Hyperlink"/>
          </w:rPr>
          <w:t>High quality and safe care</w:t>
        </w:r>
        <w:r>
          <w:rPr>
            <w:webHidden/>
          </w:rPr>
          <w:tab/>
        </w:r>
        <w:r>
          <w:rPr>
            <w:webHidden/>
          </w:rPr>
          <w:fldChar w:fldCharType="begin"/>
        </w:r>
        <w:r>
          <w:rPr>
            <w:webHidden/>
          </w:rPr>
          <w:instrText xml:space="preserve"> PAGEREF _Toc234580073 \h </w:instrText>
        </w:r>
        <w:r>
          <w:rPr>
            <w:webHidden/>
          </w:rPr>
        </w:r>
        <w:r>
          <w:rPr>
            <w:webHidden/>
          </w:rPr>
          <w:fldChar w:fldCharType="separate"/>
        </w:r>
        <w:r w:rsidR="00A86ACE">
          <w:rPr>
            <w:webHidden/>
          </w:rPr>
          <w:t>12</w:t>
        </w:r>
        <w:r>
          <w:rPr>
            <w:webHidden/>
          </w:rPr>
          <w:fldChar w:fldCharType="end"/>
        </w:r>
      </w:hyperlink>
    </w:p>
    <w:p w14:paraId="3FBD5C09" w14:textId="6ADA8CD5"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4" w:history="1">
        <w:r w:rsidRPr="008E01FB">
          <w:rPr>
            <w:rStyle w:val="Hyperlink"/>
          </w:rPr>
          <w:t>Strong governance, leadership and culture</w:t>
        </w:r>
        <w:r>
          <w:rPr>
            <w:webHidden/>
          </w:rPr>
          <w:tab/>
        </w:r>
        <w:r>
          <w:rPr>
            <w:webHidden/>
          </w:rPr>
          <w:fldChar w:fldCharType="begin"/>
        </w:r>
        <w:r>
          <w:rPr>
            <w:webHidden/>
          </w:rPr>
          <w:instrText xml:space="preserve"> PAGEREF _Toc234580074 \h </w:instrText>
        </w:r>
        <w:r>
          <w:rPr>
            <w:webHidden/>
          </w:rPr>
        </w:r>
        <w:r>
          <w:rPr>
            <w:webHidden/>
          </w:rPr>
          <w:fldChar w:fldCharType="separate"/>
        </w:r>
        <w:r w:rsidR="00A86ACE">
          <w:rPr>
            <w:webHidden/>
          </w:rPr>
          <w:t>30</w:t>
        </w:r>
        <w:r>
          <w:rPr>
            <w:webHidden/>
          </w:rPr>
          <w:fldChar w:fldCharType="end"/>
        </w:r>
      </w:hyperlink>
    </w:p>
    <w:p w14:paraId="5E80A58D" w14:textId="5D59B2D3"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5" w:history="1">
        <w:r w:rsidRPr="008E01FB">
          <w:rPr>
            <w:rStyle w:val="Hyperlink"/>
          </w:rPr>
          <w:t>Timely access to care</w:t>
        </w:r>
        <w:r>
          <w:rPr>
            <w:webHidden/>
          </w:rPr>
          <w:tab/>
        </w:r>
        <w:r>
          <w:rPr>
            <w:webHidden/>
          </w:rPr>
          <w:fldChar w:fldCharType="begin"/>
        </w:r>
        <w:r>
          <w:rPr>
            <w:webHidden/>
          </w:rPr>
          <w:instrText xml:space="preserve"> PAGEREF _Toc234580075 \h </w:instrText>
        </w:r>
        <w:r>
          <w:rPr>
            <w:webHidden/>
          </w:rPr>
        </w:r>
        <w:r>
          <w:rPr>
            <w:webHidden/>
          </w:rPr>
          <w:fldChar w:fldCharType="separate"/>
        </w:r>
        <w:r w:rsidR="00A86ACE">
          <w:rPr>
            <w:webHidden/>
          </w:rPr>
          <w:t>31</w:t>
        </w:r>
        <w:r>
          <w:rPr>
            <w:webHidden/>
          </w:rPr>
          <w:fldChar w:fldCharType="end"/>
        </w:r>
      </w:hyperlink>
    </w:p>
    <w:p w14:paraId="085BFBBA" w14:textId="552E34C6"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6" w:history="1">
        <w:r w:rsidRPr="008E01FB">
          <w:rPr>
            <w:rStyle w:val="Hyperlink"/>
          </w:rPr>
          <w:t>Effective financial management</w:t>
        </w:r>
        <w:r>
          <w:rPr>
            <w:webHidden/>
          </w:rPr>
          <w:tab/>
        </w:r>
        <w:r>
          <w:rPr>
            <w:webHidden/>
          </w:rPr>
          <w:fldChar w:fldCharType="begin"/>
        </w:r>
        <w:r>
          <w:rPr>
            <w:webHidden/>
          </w:rPr>
          <w:instrText xml:space="preserve"> PAGEREF _Toc234580076 \h </w:instrText>
        </w:r>
        <w:r>
          <w:rPr>
            <w:webHidden/>
          </w:rPr>
        </w:r>
        <w:r>
          <w:rPr>
            <w:webHidden/>
          </w:rPr>
          <w:fldChar w:fldCharType="separate"/>
        </w:r>
        <w:r w:rsidR="00A86ACE">
          <w:rPr>
            <w:webHidden/>
          </w:rPr>
          <w:t>54</w:t>
        </w:r>
        <w:r>
          <w:rPr>
            <w:webHidden/>
          </w:rPr>
          <w:fldChar w:fldCharType="end"/>
        </w:r>
      </w:hyperlink>
    </w:p>
    <w:p w14:paraId="4BD4B874" w14:textId="68AB6DE3"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77" w:history="1">
        <w:r w:rsidRPr="008E01FB">
          <w:rPr>
            <w:rStyle w:val="Hyperlink"/>
          </w:rPr>
          <w:t>Appendices</w:t>
        </w:r>
        <w:r>
          <w:rPr>
            <w:webHidden/>
          </w:rPr>
          <w:tab/>
        </w:r>
        <w:r>
          <w:rPr>
            <w:webHidden/>
          </w:rPr>
          <w:fldChar w:fldCharType="begin"/>
        </w:r>
        <w:r>
          <w:rPr>
            <w:webHidden/>
          </w:rPr>
          <w:instrText xml:space="preserve"> PAGEREF _Toc234580077 \h </w:instrText>
        </w:r>
        <w:r>
          <w:rPr>
            <w:webHidden/>
          </w:rPr>
        </w:r>
        <w:r>
          <w:rPr>
            <w:webHidden/>
          </w:rPr>
          <w:fldChar w:fldCharType="separate"/>
        </w:r>
        <w:r w:rsidR="00A86ACE">
          <w:rPr>
            <w:webHidden/>
          </w:rPr>
          <w:t>58</w:t>
        </w:r>
        <w:r>
          <w:rPr>
            <w:webHidden/>
          </w:rPr>
          <w:fldChar w:fldCharType="end"/>
        </w:r>
      </w:hyperlink>
    </w:p>
    <w:p w14:paraId="3AB52896" w14:textId="13A39521"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78" w:history="1">
        <w:r w:rsidRPr="008E01FB">
          <w:rPr>
            <w:rStyle w:val="Hyperlink"/>
          </w:rPr>
          <w:t>Appendix A – Ambulance Victoria</w:t>
        </w:r>
        <w:r>
          <w:rPr>
            <w:webHidden/>
          </w:rPr>
          <w:tab/>
        </w:r>
        <w:r>
          <w:rPr>
            <w:webHidden/>
          </w:rPr>
          <w:fldChar w:fldCharType="begin"/>
        </w:r>
        <w:r>
          <w:rPr>
            <w:webHidden/>
          </w:rPr>
          <w:instrText xml:space="preserve"> PAGEREF _Toc234580078 \h </w:instrText>
        </w:r>
        <w:r>
          <w:rPr>
            <w:webHidden/>
          </w:rPr>
        </w:r>
        <w:r>
          <w:rPr>
            <w:webHidden/>
          </w:rPr>
          <w:fldChar w:fldCharType="separate"/>
        </w:r>
        <w:r w:rsidR="00A86ACE">
          <w:rPr>
            <w:webHidden/>
          </w:rPr>
          <w:t>59</w:t>
        </w:r>
        <w:r>
          <w:rPr>
            <w:webHidden/>
          </w:rPr>
          <w:fldChar w:fldCharType="end"/>
        </w:r>
      </w:hyperlink>
    </w:p>
    <w:p w14:paraId="52E2D24A" w14:textId="059CC98A"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79" w:history="1">
        <w:r w:rsidRPr="008E01FB">
          <w:rPr>
            <w:rStyle w:val="Hyperlink"/>
          </w:rPr>
          <w:t>Ambulance Victoria – Change summary</w:t>
        </w:r>
        <w:r>
          <w:rPr>
            <w:webHidden/>
          </w:rPr>
          <w:tab/>
        </w:r>
        <w:r>
          <w:rPr>
            <w:webHidden/>
          </w:rPr>
          <w:fldChar w:fldCharType="begin"/>
        </w:r>
        <w:r>
          <w:rPr>
            <w:webHidden/>
          </w:rPr>
          <w:instrText xml:space="preserve"> PAGEREF _Toc234580079 \h </w:instrText>
        </w:r>
        <w:r>
          <w:rPr>
            <w:webHidden/>
          </w:rPr>
        </w:r>
        <w:r>
          <w:rPr>
            <w:webHidden/>
          </w:rPr>
          <w:fldChar w:fldCharType="separate"/>
        </w:r>
        <w:r w:rsidR="00A86ACE">
          <w:rPr>
            <w:webHidden/>
          </w:rPr>
          <w:t>59</w:t>
        </w:r>
        <w:r>
          <w:rPr>
            <w:webHidden/>
          </w:rPr>
          <w:fldChar w:fldCharType="end"/>
        </w:r>
      </w:hyperlink>
    </w:p>
    <w:p w14:paraId="62AA4BE1" w14:textId="6AEC6F99"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80" w:history="1">
        <w:r w:rsidRPr="008E01FB">
          <w:rPr>
            <w:rStyle w:val="Hyperlink"/>
          </w:rPr>
          <w:t>Ambulance Victoria – Key performance measures</w:t>
        </w:r>
        <w:r>
          <w:rPr>
            <w:webHidden/>
          </w:rPr>
          <w:tab/>
        </w:r>
        <w:r>
          <w:rPr>
            <w:webHidden/>
          </w:rPr>
          <w:fldChar w:fldCharType="begin"/>
        </w:r>
        <w:r>
          <w:rPr>
            <w:webHidden/>
          </w:rPr>
          <w:instrText xml:space="preserve"> PAGEREF _Toc234580080 \h </w:instrText>
        </w:r>
        <w:r>
          <w:rPr>
            <w:webHidden/>
          </w:rPr>
        </w:r>
        <w:r>
          <w:rPr>
            <w:webHidden/>
          </w:rPr>
          <w:fldChar w:fldCharType="separate"/>
        </w:r>
        <w:r w:rsidR="00A86ACE">
          <w:rPr>
            <w:webHidden/>
          </w:rPr>
          <w:t>60</w:t>
        </w:r>
        <w:r>
          <w:rPr>
            <w:webHidden/>
          </w:rPr>
          <w:fldChar w:fldCharType="end"/>
        </w:r>
      </w:hyperlink>
    </w:p>
    <w:p w14:paraId="3A2DDF44" w14:textId="0B8230D4"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81" w:history="1">
        <w:r w:rsidRPr="008E01FB">
          <w:rPr>
            <w:rStyle w:val="Hyperlink"/>
          </w:rPr>
          <w:t>Appendix B – Forensicare</w:t>
        </w:r>
        <w:r>
          <w:rPr>
            <w:webHidden/>
          </w:rPr>
          <w:tab/>
        </w:r>
        <w:r>
          <w:rPr>
            <w:webHidden/>
          </w:rPr>
          <w:fldChar w:fldCharType="begin"/>
        </w:r>
        <w:r>
          <w:rPr>
            <w:webHidden/>
          </w:rPr>
          <w:instrText xml:space="preserve"> PAGEREF _Toc234580081 \h </w:instrText>
        </w:r>
        <w:r>
          <w:rPr>
            <w:webHidden/>
          </w:rPr>
        </w:r>
        <w:r>
          <w:rPr>
            <w:webHidden/>
          </w:rPr>
          <w:fldChar w:fldCharType="separate"/>
        </w:r>
        <w:r w:rsidR="00A86ACE">
          <w:rPr>
            <w:webHidden/>
          </w:rPr>
          <w:t>62</w:t>
        </w:r>
        <w:r>
          <w:rPr>
            <w:webHidden/>
          </w:rPr>
          <w:fldChar w:fldCharType="end"/>
        </w:r>
      </w:hyperlink>
    </w:p>
    <w:p w14:paraId="0CDAF618" w14:textId="1C97EC64"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82" w:history="1">
        <w:r w:rsidRPr="008E01FB">
          <w:rPr>
            <w:rStyle w:val="Hyperlink"/>
          </w:rPr>
          <w:t>Forensicare – Change summary</w:t>
        </w:r>
        <w:r>
          <w:rPr>
            <w:webHidden/>
          </w:rPr>
          <w:tab/>
        </w:r>
        <w:r>
          <w:rPr>
            <w:webHidden/>
          </w:rPr>
          <w:fldChar w:fldCharType="begin"/>
        </w:r>
        <w:r>
          <w:rPr>
            <w:webHidden/>
          </w:rPr>
          <w:instrText xml:space="preserve"> PAGEREF _Toc234580082 \h </w:instrText>
        </w:r>
        <w:r>
          <w:rPr>
            <w:webHidden/>
          </w:rPr>
        </w:r>
        <w:r>
          <w:rPr>
            <w:webHidden/>
          </w:rPr>
          <w:fldChar w:fldCharType="separate"/>
        </w:r>
        <w:r w:rsidR="00A86ACE">
          <w:rPr>
            <w:webHidden/>
          </w:rPr>
          <w:t>62</w:t>
        </w:r>
        <w:r>
          <w:rPr>
            <w:webHidden/>
          </w:rPr>
          <w:fldChar w:fldCharType="end"/>
        </w:r>
      </w:hyperlink>
    </w:p>
    <w:p w14:paraId="471FA7A6" w14:textId="0B5474B9" w:rsidR="00B94E8C" w:rsidRDefault="00B94E8C">
      <w:pPr>
        <w:pStyle w:val="TOC2"/>
        <w:rPr>
          <w:rFonts w:asciiTheme="minorHAnsi" w:eastAsiaTheme="minorEastAsia" w:hAnsiTheme="minorHAnsi" w:cstheme="minorBidi"/>
          <w:kern w:val="2"/>
          <w:sz w:val="24"/>
          <w:szCs w:val="24"/>
          <w:lang w:eastAsia="en-AU"/>
          <w14:ligatures w14:val="standardContextual"/>
        </w:rPr>
      </w:pPr>
      <w:hyperlink w:anchor="_Toc234580083" w:history="1">
        <w:r w:rsidRPr="008E01FB">
          <w:rPr>
            <w:rStyle w:val="Hyperlink"/>
          </w:rPr>
          <w:t>Forensicare – Key performance measures</w:t>
        </w:r>
        <w:r>
          <w:rPr>
            <w:webHidden/>
          </w:rPr>
          <w:tab/>
        </w:r>
        <w:r>
          <w:rPr>
            <w:webHidden/>
          </w:rPr>
          <w:fldChar w:fldCharType="begin"/>
        </w:r>
        <w:r>
          <w:rPr>
            <w:webHidden/>
          </w:rPr>
          <w:instrText xml:space="preserve"> PAGEREF _Toc234580083 \h </w:instrText>
        </w:r>
        <w:r>
          <w:rPr>
            <w:webHidden/>
          </w:rPr>
        </w:r>
        <w:r>
          <w:rPr>
            <w:webHidden/>
          </w:rPr>
          <w:fldChar w:fldCharType="separate"/>
        </w:r>
        <w:r w:rsidR="00A86ACE">
          <w:rPr>
            <w:webHidden/>
          </w:rPr>
          <w:t>63</w:t>
        </w:r>
        <w:r>
          <w:rPr>
            <w:webHidden/>
          </w:rPr>
          <w:fldChar w:fldCharType="end"/>
        </w:r>
      </w:hyperlink>
    </w:p>
    <w:p w14:paraId="246F563C" w14:textId="420EA01E" w:rsidR="00B94E8C" w:rsidRDefault="00B94E8C">
      <w:pPr>
        <w:pStyle w:val="TOC1"/>
        <w:rPr>
          <w:rFonts w:asciiTheme="minorHAnsi" w:eastAsiaTheme="minorEastAsia" w:hAnsiTheme="minorHAnsi" w:cstheme="minorBidi"/>
          <w:b w:val="0"/>
          <w:kern w:val="2"/>
          <w:sz w:val="24"/>
          <w:szCs w:val="24"/>
          <w:lang w:eastAsia="en-AU"/>
          <w14:ligatures w14:val="standardContextual"/>
        </w:rPr>
      </w:pPr>
      <w:hyperlink w:anchor="_Toc234580084" w:history="1">
        <w:r w:rsidRPr="008E01FB">
          <w:rPr>
            <w:rStyle w:val="Hyperlink"/>
          </w:rPr>
          <w:t>Endnotes</w:t>
        </w:r>
        <w:r>
          <w:rPr>
            <w:webHidden/>
          </w:rPr>
          <w:tab/>
        </w:r>
        <w:r>
          <w:rPr>
            <w:webHidden/>
          </w:rPr>
          <w:fldChar w:fldCharType="begin"/>
        </w:r>
        <w:r>
          <w:rPr>
            <w:webHidden/>
          </w:rPr>
          <w:instrText xml:space="preserve"> PAGEREF _Toc234580084 \h </w:instrText>
        </w:r>
        <w:r>
          <w:rPr>
            <w:webHidden/>
          </w:rPr>
        </w:r>
        <w:r>
          <w:rPr>
            <w:webHidden/>
          </w:rPr>
          <w:fldChar w:fldCharType="separate"/>
        </w:r>
        <w:r w:rsidR="00A86ACE">
          <w:rPr>
            <w:webHidden/>
          </w:rPr>
          <w:t>65</w:t>
        </w:r>
        <w:r>
          <w:rPr>
            <w:webHidden/>
          </w:rPr>
          <w:fldChar w:fldCharType="end"/>
        </w:r>
      </w:hyperlink>
    </w:p>
    <w:p w14:paraId="600D06AE" w14:textId="1C11708C" w:rsidR="00FB1F6E" w:rsidRPr="00315936" w:rsidRDefault="00AD784C" w:rsidP="00D079AA">
      <w:pPr>
        <w:pStyle w:val="Body"/>
      </w:pPr>
      <w:r w:rsidRPr="00315936">
        <w:fldChar w:fldCharType="end"/>
      </w:r>
    </w:p>
    <w:p w14:paraId="6EC63832" w14:textId="77777777" w:rsidR="00FB1F6E" w:rsidRPr="00315936" w:rsidRDefault="00FB1F6E">
      <w:pPr>
        <w:spacing w:after="0" w:line="240" w:lineRule="auto"/>
        <w:rPr>
          <w:rFonts w:eastAsia="Times"/>
        </w:rPr>
      </w:pPr>
      <w:r w:rsidRPr="00315936">
        <w:br w:type="page"/>
      </w:r>
    </w:p>
    <w:p w14:paraId="4A93FF27" w14:textId="7DDB8F8F" w:rsidR="00630A37" w:rsidRDefault="00D8676D" w:rsidP="0072516C">
      <w:pPr>
        <w:pStyle w:val="Heading1"/>
        <w:tabs>
          <w:tab w:val="center" w:pos="4649"/>
        </w:tabs>
      </w:pPr>
      <w:bookmarkStart w:id="1" w:name="_Toc234580059"/>
      <w:bookmarkStart w:id="2" w:name="_Hlk66712316"/>
      <w:r>
        <w:lastRenderedPageBreak/>
        <w:t xml:space="preserve">Document </w:t>
      </w:r>
      <w:r w:rsidR="00CE0D22">
        <w:t>v</w:t>
      </w:r>
      <w:r w:rsidR="00630A37">
        <w:t>ersion history</w:t>
      </w:r>
      <w:bookmarkEnd w:id="1"/>
    </w:p>
    <w:tbl>
      <w:tblPr>
        <w:tblStyle w:val="TableGrid"/>
        <w:tblW w:w="0" w:type="auto"/>
        <w:tblLook w:val="04A0" w:firstRow="1" w:lastRow="0" w:firstColumn="1" w:lastColumn="0" w:noHBand="0" w:noVBand="1"/>
      </w:tblPr>
      <w:tblGrid>
        <w:gridCol w:w="929"/>
        <w:gridCol w:w="6589"/>
        <w:gridCol w:w="1770"/>
      </w:tblGrid>
      <w:tr w:rsidR="00BE3035" w14:paraId="3E9C65B3" w14:textId="77777777" w:rsidTr="55528ABA">
        <w:tc>
          <w:tcPr>
            <w:tcW w:w="846" w:type="dxa"/>
          </w:tcPr>
          <w:p w14:paraId="2C28C6E4" w14:textId="0901B463" w:rsidR="00BE3035" w:rsidRDefault="00BE3035" w:rsidP="002A1D61">
            <w:pPr>
              <w:pStyle w:val="Body"/>
            </w:pPr>
            <w:r>
              <w:t>Version</w:t>
            </w:r>
          </w:p>
        </w:tc>
        <w:tc>
          <w:tcPr>
            <w:tcW w:w="6662" w:type="dxa"/>
          </w:tcPr>
          <w:p w14:paraId="3362D213" w14:textId="266B7F2F" w:rsidR="00BE3035" w:rsidRDefault="00FC31F9" w:rsidP="002A1D61">
            <w:pPr>
              <w:pStyle w:val="Body"/>
            </w:pPr>
            <w:r>
              <w:t>Revisions</w:t>
            </w:r>
          </w:p>
        </w:tc>
        <w:tc>
          <w:tcPr>
            <w:tcW w:w="1780" w:type="dxa"/>
          </w:tcPr>
          <w:p w14:paraId="7121F40C" w14:textId="79D03514" w:rsidR="00BE3035" w:rsidRDefault="00FC31F9" w:rsidP="002A1D61">
            <w:pPr>
              <w:pStyle w:val="Body"/>
            </w:pPr>
            <w:r>
              <w:t>Date published</w:t>
            </w:r>
          </w:p>
        </w:tc>
      </w:tr>
      <w:tr w:rsidR="002A1D61" w14:paraId="37880800" w14:textId="77777777" w:rsidTr="55528ABA">
        <w:tc>
          <w:tcPr>
            <w:tcW w:w="846" w:type="dxa"/>
          </w:tcPr>
          <w:p w14:paraId="4535CFA4" w14:textId="57455A72" w:rsidR="002A1D61" w:rsidRDefault="00BE3035" w:rsidP="002A1D61">
            <w:pPr>
              <w:pStyle w:val="Body"/>
            </w:pPr>
            <w:r>
              <w:t>1.0</w:t>
            </w:r>
          </w:p>
        </w:tc>
        <w:tc>
          <w:tcPr>
            <w:tcW w:w="6662" w:type="dxa"/>
          </w:tcPr>
          <w:p w14:paraId="3C6BA9EF" w14:textId="50279186" w:rsidR="002A1D61" w:rsidRDefault="00FC31F9" w:rsidP="002A1D61">
            <w:pPr>
              <w:pStyle w:val="Body"/>
            </w:pPr>
            <w:r>
              <w:t>Original document published</w:t>
            </w:r>
          </w:p>
        </w:tc>
        <w:tc>
          <w:tcPr>
            <w:tcW w:w="1780" w:type="dxa"/>
          </w:tcPr>
          <w:p w14:paraId="09630A1F" w14:textId="5A9397DB" w:rsidR="002A1D61" w:rsidRDefault="00BE193B" w:rsidP="002A1D61">
            <w:pPr>
              <w:pStyle w:val="Body"/>
            </w:pPr>
            <w:r>
              <w:t>31 July 2025</w:t>
            </w:r>
          </w:p>
        </w:tc>
      </w:tr>
      <w:tr w:rsidR="002A1D61" w14:paraId="2F94B60E" w14:textId="77777777" w:rsidTr="55528ABA">
        <w:tc>
          <w:tcPr>
            <w:tcW w:w="846" w:type="dxa"/>
          </w:tcPr>
          <w:p w14:paraId="78A7BF70" w14:textId="10A48A57" w:rsidR="002A1D61" w:rsidRDefault="00FC31F9" w:rsidP="002A1D61">
            <w:pPr>
              <w:pStyle w:val="Body"/>
            </w:pPr>
            <w:r>
              <w:t>1.1</w:t>
            </w:r>
          </w:p>
        </w:tc>
        <w:tc>
          <w:tcPr>
            <w:tcW w:w="6662" w:type="dxa"/>
          </w:tcPr>
          <w:p w14:paraId="60C752A5" w14:textId="48C687DF" w:rsidR="00D1302E" w:rsidRPr="009B0862" w:rsidRDefault="00467239" w:rsidP="002A1D61">
            <w:pPr>
              <w:pStyle w:val="Body"/>
            </w:pPr>
            <w:r w:rsidRPr="009B0862">
              <w:t>Revisions to</w:t>
            </w:r>
            <w:r w:rsidR="00D1302E" w:rsidRPr="009B0862">
              <w:t xml:space="preserve"> the following</w:t>
            </w:r>
            <w:r w:rsidRPr="009B0862">
              <w:t xml:space="preserve"> business rules</w:t>
            </w:r>
            <w:r w:rsidR="00D1302E">
              <w:t>:</w:t>
            </w:r>
            <w:r w:rsidRPr="009B0862">
              <w:t xml:space="preserve"> </w:t>
            </w:r>
          </w:p>
          <w:p w14:paraId="3D94E441" w14:textId="43826AC4" w:rsidR="008C7243" w:rsidRPr="00866574" w:rsidRDefault="008C7243" w:rsidP="002A1D61">
            <w:pPr>
              <w:pStyle w:val="Body"/>
              <w:rPr>
                <w:b/>
                <w:bCs/>
              </w:rPr>
            </w:pPr>
            <w:r w:rsidRPr="00866574">
              <w:rPr>
                <w:b/>
                <w:bCs/>
              </w:rPr>
              <w:t>High quality and safe care</w:t>
            </w:r>
            <w:r w:rsidR="0047719B" w:rsidRPr="00866574">
              <w:rPr>
                <w:b/>
                <w:bCs/>
              </w:rPr>
              <w:t xml:space="preserve"> </w:t>
            </w:r>
          </w:p>
          <w:p w14:paraId="74452B18" w14:textId="435DFC3B" w:rsidR="00DB783D" w:rsidRPr="00DC235B" w:rsidRDefault="005D3C76" w:rsidP="009B0862">
            <w:pPr>
              <w:pStyle w:val="Tablebullet1"/>
              <w:numPr>
                <w:ilvl w:val="0"/>
                <w:numId w:val="102"/>
              </w:numPr>
              <w:ind w:left="378"/>
            </w:pPr>
            <w:r w:rsidRPr="00DC235B">
              <w:rPr>
                <w:i/>
                <w:iCs/>
              </w:rPr>
              <w:t>Percentage of Healthcare workers immunised for influenza</w:t>
            </w:r>
            <w:r w:rsidR="004F644A">
              <w:rPr>
                <w:i/>
                <w:iCs/>
              </w:rPr>
              <w:t xml:space="preserve"> </w:t>
            </w:r>
            <w:r w:rsidR="00EE3817">
              <w:t>–</w:t>
            </w:r>
            <w:r w:rsidR="004F644A">
              <w:rPr>
                <w:i/>
                <w:iCs/>
              </w:rPr>
              <w:t xml:space="preserve"> </w:t>
            </w:r>
            <w:r w:rsidR="008A0926">
              <w:t>d</w:t>
            </w:r>
            <w:r w:rsidR="005D7227" w:rsidRPr="00DC235B">
              <w:t xml:space="preserve">ata source </w:t>
            </w:r>
            <w:r w:rsidR="00A9779B">
              <w:t>updated</w:t>
            </w:r>
            <w:r w:rsidR="004F644A">
              <w:t xml:space="preserve">; </w:t>
            </w:r>
            <w:r w:rsidR="00D05047" w:rsidRPr="00DC235B">
              <w:t xml:space="preserve">2026 dates </w:t>
            </w:r>
            <w:r w:rsidR="005B3C49" w:rsidRPr="00DC235B">
              <w:t xml:space="preserve">revised to refer to generic influenza campaign </w:t>
            </w:r>
            <w:r w:rsidR="005747D4">
              <w:t>as</w:t>
            </w:r>
            <w:r w:rsidR="005B3C49" w:rsidRPr="00DC235B">
              <w:t xml:space="preserve"> </w:t>
            </w:r>
            <w:r w:rsidR="005A442C">
              <w:t xml:space="preserve">the </w:t>
            </w:r>
            <w:r w:rsidR="005B3C49" w:rsidRPr="00DC235B">
              <w:t xml:space="preserve">specific dates </w:t>
            </w:r>
            <w:r w:rsidR="00F12239" w:rsidRPr="00DC235B">
              <w:t xml:space="preserve">set by the Victorian Department of Health </w:t>
            </w:r>
            <w:r w:rsidR="005B3C49" w:rsidRPr="00DC235B">
              <w:t>vary each year.</w:t>
            </w:r>
          </w:p>
          <w:p w14:paraId="2521F8B7" w14:textId="1A777E09" w:rsidR="002C2229" w:rsidRPr="00DC235B" w:rsidRDefault="00650FAD" w:rsidP="009B0862">
            <w:pPr>
              <w:pStyle w:val="Tablebullet1"/>
              <w:numPr>
                <w:ilvl w:val="0"/>
                <w:numId w:val="102"/>
              </w:numPr>
              <w:ind w:left="378"/>
            </w:pPr>
            <w:r w:rsidRPr="00DC235B">
              <w:rPr>
                <w:i/>
                <w:iCs/>
              </w:rPr>
              <w:t>Average change in the functional independence measure (FIM) score per day of care for rehabilitation separations</w:t>
            </w:r>
            <w:r w:rsidRPr="00DC235B">
              <w:t xml:space="preserve"> </w:t>
            </w:r>
            <w:r w:rsidR="00EE3817">
              <w:t>–</w:t>
            </w:r>
            <w:r w:rsidR="005361B4">
              <w:t xml:space="preserve"> updated to clarify</w:t>
            </w:r>
            <w:r w:rsidR="00B770F5">
              <w:t xml:space="preserve"> t</w:t>
            </w:r>
            <w:r w:rsidR="00AD6B1A">
              <w:t xml:space="preserve">hat </w:t>
            </w:r>
            <w:r w:rsidR="00BC0EB2" w:rsidRPr="00DC235B">
              <w:t>Hospital in the Home (HITH) episodes</w:t>
            </w:r>
            <w:r w:rsidR="005B602E">
              <w:t xml:space="preserve"> are included in scope</w:t>
            </w:r>
            <w:r w:rsidR="00BC0EB2" w:rsidRPr="00DC235B">
              <w:t>.</w:t>
            </w:r>
          </w:p>
          <w:p w14:paraId="68705E00" w14:textId="11DA8584" w:rsidR="00E01EC5" w:rsidRPr="00DC235B" w:rsidRDefault="00DC4DB2" w:rsidP="009B0862">
            <w:pPr>
              <w:pStyle w:val="Tablebullet1"/>
              <w:numPr>
                <w:ilvl w:val="0"/>
                <w:numId w:val="102"/>
              </w:numPr>
              <w:ind w:left="378"/>
            </w:pPr>
            <w:r w:rsidRPr="00DC235B">
              <w:rPr>
                <w:i/>
                <w:iCs/>
              </w:rPr>
              <w:t>Percentage of patients who reported positive experiences of their hospital stay</w:t>
            </w:r>
            <w:r w:rsidR="004F644A">
              <w:rPr>
                <w:i/>
                <w:iCs/>
              </w:rPr>
              <w:t xml:space="preserve"> </w:t>
            </w:r>
            <w:r w:rsidR="00EE3817">
              <w:t>–</w:t>
            </w:r>
            <w:r w:rsidR="004F644A">
              <w:rPr>
                <w:i/>
                <w:iCs/>
              </w:rPr>
              <w:t xml:space="preserve"> </w:t>
            </w:r>
            <w:r w:rsidR="00383FB7" w:rsidRPr="00DC235B">
              <w:t xml:space="preserve">updated to </w:t>
            </w:r>
            <w:r w:rsidR="00D91CE9">
              <w:t>clarify</w:t>
            </w:r>
            <w:r w:rsidR="00D91CE9" w:rsidRPr="00DC235B">
              <w:t xml:space="preserve"> </w:t>
            </w:r>
            <w:r w:rsidR="00E75582" w:rsidRPr="00DC235B">
              <w:t>that r</w:t>
            </w:r>
            <w:r w:rsidR="00E01EC5" w:rsidRPr="00DC235B">
              <w:t xml:space="preserve">esults are not reported where fewer than 10 responses </w:t>
            </w:r>
            <w:r w:rsidR="00E66C95" w:rsidRPr="00DC235B">
              <w:t xml:space="preserve">are </w:t>
            </w:r>
            <w:r w:rsidR="00E01EC5" w:rsidRPr="00DC235B">
              <w:t>received.</w:t>
            </w:r>
          </w:p>
          <w:p w14:paraId="29569D68" w14:textId="41AB926D" w:rsidR="009C12BB" w:rsidRPr="00DC235B" w:rsidRDefault="009C12BB" w:rsidP="009B0862">
            <w:pPr>
              <w:pStyle w:val="Tablebullet1"/>
              <w:numPr>
                <w:ilvl w:val="0"/>
                <w:numId w:val="102"/>
              </w:numPr>
              <w:ind w:left="378"/>
            </w:pPr>
            <w:r w:rsidRPr="00DC235B">
              <w:rPr>
                <w:i/>
                <w:iCs/>
              </w:rPr>
              <w:t>Percentage of respondents wh</w:t>
            </w:r>
            <w:r w:rsidR="00B90981" w:rsidRPr="00DC235B">
              <w:rPr>
                <w:i/>
                <w:iCs/>
              </w:rPr>
              <w:t>o rated their overall experience with the ambulance services as</w:t>
            </w:r>
            <w:r w:rsidR="00C950C5" w:rsidRPr="00DC235B">
              <w:rPr>
                <w:i/>
                <w:iCs/>
              </w:rPr>
              <w:t xml:space="preserve"> ‘satisfied’ or ‘very satisfied’</w:t>
            </w:r>
            <w:r w:rsidR="003347B9" w:rsidRPr="00DC235B">
              <w:t xml:space="preserve"> </w:t>
            </w:r>
            <w:r w:rsidR="00EE3817">
              <w:t xml:space="preserve">– </w:t>
            </w:r>
            <w:r w:rsidR="00783655" w:rsidRPr="00DC235B">
              <w:t xml:space="preserve">reporting period </w:t>
            </w:r>
            <w:r w:rsidR="007A7325">
              <w:t>updated to specify that</w:t>
            </w:r>
            <w:r w:rsidR="007A7325" w:rsidRPr="00DC235B">
              <w:t xml:space="preserve"> </w:t>
            </w:r>
            <w:r w:rsidR="003347B9" w:rsidRPr="00DC235B">
              <w:t>reporting occurs in Q1.</w:t>
            </w:r>
          </w:p>
          <w:p w14:paraId="1A172DAA" w14:textId="2A2F1B08" w:rsidR="00B90981" w:rsidRPr="00DC235B" w:rsidRDefault="009E0126" w:rsidP="009B0862">
            <w:pPr>
              <w:pStyle w:val="Tablebullet1"/>
              <w:numPr>
                <w:ilvl w:val="0"/>
                <w:numId w:val="102"/>
              </w:numPr>
              <w:ind w:left="378"/>
            </w:pPr>
            <w:r w:rsidRPr="00DC235B">
              <w:rPr>
                <w:i/>
                <w:iCs/>
              </w:rPr>
              <w:t>P</w:t>
            </w:r>
            <w:r w:rsidR="00B90981" w:rsidRPr="00DC235B">
              <w:rPr>
                <w:i/>
                <w:iCs/>
              </w:rPr>
              <w:t>ercentage of respondents who rated</w:t>
            </w:r>
            <w:r w:rsidRPr="00DC235B">
              <w:rPr>
                <w:i/>
                <w:iCs/>
              </w:rPr>
              <w:t xml:space="preserve"> the level of care provided by paramedics as ‘good’ or ‘very good</w:t>
            </w:r>
            <w:r w:rsidR="00614536" w:rsidRPr="00DC235B">
              <w:rPr>
                <w:i/>
                <w:iCs/>
              </w:rPr>
              <w:t>’</w:t>
            </w:r>
            <w:r w:rsidR="00614536" w:rsidRPr="00DC235B">
              <w:t xml:space="preserve"> </w:t>
            </w:r>
            <w:r w:rsidR="00EE3817">
              <w:t xml:space="preserve">– </w:t>
            </w:r>
            <w:r w:rsidR="00783655" w:rsidRPr="00DC235B">
              <w:t xml:space="preserve">reporting period </w:t>
            </w:r>
            <w:r w:rsidR="007A7325">
              <w:t>updated to specify that</w:t>
            </w:r>
            <w:r w:rsidR="007675A1" w:rsidRPr="00DC235B">
              <w:t xml:space="preserve"> reporting occurs in Q1</w:t>
            </w:r>
            <w:r w:rsidRPr="00DC235B">
              <w:t>.</w:t>
            </w:r>
          </w:p>
          <w:p w14:paraId="443E5A40" w14:textId="6C2CBA06" w:rsidR="00DA41D4" w:rsidRPr="00866574" w:rsidRDefault="00DA41D4" w:rsidP="00A4264A">
            <w:pPr>
              <w:pStyle w:val="Tablebullet1"/>
              <w:numPr>
                <w:ilvl w:val="0"/>
                <w:numId w:val="0"/>
              </w:numPr>
              <w:rPr>
                <w:b/>
                <w:bCs/>
              </w:rPr>
            </w:pPr>
            <w:r w:rsidRPr="00866574">
              <w:rPr>
                <w:b/>
                <w:bCs/>
              </w:rPr>
              <w:t xml:space="preserve">Strong governance, leadership and culture </w:t>
            </w:r>
          </w:p>
          <w:p w14:paraId="3B7B914E" w14:textId="53C8BD4B" w:rsidR="00A4264A" w:rsidRPr="00DC235B" w:rsidRDefault="00A4264A" w:rsidP="009B0862">
            <w:pPr>
              <w:pStyle w:val="Tablebullet1"/>
              <w:numPr>
                <w:ilvl w:val="0"/>
                <w:numId w:val="103"/>
              </w:numPr>
              <w:ind w:left="378"/>
            </w:pPr>
            <w:r w:rsidRPr="00DC235B">
              <w:rPr>
                <w:i/>
                <w:iCs/>
              </w:rPr>
              <w:t xml:space="preserve">People Matter Survey </w:t>
            </w:r>
            <w:r w:rsidR="00E14BD1" w:rsidRPr="00DC235B">
              <w:rPr>
                <w:i/>
                <w:iCs/>
              </w:rPr>
              <w:t>–</w:t>
            </w:r>
            <w:r w:rsidRPr="00DC235B">
              <w:rPr>
                <w:i/>
                <w:iCs/>
              </w:rPr>
              <w:t xml:space="preserve"> </w:t>
            </w:r>
            <w:r w:rsidR="00E14BD1" w:rsidRPr="00DC235B">
              <w:rPr>
                <w:i/>
                <w:iCs/>
              </w:rPr>
              <w:t>Percentage of staff with an overall positive response to</w:t>
            </w:r>
            <w:r w:rsidR="00CE0D22" w:rsidRPr="00DC235B">
              <w:rPr>
                <w:i/>
                <w:iCs/>
              </w:rPr>
              <w:t xml:space="preserve"> safety culture questions</w:t>
            </w:r>
            <w:r w:rsidR="00A65B2B" w:rsidRPr="00DC235B">
              <w:t xml:space="preserve"> </w:t>
            </w:r>
            <w:r w:rsidR="00AD0376">
              <w:t xml:space="preserve">– </w:t>
            </w:r>
            <w:r w:rsidR="00A65B2B" w:rsidRPr="00DC235B">
              <w:t xml:space="preserve">reporting </w:t>
            </w:r>
            <w:r w:rsidR="00F40BAF" w:rsidRPr="00DC235B">
              <w:t xml:space="preserve">period </w:t>
            </w:r>
            <w:r w:rsidR="006A7F2D">
              <w:t>updated</w:t>
            </w:r>
            <w:r w:rsidR="006A7F2D" w:rsidRPr="00DC235B">
              <w:t xml:space="preserve"> </w:t>
            </w:r>
            <w:r w:rsidR="000610DC" w:rsidRPr="00DC235B">
              <w:t>to</w:t>
            </w:r>
            <w:r w:rsidR="00F40BAF" w:rsidRPr="00DC235B">
              <w:t xml:space="preserve"> </w:t>
            </w:r>
            <w:r w:rsidR="006A7F2D">
              <w:t>clarify</w:t>
            </w:r>
            <w:r w:rsidR="006A7F2D" w:rsidRPr="00DC235B">
              <w:t xml:space="preserve"> </w:t>
            </w:r>
            <w:r w:rsidR="002F6BE3" w:rsidRPr="00DC235B">
              <w:t>that</w:t>
            </w:r>
            <w:r w:rsidR="00F40BAF" w:rsidRPr="00DC235B">
              <w:t xml:space="preserve"> reporting occurs when data become available</w:t>
            </w:r>
            <w:r w:rsidR="00AD0376">
              <w:t xml:space="preserve">; </w:t>
            </w:r>
            <w:r w:rsidR="00897BFC" w:rsidRPr="00DC235B">
              <w:t xml:space="preserve">description and performance calculation updated to reflect changes to the </w:t>
            </w:r>
            <w:r w:rsidR="00C45F2D" w:rsidRPr="00DC235B">
              <w:t xml:space="preserve">2026 </w:t>
            </w:r>
            <w:r w:rsidR="00C45F2D">
              <w:t>survey</w:t>
            </w:r>
            <w:r w:rsidR="00FD6716">
              <w:t xml:space="preserve"> (</w:t>
            </w:r>
            <w:r w:rsidR="00897BFC" w:rsidRPr="00DC235B">
              <w:t>removal of two questions</w:t>
            </w:r>
            <w:r w:rsidR="00FD6716">
              <w:t xml:space="preserve">; </w:t>
            </w:r>
            <w:r w:rsidR="00897BFC" w:rsidRPr="00DC235B">
              <w:t>new response option ‘Not relevant to my role’ excluded from calculation</w:t>
            </w:r>
            <w:r w:rsidR="00AC2479">
              <w:t>)</w:t>
            </w:r>
            <w:r w:rsidR="00897BFC" w:rsidRPr="00DC235B">
              <w:t>.</w:t>
            </w:r>
          </w:p>
          <w:p w14:paraId="7CA73B41" w14:textId="07E3C0B3" w:rsidR="00A4264A" w:rsidRPr="00866574" w:rsidRDefault="0047719B" w:rsidP="00076BEC">
            <w:pPr>
              <w:pStyle w:val="Tablebullet1"/>
              <w:numPr>
                <w:ilvl w:val="0"/>
                <w:numId w:val="0"/>
              </w:numPr>
              <w:rPr>
                <w:b/>
                <w:bCs/>
              </w:rPr>
            </w:pPr>
            <w:r w:rsidRPr="00866574">
              <w:rPr>
                <w:b/>
                <w:bCs/>
              </w:rPr>
              <w:t>Timely access to care</w:t>
            </w:r>
          </w:p>
          <w:p w14:paraId="359FA9AF" w14:textId="72BBD139" w:rsidR="005905AD" w:rsidRPr="00866574" w:rsidRDefault="00FA34F2" w:rsidP="009B0862">
            <w:pPr>
              <w:pStyle w:val="Tablebullet1"/>
              <w:numPr>
                <w:ilvl w:val="0"/>
                <w:numId w:val="103"/>
              </w:numPr>
              <w:ind w:left="378"/>
            </w:pPr>
            <w:r w:rsidRPr="00DC235B">
              <w:rPr>
                <w:i/>
                <w:iCs/>
              </w:rPr>
              <w:t xml:space="preserve">Percentage of </w:t>
            </w:r>
            <w:r w:rsidR="00CF1FC8" w:rsidRPr="00DC235B">
              <w:rPr>
                <w:i/>
                <w:iCs/>
              </w:rPr>
              <w:t xml:space="preserve">patients on the waiting list who have waited </w:t>
            </w:r>
            <w:r w:rsidR="00FB6E24" w:rsidRPr="00DC235B">
              <w:rPr>
                <w:i/>
                <w:iCs/>
              </w:rPr>
              <w:t>longer than clinically recommended for their respective triage category</w:t>
            </w:r>
            <w:r w:rsidR="00AD0376">
              <w:rPr>
                <w:i/>
                <w:iCs/>
              </w:rPr>
              <w:t xml:space="preserve"> </w:t>
            </w:r>
            <w:r w:rsidR="00AD0376">
              <w:t>–</w:t>
            </w:r>
            <w:r w:rsidR="006D4951" w:rsidRPr="00DC235B">
              <w:t xml:space="preserve"> </w:t>
            </w:r>
            <w:r w:rsidR="00466284">
              <w:t xml:space="preserve">minor clarifications to </w:t>
            </w:r>
            <w:r w:rsidR="006D4951" w:rsidRPr="00DC235B">
              <w:t>description and performance calculation</w:t>
            </w:r>
            <w:r w:rsidR="007F4C62" w:rsidRPr="00866574">
              <w:t>.</w:t>
            </w:r>
          </w:p>
          <w:p w14:paraId="200B7570" w14:textId="7E2F900C" w:rsidR="00A76DDD" w:rsidRDefault="7EA250A9" w:rsidP="009B0862">
            <w:pPr>
              <w:pStyle w:val="Tablebullet1"/>
              <w:numPr>
                <w:ilvl w:val="0"/>
                <w:numId w:val="103"/>
              </w:numPr>
              <w:ind w:left="378"/>
            </w:pPr>
            <w:r w:rsidRPr="00DC235B">
              <w:rPr>
                <w:i/>
                <w:iCs/>
              </w:rPr>
              <w:t>Number of patients admitted from the planned surgery waiting list</w:t>
            </w:r>
            <w:r w:rsidR="000C0B60">
              <w:rPr>
                <w:i/>
                <w:iCs/>
              </w:rPr>
              <w:t xml:space="preserve"> </w:t>
            </w:r>
            <w:r w:rsidR="000C0B60">
              <w:t>–</w:t>
            </w:r>
            <w:r w:rsidR="006A7F2D">
              <w:t xml:space="preserve"> updated to clarify</w:t>
            </w:r>
            <w:r w:rsidR="00AB742C">
              <w:t xml:space="preserve"> that </w:t>
            </w:r>
            <w:r w:rsidR="006A7F2D">
              <w:t xml:space="preserve">the </w:t>
            </w:r>
            <w:r w:rsidRPr="00DC235B">
              <w:t xml:space="preserve">statewide target </w:t>
            </w:r>
            <w:r w:rsidR="00AB742C">
              <w:t>is the sum</w:t>
            </w:r>
            <w:r w:rsidRPr="00DC235B">
              <w:t xml:space="preserve"> of all </w:t>
            </w:r>
            <w:r w:rsidR="157CBF65" w:rsidRPr="00DC235B">
              <w:t xml:space="preserve">individual </w:t>
            </w:r>
            <w:r w:rsidRPr="00DC235B">
              <w:t>health service targets</w:t>
            </w:r>
            <w:r w:rsidR="00A76DDD">
              <w:t>,</w:t>
            </w:r>
            <w:r w:rsidRPr="00DC235B">
              <w:t xml:space="preserve"> </w:t>
            </w:r>
            <w:r w:rsidR="05400D3D" w:rsidRPr="00DC235B">
              <w:t>as agreed in each health service</w:t>
            </w:r>
            <w:r w:rsidR="00A76DDD">
              <w:t>’</w:t>
            </w:r>
            <w:r w:rsidR="05400D3D" w:rsidRPr="00DC235B">
              <w:t>s Statement of Priorities (</w:t>
            </w:r>
            <w:proofErr w:type="spellStart"/>
            <w:r w:rsidR="05400D3D" w:rsidRPr="00DC235B">
              <w:t>SoP</w:t>
            </w:r>
            <w:proofErr w:type="spellEnd"/>
            <w:r w:rsidR="05400D3D" w:rsidRPr="00DC235B">
              <w:t>).</w:t>
            </w:r>
          </w:p>
          <w:p w14:paraId="4A738838" w14:textId="08F7738A" w:rsidR="000B3BE3" w:rsidRPr="00DC235B" w:rsidRDefault="009F0E21" w:rsidP="009B0862">
            <w:pPr>
              <w:pStyle w:val="Tablebullet1"/>
              <w:numPr>
                <w:ilvl w:val="0"/>
                <w:numId w:val="103"/>
              </w:numPr>
              <w:ind w:left="378"/>
            </w:pPr>
            <w:r w:rsidRPr="00DC235B">
              <w:rPr>
                <w:i/>
                <w:iCs/>
              </w:rPr>
              <w:t>Percentage of mental health-related emergency department presentations with a length of stay less than four hours</w:t>
            </w:r>
            <w:r w:rsidRPr="00DC235B">
              <w:t xml:space="preserve"> </w:t>
            </w:r>
            <w:r w:rsidR="00181603">
              <w:t>–</w:t>
            </w:r>
            <w:r w:rsidR="0099571C">
              <w:t xml:space="preserve"> </w:t>
            </w:r>
            <w:r w:rsidR="00EC2180">
              <w:t xml:space="preserve">updated </w:t>
            </w:r>
            <w:r w:rsidRPr="00DC235B">
              <w:t>to include 2 new diagnosis codes</w:t>
            </w:r>
            <w:r w:rsidR="00157548" w:rsidRPr="00DC235B">
              <w:t xml:space="preserve"> </w:t>
            </w:r>
            <w:r w:rsidR="003F19A5" w:rsidRPr="00DC235B">
              <w:t xml:space="preserve">for </w:t>
            </w:r>
            <w:r w:rsidR="00D90D59" w:rsidRPr="00DC235B">
              <w:t>mental health-related emergency department presentations</w:t>
            </w:r>
            <w:r w:rsidR="00EB44E8">
              <w:t>,</w:t>
            </w:r>
            <w:r w:rsidR="00B000D8" w:rsidRPr="00DC235B">
              <w:t xml:space="preserve"> and </w:t>
            </w:r>
            <w:r w:rsidR="003F683D">
              <w:t>to clarify that</w:t>
            </w:r>
            <w:r w:rsidR="003F683D" w:rsidRPr="00DC235B">
              <w:t xml:space="preserve"> </w:t>
            </w:r>
            <w:r w:rsidR="00B000D8" w:rsidRPr="00DC235B">
              <w:t>Victorian Heart Hospital</w:t>
            </w:r>
            <w:r w:rsidR="00B000D8" w:rsidRPr="00DC235B">
              <w:rPr>
                <w:rFonts w:eastAsia="VIC"/>
              </w:rPr>
              <w:t xml:space="preserve"> emergency</w:t>
            </w:r>
            <w:r w:rsidR="00B000D8" w:rsidRPr="00DC235B">
              <w:t xml:space="preserve"> presentations</w:t>
            </w:r>
            <w:r w:rsidR="003F683D">
              <w:t xml:space="preserve"> are excluded from scope</w:t>
            </w:r>
            <w:r w:rsidR="00D90D59" w:rsidRPr="00DC235B">
              <w:t>.</w:t>
            </w:r>
          </w:p>
          <w:p w14:paraId="15CB93B4" w14:textId="58A31EF1" w:rsidR="021E6AF4" w:rsidRPr="00DC235B" w:rsidRDefault="021E6AF4" w:rsidP="009B0862">
            <w:pPr>
              <w:pStyle w:val="Tablebullet1"/>
              <w:numPr>
                <w:ilvl w:val="0"/>
                <w:numId w:val="103"/>
              </w:numPr>
              <w:ind w:left="378"/>
            </w:pPr>
            <w:r w:rsidRPr="00DC235B">
              <w:rPr>
                <w:i/>
                <w:iCs/>
              </w:rPr>
              <w:t xml:space="preserve">Percentage of departures </w:t>
            </w:r>
            <w:r w:rsidR="3BF308E3" w:rsidRPr="00DC235B">
              <w:rPr>
                <w:i/>
                <w:iCs/>
              </w:rPr>
              <w:t xml:space="preserve">from emergency departments </w:t>
            </w:r>
            <w:r w:rsidRPr="00DC235B">
              <w:rPr>
                <w:i/>
                <w:iCs/>
              </w:rPr>
              <w:t>to a mental health bed within 8 hours</w:t>
            </w:r>
            <w:r w:rsidRPr="00DC235B">
              <w:t xml:space="preserve"> measure </w:t>
            </w:r>
            <w:r w:rsidR="00577F15">
              <w:t xml:space="preserve">– </w:t>
            </w:r>
            <w:r w:rsidR="00B30F23" w:rsidRPr="00B30F23">
              <w:t xml:space="preserve">business rules corrected to remove an incorrectly published reference to mental health-related presentation inclusion criteria, restore the </w:t>
            </w:r>
            <w:r w:rsidR="00B30F23" w:rsidRPr="00B30F23">
              <w:lastRenderedPageBreak/>
              <w:t>measure specification published in the 2024</w:t>
            </w:r>
            <w:r w:rsidR="0081260B">
              <w:t>–</w:t>
            </w:r>
            <w:r w:rsidR="00B30F23" w:rsidRPr="00B30F23">
              <w:t xml:space="preserve">25 PMF business rules, and </w:t>
            </w:r>
            <w:r w:rsidR="003F683D">
              <w:t>clarify that</w:t>
            </w:r>
            <w:r w:rsidR="003F683D" w:rsidRPr="00DC235B">
              <w:t xml:space="preserve"> </w:t>
            </w:r>
            <w:r w:rsidR="009352B4" w:rsidRPr="00DC235B">
              <w:t>Victorian Heart Hospital</w:t>
            </w:r>
            <w:r w:rsidR="009352B4" w:rsidRPr="00DC235B">
              <w:rPr>
                <w:rFonts w:eastAsia="VIC"/>
              </w:rPr>
              <w:t xml:space="preserve"> emergency</w:t>
            </w:r>
            <w:r w:rsidR="009352B4" w:rsidRPr="00DC235B">
              <w:t xml:space="preserve"> presentations</w:t>
            </w:r>
            <w:r w:rsidR="003F683D">
              <w:t xml:space="preserve"> are excluded from scope</w:t>
            </w:r>
            <w:r w:rsidR="009352B4" w:rsidRPr="00DC235B">
              <w:t>.</w:t>
            </w:r>
          </w:p>
          <w:p w14:paraId="067C6BF7" w14:textId="1F637743" w:rsidR="00FE2991" w:rsidRPr="00DC235B" w:rsidRDefault="0008641F" w:rsidP="009B0862">
            <w:pPr>
              <w:pStyle w:val="Tablebullet1"/>
              <w:numPr>
                <w:ilvl w:val="0"/>
                <w:numId w:val="103"/>
              </w:numPr>
              <w:ind w:left="378"/>
            </w:pPr>
            <w:r w:rsidRPr="00DC235B">
              <w:rPr>
                <w:i/>
                <w:iCs/>
              </w:rPr>
              <w:t>N</w:t>
            </w:r>
            <w:r w:rsidR="00FE2991" w:rsidRPr="00DC235B">
              <w:rPr>
                <w:i/>
                <w:iCs/>
              </w:rPr>
              <w:t>umber of community mental health service hours</w:t>
            </w:r>
            <w:r w:rsidR="00FE2991" w:rsidRPr="00DC235B">
              <w:rPr>
                <w:i/>
              </w:rPr>
              <w:t xml:space="preserve"> </w:t>
            </w:r>
            <w:r w:rsidR="00B935B5">
              <w:t xml:space="preserve">– </w:t>
            </w:r>
            <w:r w:rsidR="000E38FC">
              <w:t>updated to clarify</w:t>
            </w:r>
            <w:r w:rsidR="002265E0">
              <w:t xml:space="preserve"> that</w:t>
            </w:r>
            <w:r w:rsidR="00FE2991" w:rsidRPr="00DC235B">
              <w:t xml:space="preserve"> Albury </w:t>
            </w:r>
            <w:r w:rsidR="000727DC">
              <w:t xml:space="preserve">Hospital </w:t>
            </w:r>
            <w:r w:rsidR="00FE2991" w:rsidRPr="00DC235B">
              <w:t>contacts</w:t>
            </w:r>
            <w:r w:rsidR="00AB742C">
              <w:t xml:space="preserve"> are included in scope</w:t>
            </w:r>
            <w:r w:rsidRPr="00DC235B">
              <w:t>.</w:t>
            </w:r>
          </w:p>
          <w:p w14:paraId="34F0E23C" w14:textId="7CF80CEE" w:rsidR="008A4C8C" w:rsidRPr="00DC235B" w:rsidRDefault="008A4C8C" w:rsidP="009B0862">
            <w:pPr>
              <w:pStyle w:val="Tablebullet1"/>
              <w:numPr>
                <w:ilvl w:val="0"/>
                <w:numId w:val="103"/>
              </w:numPr>
              <w:ind w:left="378"/>
            </w:pPr>
            <w:r w:rsidRPr="00DC235B">
              <w:rPr>
                <w:i/>
                <w:iCs/>
              </w:rPr>
              <w:t>Percentage of patients referred by a GP or</w:t>
            </w:r>
            <w:r w:rsidR="00A30916" w:rsidRPr="00DC235B">
              <w:rPr>
                <w:i/>
                <w:iCs/>
              </w:rPr>
              <w:t xml:space="preserve"> external specialist who attended a first appointment within the recommended timeframe</w:t>
            </w:r>
            <w:r w:rsidR="00B42E25" w:rsidRPr="00DC235B">
              <w:t xml:space="preserve"> </w:t>
            </w:r>
            <w:r w:rsidR="00B935B5">
              <w:t xml:space="preserve">– </w:t>
            </w:r>
            <w:r w:rsidR="00360764">
              <w:t xml:space="preserve">business rule </w:t>
            </w:r>
            <w:r w:rsidR="002D32C5">
              <w:t>was updated</w:t>
            </w:r>
            <w:r w:rsidR="00360764" w:rsidRPr="00DC235B">
              <w:t xml:space="preserve"> </w:t>
            </w:r>
            <w:r w:rsidR="00B42E25" w:rsidRPr="00DC235B">
              <w:t xml:space="preserve">to include patients who </w:t>
            </w:r>
            <w:r w:rsidR="00923DC2">
              <w:t>failed to</w:t>
            </w:r>
            <w:r w:rsidR="00B42E25" w:rsidRPr="00DC235B">
              <w:t xml:space="preserve"> attend</w:t>
            </w:r>
            <w:r w:rsidR="00923DC2">
              <w:t xml:space="preserve"> a scheduled appointment</w:t>
            </w:r>
            <w:r w:rsidR="00B42E25" w:rsidRPr="00DC235B">
              <w:t>.</w:t>
            </w:r>
          </w:p>
          <w:p w14:paraId="274B863E" w14:textId="4867B0D0" w:rsidR="00C73846" w:rsidRPr="00DC235B" w:rsidRDefault="00C73846" w:rsidP="55528ABA">
            <w:pPr>
              <w:pStyle w:val="Tablebullet1"/>
              <w:ind w:left="378"/>
              <w:rPr>
                <w:b/>
                <w:bCs/>
              </w:rPr>
            </w:pPr>
            <w:r w:rsidRPr="55528ABA">
              <w:rPr>
                <w:i/>
                <w:iCs/>
              </w:rPr>
              <w:t>Percentage of emergency (Code 1) incidents (modified Secondary Triage call start time) responded to within 15 minutes</w:t>
            </w:r>
            <w:r w:rsidR="00577F15">
              <w:t xml:space="preserve"> </w:t>
            </w:r>
            <w:r w:rsidR="00B935B5">
              <w:t xml:space="preserve">– </w:t>
            </w:r>
            <w:r>
              <w:t xml:space="preserve">updated to reflect </w:t>
            </w:r>
            <w:r w:rsidR="00C1530F">
              <w:t xml:space="preserve">previously </w:t>
            </w:r>
            <w:r w:rsidR="00E038BC">
              <w:t xml:space="preserve">unspecified </w:t>
            </w:r>
            <w:r>
              <w:t>calculation exclusions.</w:t>
            </w:r>
          </w:p>
          <w:p w14:paraId="0BE690BE" w14:textId="17753AF8" w:rsidR="00C73846" w:rsidRPr="00DC235B" w:rsidRDefault="00C73846" w:rsidP="009B0862">
            <w:pPr>
              <w:pStyle w:val="Tablebullet1"/>
              <w:numPr>
                <w:ilvl w:val="0"/>
                <w:numId w:val="103"/>
              </w:numPr>
              <w:ind w:left="378"/>
            </w:pPr>
            <w:r w:rsidRPr="00DC235B">
              <w:rPr>
                <w:i/>
                <w:iCs/>
              </w:rPr>
              <w:t>Percentage of emergency (Code 1) incidents responded to within 15 minutes</w:t>
            </w:r>
            <w:r w:rsidRPr="00DC235B">
              <w:t xml:space="preserve"> </w:t>
            </w:r>
            <w:r w:rsidR="00E038BC">
              <w:t xml:space="preserve">– </w:t>
            </w:r>
            <w:r w:rsidRPr="00DC235B">
              <w:t xml:space="preserve">updated to reflect </w:t>
            </w:r>
            <w:r w:rsidR="00C1530F" w:rsidRPr="00DC235B">
              <w:t xml:space="preserve">previously </w:t>
            </w:r>
            <w:r w:rsidR="00E038BC">
              <w:t>unspecified</w:t>
            </w:r>
            <w:r w:rsidR="00E038BC" w:rsidRPr="00DC235B">
              <w:t xml:space="preserve"> </w:t>
            </w:r>
            <w:r w:rsidRPr="00DC235B">
              <w:t>calculation exclusions.</w:t>
            </w:r>
          </w:p>
          <w:p w14:paraId="0C226DCA" w14:textId="77D7479D" w:rsidR="00656DBE" w:rsidRPr="00DC235B" w:rsidRDefault="00656DBE" w:rsidP="009B0862">
            <w:pPr>
              <w:pStyle w:val="Tablebullet1"/>
              <w:numPr>
                <w:ilvl w:val="0"/>
                <w:numId w:val="103"/>
              </w:numPr>
              <w:ind w:left="378"/>
              <w:rPr>
                <w:b/>
                <w:bCs/>
              </w:rPr>
            </w:pPr>
            <w:r w:rsidRPr="00DC235B">
              <w:rPr>
                <w:i/>
                <w:iCs/>
              </w:rPr>
              <w:t>Percentage of emergency (Priority 0) incidents responded to within 13 minutes</w:t>
            </w:r>
            <w:r w:rsidR="0095563B" w:rsidRPr="00DC235B">
              <w:t xml:space="preserve"> </w:t>
            </w:r>
            <w:r w:rsidR="00E038BC">
              <w:t xml:space="preserve">– </w:t>
            </w:r>
            <w:r w:rsidR="0095563B" w:rsidRPr="00DC235B">
              <w:t xml:space="preserve">updated to reflect </w:t>
            </w:r>
            <w:r w:rsidR="00C1530F" w:rsidRPr="00DC235B">
              <w:t xml:space="preserve">previously </w:t>
            </w:r>
            <w:r w:rsidR="00E038BC">
              <w:t>unspecified</w:t>
            </w:r>
            <w:r w:rsidR="00E038BC" w:rsidRPr="00DC235B">
              <w:t xml:space="preserve"> </w:t>
            </w:r>
            <w:r w:rsidR="00B55B68" w:rsidRPr="00DC235B">
              <w:t>calculation exclusions.</w:t>
            </w:r>
          </w:p>
          <w:p w14:paraId="5E6DCED0" w14:textId="6255913C" w:rsidR="00951A1B" w:rsidRPr="00866574" w:rsidRDefault="00951A1B" w:rsidP="00076BEC">
            <w:pPr>
              <w:pStyle w:val="Tablebullet1"/>
              <w:numPr>
                <w:ilvl w:val="0"/>
                <w:numId w:val="0"/>
              </w:numPr>
              <w:rPr>
                <w:b/>
                <w:bCs/>
              </w:rPr>
            </w:pPr>
            <w:r w:rsidRPr="00866574">
              <w:rPr>
                <w:b/>
                <w:bCs/>
              </w:rPr>
              <w:t>Effective financial management</w:t>
            </w:r>
            <w:r w:rsidR="000620BB" w:rsidRPr="00866574">
              <w:rPr>
                <w:b/>
                <w:bCs/>
              </w:rPr>
              <w:t xml:space="preserve"> </w:t>
            </w:r>
          </w:p>
          <w:p w14:paraId="37A6B1CB" w14:textId="4D3C05F0" w:rsidR="1E55894D" w:rsidRPr="00DC235B" w:rsidRDefault="1E55894D" w:rsidP="009B0862">
            <w:pPr>
              <w:pStyle w:val="Tablebullet1"/>
              <w:numPr>
                <w:ilvl w:val="0"/>
                <w:numId w:val="104"/>
              </w:numPr>
              <w:ind w:left="378"/>
            </w:pPr>
            <w:r w:rsidRPr="00DC235B">
              <w:rPr>
                <w:i/>
                <w:iCs/>
              </w:rPr>
              <w:t>Operating result ($M)</w:t>
            </w:r>
            <w:r w:rsidRPr="00DC235B">
              <w:t xml:space="preserve"> </w:t>
            </w:r>
            <w:r w:rsidR="005F3828">
              <w:t>–</w:t>
            </w:r>
            <w:r w:rsidR="009B3474">
              <w:t xml:space="preserve"> </w:t>
            </w:r>
            <w:r w:rsidR="004C6D97" w:rsidRPr="00DC235B">
              <w:t>updated to</w:t>
            </w:r>
            <w:r w:rsidR="00A01034" w:rsidRPr="00DC235B">
              <w:t xml:space="preserve"> </w:t>
            </w:r>
            <w:r w:rsidR="004C6D97" w:rsidRPr="00DC235B">
              <w:t>clarify</w:t>
            </w:r>
            <w:r w:rsidR="00A01034" w:rsidRPr="00DC235B">
              <w:t xml:space="preserve"> </w:t>
            </w:r>
            <w:r w:rsidR="00EA46BE" w:rsidRPr="00DC235B">
              <w:t>the defi</w:t>
            </w:r>
            <w:r w:rsidR="0070090C" w:rsidRPr="00DC235B">
              <w:t>nition of operatin</w:t>
            </w:r>
            <w:r w:rsidR="00FE1343" w:rsidRPr="00DC235B">
              <w:t>g</w:t>
            </w:r>
            <w:r w:rsidR="0070090C" w:rsidRPr="00DC235B">
              <w:t xml:space="preserve"> result</w:t>
            </w:r>
            <w:r w:rsidRPr="00DC235B">
              <w:t>.</w:t>
            </w:r>
          </w:p>
          <w:p w14:paraId="25556A00" w14:textId="62C63FF6" w:rsidR="00866574" w:rsidRPr="000A3C88" w:rsidRDefault="00374769" w:rsidP="009B0862">
            <w:pPr>
              <w:pStyle w:val="Tablebullet1"/>
              <w:numPr>
                <w:ilvl w:val="0"/>
                <w:numId w:val="104"/>
              </w:numPr>
              <w:ind w:left="378"/>
            </w:pPr>
            <w:r w:rsidRPr="000A3C88">
              <w:rPr>
                <w:i/>
                <w:iCs/>
              </w:rPr>
              <w:t xml:space="preserve">Adjusted </w:t>
            </w:r>
            <w:r w:rsidR="00CF3CBF" w:rsidRPr="000A3C88">
              <w:rPr>
                <w:i/>
                <w:iCs/>
              </w:rPr>
              <w:t>C</w:t>
            </w:r>
            <w:r w:rsidRPr="000A3C88">
              <w:rPr>
                <w:i/>
                <w:iCs/>
              </w:rPr>
              <w:t xml:space="preserve">urrent </w:t>
            </w:r>
            <w:r w:rsidR="00CF3CBF" w:rsidRPr="000A3C88">
              <w:rPr>
                <w:i/>
                <w:iCs/>
              </w:rPr>
              <w:t>A</w:t>
            </w:r>
            <w:r w:rsidRPr="000A3C88">
              <w:rPr>
                <w:i/>
                <w:iCs/>
              </w:rPr>
              <w:t xml:space="preserve">sset </w:t>
            </w:r>
            <w:r w:rsidR="00CF3CBF" w:rsidRPr="000A3C88">
              <w:rPr>
                <w:i/>
                <w:iCs/>
              </w:rPr>
              <w:t>R</w:t>
            </w:r>
            <w:r w:rsidRPr="000A3C88">
              <w:rPr>
                <w:i/>
                <w:iCs/>
              </w:rPr>
              <w:t>atio</w:t>
            </w:r>
            <w:r w:rsidR="00CF3CBF" w:rsidRPr="000A3C88">
              <w:rPr>
                <w:i/>
                <w:iCs/>
              </w:rPr>
              <w:t xml:space="preserve"> (ACAR)</w:t>
            </w:r>
            <w:r w:rsidR="00752213" w:rsidRPr="000A3C88">
              <w:t xml:space="preserve"> </w:t>
            </w:r>
            <w:r w:rsidR="00B805DA" w:rsidRPr="000A3C88">
              <w:t xml:space="preserve">– </w:t>
            </w:r>
            <w:r w:rsidR="00752213" w:rsidRPr="000A3C88">
              <w:t xml:space="preserve">updated to </w:t>
            </w:r>
            <w:r w:rsidR="00BF2E8E" w:rsidRPr="000A3C88">
              <w:rPr>
                <w:lang w:eastAsia="en-AU"/>
              </w:rPr>
              <w:t xml:space="preserve">emphasise </w:t>
            </w:r>
            <w:r w:rsidR="000A3C88" w:rsidRPr="009B0862">
              <w:rPr>
                <w:lang w:eastAsia="en-AU"/>
              </w:rPr>
              <w:t xml:space="preserve">in-scope </w:t>
            </w:r>
            <w:r w:rsidR="00BF2E8E" w:rsidRPr="000A3C88">
              <w:rPr>
                <w:lang w:eastAsia="en-AU"/>
              </w:rPr>
              <w:t>account codes, and to provide additional guidance for new or amalgamated health services.</w:t>
            </w:r>
          </w:p>
          <w:p w14:paraId="56682AEA" w14:textId="416EBDD3" w:rsidR="00C746C4" w:rsidRDefault="00434F41" w:rsidP="009B0862">
            <w:pPr>
              <w:pStyle w:val="Tablebullet1"/>
              <w:numPr>
                <w:ilvl w:val="0"/>
                <w:numId w:val="104"/>
              </w:numPr>
              <w:ind w:left="378"/>
            </w:pPr>
            <w:r w:rsidRPr="00DC235B">
              <w:rPr>
                <w:i/>
                <w:iCs/>
              </w:rPr>
              <w:t>Variance between forecast and actual operating result</w:t>
            </w:r>
            <w:r w:rsidR="00AD22FE" w:rsidRPr="00DC235B">
              <w:rPr>
                <w:i/>
                <w:iCs/>
              </w:rPr>
              <w:t xml:space="preserve"> (OR) as a percentage of the forecast OR for the current financial year ending 30 June</w:t>
            </w:r>
            <w:r w:rsidR="00AD22FE" w:rsidRPr="00DC235B">
              <w:t>’</w:t>
            </w:r>
            <w:r w:rsidR="000620BB" w:rsidRPr="00DC235B">
              <w:t xml:space="preserve"> </w:t>
            </w:r>
            <w:r w:rsidR="005F0DD1">
              <w:t xml:space="preserve">– </w:t>
            </w:r>
            <w:r w:rsidR="009B3474">
              <w:t>updated</w:t>
            </w:r>
            <w:r w:rsidR="0070169B" w:rsidRPr="0070169B">
              <w:t xml:space="preserve"> to </w:t>
            </w:r>
            <w:r w:rsidR="006025B9">
              <w:t>improve clarity</w:t>
            </w:r>
            <w:r w:rsidR="0070169B" w:rsidRPr="0070169B">
              <w:t xml:space="preserve"> and correct references to the revised estimates submission periods</w:t>
            </w:r>
            <w:r w:rsidR="00752213" w:rsidRPr="00DC235B">
              <w:t>.</w:t>
            </w:r>
          </w:p>
        </w:tc>
        <w:tc>
          <w:tcPr>
            <w:tcW w:w="1780" w:type="dxa"/>
          </w:tcPr>
          <w:p w14:paraId="75433D54" w14:textId="1159843A" w:rsidR="002A1D61" w:rsidRDefault="00866574" w:rsidP="002A1D61">
            <w:pPr>
              <w:pStyle w:val="Body"/>
            </w:pPr>
            <w:r>
              <w:lastRenderedPageBreak/>
              <w:t>July 2026</w:t>
            </w:r>
          </w:p>
        </w:tc>
      </w:tr>
    </w:tbl>
    <w:p w14:paraId="6B56E7AA" w14:textId="77777777" w:rsidR="00630A37" w:rsidRPr="00630A37" w:rsidRDefault="00630A37" w:rsidP="00076BEC">
      <w:pPr>
        <w:pStyle w:val="Body"/>
      </w:pPr>
    </w:p>
    <w:p w14:paraId="120A4AA0" w14:textId="01DE5C9F" w:rsidR="00EE29AD" w:rsidRPr="00315936" w:rsidRDefault="00F90ED9" w:rsidP="0072516C">
      <w:pPr>
        <w:pStyle w:val="Heading1"/>
        <w:tabs>
          <w:tab w:val="center" w:pos="4649"/>
        </w:tabs>
      </w:pPr>
      <w:bookmarkStart w:id="3" w:name="_Toc234580060"/>
      <w:r w:rsidRPr="00315936">
        <w:lastRenderedPageBreak/>
        <w:t>Introduction</w:t>
      </w:r>
      <w:bookmarkEnd w:id="3"/>
      <w:r w:rsidR="0072516C">
        <w:tab/>
      </w:r>
    </w:p>
    <w:p w14:paraId="6675877B" w14:textId="6379F657" w:rsidR="00041A3C" w:rsidRPr="00315936" w:rsidRDefault="00041A3C" w:rsidP="00A239B2">
      <w:pPr>
        <w:pStyle w:val="Body"/>
      </w:pPr>
      <w:r w:rsidRPr="00315936">
        <w:t>All Victorian</w:t>
      </w:r>
      <w:r w:rsidR="00153B6B" w:rsidRPr="00315936">
        <w:t xml:space="preserve"> public health services </w:t>
      </w:r>
      <w:r w:rsidR="00FB738C" w:rsidRPr="00315936">
        <w:t>including Ambulance Victoria</w:t>
      </w:r>
      <w:r w:rsidR="00FD6CC6" w:rsidRPr="00315936">
        <w:t xml:space="preserve"> and the Victorian Institute of Forensic Mental Health (</w:t>
      </w:r>
      <w:proofErr w:type="spellStart"/>
      <w:r w:rsidR="00FD6CC6" w:rsidRPr="00315936">
        <w:t>Forensicare</w:t>
      </w:r>
      <w:proofErr w:type="spellEnd"/>
      <w:r w:rsidR="00FD6CC6" w:rsidRPr="00315936">
        <w:t>)</w:t>
      </w:r>
      <w:r w:rsidR="00E05C2B" w:rsidRPr="00315936">
        <w:t xml:space="preserve">, agree to </w:t>
      </w:r>
      <w:r w:rsidR="00180017" w:rsidRPr="00315936">
        <w:t>a</w:t>
      </w:r>
      <w:r w:rsidR="00D11123" w:rsidRPr="00315936">
        <w:t>n annual</w:t>
      </w:r>
      <w:r w:rsidR="00180017" w:rsidRPr="00315936">
        <w:t xml:space="preserve"> Statement of Priorities (</w:t>
      </w:r>
      <w:proofErr w:type="spellStart"/>
      <w:r w:rsidR="00BE088E" w:rsidRPr="00315936">
        <w:t>SoP</w:t>
      </w:r>
      <w:proofErr w:type="spellEnd"/>
      <w:r w:rsidR="00180017" w:rsidRPr="00315936">
        <w:t>)</w:t>
      </w:r>
      <w:r w:rsidR="000C0209" w:rsidRPr="00315936">
        <w:t xml:space="preserve"> with</w:t>
      </w:r>
      <w:r w:rsidR="00AC6224" w:rsidRPr="00315936">
        <w:t xml:space="preserve"> the Minister for Health. The</w:t>
      </w:r>
      <w:r w:rsidR="00DC3402" w:rsidRPr="00315936">
        <w:t xml:space="preserve"> </w:t>
      </w:r>
      <w:r w:rsidR="007B6C58" w:rsidRPr="00315936">
        <w:t>SoPs</w:t>
      </w:r>
      <w:r w:rsidR="00AC6224" w:rsidRPr="00315936">
        <w:t xml:space="preserve"> outline</w:t>
      </w:r>
      <w:r w:rsidR="00F13171" w:rsidRPr="00315936">
        <w:t xml:space="preserve"> key performance expectations</w:t>
      </w:r>
      <w:r w:rsidR="00C21A48" w:rsidRPr="00315936">
        <w:t xml:space="preserve">, targets, funding and </w:t>
      </w:r>
      <w:r w:rsidR="00CF41AA" w:rsidRPr="00315936">
        <w:t>department priorities</w:t>
      </w:r>
      <w:r w:rsidR="00D524C6" w:rsidRPr="00315936">
        <w:t xml:space="preserve"> for the financial year.</w:t>
      </w:r>
      <w:r w:rsidR="008A4FAB" w:rsidRPr="00315936">
        <w:t xml:space="preserve"> The</w:t>
      </w:r>
      <w:r w:rsidR="006E7430" w:rsidRPr="00315936">
        <w:t xml:space="preserve"> </w:t>
      </w:r>
      <w:r w:rsidR="00481503" w:rsidRPr="00315936">
        <w:t>D</w:t>
      </w:r>
      <w:r w:rsidR="00DA3CFC" w:rsidRPr="00315936">
        <w:t>epartment</w:t>
      </w:r>
      <w:r w:rsidR="003C68CF" w:rsidRPr="00315936">
        <w:t xml:space="preserve"> of Health (the department)</w:t>
      </w:r>
      <w:r w:rsidR="00DA3CFC" w:rsidRPr="00315936">
        <w:t>, as the system manager</w:t>
      </w:r>
      <w:r w:rsidR="00D51AA3" w:rsidRPr="00315936">
        <w:t xml:space="preserve">, ensures </w:t>
      </w:r>
      <w:r w:rsidR="007B6C58" w:rsidRPr="00315936">
        <w:t>SoPs</w:t>
      </w:r>
      <w:r w:rsidR="00EB06BB" w:rsidRPr="00315936">
        <w:t xml:space="preserve"> </w:t>
      </w:r>
      <w:r w:rsidR="00665946" w:rsidRPr="00315936">
        <w:t>align with</w:t>
      </w:r>
      <w:r w:rsidR="00E25552" w:rsidRPr="00315936">
        <w:t xml:space="preserve"> public health services’ plans</w:t>
      </w:r>
      <w:r w:rsidR="00650D1C" w:rsidRPr="00315936">
        <w:t xml:space="preserve"> and </w:t>
      </w:r>
      <w:r w:rsidR="003B1E1E" w:rsidRPr="00315936">
        <w:t>department policy direction</w:t>
      </w:r>
      <w:r w:rsidR="00414061" w:rsidRPr="00315936">
        <w:t>s.</w:t>
      </w:r>
    </w:p>
    <w:p w14:paraId="4833FACB" w14:textId="4817E29D" w:rsidR="00437AB0" w:rsidRPr="00315936" w:rsidRDefault="00437AB0" w:rsidP="00A239B2">
      <w:pPr>
        <w:pStyle w:val="Body"/>
      </w:pPr>
      <w:r w:rsidRPr="00315936">
        <w:t xml:space="preserve">The </w:t>
      </w:r>
      <w:r w:rsidR="007B6C58" w:rsidRPr="00315936">
        <w:t>SoPs</w:t>
      </w:r>
      <w:r w:rsidR="00287E66" w:rsidRPr="00315936">
        <w:t xml:space="preserve"> consist of four parts:</w:t>
      </w:r>
    </w:p>
    <w:p w14:paraId="445EC574" w14:textId="58EC4FE8" w:rsidR="00287E66" w:rsidRPr="00315936" w:rsidRDefault="00B77417" w:rsidP="00AF1CD0">
      <w:pPr>
        <w:pStyle w:val="Bullet1"/>
      </w:pPr>
      <w:r w:rsidRPr="00315936">
        <w:t>Part A</w:t>
      </w:r>
      <w:r w:rsidR="00790494" w:rsidRPr="00315936">
        <w:t xml:space="preserve"> p</w:t>
      </w:r>
      <w:r w:rsidR="00496727" w:rsidRPr="00315936">
        <w:t>rovide</w:t>
      </w:r>
      <w:r w:rsidR="00DC28CA" w:rsidRPr="00315936">
        <w:t>s an over</w:t>
      </w:r>
      <w:r w:rsidR="002E57D8" w:rsidRPr="00315936">
        <w:t xml:space="preserve">view of service profiles, strategic priorities and deliverables for the upcoming financial year </w:t>
      </w:r>
    </w:p>
    <w:p w14:paraId="22C8DC7C" w14:textId="7CC24B1F" w:rsidR="002E57D8" w:rsidRPr="00315936" w:rsidRDefault="002E57D8" w:rsidP="00AF1CD0">
      <w:pPr>
        <w:pStyle w:val="Bullet1"/>
      </w:pPr>
      <w:r w:rsidRPr="00315936">
        <w:t>Part B</w:t>
      </w:r>
      <w:r w:rsidR="00790494" w:rsidRPr="00315936">
        <w:t xml:space="preserve"> p</w:t>
      </w:r>
      <w:r w:rsidR="008F3581" w:rsidRPr="00315936">
        <w:t xml:space="preserve">rovides </w:t>
      </w:r>
      <w:r w:rsidR="00901F68" w:rsidRPr="00315936">
        <w:t>key financial</w:t>
      </w:r>
      <w:r w:rsidR="003D64FF" w:rsidRPr="00315936">
        <w:t xml:space="preserve">, access and service performance </w:t>
      </w:r>
      <w:r w:rsidR="0001297A" w:rsidRPr="00315936">
        <w:t>priorities</w:t>
      </w:r>
      <w:r w:rsidR="003D64FF" w:rsidRPr="00315936">
        <w:t xml:space="preserve"> and targets</w:t>
      </w:r>
    </w:p>
    <w:p w14:paraId="4C7D8B8F" w14:textId="58C51584" w:rsidR="003D64FF" w:rsidRPr="00315936" w:rsidRDefault="003D64FF" w:rsidP="00AF1CD0">
      <w:pPr>
        <w:pStyle w:val="Bullet1"/>
      </w:pPr>
      <w:r w:rsidRPr="00315936">
        <w:t>Part C</w:t>
      </w:r>
      <w:r w:rsidR="00790494" w:rsidRPr="00315936">
        <w:t xml:space="preserve"> outlines</w:t>
      </w:r>
      <w:r w:rsidR="004418DE" w:rsidRPr="00315936">
        <w:t xml:space="preserve"> funding and associated activity</w:t>
      </w:r>
    </w:p>
    <w:p w14:paraId="1889EA79" w14:textId="5623554E" w:rsidR="00C010FE" w:rsidRPr="00315936" w:rsidRDefault="00C010FE" w:rsidP="00AF1CD0">
      <w:pPr>
        <w:pStyle w:val="Bullet1"/>
      </w:pPr>
      <w:r w:rsidRPr="00315936">
        <w:t>Part D</w:t>
      </w:r>
      <w:r w:rsidR="00B05A10" w:rsidRPr="00315936">
        <w:t xml:space="preserve"> c</w:t>
      </w:r>
      <w:r w:rsidR="00403F03" w:rsidRPr="00315936">
        <w:t>ontains</w:t>
      </w:r>
      <w:r w:rsidR="0059157A" w:rsidRPr="00315936">
        <w:t xml:space="preserve"> the </w:t>
      </w:r>
      <w:r w:rsidR="00C5658B" w:rsidRPr="00315936">
        <w:t>service agreement between each health service and the State of Victoria under the National Health Reform Agreement</w:t>
      </w:r>
      <w:r w:rsidR="00606730" w:rsidRPr="00315936">
        <w:t>.</w:t>
      </w:r>
    </w:p>
    <w:p w14:paraId="28AD120B" w14:textId="368DA893" w:rsidR="007E24CD" w:rsidRPr="00315936" w:rsidRDefault="007E24CD" w:rsidP="00A239B2">
      <w:pPr>
        <w:pStyle w:val="Body"/>
      </w:pPr>
      <w:r w:rsidRPr="00315936">
        <w:t xml:space="preserve">The </w:t>
      </w:r>
      <w:r w:rsidR="000870D8" w:rsidRPr="00315936">
        <w:t>Victorian Health Services Performance Monitoring Framework (PMF)</w:t>
      </w:r>
      <w:r w:rsidR="0096665E" w:rsidRPr="00315936">
        <w:t xml:space="preserve"> </w:t>
      </w:r>
      <w:r w:rsidR="0028155B" w:rsidRPr="00315936">
        <w:t>details</w:t>
      </w:r>
      <w:r w:rsidR="0096665E" w:rsidRPr="00315936">
        <w:t xml:space="preserve"> the mechanisms used to monitor</w:t>
      </w:r>
      <w:r w:rsidR="00095327" w:rsidRPr="00315936">
        <w:t xml:space="preserve"> health service performance against </w:t>
      </w:r>
      <w:r w:rsidR="009C3916" w:rsidRPr="00315936">
        <w:t xml:space="preserve">the </w:t>
      </w:r>
      <w:r w:rsidR="007B6C58" w:rsidRPr="00315936">
        <w:t>SoPs</w:t>
      </w:r>
      <w:r w:rsidR="004B77C6" w:rsidRPr="00315936">
        <w:t>.</w:t>
      </w:r>
      <w:r w:rsidR="00F8205A" w:rsidRPr="00315936">
        <w:t xml:space="preserve"> It promotes transparency, shared accountability for performance improvement and informs future policy and planning. It </w:t>
      </w:r>
      <w:r w:rsidR="00B613B4" w:rsidRPr="00315936">
        <w:t>defines</w:t>
      </w:r>
      <w:r w:rsidR="00F8205A" w:rsidRPr="00315936">
        <w:t xml:space="preserve"> the roles of the department and Safer Care Victoria (SCV) in developing and monitoring best practice </w:t>
      </w:r>
      <w:r w:rsidR="00C3016B" w:rsidRPr="00315936">
        <w:t>measure</w:t>
      </w:r>
      <w:r w:rsidR="00F8205A" w:rsidRPr="00315936">
        <w:t xml:space="preserve">s for implementing health service performance strategies. </w:t>
      </w:r>
    </w:p>
    <w:p w14:paraId="2FDDA99A" w14:textId="5349C1B2" w:rsidR="00454A7D" w:rsidRPr="00315936" w:rsidRDefault="00F90ED9" w:rsidP="00A239B2">
      <w:pPr>
        <w:pStyle w:val="Body"/>
      </w:pPr>
      <w:r w:rsidRPr="00315936">
        <w:t>This document complements the PMF by outlining the business rules for each performance measure</w:t>
      </w:r>
      <w:r w:rsidR="00170CA8" w:rsidRPr="00315936">
        <w:t xml:space="preserve"> contained within</w:t>
      </w:r>
      <w:r w:rsidR="00CE444B" w:rsidRPr="00315936">
        <w:t xml:space="preserve"> Part B of the </w:t>
      </w:r>
      <w:proofErr w:type="spellStart"/>
      <w:r w:rsidR="00A239B2" w:rsidRPr="00315936">
        <w:t>SoP</w:t>
      </w:r>
      <w:proofErr w:type="spellEnd"/>
      <w:r w:rsidR="00FD3654" w:rsidRPr="00315936">
        <w:t xml:space="preserve"> and </w:t>
      </w:r>
      <w:r w:rsidR="00E22EAC" w:rsidRPr="00315936">
        <w:t>the Victorian Health Services Performance Monitor (Monitor) report</w:t>
      </w:r>
      <w:r w:rsidRPr="00315936">
        <w:t xml:space="preserve">. </w:t>
      </w:r>
      <w:r w:rsidR="00454A7D" w:rsidRPr="00315936">
        <w:t xml:space="preserve"> </w:t>
      </w:r>
    </w:p>
    <w:p w14:paraId="6D1531DB" w14:textId="7771C65F" w:rsidR="00EA7B77" w:rsidRPr="00315936" w:rsidRDefault="000E6286" w:rsidP="009D44A2">
      <w:pPr>
        <w:pStyle w:val="Heading2"/>
      </w:pPr>
      <w:bookmarkStart w:id="4" w:name="_Toc628376949"/>
      <w:bookmarkStart w:id="5" w:name="_Toc234580061"/>
      <w:r w:rsidRPr="00315936">
        <w:t>Accountability and monitoring</w:t>
      </w:r>
      <w:bookmarkEnd w:id="4"/>
      <w:bookmarkEnd w:id="5"/>
    </w:p>
    <w:p w14:paraId="0CC159D4" w14:textId="3BB4D408" w:rsidR="00E05652" w:rsidRPr="00315936" w:rsidRDefault="00C468DA" w:rsidP="00E03312">
      <w:pPr>
        <w:pStyle w:val="Body"/>
      </w:pPr>
      <w:r w:rsidRPr="00315936">
        <w:t xml:space="preserve">Health services </w:t>
      </w:r>
      <w:r w:rsidR="00713595" w:rsidRPr="00315936">
        <w:t>remain</w:t>
      </w:r>
      <w:r w:rsidR="000E6286" w:rsidRPr="00315936">
        <w:t xml:space="preserve"> accountable for performance </w:t>
      </w:r>
      <w:r w:rsidR="007721DE" w:rsidRPr="00315936">
        <w:t>measures</w:t>
      </w:r>
      <w:r w:rsidR="000E6286" w:rsidRPr="00315936">
        <w:t xml:space="preserve"> not listed in </w:t>
      </w:r>
      <w:r w:rsidR="005F4BEF" w:rsidRPr="00315936">
        <w:t xml:space="preserve">the PMF </w:t>
      </w:r>
      <w:r w:rsidR="00F50727">
        <w:t xml:space="preserve">business rules </w:t>
      </w:r>
      <w:r w:rsidR="00910101" w:rsidRPr="00315936">
        <w:t>as mandated by legislation</w:t>
      </w:r>
      <w:r w:rsidR="001C44CA" w:rsidRPr="00315936">
        <w:t xml:space="preserve">. </w:t>
      </w:r>
      <w:r w:rsidR="00744578" w:rsidRPr="00315936">
        <w:t xml:space="preserve">Removed </w:t>
      </w:r>
      <w:r w:rsidR="006D3281" w:rsidRPr="00315936">
        <w:t xml:space="preserve">measures </w:t>
      </w:r>
      <w:r w:rsidR="00573C98" w:rsidRPr="00315936">
        <w:t>will remain under departmental risk monitoring</w:t>
      </w:r>
      <w:r w:rsidR="009530BE" w:rsidRPr="00315936">
        <w:t xml:space="preserve"> in the </w:t>
      </w:r>
      <w:r w:rsidR="00B3522C" w:rsidRPr="00315936">
        <w:t>Program Report for Integrated Service Monitoring (PRISM)</w:t>
      </w:r>
      <w:r w:rsidR="001F0FE6" w:rsidRPr="00315936">
        <w:t xml:space="preserve"> as</w:t>
      </w:r>
      <w:r w:rsidR="002236BC" w:rsidRPr="00315936">
        <w:t>:</w:t>
      </w:r>
    </w:p>
    <w:p w14:paraId="18E50F80" w14:textId="41B8BD07" w:rsidR="00F12052" w:rsidRPr="00315936" w:rsidRDefault="00E05652" w:rsidP="009D44A2">
      <w:pPr>
        <w:pStyle w:val="Tablebullet1"/>
      </w:pPr>
      <w:r w:rsidRPr="00315936">
        <w:t>S</w:t>
      </w:r>
      <w:r w:rsidR="009530BE" w:rsidRPr="00315936">
        <w:t>hadow</w:t>
      </w:r>
      <w:r w:rsidR="00646679" w:rsidRPr="00315936">
        <w:t xml:space="preserve"> measures</w:t>
      </w:r>
      <w:r w:rsidR="00127904" w:rsidRPr="00315936">
        <w:t xml:space="preserve"> which</w:t>
      </w:r>
      <w:r w:rsidR="00FE420B" w:rsidRPr="00315936">
        <w:t xml:space="preserve"> s</w:t>
      </w:r>
      <w:r w:rsidR="00F326FD" w:rsidRPr="00315936">
        <w:t xml:space="preserve">upport </w:t>
      </w:r>
      <w:r w:rsidR="0074752F" w:rsidRPr="00315936">
        <w:t>the development of new measures, baselines and targets</w:t>
      </w:r>
      <w:r w:rsidR="0055412D" w:rsidRPr="00315936">
        <w:t>,</w:t>
      </w:r>
      <w:r w:rsidR="007443B8" w:rsidRPr="00315936">
        <w:t xml:space="preserve"> </w:t>
      </w:r>
      <w:r w:rsidR="0055412D" w:rsidRPr="00315936">
        <w:t>v</w:t>
      </w:r>
      <w:r w:rsidR="007443B8" w:rsidRPr="00315936">
        <w:t>alid for</w:t>
      </w:r>
      <w:r w:rsidR="009C7105" w:rsidRPr="00315936">
        <w:t xml:space="preserve"> </w:t>
      </w:r>
      <w:r w:rsidR="007443B8" w:rsidRPr="00315936">
        <w:t>two</w:t>
      </w:r>
      <w:r w:rsidR="009C7105" w:rsidRPr="00315936">
        <w:t xml:space="preserve"> financial year</w:t>
      </w:r>
      <w:r w:rsidR="007443B8" w:rsidRPr="00315936">
        <w:t>s</w:t>
      </w:r>
      <w:r w:rsidR="009530BE" w:rsidRPr="00315936">
        <w:t xml:space="preserve"> </w:t>
      </w:r>
    </w:p>
    <w:p w14:paraId="27D3D6B4" w14:textId="3901881A" w:rsidR="001F0FE6" w:rsidRPr="00315936" w:rsidRDefault="00F12052" w:rsidP="009D44A2">
      <w:pPr>
        <w:pStyle w:val="Tablebullet1"/>
      </w:pPr>
      <w:r w:rsidRPr="00315936">
        <w:t>S</w:t>
      </w:r>
      <w:r w:rsidR="009530BE" w:rsidRPr="00315936">
        <w:t>upplementary measures</w:t>
      </w:r>
      <w:r w:rsidR="00646679" w:rsidRPr="00315936">
        <w:t xml:space="preserve"> </w:t>
      </w:r>
      <w:r w:rsidR="00127904" w:rsidRPr="00315936">
        <w:t>which</w:t>
      </w:r>
      <w:r w:rsidR="00646679" w:rsidRPr="00315936" w:rsidDel="00127904">
        <w:t xml:space="preserve"> </w:t>
      </w:r>
      <w:r w:rsidR="00FE420B" w:rsidRPr="00315936">
        <w:t>p</w:t>
      </w:r>
      <w:r w:rsidR="00DC4A2E" w:rsidRPr="00315936">
        <w:t xml:space="preserve">rovide additional information to support </w:t>
      </w:r>
      <w:proofErr w:type="spellStart"/>
      <w:r w:rsidR="009F4707" w:rsidRPr="00315936">
        <w:t>SoP</w:t>
      </w:r>
      <w:proofErr w:type="spellEnd"/>
      <w:r w:rsidR="009F4707" w:rsidRPr="00315936">
        <w:t xml:space="preserve"> </w:t>
      </w:r>
      <w:r w:rsidR="00DC4A2E" w:rsidRPr="00315936">
        <w:t>measures</w:t>
      </w:r>
      <w:r w:rsidR="0055412D" w:rsidRPr="00315936">
        <w:t>,</w:t>
      </w:r>
      <w:r w:rsidR="007443B8" w:rsidRPr="00315936">
        <w:t xml:space="preserve"> </w:t>
      </w:r>
      <w:r w:rsidR="0055412D" w:rsidRPr="00315936">
        <w:t>v</w:t>
      </w:r>
      <w:r w:rsidR="00F1436B" w:rsidRPr="00315936">
        <w:t>alid for three</w:t>
      </w:r>
      <w:r w:rsidR="007443B8" w:rsidRPr="00315936">
        <w:t xml:space="preserve"> financial</w:t>
      </w:r>
      <w:r w:rsidR="00F1436B" w:rsidRPr="00315936">
        <w:t xml:space="preserve"> years</w:t>
      </w:r>
      <w:r w:rsidR="00E7647C" w:rsidRPr="00315936">
        <w:t>.</w:t>
      </w:r>
    </w:p>
    <w:p w14:paraId="26E9921B" w14:textId="2336FB8B" w:rsidR="3F528552" w:rsidRPr="00C34AB0" w:rsidRDefault="22527670" w:rsidP="00C34AB0">
      <w:pPr>
        <w:spacing w:after="0" w:line="240" w:lineRule="auto"/>
        <w:rPr>
          <w:rFonts w:eastAsia="Times"/>
        </w:rPr>
      </w:pPr>
      <w:r>
        <w:t>Measures that</w:t>
      </w:r>
      <w:r w:rsidR="665708D7">
        <w:t xml:space="preserve"> have been superseded or are no longer considered</w:t>
      </w:r>
      <w:r w:rsidR="78BDD276">
        <w:t xml:space="preserve"> best </w:t>
      </w:r>
      <w:r w:rsidR="0AFC8BD5">
        <w:t>practice</w:t>
      </w:r>
      <w:r w:rsidR="02426956">
        <w:t xml:space="preserve"> have been removed from all report</w:t>
      </w:r>
      <w:r w:rsidR="004F0336">
        <w:t>s</w:t>
      </w:r>
      <w:r w:rsidR="78BDD276">
        <w:t>.</w:t>
      </w:r>
    </w:p>
    <w:p w14:paraId="54647141" w14:textId="77777777" w:rsidR="00C34AB0" w:rsidRDefault="00C34AB0" w:rsidP="002C0838">
      <w:pPr>
        <w:pStyle w:val="Heading2"/>
        <w:tabs>
          <w:tab w:val="right" w:pos="9298"/>
        </w:tabs>
        <w:sectPr w:rsidR="00C34AB0" w:rsidSect="008A0448">
          <w:headerReference w:type="even" r:id="rId20"/>
          <w:headerReference w:type="default" r:id="rId21"/>
          <w:footerReference w:type="even" r:id="rId22"/>
          <w:footerReference w:type="default" r:id="rId23"/>
          <w:headerReference w:type="first" r:id="rId24"/>
          <w:footerReference w:type="first" r:id="rId25"/>
          <w:pgSz w:w="11906" w:h="16838" w:code="9"/>
          <w:pgMar w:top="0" w:right="1304" w:bottom="1276" w:left="1304" w:header="680" w:footer="851" w:gutter="0"/>
          <w:cols w:space="340"/>
          <w:titlePg/>
          <w:docGrid w:linePitch="360"/>
        </w:sectPr>
      </w:pPr>
    </w:p>
    <w:p w14:paraId="432E4141" w14:textId="27AE657A" w:rsidR="00C133EE" w:rsidRDefault="004E4C46" w:rsidP="004C0FB6">
      <w:pPr>
        <w:pStyle w:val="Heading1"/>
      </w:pPr>
      <w:bookmarkStart w:id="6" w:name="_Toc234580062"/>
      <w:r w:rsidRPr="00315936">
        <w:lastRenderedPageBreak/>
        <w:t>Change summary</w:t>
      </w:r>
      <w:bookmarkEnd w:id="6"/>
    </w:p>
    <w:p w14:paraId="618B69C8" w14:textId="210181EB" w:rsidR="00F573EA" w:rsidRPr="00B424A8" w:rsidRDefault="00C20FE7" w:rsidP="00B0448F">
      <w:pPr>
        <w:pStyle w:val="Tablecaption"/>
        <w:rPr>
          <w:b w:val="0"/>
          <w:bCs/>
        </w:rPr>
      </w:pPr>
      <w:r w:rsidRPr="00B424A8">
        <w:rPr>
          <w:b w:val="0"/>
          <w:bCs/>
        </w:rPr>
        <w:t xml:space="preserve">This section summarises key changes to </w:t>
      </w:r>
      <w:proofErr w:type="spellStart"/>
      <w:r w:rsidRPr="00B424A8">
        <w:rPr>
          <w:b w:val="0"/>
          <w:bCs/>
        </w:rPr>
        <w:t>SoP</w:t>
      </w:r>
      <w:proofErr w:type="spellEnd"/>
      <w:r w:rsidRPr="00B424A8">
        <w:rPr>
          <w:b w:val="0"/>
          <w:bCs/>
        </w:rPr>
        <w:t xml:space="preserve"> Part B measures including updated targets and reporting requirements. </w:t>
      </w:r>
      <w:bookmarkStart w:id="7" w:name="_Toc244507816"/>
      <w:bookmarkEnd w:id="2"/>
      <w:r w:rsidR="0063109B">
        <w:rPr>
          <w:b w:val="0"/>
          <w:bCs/>
        </w:rPr>
        <w:t>K</w:t>
      </w:r>
      <w:r w:rsidR="004D78E2">
        <w:rPr>
          <w:b w:val="0"/>
          <w:bCs/>
        </w:rPr>
        <w:t xml:space="preserve">ey changes to Ambulance Victoria and </w:t>
      </w:r>
      <w:proofErr w:type="spellStart"/>
      <w:r w:rsidR="004D78E2">
        <w:rPr>
          <w:b w:val="0"/>
          <w:bCs/>
        </w:rPr>
        <w:t>Forensicare</w:t>
      </w:r>
      <w:proofErr w:type="spellEnd"/>
      <w:r w:rsidR="004D78E2">
        <w:rPr>
          <w:b w:val="0"/>
          <w:bCs/>
        </w:rPr>
        <w:t xml:space="preserve"> </w:t>
      </w:r>
      <w:proofErr w:type="spellStart"/>
      <w:r w:rsidR="004D78E2" w:rsidRPr="00BC677C">
        <w:rPr>
          <w:b w:val="0"/>
          <w:bCs/>
        </w:rPr>
        <w:t>SoP</w:t>
      </w:r>
      <w:proofErr w:type="spellEnd"/>
      <w:r w:rsidR="004D78E2" w:rsidRPr="00BC677C">
        <w:rPr>
          <w:b w:val="0"/>
          <w:bCs/>
        </w:rPr>
        <w:t xml:space="preserve"> Part B measures</w:t>
      </w:r>
      <w:r w:rsidR="004D78E2">
        <w:rPr>
          <w:b w:val="0"/>
          <w:bCs/>
        </w:rPr>
        <w:t xml:space="preserve"> are </w:t>
      </w:r>
      <w:r w:rsidR="009A2290">
        <w:rPr>
          <w:b w:val="0"/>
          <w:bCs/>
        </w:rPr>
        <w:t xml:space="preserve">summarised </w:t>
      </w:r>
      <w:r w:rsidR="004D78E2">
        <w:rPr>
          <w:b w:val="0"/>
          <w:bCs/>
        </w:rPr>
        <w:t>in</w:t>
      </w:r>
      <w:r w:rsidR="009A2290">
        <w:rPr>
          <w:b w:val="0"/>
          <w:bCs/>
        </w:rPr>
        <w:t xml:space="preserve"> appendices A and B</w:t>
      </w:r>
      <w:r w:rsidR="0063109B">
        <w:rPr>
          <w:b w:val="0"/>
          <w:bCs/>
        </w:rPr>
        <w:t>,</w:t>
      </w:r>
      <w:r w:rsidR="009A2290">
        <w:rPr>
          <w:b w:val="0"/>
          <w:bCs/>
        </w:rPr>
        <w:t xml:space="preserve"> respectively. </w:t>
      </w:r>
    </w:p>
    <w:p w14:paraId="07AED3E4" w14:textId="2C66099C" w:rsidR="000010B2" w:rsidRPr="00F418B8" w:rsidRDefault="000010B2" w:rsidP="00F573EA">
      <w:pPr>
        <w:pStyle w:val="Heading2"/>
      </w:pPr>
      <w:bookmarkStart w:id="8" w:name="_Toc234580063"/>
      <w:r w:rsidRPr="0061248C">
        <w:t>High quality and safe care</w:t>
      </w:r>
      <w:bookmarkEnd w:id="7"/>
      <w:bookmarkEnd w:id="8"/>
    </w:p>
    <w:tbl>
      <w:tblPr>
        <w:tblStyle w:val="TableGrid"/>
        <w:tblW w:w="4961" w:type="pct"/>
        <w:tblLayout w:type="fixed"/>
        <w:tblLook w:val="04A0" w:firstRow="1" w:lastRow="0" w:firstColumn="1" w:lastColumn="0" w:noHBand="0" w:noVBand="1"/>
      </w:tblPr>
      <w:tblGrid>
        <w:gridCol w:w="2972"/>
        <w:gridCol w:w="3945"/>
        <w:gridCol w:w="3457"/>
      </w:tblGrid>
      <w:tr w:rsidR="00FD25D3" w:rsidRPr="00315936" w14:paraId="56F6AEB1" w14:textId="77777777" w:rsidTr="008E1561">
        <w:trPr>
          <w:trHeight w:val="340"/>
          <w:tblHeader/>
        </w:trPr>
        <w:tc>
          <w:tcPr>
            <w:tcW w:w="1432" w:type="pct"/>
            <w:shd w:val="clear" w:color="auto" w:fill="000066"/>
          </w:tcPr>
          <w:p w14:paraId="1B9F35B8" w14:textId="77777777" w:rsidR="008F2C05" w:rsidRPr="003477D2" w:rsidRDefault="008F2C05" w:rsidP="003477D2">
            <w:pPr>
              <w:pStyle w:val="Tablecolhead"/>
            </w:pPr>
            <w:r w:rsidRPr="003477D2">
              <w:t>Key performance measure</w:t>
            </w:r>
          </w:p>
        </w:tc>
        <w:tc>
          <w:tcPr>
            <w:tcW w:w="1901" w:type="pct"/>
            <w:shd w:val="clear" w:color="auto" w:fill="000066"/>
          </w:tcPr>
          <w:p w14:paraId="45DC8705" w14:textId="77777777" w:rsidR="008F2C05" w:rsidRPr="003477D2" w:rsidRDefault="008F2C05" w:rsidP="003477D2">
            <w:pPr>
              <w:pStyle w:val="Tablecolhead"/>
            </w:pPr>
            <w:r w:rsidRPr="003477D2">
              <w:t>Change</w:t>
            </w:r>
          </w:p>
        </w:tc>
        <w:tc>
          <w:tcPr>
            <w:tcW w:w="1666" w:type="pct"/>
            <w:shd w:val="clear" w:color="auto" w:fill="000066"/>
          </w:tcPr>
          <w:p w14:paraId="3834A6FB" w14:textId="77777777" w:rsidR="008F2C05" w:rsidRPr="003477D2" w:rsidRDefault="008F2C05" w:rsidP="003477D2">
            <w:pPr>
              <w:pStyle w:val="Tablecolhead"/>
            </w:pPr>
            <w:r w:rsidRPr="003477D2">
              <w:t>Commentary</w:t>
            </w:r>
          </w:p>
        </w:tc>
      </w:tr>
      <w:tr w:rsidR="004670A1" w:rsidRPr="00315936" w14:paraId="6595DEA2" w14:textId="77777777" w:rsidTr="008E1561">
        <w:trPr>
          <w:trHeight w:val="794"/>
        </w:trPr>
        <w:tc>
          <w:tcPr>
            <w:tcW w:w="1432" w:type="pct"/>
          </w:tcPr>
          <w:p w14:paraId="5098AF64" w14:textId="79182A6D" w:rsidR="004670A1" w:rsidRPr="00315936" w:rsidRDefault="004670A1" w:rsidP="00D42536">
            <w:pPr>
              <w:pStyle w:val="Tabletext"/>
            </w:pPr>
            <w:r w:rsidRPr="00315936">
              <w:t>The gap between the number of Aboriginal patients who left against medical advice compared to non-Aboriginal patients</w:t>
            </w:r>
            <w:r w:rsidRPr="00315936">
              <w:rPr>
                <w:rFonts w:ascii="Times New Roman" w:hAnsi="Times New Roman"/>
              </w:rPr>
              <w:t>​</w:t>
            </w:r>
          </w:p>
        </w:tc>
        <w:tc>
          <w:tcPr>
            <w:tcW w:w="1901" w:type="pct"/>
          </w:tcPr>
          <w:p w14:paraId="0C8D692C" w14:textId="76BB9502" w:rsidR="00CA21EB" w:rsidRPr="00315936" w:rsidRDefault="00714845" w:rsidP="00873125">
            <w:pPr>
              <w:pStyle w:val="Tabletext"/>
            </w:pPr>
            <w:r>
              <w:rPr>
                <w:b/>
                <w:bCs/>
              </w:rPr>
              <w:t>Rename</w:t>
            </w:r>
            <w:r w:rsidR="00873125">
              <w:rPr>
                <w:b/>
                <w:bCs/>
              </w:rPr>
              <w:t xml:space="preserve"> to</w:t>
            </w:r>
            <w:r>
              <w:rPr>
                <w:b/>
                <w:bCs/>
              </w:rPr>
              <w:t>:</w:t>
            </w:r>
            <w:r w:rsidR="00873125">
              <w:rPr>
                <w:b/>
                <w:bCs/>
              </w:rPr>
              <w:t xml:space="preserve"> </w:t>
            </w:r>
            <w:r w:rsidR="005B60CB">
              <w:t>T</w:t>
            </w:r>
            <w:r w:rsidR="00CA21EB" w:rsidRPr="00D42536">
              <w:t xml:space="preserve">he difference between the percentage of </w:t>
            </w:r>
            <w:r w:rsidR="00EC43FB" w:rsidRPr="00D42536">
              <w:t xml:space="preserve">Aboriginal </w:t>
            </w:r>
            <w:r w:rsidR="00F11536">
              <w:t xml:space="preserve">and/or Torres Strait Islander </w:t>
            </w:r>
            <w:r w:rsidR="00EC43FB" w:rsidRPr="00D42536">
              <w:t xml:space="preserve">patients and non-Aboriginal </w:t>
            </w:r>
            <w:r w:rsidR="00F11536">
              <w:t xml:space="preserve">and/or non-Torres Strait Islander </w:t>
            </w:r>
            <w:r w:rsidR="00EC43FB" w:rsidRPr="00D42536">
              <w:t>patients who left against medical advice</w:t>
            </w:r>
          </w:p>
        </w:tc>
        <w:tc>
          <w:tcPr>
            <w:tcW w:w="1666" w:type="pct"/>
          </w:tcPr>
          <w:p w14:paraId="2808684B" w14:textId="727E8662" w:rsidR="00435F0A" w:rsidRPr="00315936" w:rsidRDefault="000C0292" w:rsidP="00873125">
            <w:pPr>
              <w:pStyle w:val="Tabletext"/>
            </w:pPr>
            <w:r w:rsidRPr="00671A99">
              <w:rPr>
                <w:b/>
                <w:bCs/>
              </w:rPr>
              <w:t>Rationale:</w:t>
            </w:r>
            <w:r w:rsidR="00873125">
              <w:rPr>
                <w:b/>
                <w:bCs/>
              </w:rPr>
              <w:t xml:space="preserve"> </w:t>
            </w:r>
            <w:r w:rsidR="00435F0A">
              <w:t>Improve</w:t>
            </w:r>
            <w:r w:rsidR="00A6755F">
              <w:t>s</w:t>
            </w:r>
            <w:r w:rsidR="00435F0A">
              <w:t xml:space="preserve"> clarity and focus of the measure </w:t>
            </w:r>
          </w:p>
        </w:tc>
      </w:tr>
      <w:tr w:rsidR="004670A1" w:rsidRPr="00315936" w14:paraId="326C3D72" w14:textId="77777777" w:rsidTr="008E1561">
        <w:trPr>
          <w:trHeight w:val="794"/>
        </w:trPr>
        <w:tc>
          <w:tcPr>
            <w:tcW w:w="1432" w:type="pct"/>
          </w:tcPr>
          <w:p w14:paraId="418AE171" w14:textId="2F2083A5" w:rsidR="004670A1" w:rsidRPr="00315936" w:rsidRDefault="004670A1" w:rsidP="00D42536">
            <w:pPr>
              <w:pStyle w:val="Tabletext"/>
            </w:pPr>
            <w:r w:rsidRPr="00315936">
              <w:t>The gap between the number of Aboriginal patients who did not wait presenting to hospital emergency departments compared to non-Aboriginal patients</w:t>
            </w:r>
            <w:r w:rsidRPr="00315936">
              <w:rPr>
                <w:rFonts w:ascii="Times New Roman" w:hAnsi="Times New Roman"/>
              </w:rPr>
              <w:t>​</w:t>
            </w:r>
          </w:p>
        </w:tc>
        <w:tc>
          <w:tcPr>
            <w:tcW w:w="1901" w:type="pct"/>
          </w:tcPr>
          <w:p w14:paraId="07F777CF" w14:textId="67D0758E" w:rsidR="004670A1" w:rsidRPr="00315936" w:rsidRDefault="00714845" w:rsidP="00873125">
            <w:pPr>
              <w:pStyle w:val="Tabletext"/>
              <w:rPr>
                <w:b/>
              </w:rPr>
            </w:pPr>
            <w:r>
              <w:rPr>
                <w:b/>
                <w:bCs/>
              </w:rPr>
              <w:t>Rename</w:t>
            </w:r>
            <w:r w:rsidR="00873125">
              <w:rPr>
                <w:b/>
                <w:bCs/>
              </w:rPr>
              <w:t xml:space="preserve"> to</w:t>
            </w:r>
            <w:r w:rsidR="00EC43FB" w:rsidRPr="00D42536">
              <w:rPr>
                <w:b/>
                <w:bCs/>
              </w:rPr>
              <w:t>:</w:t>
            </w:r>
            <w:r w:rsidR="00873125">
              <w:rPr>
                <w:b/>
                <w:bCs/>
              </w:rPr>
              <w:t xml:space="preserve"> </w:t>
            </w:r>
            <w:r w:rsidR="005B60CB">
              <w:t>T</w:t>
            </w:r>
            <w:r w:rsidR="00EC43FB" w:rsidRPr="002156EA">
              <w:t xml:space="preserve">he difference between the percentage of Aboriginal </w:t>
            </w:r>
            <w:r w:rsidR="00F11536">
              <w:t xml:space="preserve">and/or Torres Strait Islander </w:t>
            </w:r>
            <w:r w:rsidR="00EC43FB" w:rsidRPr="002156EA">
              <w:t xml:space="preserve">patients and non-Aboriginal </w:t>
            </w:r>
            <w:r w:rsidR="00F11536">
              <w:t xml:space="preserve">and/or non-Torres Strait Islander </w:t>
            </w:r>
            <w:r w:rsidR="00EC43FB" w:rsidRPr="002156EA">
              <w:t>patients</w:t>
            </w:r>
            <w:r w:rsidR="00E879F9">
              <w:t xml:space="preserve"> presenting to emergency departments who did not wait to be treated</w:t>
            </w:r>
          </w:p>
        </w:tc>
        <w:tc>
          <w:tcPr>
            <w:tcW w:w="1666" w:type="pct"/>
          </w:tcPr>
          <w:p w14:paraId="3BBBE5D0" w14:textId="41C88111" w:rsidR="00435F0A" w:rsidRPr="00315936" w:rsidRDefault="000C0292" w:rsidP="00873125">
            <w:pPr>
              <w:pStyle w:val="Tabletext"/>
            </w:pPr>
            <w:r w:rsidRPr="00671A99">
              <w:rPr>
                <w:b/>
                <w:bCs/>
              </w:rPr>
              <w:t>Rationale:</w:t>
            </w:r>
            <w:r w:rsidR="00873125">
              <w:rPr>
                <w:b/>
                <w:bCs/>
              </w:rPr>
              <w:t xml:space="preserve"> </w:t>
            </w:r>
            <w:r w:rsidR="00435F0A">
              <w:t>Improve</w:t>
            </w:r>
            <w:r w:rsidR="00A6755F">
              <w:t>s</w:t>
            </w:r>
            <w:r w:rsidR="00435F0A">
              <w:t xml:space="preserve"> clarity and focus of the measure</w:t>
            </w:r>
          </w:p>
        </w:tc>
      </w:tr>
      <w:tr w:rsidR="008F2C05" w14:paraId="6C021E57" w14:textId="77777777" w:rsidTr="008E1561">
        <w:trPr>
          <w:trHeight w:val="794"/>
        </w:trPr>
        <w:tc>
          <w:tcPr>
            <w:tcW w:w="1432" w:type="pct"/>
          </w:tcPr>
          <w:p w14:paraId="7D7E12EE" w14:textId="576B907F" w:rsidR="008F2C05" w:rsidRDefault="007C23F1" w:rsidP="00453868">
            <w:pPr>
              <w:pStyle w:val="Tabletext"/>
              <w:rPr>
                <w:rStyle w:val="FootnoteReference"/>
                <w:rFonts w:eastAsia="MS Gothic"/>
              </w:rPr>
            </w:pPr>
            <w:r>
              <w:t>Percentage of consumers/families/carers reporting a ‘very good’ or ‘excellent’ overall experience of the service</w:t>
            </w:r>
          </w:p>
        </w:tc>
        <w:tc>
          <w:tcPr>
            <w:tcW w:w="1901" w:type="pct"/>
          </w:tcPr>
          <w:p w14:paraId="5D42F9CA" w14:textId="1FFD9D6E" w:rsidR="008F2C05" w:rsidRPr="00A567F8" w:rsidRDefault="00A92B9C" w:rsidP="00435CB2">
            <w:pPr>
              <w:pStyle w:val="Tabletext"/>
            </w:pPr>
            <w:r w:rsidRPr="00A567F8">
              <w:rPr>
                <w:b/>
                <w:bCs/>
              </w:rPr>
              <w:t>Business rule change</w:t>
            </w:r>
            <w:r w:rsidR="00484946" w:rsidRPr="00005EAE">
              <w:rPr>
                <w:b/>
                <w:bCs/>
              </w:rPr>
              <w:t>:</w:t>
            </w:r>
            <w:r w:rsidR="00873125">
              <w:rPr>
                <w:b/>
                <w:bCs/>
              </w:rPr>
              <w:t xml:space="preserve"> </w:t>
            </w:r>
            <w:r w:rsidR="00484946">
              <w:t>S</w:t>
            </w:r>
            <w:r w:rsidR="00A538F5" w:rsidRPr="00A567F8">
              <w:t>eparate existing measure</w:t>
            </w:r>
            <w:r w:rsidR="005E58A1" w:rsidRPr="00A567F8">
              <w:t xml:space="preserve"> </w:t>
            </w:r>
            <w:r w:rsidR="00435CB2" w:rsidRPr="00A567F8">
              <w:t>into the following</w:t>
            </w:r>
            <w:r w:rsidR="005E58A1" w:rsidRPr="00A567F8">
              <w:t>:</w:t>
            </w:r>
          </w:p>
          <w:p w14:paraId="594903E8" w14:textId="1CC2AF1C" w:rsidR="00A538F5" w:rsidRPr="00435CB2" w:rsidRDefault="00A538F5" w:rsidP="00453868">
            <w:pPr>
              <w:pStyle w:val="Tablebullet1"/>
            </w:pPr>
            <w:r w:rsidRPr="00435CB2">
              <w:t>Percentage</w:t>
            </w:r>
            <w:r w:rsidR="009E76DE" w:rsidRPr="00435CB2">
              <w:t xml:space="preserve"> of consumers who rated their overall experience with a service in the last three months as </w:t>
            </w:r>
            <w:r w:rsidRPr="00435CB2">
              <w:t>positive</w:t>
            </w:r>
          </w:p>
          <w:p w14:paraId="68A93077" w14:textId="6FA2094D" w:rsidR="00A538F5" w:rsidRPr="00A567F8" w:rsidRDefault="005E58A1" w:rsidP="00453868">
            <w:pPr>
              <w:pStyle w:val="Tablebullet1"/>
              <w:rPr>
                <w:rStyle w:val="FootnoteReference"/>
                <w:vertAlign w:val="baseline"/>
              </w:rPr>
            </w:pPr>
            <w:r w:rsidRPr="00435CB2">
              <w:t xml:space="preserve">Percentage of families/carers reporting a ‘very </w:t>
            </w:r>
            <w:r w:rsidR="00435CB2" w:rsidRPr="00435CB2">
              <w:t>good’ or ‘excellent’ overall experience of the service</w:t>
            </w:r>
          </w:p>
        </w:tc>
        <w:tc>
          <w:tcPr>
            <w:tcW w:w="1666" w:type="pct"/>
          </w:tcPr>
          <w:p w14:paraId="3DB536BF" w14:textId="2AFC73FE" w:rsidR="00671A99" w:rsidRDefault="00435CB2" w:rsidP="00873125">
            <w:pPr>
              <w:pStyle w:val="Tabletext"/>
            </w:pPr>
            <w:r w:rsidRPr="00AF0240">
              <w:rPr>
                <w:b/>
                <w:bCs/>
              </w:rPr>
              <w:t>Rationale:</w:t>
            </w:r>
            <w:r w:rsidR="00873125">
              <w:rPr>
                <w:b/>
                <w:bCs/>
              </w:rPr>
              <w:t xml:space="preserve"> </w:t>
            </w:r>
            <w:r w:rsidR="00935352">
              <w:t>Measure was previously a consolidation of two separate measures</w:t>
            </w:r>
            <w:r w:rsidR="00CE5AFD">
              <w:t xml:space="preserve"> supported by discrete surveys and questions. Keeping the measures separate is </w:t>
            </w:r>
            <w:r w:rsidR="00AF0240">
              <w:t xml:space="preserve">a </w:t>
            </w:r>
            <w:r w:rsidR="007B1F29">
              <w:t xml:space="preserve">robust and </w:t>
            </w:r>
            <w:r w:rsidR="00AF0240">
              <w:t>statistical</w:t>
            </w:r>
            <w:r w:rsidR="00152983">
              <w:t>ly</w:t>
            </w:r>
            <w:r w:rsidR="00AF0240">
              <w:t xml:space="preserve"> </w:t>
            </w:r>
            <w:r w:rsidR="007B1F29">
              <w:t xml:space="preserve">sound </w:t>
            </w:r>
            <w:r w:rsidR="00AF0240">
              <w:t>approach</w:t>
            </w:r>
            <w:r w:rsidR="007B1F29">
              <w:t>.</w:t>
            </w:r>
          </w:p>
        </w:tc>
      </w:tr>
    </w:tbl>
    <w:p w14:paraId="0C8E9885" w14:textId="752D659E" w:rsidR="00B6371A" w:rsidRPr="00F418B8" w:rsidRDefault="00DD6FC1" w:rsidP="004C0FB6">
      <w:pPr>
        <w:pStyle w:val="Heading2"/>
      </w:pPr>
      <w:bookmarkStart w:id="9" w:name="_Toc96063266"/>
      <w:bookmarkStart w:id="10" w:name="_Toc234580064"/>
      <w:r w:rsidRPr="00F418B8">
        <w:t xml:space="preserve">Strong </w:t>
      </w:r>
      <w:r w:rsidR="008D549F" w:rsidRPr="00F418B8">
        <w:t>governance, leadership and culture</w:t>
      </w:r>
      <w:bookmarkEnd w:id="9"/>
      <w:bookmarkEnd w:id="10"/>
    </w:p>
    <w:p w14:paraId="14002706" w14:textId="509D0328" w:rsidR="004670A1" w:rsidRPr="004670A1" w:rsidRDefault="003479D4" w:rsidP="00A567F8">
      <w:pPr>
        <w:pStyle w:val="Body"/>
      </w:pPr>
      <w:r>
        <w:t xml:space="preserve">No changes </w:t>
      </w:r>
      <w:r w:rsidR="002A2954">
        <w:t>to measures in this domain.</w:t>
      </w:r>
    </w:p>
    <w:p w14:paraId="3A8FDB37" w14:textId="12A7D9BD" w:rsidR="00A77DDD" w:rsidRPr="00F418B8" w:rsidRDefault="00A25F40" w:rsidP="004C0FB6">
      <w:pPr>
        <w:pStyle w:val="Heading2"/>
      </w:pPr>
      <w:bookmarkStart w:id="11" w:name="_Toc1886970194"/>
      <w:bookmarkStart w:id="12" w:name="_Toc234580065"/>
      <w:r w:rsidRPr="00F418B8">
        <w:t>Timely access to care</w:t>
      </w:r>
      <w:bookmarkEnd w:id="11"/>
      <w:bookmarkEnd w:id="12"/>
    </w:p>
    <w:tbl>
      <w:tblPr>
        <w:tblStyle w:val="TableGrid"/>
        <w:tblW w:w="4961" w:type="pct"/>
        <w:tblLayout w:type="fixed"/>
        <w:tblLook w:val="04A0" w:firstRow="1" w:lastRow="0" w:firstColumn="1" w:lastColumn="0" w:noHBand="0" w:noVBand="1"/>
      </w:tblPr>
      <w:tblGrid>
        <w:gridCol w:w="2972"/>
        <w:gridCol w:w="3945"/>
        <w:gridCol w:w="3457"/>
      </w:tblGrid>
      <w:tr w:rsidR="00EC2EFE" w:rsidRPr="00315936" w14:paraId="2543E4D6" w14:textId="77777777" w:rsidTr="008E1561">
        <w:trPr>
          <w:trHeight w:val="340"/>
          <w:tblHeader/>
        </w:trPr>
        <w:tc>
          <w:tcPr>
            <w:tcW w:w="1432" w:type="pct"/>
            <w:shd w:val="clear" w:color="auto" w:fill="000066"/>
          </w:tcPr>
          <w:p w14:paraId="04F2811B" w14:textId="77777777" w:rsidR="004670A1" w:rsidRPr="003477D2" w:rsidRDefault="004670A1" w:rsidP="003477D2">
            <w:pPr>
              <w:pStyle w:val="Tablecolhead"/>
            </w:pPr>
            <w:r w:rsidRPr="003477D2">
              <w:t>Key performance measure</w:t>
            </w:r>
          </w:p>
        </w:tc>
        <w:tc>
          <w:tcPr>
            <w:tcW w:w="1901" w:type="pct"/>
            <w:shd w:val="clear" w:color="auto" w:fill="000066"/>
          </w:tcPr>
          <w:p w14:paraId="664FA4C0" w14:textId="77777777" w:rsidR="004670A1" w:rsidRPr="003477D2" w:rsidRDefault="004670A1" w:rsidP="003477D2">
            <w:pPr>
              <w:pStyle w:val="Tablecolhead"/>
            </w:pPr>
            <w:r w:rsidRPr="003477D2">
              <w:t>Change</w:t>
            </w:r>
          </w:p>
        </w:tc>
        <w:tc>
          <w:tcPr>
            <w:tcW w:w="1666" w:type="pct"/>
            <w:shd w:val="clear" w:color="auto" w:fill="000066"/>
          </w:tcPr>
          <w:p w14:paraId="18703F95" w14:textId="77777777" w:rsidR="004670A1" w:rsidRPr="003477D2" w:rsidRDefault="004670A1" w:rsidP="003477D2">
            <w:pPr>
              <w:pStyle w:val="Tablecolhead"/>
            </w:pPr>
            <w:r w:rsidRPr="003477D2">
              <w:t>Commentary</w:t>
            </w:r>
          </w:p>
        </w:tc>
      </w:tr>
      <w:tr w:rsidR="002A478C" w:rsidRPr="00315936" w14:paraId="01D56114" w14:textId="77777777" w:rsidTr="008E1561">
        <w:trPr>
          <w:trHeight w:val="794"/>
        </w:trPr>
        <w:tc>
          <w:tcPr>
            <w:tcW w:w="1432" w:type="pct"/>
          </w:tcPr>
          <w:p w14:paraId="0A86EC4A" w14:textId="70709FF6" w:rsidR="002A478C" w:rsidRPr="00315936" w:rsidRDefault="002A478C" w:rsidP="000E09C4">
            <w:pPr>
              <w:pStyle w:val="Tabletext"/>
            </w:pPr>
            <w:r>
              <w:t>Number of community mental health service hours</w:t>
            </w:r>
          </w:p>
        </w:tc>
        <w:tc>
          <w:tcPr>
            <w:tcW w:w="1901" w:type="pct"/>
          </w:tcPr>
          <w:p w14:paraId="7523866E" w14:textId="2DB428CA" w:rsidR="00F51A5F" w:rsidRPr="00F51A5F" w:rsidRDefault="00913936" w:rsidP="005528BC">
            <w:pPr>
              <w:pStyle w:val="Tabletext"/>
            </w:pPr>
            <w:r w:rsidRPr="00A567F8">
              <w:rPr>
                <w:b/>
                <w:bCs/>
              </w:rPr>
              <w:t>New</w:t>
            </w:r>
            <w:r w:rsidR="002A478C" w:rsidRPr="00427D38">
              <w:rPr>
                <w:b/>
                <w:bCs/>
              </w:rPr>
              <w:t xml:space="preserve"> measure</w:t>
            </w:r>
            <w:r w:rsidR="00A804A0">
              <w:rPr>
                <w:b/>
                <w:bCs/>
              </w:rPr>
              <w:t xml:space="preserve"> </w:t>
            </w:r>
            <w:r w:rsidR="00F51A5F" w:rsidRPr="00E846B6">
              <w:t>accompanied by a health service specific target</w:t>
            </w:r>
          </w:p>
        </w:tc>
        <w:tc>
          <w:tcPr>
            <w:tcW w:w="1666" w:type="pct"/>
          </w:tcPr>
          <w:p w14:paraId="6EE928F6" w14:textId="68F36CE7" w:rsidR="00F45370" w:rsidRPr="00315936" w:rsidRDefault="0020772A" w:rsidP="00873125">
            <w:pPr>
              <w:pStyle w:val="Tabletext"/>
            </w:pPr>
            <w:r w:rsidRPr="00F45370">
              <w:rPr>
                <w:b/>
                <w:bCs/>
              </w:rPr>
              <w:t>Rationale:</w:t>
            </w:r>
            <w:r w:rsidR="00873125">
              <w:rPr>
                <w:b/>
                <w:bCs/>
              </w:rPr>
              <w:t xml:space="preserve"> </w:t>
            </w:r>
            <w:r w:rsidR="00F45370" w:rsidRPr="00F45370">
              <w:t xml:space="preserve">Ensures </w:t>
            </w:r>
            <w:r w:rsidR="00082CD4">
              <w:t>maintenance of effort following</w:t>
            </w:r>
            <w:r w:rsidR="00F45370" w:rsidRPr="00F45370">
              <w:t xml:space="preserve"> transition to </w:t>
            </w:r>
            <w:r w:rsidR="00082CD4">
              <w:t>Activity Based Funding</w:t>
            </w:r>
            <w:r w:rsidR="00F27E80">
              <w:t>.</w:t>
            </w:r>
          </w:p>
        </w:tc>
      </w:tr>
      <w:tr w:rsidR="002D00A0" w:rsidRPr="00315936" w14:paraId="10AD9ABA" w14:textId="77777777" w:rsidTr="008E1561">
        <w:trPr>
          <w:trHeight w:val="794"/>
        </w:trPr>
        <w:tc>
          <w:tcPr>
            <w:tcW w:w="1432" w:type="pct"/>
          </w:tcPr>
          <w:p w14:paraId="07D4ED9A" w14:textId="714D5705" w:rsidR="002D00A0" w:rsidRPr="00315936" w:rsidRDefault="002D00A0" w:rsidP="002D00A0">
            <w:pPr>
              <w:pStyle w:val="Tabletext"/>
              <w:rPr>
                <w:rFonts w:eastAsia="MS Gothic"/>
              </w:rPr>
            </w:pPr>
            <w:r w:rsidRPr="00315936">
              <w:t>Percentage of patients transferred from ambulance to emergency department within 40 minutes</w:t>
            </w:r>
          </w:p>
        </w:tc>
        <w:tc>
          <w:tcPr>
            <w:tcW w:w="1901" w:type="pct"/>
          </w:tcPr>
          <w:p w14:paraId="3F105600" w14:textId="03D6300E" w:rsidR="002D00A0" w:rsidRDefault="002D00A0" w:rsidP="002D00A0">
            <w:pPr>
              <w:pStyle w:val="Tabletext"/>
              <w:rPr>
                <w:b/>
              </w:rPr>
            </w:pPr>
            <w:r>
              <w:rPr>
                <w:b/>
              </w:rPr>
              <w:t>Target change</w:t>
            </w:r>
            <w:r w:rsidR="00174424">
              <w:rPr>
                <w:b/>
              </w:rPr>
              <w:t>:</w:t>
            </w:r>
            <w:r>
              <w:rPr>
                <w:b/>
              </w:rPr>
              <w:t xml:space="preserve"> </w:t>
            </w:r>
          </w:p>
          <w:p w14:paraId="54B7FBC6" w14:textId="1C9A7C02" w:rsidR="00513211" w:rsidRPr="004A6E6F" w:rsidRDefault="00506E8D" w:rsidP="00535D2B">
            <w:pPr>
              <w:pStyle w:val="Tablebullet1"/>
            </w:pPr>
            <w:r>
              <w:t>Statewide</w:t>
            </w:r>
            <w:r w:rsidR="00442015">
              <w:t xml:space="preserve"> target changed to </w:t>
            </w:r>
            <w:r w:rsidR="004E5C73" w:rsidRPr="00496F8F">
              <w:t>greater than or equal to</w:t>
            </w:r>
            <w:r w:rsidR="002D00A0" w:rsidRPr="00496F8F">
              <w:t xml:space="preserve"> 80 per cent or</w:t>
            </w:r>
            <w:r w:rsidR="004E5C73" w:rsidRPr="00496F8F">
              <w:t xml:space="preserve"> at least</w:t>
            </w:r>
            <w:r w:rsidR="002D00A0" w:rsidRPr="00496F8F">
              <w:t xml:space="preserve"> </w:t>
            </w:r>
            <w:r w:rsidR="00A76CF6" w:rsidRPr="00496F8F">
              <w:t>3</w:t>
            </w:r>
            <w:r w:rsidR="002D00A0" w:rsidRPr="00496F8F">
              <w:t xml:space="preserve"> per cent improvement on prior year performance,</w:t>
            </w:r>
            <w:r w:rsidR="009C6D50" w:rsidRPr="00496F8F">
              <w:t xml:space="preserve"> with progress expected towards 90 per cent</w:t>
            </w:r>
            <w:r w:rsidR="002D00A0" w:rsidRPr="004A6E6F">
              <w:t xml:space="preserve"> (Statewide)</w:t>
            </w:r>
            <w:r w:rsidR="00A42B49" w:rsidRPr="004A6E6F">
              <w:t xml:space="preserve">. </w:t>
            </w:r>
          </w:p>
          <w:p w14:paraId="0EABEC0A" w14:textId="7358ABA5" w:rsidR="002D00A0" w:rsidRPr="00CD4B6B" w:rsidRDefault="00A42B49" w:rsidP="00535D2B">
            <w:pPr>
              <w:pStyle w:val="Tablebullet1"/>
            </w:pPr>
            <w:r w:rsidRPr="004A6E6F">
              <w:lastRenderedPageBreak/>
              <w:t>Differential</w:t>
            </w:r>
            <w:r w:rsidR="00531BC3" w:rsidRPr="004A6E6F">
              <w:t xml:space="preserve"> or ‘</w:t>
            </w:r>
            <w:r w:rsidR="00442015">
              <w:t>t</w:t>
            </w:r>
            <w:r w:rsidR="00531BC3" w:rsidRPr="004A6E6F">
              <w:t>iered’</w:t>
            </w:r>
            <w:r w:rsidRPr="004A6E6F">
              <w:t xml:space="preserve"> targets </w:t>
            </w:r>
            <w:r w:rsidR="00E46081" w:rsidRPr="004A6E6F">
              <w:t>introduced and</w:t>
            </w:r>
            <w:r w:rsidRPr="004A6E6F">
              <w:t xml:space="preserve"> set </w:t>
            </w:r>
            <w:r w:rsidR="0007357F" w:rsidRPr="004A6E6F">
              <w:t>at the</w:t>
            </w:r>
            <w:r w:rsidR="00E46081" w:rsidRPr="004A6E6F">
              <w:t xml:space="preserve"> health service</w:t>
            </w:r>
            <w:r w:rsidR="0007357F" w:rsidRPr="00AC1CE9">
              <w:t xml:space="preserve"> campus level</w:t>
            </w:r>
            <w:bookmarkStart w:id="13" w:name="_Ref201831690"/>
            <w:r w:rsidR="0044436A">
              <w:rPr>
                <w:rStyle w:val="EndnoteReference"/>
              </w:rPr>
              <w:endnoteReference w:id="2"/>
            </w:r>
            <w:bookmarkEnd w:id="13"/>
          </w:p>
        </w:tc>
        <w:tc>
          <w:tcPr>
            <w:tcW w:w="1666" w:type="pct"/>
          </w:tcPr>
          <w:p w14:paraId="748AECDC" w14:textId="64FBA82C" w:rsidR="002D00A0" w:rsidRPr="00BC2918" w:rsidRDefault="002D00A0" w:rsidP="004425DB">
            <w:pPr>
              <w:pStyle w:val="Tabletext"/>
              <w:rPr>
                <w:b/>
                <w:bCs/>
              </w:rPr>
            </w:pPr>
            <w:r w:rsidRPr="00DE3506">
              <w:rPr>
                <w:b/>
                <w:bCs/>
              </w:rPr>
              <w:lastRenderedPageBreak/>
              <w:t>Rationale</w:t>
            </w:r>
            <w:r w:rsidR="007E392F">
              <w:rPr>
                <w:b/>
                <w:bCs/>
              </w:rPr>
              <w:t xml:space="preserve">: </w:t>
            </w:r>
            <w:r w:rsidRPr="00DE3506">
              <w:t>Reflects expectation for continuous improvement.</w:t>
            </w:r>
          </w:p>
        </w:tc>
      </w:tr>
      <w:tr w:rsidR="00A34F45" w:rsidRPr="00315936" w14:paraId="130C53BF" w14:textId="77777777" w:rsidTr="008E1561">
        <w:trPr>
          <w:trHeight w:val="794"/>
        </w:trPr>
        <w:tc>
          <w:tcPr>
            <w:tcW w:w="1432" w:type="pct"/>
          </w:tcPr>
          <w:p w14:paraId="0F74C1DA" w14:textId="041AD5B0" w:rsidR="00A34F45" w:rsidRPr="00315936" w:rsidRDefault="00A34F45" w:rsidP="00A34F45">
            <w:pPr>
              <w:pStyle w:val="Tabletext"/>
              <w:rPr>
                <w:rFonts w:eastAsia="MS Gothic"/>
              </w:rPr>
            </w:pPr>
            <w:r w:rsidRPr="00315936">
              <w:rPr>
                <w:rFonts w:eastAsia="MS Gothic"/>
              </w:rPr>
              <w:t>Average ED length of stay (</w:t>
            </w:r>
            <w:r>
              <w:rPr>
                <w:rFonts w:eastAsia="MS Gothic"/>
              </w:rPr>
              <w:t>non-</w:t>
            </w:r>
            <w:r w:rsidRPr="00315936">
              <w:rPr>
                <w:rFonts w:eastAsia="MS Gothic"/>
              </w:rPr>
              <w:t>admitted), in minutes</w:t>
            </w:r>
          </w:p>
        </w:tc>
        <w:tc>
          <w:tcPr>
            <w:tcW w:w="1901" w:type="pct"/>
          </w:tcPr>
          <w:p w14:paraId="0D3D8B8F" w14:textId="701A04FB" w:rsidR="00A34F45" w:rsidRPr="00CD4B6B" w:rsidRDefault="00963BFC" w:rsidP="003241FA">
            <w:pPr>
              <w:pStyle w:val="Tabletext"/>
            </w:pPr>
            <w:r>
              <w:rPr>
                <w:b/>
                <w:bCs/>
              </w:rPr>
              <w:t>Rename</w:t>
            </w:r>
            <w:r w:rsidR="003241FA">
              <w:rPr>
                <w:b/>
                <w:bCs/>
              </w:rPr>
              <w:t xml:space="preserve"> to</w:t>
            </w:r>
            <w:r w:rsidR="00A34F45" w:rsidRPr="00CD4B6B">
              <w:rPr>
                <w:b/>
                <w:bCs/>
              </w:rPr>
              <w:t>:</w:t>
            </w:r>
            <w:r w:rsidR="003241FA">
              <w:rPr>
                <w:b/>
                <w:bCs/>
              </w:rPr>
              <w:t xml:space="preserve"> </w:t>
            </w:r>
            <w:r w:rsidR="00A34F45">
              <w:t>Average ED length of stay for non-admitted patients, in minutes</w:t>
            </w:r>
          </w:p>
        </w:tc>
        <w:tc>
          <w:tcPr>
            <w:tcW w:w="1666" w:type="pct"/>
          </w:tcPr>
          <w:p w14:paraId="0D1FABBE" w14:textId="5927DC31" w:rsidR="00A34F45" w:rsidRDefault="00A34F45" w:rsidP="007E392F">
            <w:pPr>
              <w:pStyle w:val="Tabletext"/>
              <w:tabs>
                <w:tab w:val="center" w:pos="1632"/>
              </w:tabs>
            </w:pPr>
            <w:r w:rsidRPr="00BC2918">
              <w:rPr>
                <w:b/>
                <w:bCs/>
              </w:rPr>
              <w:t>Rationale:</w:t>
            </w:r>
            <w:r w:rsidR="007E392F">
              <w:rPr>
                <w:b/>
                <w:bCs/>
              </w:rPr>
              <w:t xml:space="preserve"> </w:t>
            </w:r>
            <w:r w:rsidR="00E71285">
              <w:t>R</w:t>
            </w:r>
            <w:r w:rsidR="00BC2918" w:rsidRPr="00BC2918">
              <w:t>enam</w:t>
            </w:r>
            <w:r w:rsidR="00E71285">
              <w:t>ed</w:t>
            </w:r>
            <w:r w:rsidR="00BC2918" w:rsidRPr="00BC2918">
              <w:t xml:space="preserve"> to align with other length of stay measures.</w:t>
            </w:r>
            <w:r w:rsidR="00AC25A9">
              <w:tab/>
            </w:r>
          </w:p>
        </w:tc>
      </w:tr>
      <w:tr w:rsidR="00A34F45" w:rsidRPr="00315936" w14:paraId="0CD472C3" w14:textId="77777777" w:rsidTr="008E1561">
        <w:trPr>
          <w:trHeight w:val="794"/>
        </w:trPr>
        <w:tc>
          <w:tcPr>
            <w:tcW w:w="1432" w:type="pct"/>
          </w:tcPr>
          <w:p w14:paraId="45F7BE78" w14:textId="1CD8D7E1" w:rsidR="00A34F45" w:rsidRPr="00315936" w:rsidRDefault="00A34F45" w:rsidP="00A34F45">
            <w:pPr>
              <w:pStyle w:val="Tabletext"/>
            </w:pPr>
            <w:r w:rsidRPr="00315936">
              <w:rPr>
                <w:rFonts w:eastAsia="MS Gothic"/>
              </w:rPr>
              <w:t xml:space="preserve">Average ED length of stay (admitted), in minutes  </w:t>
            </w:r>
          </w:p>
        </w:tc>
        <w:tc>
          <w:tcPr>
            <w:tcW w:w="1901" w:type="pct"/>
          </w:tcPr>
          <w:p w14:paraId="053FD89D" w14:textId="0BF49451" w:rsidR="00A34F45" w:rsidRDefault="00963BFC" w:rsidP="004C5507">
            <w:pPr>
              <w:pStyle w:val="Tabletext"/>
            </w:pPr>
            <w:r>
              <w:rPr>
                <w:b/>
                <w:bCs/>
              </w:rPr>
              <w:t>R</w:t>
            </w:r>
            <w:r w:rsidR="002D365B">
              <w:rPr>
                <w:b/>
                <w:bCs/>
              </w:rPr>
              <w:t>e</w:t>
            </w:r>
            <w:r>
              <w:rPr>
                <w:b/>
                <w:bCs/>
              </w:rPr>
              <w:t>name</w:t>
            </w:r>
            <w:r w:rsidR="003241FA">
              <w:rPr>
                <w:b/>
                <w:bCs/>
              </w:rPr>
              <w:t xml:space="preserve"> to</w:t>
            </w:r>
            <w:r w:rsidR="00A34F45" w:rsidRPr="00CD4B6B">
              <w:rPr>
                <w:b/>
                <w:bCs/>
              </w:rPr>
              <w:t>:</w:t>
            </w:r>
            <w:r w:rsidR="003241FA">
              <w:rPr>
                <w:b/>
                <w:bCs/>
              </w:rPr>
              <w:t xml:space="preserve"> </w:t>
            </w:r>
            <w:r w:rsidR="00A34F45">
              <w:t>Average ED length of stay for admitted patients, in minutes</w:t>
            </w:r>
          </w:p>
          <w:p w14:paraId="3FE0D211" w14:textId="2CE56B9F" w:rsidR="00A34F45" w:rsidRDefault="00A34F45" w:rsidP="00535D2B">
            <w:pPr>
              <w:pStyle w:val="Tabletext"/>
            </w:pPr>
            <w:r w:rsidRPr="00455D7C">
              <w:rPr>
                <w:b/>
                <w:bCs/>
              </w:rPr>
              <w:t>Business rule change:</w:t>
            </w:r>
            <w:r w:rsidR="0050263B">
              <w:rPr>
                <w:b/>
                <w:bCs/>
              </w:rPr>
              <w:t xml:space="preserve"> </w:t>
            </w:r>
            <w:r w:rsidR="0050263B">
              <w:t>D</w:t>
            </w:r>
            <w:r>
              <w:t>epartures to Short Stay Units (SSU)</w:t>
            </w:r>
            <w:r w:rsidR="00E16035">
              <w:t xml:space="preserve"> and Mental Health and AOD Hub SSU</w:t>
            </w:r>
            <w:r w:rsidR="00034FE4">
              <w:t>s</w:t>
            </w:r>
            <w:r>
              <w:t xml:space="preserve"> no longer in scope</w:t>
            </w:r>
          </w:p>
          <w:p w14:paraId="4C52D98F" w14:textId="6D94278D" w:rsidR="00A34F45" w:rsidRPr="00472B38" w:rsidRDefault="00A34F45" w:rsidP="00535D2B">
            <w:pPr>
              <w:pStyle w:val="Tabletext"/>
            </w:pPr>
            <w:r w:rsidRPr="00455D7C">
              <w:rPr>
                <w:b/>
                <w:bCs/>
              </w:rPr>
              <w:t>Target change:</w:t>
            </w:r>
            <w:r w:rsidR="00123E14">
              <w:rPr>
                <w:b/>
                <w:bCs/>
              </w:rPr>
              <w:t xml:space="preserve"> </w:t>
            </w:r>
            <w:r w:rsidR="00952E27">
              <w:t xml:space="preserve">Less than or equal to </w:t>
            </w:r>
            <w:r w:rsidR="008F2FBE">
              <w:t xml:space="preserve">414 minutes </w:t>
            </w:r>
            <w:r w:rsidR="00FE1A69">
              <w:t>or</w:t>
            </w:r>
            <w:r w:rsidR="00B04A19">
              <w:t xml:space="preserve"> a</w:t>
            </w:r>
            <w:r w:rsidR="008B44D6">
              <w:t xml:space="preserve">t least </w:t>
            </w:r>
            <w:r w:rsidR="00B04A19">
              <w:t>5 per cent improvement on</w:t>
            </w:r>
            <w:r w:rsidR="001305F2">
              <w:t xml:space="preserve"> same time last year</w:t>
            </w:r>
          </w:p>
        </w:tc>
        <w:tc>
          <w:tcPr>
            <w:tcW w:w="1666" w:type="pct"/>
          </w:tcPr>
          <w:p w14:paraId="2171263B" w14:textId="14BB2ECE" w:rsidR="00F12558" w:rsidRDefault="00A34F45" w:rsidP="007E392F">
            <w:pPr>
              <w:pStyle w:val="Tabletext"/>
            </w:pPr>
            <w:r w:rsidRPr="00F12558">
              <w:rPr>
                <w:b/>
                <w:bCs/>
              </w:rPr>
              <w:t>Rationale:</w:t>
            </w:r>
            <w:r w:rsidR="007E392F">
              <w:rPr>
                <w:b/>
                <w:bCs/>
              </w:rPr>
              <w:t xml:space="preserve"> </w:t>
            </w:r>
            <w:r w:rsidR="009A0C25">
              <w:t>R</w:t>
            </w:r>
            <w:r w:rsidR="009A0C25" w:rsidRPr="00BC2918">
              <w:t>enam</w:t>
            </w:r>
            <w:r w:rsidR="009A0C25">
              <w:t>ed</w:t>
            </w:r>
            <w:r w:rsidR="009A0C25" w:rsidRPr="00BC2918">
              <w:t xml:space="preserve"> to align with other length of stay measures</w:t>
            </w:r>
            <w:r w:rsidR="009A0C25">
              <w:t>; target change</w:t>
            </w:r>
            <w:r w:rsidR="00F12558" w:rsidRPr="00BC2918">
              <w:t xml:space="preserve"> reflect</w:t>
            </w:r>
            <w:r w:rsidR="00905ACE">
              <w:t>s</w:t>
            </w:r>
            <w:r w:rsidR="00F12558" w:rsidRPr="00BC2918">
              <w:t xml:space="preserve"> consideration of past performance</w:t>
            </w:r>
            <w:r w:rsidR="00905ACE">
              <w:t>.</w:t>
            </w:r>
          </w:p>
        </w:tc>
      </w:tr>
      <w:tr w:rsidR="000E09C4" w:rsidRPr="00315936" w14:paraId="0AAA6CD5" w14:textId="77777777" w:rsidTr="008E1561">
        <w:trPr>
          <w:trHeight w:val="567"/>
        </w:trPr>
        <w:tc>
          <w:tcPr>
            <w:tcW w:w="1432" w:type="pct"/>
          </w:tcPr>
          <w:p w14:paraId="38AEB7F0" w14:textId="359DC5AE" w:rsidR="000E09C4" w:rsidRPr="00315936" w:rsidRDefault="000E09C4" w:rsidP="000E09C4">
            <w:pPr>
              <w:pStyle w:val="Tabletext"/>
            </w:pPr>
            <w:r w:rsidRPr="00315936">
              <w:t>Percentage of patients on the waiting list who have waited longer than clinically recommended for their respective triage category</w:t>
            </w:r>
          </w:p>
        </w:tc>
        <w:tc>
          <w:tcPr>
            <w:tcW w:w="1901" w:type="pct"/>
          </w:tcPr>
          <w:p w14:paraId="21D355FF" w14:textId="7E8CC87A" w:rsidR="00322D17" w:rsidRPr="00A37B0D" w:rsidRDefault="00291385" w:rsidP="0050263B">
            <w:pPr>
              <w:pStyle w:val="Tabletext"/>
              <w:rPr>
                <w:bCs/>
              </w:rPr>
            </w:pPr>
            <w:r>
              <w:rPr>
                <w:b/>
              </w:rPr>
              <w:t>Target change:</w:t>
            </w:r>
            <w:r w:rsidR="0050263B">
              <w:rPr>
                <w:b/>
              </w:rPr>
              <w:t xml:space="preserve"> </w:t>
            </w:r>
            <w:r w:rsidR="00322D17" w:rsidRPr="00A37B0D">
              <w:rPr>
                <w:bCs/>
              </w:rPr>
              <w:t xml:space="preserve">Target to remain at 25 per cent improvement compared to the </w:t>
            </w:r>
            <w:r w:rsidR="00B3304E">
              <w:rPr>
                <w:bCs/>
              </w:rPr>
              <w:t>same time last year</w:t>
            </w:r>
            <w:r w:rsidR="00FC31E7">
              <w:rPr>
                <w:bCs/>
              </w:rPr>
              <w:t>;</w:t>
            </w:r>
            <w:r w:rsidR="00322D17" w:rsidRPr="00A37B0D">
              <w:rPr>
                <w:bCs/>
              </w:rPr>
              <w:t xml:space="preserve"> however</w:t>
            </w:r>
            <w:r w:rsidR="00FC31E7">
              <w:rPr>
                <w:bCs/>
              </w:rPr>
              <w:t>,</w:t>
            </w:r>
            <w:r w:rsidR="00322D17" w:rsidRPr="00A37B0D">
              <w:rPr>
                <w:bCs/>
              </w:rPr>
              <w:t xml:space="preserve"> health services </w:t>
            </w:r>
            <w:r w:rsidR="007F1A1C" w:rsidRPr="00A37B0D">
              <w:rPr>
                <w:bCs/>
              </w:rPr>
              <w:t>previously</w:t>
            </w:r>
            <w:r w:rsidR="00322D17" w:rsidRPr="00A37B0D">
              <w:rPr>
                <w:bCs/>
              </w:rPr>
              <w:t xml:space="preserve"> exempt from this target</w:t>
            </w:r>
            <w:r w:rsidR="007F1A1C" w:rsidRPr="00A37B0D">
              <w:rPr>
                <w:bCs/>
              </w:rPr>
              <w:t xml:space="preserve"> will now </w:t>
            </w:r>
            <w:r w:rsidR="001522B4" w:rsidRPr="00A37B0D">
              <w:rPr>
                <w:bCs/>
              </w:rPr>
              <w:t>have the existing target applied</w:t>
            </w:r>
            <w:bookmarkStart w:id="14" w:name="_Ref201831384"/>
            <w:r w:rsidR="00153B17">
              <w:rPr>
                <w:rStyle w:val="EndnoteReference"/>
                <w:bCs/>
              </w:rPr>
              <w:endnoteReference w:id="3"/>
            </w:r>
            <w:bookmarkEnd w:id="14"/>
            <w:r w:rsidR="000167E6">
              <w:rPr>
                <w:bCs/>
              </w:rPr>
              <w:t xml:space="preserve">. </w:t>
            </w:r>
          </w:p>
        </w:tc>
        <w:tc>
          <w:tcPr>
            <w:tcW w:w="1666" w:type="pct"/>
          </w:tcPr>
          <w:p w14:paraId="4396C904" w14:textId="6BFF44DD" w:rsidR="00956A5A" w:rsidRPr="00956A5A" w:rsidRDefault="0020772A" w:rsidP="00C42B4D">
            <w:pPr>
              <w:pStyle w:val="Tabletext"/>
            </w:pPr>
            <w:r w:rsidRPr="00956A5A">
              <w:rPr>
                <w:b/>
                <w:bCs/>
              </w:rPr>
              <w:t>Rationale:</w:t>
            </w:r>
            <w:r w:rsidR="00C42B4D">
              <w:rPr>
                <w:b/>
                <w:bCs/>
              </w:rPr>
              <w:t xml:space="preserve"> </w:t>
            </w:r>
            <w:r w:rsidR="00762D5B">
              <w:t>O</w:t>
            </w:r>
            <w:r w:rsidR="006D05FC">
              <w:t xml:space="preserve">verachieving health services </w:t>
            </w:r>
            <w:r w:rsidR="00E7378E">
              <w:t>were</w:t>
            </w:r>
            <w:r w:rsidR="00956A5A" w:rsidRPr="00956A5A">
              <w:t xml:space="preserve"> exempt </w:t>
            </w:r>
            <w:r w:rsidR="00723288">
              <w:t>from the target</w:t>
            </w:r>
            <w:r w:rsidR="00762D5B">
              <w:t xml:space="preserve"> in 20</w:t>
            </w:r>
            <w:r w:rsidR="00762D5B" w:rsidRPr="00956A5A">
              <w:t>24</w:t>
            </w:r>
            <w:r w:rsidR="00762D5B">
              <w:t>–</w:t>
            </w:r>
            <w:r w:rsidR="00762D5B" w:rsidRPr="00956A5A">
              <w:t>25</w:t>
            </w:r>
            <w:r w:rsidR="00762D5B">
              <w:t>. A</w:t>
            </w:r>
            <w:r w:rsidR="00B717A5">
              <w:t>s</w:t>
            </w:r>
            <w:r w:rsidR="00723288">
              <w:t xml:space="preserve"> </w:t>
            </w:r>
            <w:r w:rsidR="006A069D">
              <w:t>t</w:t>
            </w:r>
            <w:r w:rsidR="00956A5A" w:rsidRPr="00956A5A">
              <w:t xml:space="preserve">here are no overachievers based on </w:t>
            </w:r>
            <w:r w:rsidR="001854F4">
              <w:t>20</w:t>
            </w:r>
            <w:r w:rsidR="001854F4" w:rsidRPr="00956A5A">
              <w:t>24</w:t>
            </w:r>
            <w:r w:rsidR="001854F4">
              <w:t>–</w:t>
            </w:r>
            <w:r w:rsidR="001854F4" w:rsidRPr="00956A5A">
              <w:t xml:space="preserve">25 </w:t>
            </w:r>
            <w:r w:rsidR="00956A5A" w:rsidRPr="00956A5A">
              <w:t>performance</w:t>
            </w:r>
            <w:r w:rsidR="00762D5B">
              <w:t xml:space="preserve"> e</w:t>
            </w:r>
            <w:r w:rsidR="00956A5A" w:rsidRPr="00956A5A">
              <w:t>xemption</w:t>
            </w:r>
            <w:r w:rsidR="0097676F">
              <w:t xml:space="preserve"> is</w:t>
            </w:r>
            <w:r w:rsidR="00956A5A" w:rsidRPr="00956A5A">
              <w:t xml:space="preserve"> not </w:t>
            </w:r>
            <w:r w:rsidR="00284583">
              <w:t>applicable</w:t>
            </w:r>
            <w:r w:rsidR="00956A5A" w:rsidRPr="00956A5A">
              <w:t>.</w:t>
            </w:r>
          </w:p>
        </w:tc>
      </w:tr>
      <w:tr w:rsidR="000E09C4" w14:paraId="552B3B1A" w14:textId="77777777" w:rsidTr="008E1561">
        <w:trPr>
          <w:trHeight w:val="794"/>
        </w:trPr>
        <w:tc>
          <w:tcPr>
            <w:tcW w:w="1432" w:type="pct"/>
          </w:tcPr>
          <w:p w14:paraId="4EA8DA5D" w14:textId="3DFCB588" w:rsidR="000E09C4" w:rsidRPr="00642BC4" w:rsidRDefault="000B1AF2" w:rsidP="00642BC4">
            <w:pPr>
              <w:pStyle w:val="Tabletext"/>
              <w:rPr>
                <w:rStyle w:val="FootnoteReference"/>
                <w:rFonts w:eastAsia="MS Gothic"/>
                <w:vertAlign w:val="baseline"/>
              </w:rPr>
            </w:pPr>
            <w:r w:rsidRPr="00315936">
              <w:rPr>
                <w:rFonts w:cs="Arial"/>
                <w:color w:val="000000"/>
                <w:szCs w:val="21"/>
                <w:shd w:val="clear" w:color="auto" w:fill="FFFFFF"/>
              </w:rPr>
              <w:t>Optimisation of surgical inpatient length of stay, including through use of virtual and home-based pre- and post-operative models of care</w:t>
            </w:r>
            <w:r w:rsidRPr="00315936">
              <w:rPr>
                <w:rStyle w:val="eop"/>
                <w:rFonts w:eastAsia="MS Gothic" w:cs="Arial"/>
                <w:color w:val="000000"/>
                <w:szCs w:val="21"/>
                <w:shd w:val="clear" w:color="auto" w:fill="FFFFFF"/>
              </w:rPr>
              <w:t> </w:t>
            </w:r>
          </w:p>
        </w:tc>
        <w:tc>
          <w:tcPr>
            <w:tcW w:w="1901" w:type="pct"/>
          </w:tcPr>
          <w:p w14:paraId="3ECE1074" w14:textId="6A8A24EC" w:rsidR="00D331D5" w:rsidRPr="004425DB" w:rsidRDefault="00D331D5" w:rsidP="00535D2B">
            <w:pPr>
              <w:pStyle w:val="Tabletext"/>
            </w:pPr>
            <w:r w:rsidRPr="004425DB">
              <w:rPr>
                <w:b/>
              </w:rPr>
              <w:t>Target change</w:t>
            </w:r>
            <w:r w:rsidR="000B1AF2" w:rsidRPr="004425DB">
              <w:rPr>
                <w:b/>
              </w:rPr>
              <w:t>:</w:t>
            </w:r>
            <w:r w:rsidR="0053380F" w:rsidRPr="00AF012F">
              <w:t xml:space="preserve"> Reduction in average LOS for surgical patients by</w:t>
            </w:r>
            <w:r w:rsidR="00F443CE" w:rsidRPr="00AF012F">
              <w:t xml:space="preserve"> at least</w:t>
            </w:r>
            <w:r w:rsidR="0053380F" w:rsidRPr="00AF012F">
              <w:t xml:space="preserve"> 2 per cent on prior year performance</w:t>
            </w:r>
          </w:p>
        </w:tc>
        <w:tc>
          <w:tcPr>
            <w:tcW w:w="1666" w:type="pct"/>
          </w:tcPr>
          <w:p w14:paraId="025A16D9" w14:textId="4575642E" w:rsidR="00372202" w:rsidRDefault="00372202" w:rsidP="00C42B4D">
            <w:pPr>
              <w:pStyle w:val="Tabletext"/>
            </w:pPr>
            <w:r w:rsidRPr="0073701A">
              <w:rPr>
                <w:b/>
                <w:bCs/>
              </w:rPr>
              <w:t>Rationale:</w:t>
            </w:r>
            <w:r w:rsidR="00C42B4D">
              <w:rPr>
                <w:b/>
                <w:bCs/>
              </w:rPr>
              <w:t xml:space="preserve"> </w:t>
            </w:r>
            <w:r>
              <w:t xml:space="preserve">Terminology updated for consistency with other targets </w:t>
            </w:r>
            <w:r w:rsidR="004A34E0">
              <w:t>and to reduce the need to update the reference year each performance cycle.</w:t>
            </w:r>
          </w:p>
        </w:tc>
      </w:tr>
      <w:tr w:rsidR="00D53893" w:rsidRPr="00315936" w14:paraId="19DAB544" w14:textId="77777777" w:rsidTr="008E1561">
        <w:trPr>
          <w:trHeight w:val="794"/>
        </w:trPr>
        <w:tc>
          <w:tcPr>
            <w:tcW w:w="1432" w:type="pct"/>
          </w:tcPr>
          <w:p w14:paraId="4EDDCF08" w14:textId="56159630" w:rsidR="00D53893" w:rsidRPr="00315936" w:rsidRDefault="00D53893">
            <w:pPr>
              <w:pStyle w:val="Tabletext"/>
            </w:pPr>
            <w:r>
              <w:t xml:space="preserve">Percentage of admitted bed days </w:t>
            </w:r>
            <w:r w:rsidR="00711E9A">
              <w:t>delivered at home</w:t>
            </w:r>
          </w:p>
        </w:tc>
        <w:tc>
          <w:tcPr>
            <w:tcW w:w="1901" w:type="pct"/>
          </w:tcPr>
          <w:p w14:paraId="2E5C4391" w14:textId="1291788C" w:rsidR="00711E9A" w:rsidRPr="00A04775" w:rsidRDefault="00711E9A" w:rsidP="00535D2B">
            <w:pPr>
              <w:pStyle w:val="Tablebullet1"/>
              <w:numPr>
                <w:ilvl w:val="0"/>
                <w:numId w:val="0"/>
              </w:numPr>
            </w:pPr>
            <w:r>
              <w:rPr>
                <w:b/>
                <w:bCs/>
              </w:rPr>
              <w:t>Target change:</w:t>
            </w:r>
            <w:r w:rsidRPr="00AF012F">
              <w:t xml:space="preserve"> Health service specific</w:t>
            </w:r>
          </w:p>
        </w:tc>
        <w:tc>
          <w:tcPr>
            <w:tcW w:w="1666" w:type="pct"/>
          </w:tcPr>
          <w:p w14:paraId="2498ED77" w14:textId="43C61F51" w:rsidR="00D53893" w:rsidRPr="0073701A" w:rsidRDefault="0073701A" w:rsidP="00A21917">
            <w:pPr>
              <w:pStyle w:val="Tabletext"/>
            </w:pPr>
            <w:r w:rsidRPr="0073701A">
              <w:rPr>
                <w:b/>
                <w:bCs/>
              </w:rPr>
              <w:t xml:space="preserve">Rationale: </w:t>
            </w:r>
            <w:r w:rsidR="00A21917">
              <w:t>Improves</w:t>
            </w:r>
            <w:r w:rsidRPr="0073701A">
              <w:t xml:space="preserve"> accountability and </w:t>
            </w:r>
            <w:r w:rsidR="00C42B4D">
              <w:t>considers</w:t>
            </w:r>
            <w:r w:rsidRPr="0073701A">
              <w:t xml:space="preserve"> previous performance of individual health services.</w:t>
            </w:r>
          </w:p>
        </w:tc>
      </w:tr>
      <w:tr w:rsidR="0080077F" w:rsidRPr="00315936" w14:paraId="779DDE8F" w14:textId="77777777" w:rsidTr="008E1561">
        <w:trPr>
          <w:trHeight w:val="794"/>
        </w:trPr>
        <w:tc>
          <w:tcPr>
            <w:tcW w:w="1432" w:type="pct"/>
          </w:tcPr>
          <w:p w14:paraId="0F50CD08" w14:textId="4BE82B8B" w:rsidR="0080077F" w:rsidRPr="00315936" w:rsidRDefault="00D531F6" w:rsidP="0080077F">
            <w:pPr>
              <w:pStyle w:val="Tabletext"/>
            </w:pPr>
            <w:r>
              <w:t xml:space="preserve">Average </w:t>
            </w:r>
            <w:r w:rsidR="0080077F">
              <w:t>I</w:t>
            </w:r>
            <w:r>
              <w:t>n</w:t>
            </w:r>
            <w:r w:rsidR="0080077F">
              <w:t>patient length of stay, in minutes</w:t>
            </w:r>
          </w:p>
        </w:tc>
        <w:tc>
          <w:tcPr>
            <w:tcW w:w="1901" w:type="pct"/>
          </w:tcPr>
          <w:p w14:paraId="29D66BE6" w14:textId="5ED3B7BE" w:rsidR="0080077F" w:rsidRPr="0080077F" w:rsidRDefault="0080077F" w:rsidP="0080077F">
            <w:pPr>
              <w:pStyle w:val="Tabletext"/>
              <w:rPr>
                <w:b/>
                <w:bCs/>
              </w:rPr>
            </w:pPr>
            <w:r>
              <w:rPr>
                <w:b/>
                <w:bCs/>
              </w:rPr>
              <w:t>Measure removal</w:t>
            </w:r>
          </w:p>
        </w:tc>
        <w:tc>
          <w:tcPr>
            <w:tcW w:w="1666" w:type="pct"/>
          </w:tcPr>
          <w:p w14:paraId="21F60EAE" w14:textId="653E40CF" w:rsidR="0080077F" w:rsidRPr="00323D02" w:rsidRDefault="0080077F" w:rsidP="0080077F">
            <w:pPr>
              <w:pStyle w:val="Tabletext"/>
              <w:rPr>
                <w:b/>
                <w:bCs/>
              </w:rPr>
            </w:pPr>
            <w:r>
              <w:rPr>
                <w:b/>
                <w:bCs/>
              </w:rPr>
              <w:t xml:space="preserve">Rationale: </w:t>
            </w:r>
            <w:r w:rsidR="0024176F">
              <w:t>Sector f</w:t>
            </w:r>
            <w:r w:rsidRPr="0080077F">
              <w:t xml:space="preserve">eedback </w:t>
            </w:r>
            <w:r w:rsidR="00E8069F">
              <w:t xml:space="preserve">indicates </w:t>
            </w:r>
            <w:r w:rsidR="00F466E6">
              <w:t xml:space="preserve">the </w:t>
            </w:r>
            <w:r w:rsidRPr="0080077F">
              <w:t>measure is not useful. An alternative measure will be developed for subsequent cycles.</w:t>
            </w:r>
          </w:p>
        </w:tc>
      </w:tr>
    </w:tbl>
    <w:p w14:paraId="57894808" w14:textId="78CB80B9" w:rsidR="00B633E6" w:rsidRDefault="00B633E6" w:rsidP="004C0FB6">
      <w:pPr>
        <w:pStyle w:val="Heading2"/>
      </w:pPr>
      <w:bookmarkStart w:id="15" w:name="_Toc545487944"/>
      <w:bookmarkStart w:id="16" w:name="_Toc234580066"/>
      <w:r w:rsidRPr="00315936">
        <w:t>Effective financial management</w:t>
      </w:r>
      <w:bookmarkEnd w:id="15"/>
      <w:bookmarkEnd w:id="16"/>
    </w:p>
    <w:tbl>
      <w:tblPr>
        <w:tblStyle w:val="TableGrid"/>
        <w:tblW w:w="4961" w:type="pct"/>
        <w:tblLayout w:type="fixed"/>
        <w:tblLook w:val="04A0" w:firstRow="1" w:lastRow="0" w:firstColumn="1" w:lastColumn="0" w:noHBand="0" w:noVBand="1"/>
      </w:tblPr>
      <w:tblGrid>
        <w:gridCol w:w="2972"/>
        <w:gridCol w:w="3945"/>
        <w:gridCol w:w="3457"/>
      </w:tblGrid>
      <w:tr w:rsidR="004670A1" w:rsidRPr="00315936" w14:paraId="55D3B93D" w14:textId="77777777" w:rsidTr="55528ABA">
        <w:trPr>
          <w:trHeight w:val="340"/>
          <w:tblHeader/>
        </w:trPr>
        <w:tc>
          <w:tcPr>
            <w:tcW w:w="1432" w:type="pct"/>
            <w:shd w:val="clear" w:color="auto" w:fill="000066"/>
          </w:tcPr>
          <w:p w14:paraId="1A7116B5" w14:textId="77777777" w:rsidR="004670A1" w:rsidRPr="003477D2" w:rsidRDefault="004670A1" w:rsidP="003477D2">
            <w:pPr>
              <w:pStyle w:val="Tablecolhead"/>
            </w:pPr>
            <w:r w:rsidRPr="003477D2">
              <w:t>Key performance measure</w:t>
            </w:r>
          </w:p>
        </w:tc>
        <w:tc>
          <w:tcPr>
            <w:tcW w:w="1901" w:type="pct"/>
            <w:shd w:val="clear" w:color="auto" w:fill="000066"/>
          </w:tcPr>
          <w:p w14:paraId="7F80E5C2" w14:textId="77777777" w:rsidR="004670A1" w:rsidRPr="003477D2" w:rsidRDefault="004670A1" w:rsidP="003477D2">
            <w:pPr>
              <w:pStyle w:val="Tablecolhead"/>
            </w:pPr>
            <w:r w:rsidRPr="003477D2">
              <w:t>Change</w:t>
            </w:r>
          </w:p>
        </w:tc>
        <w:tc>
          <w:tcPr>
            <w:tcW w:w="1666" w:type="pct"/>
            <w:shd w:val="clear" w:color="auto" w:fill="000066"/>
          </w:tcPr>
          <w:p w14:paraId="0EFB32AC" w14:textId="77777777" w:rsidR="004670A1" w:rsidRPr="003477D2" w:rsidRDefault="004670A1" w:rsidP="003477D2">
            <w:pPr>
              <w:pStyle w:val="Tablecolhead"/>
            </w:pPr>
            <w:r w:rsidRPr="003477D2">
              <w:t>Commentary</w:t>
            </w:r>
          </w:p>
        </w:tc>
      </w:tr>
      <w:tr w:rsidR="007A3CA1" w:rsidRPr="00315936" w14:paraId="590C0D12" w14:textId="77777777" w:rsidTr="55528ABA">
        <w:trPr>
          <w:trHeight w:val="794"/>
        </w:trPr>
        <w:tc>
          <w:tcPr>
            <w:tcW w:w="1432" w:type="pct"/>
          </w:tcPr>
          <w:p w14:paraId="3CA6C1A9" w14:textId="24E1BBD6" w:rsidR="007A3CA1" w:rsidRPr="00315936" w:rsidRDefault="002A478C">
            <w:pPr>
              <w:pStyle w:val="Tabletext"/>
            </w:pPr>
            <w:r>
              <w:t xml:space="preserve">Variance between forecast and actual Net </w:t>
            </w:r>
            <w:r w:rsidR="00EA7E80">
              <w:t>R</w:t>
            </w:r>
            <w:r>
              <w:t xml:space="preserve">esult </w:t>
            </w:r>
            <w:bookmarkStart w:id="17" w:name="_Int_oVaUN1Zx"/>
            <w:proofErr w:type="gramStart"/>
            <w:r w:rsidR="00EA7E80">
              <w:t>F</w:t>
            </w:r>
            <w:r>
              <w:t>rom</w:t>
            </w:r>
            <w:bookmarkEnd w:id="17"/>
            <w:proofErr w:type="gramEnd"/>
            <w:r>
              <w:t xml:space="preserve"> </w:t>
            </w:r>
            <w:r w:rsidR="00EA7E80">
              <w:t>T</w:t>
            </w:r>
            <w:r>
              <w:t>ransactions (NRFT) for the current financial year ending 30 June</w:t>
            </w:r>
            <w:r w:rsidR="00783E53">
              <w:t xml:space="preserve"> </w:t>
            </w:r>
          </w:p>
        </w:tc>
        <w:tc>
          <w:tcPr>
            <w:tcW w:w="1901" w:type="pct"/>
          </w:tcPr>
          <w:p w14:paraId="16D5579A" w14:textId="02EFD50A" w:rsidR="00D4209C" w:rsidRDefault="00D4209C">
            <w:pPr>
              <w:pStyle w:val="Tabletext"/>
            </w:pPr>
            <w:r>
              <w:rPr>
                <w:b/>
              </w:rPr>
              <w:t>Rename</w:t>
            </w:r>
            <w:r w:rsidR="00344D66">
              <w:rPr>
                <w:b/>
              </w:rPr>
              <w:t xml:space="preserve"> to: </w:t>
            </w:r>
            <w:r w:rsidR="009F7EC5">
              <w:t>V</w:t>
            </w:r>
            <w:r w:rsidR="009F7EC5" w:rsidRPr="006B2CF1">
              <w:t>ariance</w:t>
            </w:r>
            <w:r w:rsidRPr="006B2CF1">
              <w:t xml:space="preserve"> between the forecast and actual operating result (OR) as a percentage of the forecast OR for the current year ending 30 June</w:t>
            </w:r>
            <w:r w:rsidR="006B05A9">
              <w:t>.</w:t>
            </w:r>
          </w:p>
          <w:p w14:paraId="64603FE4" w14:textId="19674C1D" w:rsidR="00D4209C" w:rsidRPr="00A37B0D" w:rsidRDefault="00712D66" w:rsidP="00535D2B">
            <w:pPr>
              <w:pStyle w:val="Tabletext"/>
            </w:pPr>
            <w:r>
              <w:rPr>
                <w:b/>
              </w:rPr>
              <w:t>Business rules change:</w:t>
            </w:r>
            <w:r w:rsidR="00B00031">
              <w:rPr>
                <w:bCs/>
              </w:rPr>
              <w:t xml:space="preserve"> </w:t>
            </w:r>
            <w:r w:rsidR="00B479F6" w:rsidRPr="00DB0CA1">
              <w:t xml:space="preserve"> </w:t>
            </w:r>
            <w:r w:rsidR="00B00031">
              <w:t>V</w:t>
            </w:r>
            <w:r w:rsidR="00B479F6">
              <w:t>ariance between the forecast and actual OR as a percentage of the forecast OR for the current financial year</w:t>
            </w:r>
          </w:p>
        </w:tc>
        <w:tc>
          <w:tcPr>
            <w:tcW w:w="1666" w:type="pct"/>
          </w:tcPr>
          <w:p w14:paraId="5B800350" w14:textId="4B2768B4" w:rsidR="00DB0CA1" w:rsidRPr="00315936" w:rsidRDefault="00AF3FDF" w:rsidP="007E392F">
            <w:pPr>
              <w:pStyle w:val="Tabletext"/>
            </w:pPr>
            <w:r w:rsidRPr="00DB0CA1">
              <w:rPr>
                <w:b/>
                <w:bCs/>
              </w:rPr>
              <w:t>Rationale:</w:t>
            </w:r>
            <w:r w:rsidR="007E392F">
              <w:rPr>
                <w:b/>
                <w:bCs/>
              </w:rPr>
              <w:t xml:space="preserve"> </w:t>
            </w:r>
            <w:r w:rsidR="00DB0CA1" w:rsidRPr="00DB0CA1">
              <w:t xml:space="preserve">Operating result forecast is a more useful </w:t>
            </w:r>
            <w:r w:rsidR="099FB30B">
              <w:t>indic</w:t>
            </w:r>
            <w:r w:rsidR="33C20E6C">
              <w:t>a</w:t>
            </w:r>
            <w:r w:rsidR="099FB30B">
              <w:t>tor</w:t>
            </w:r>
            <w:r w:rsidR="00DB0CA1" w:rsidRPr="00DB0CA1">
              <w:t xml:space="preserve"> of financial performance</w:t>
            </w:r>
          </w:p>
        </w:tc>
      </w:tr>
    </w:tbl>
    <w:p w14:paraId="33343EEA" w14:textId="0941E7BA" w:rsidR="008A2727" w:rsidRDefault="008A2727" w:rsidP="00C34AB0">
      <w:pPr>
        <w:spacing w:after="0" w:line="240" w:lineRule="auto"/>
        <w:rPr>
          <w:rFonts w:eastAsia="Times"/>
        </w:rPr>
        <w:sectPr w:rsidR="008A2727" w:rsidSect="008E1561">
          <w:pgSz w:w="11906" w:h="16838" w:code="9"/>
          <w:pgMar w:top="720" w:right="720" w:bottom="720" w:left="720" w:header="680" w:footer="851" w:gutter="0"/>
          <w:cols w:space="340"/>
          <w:docGrid w:linePitch="360"/>
        </w:sectPr>
      </w:pPr>
    </w:p>
    <w:p w14:paraId="22BD7295" w14:textId="3E467247" w:rsidR="00C524A7" w:rsidRPr="00315936" w:rsidRDefault="00B16C5E" w:rsidP="1FAFEA63">
      <w:pPr>
        <w:pStyle w:val="Heading1"/>
        <w:spacing w:after="0" w:line="240" w:lineRule="auto"/>
      </w:pPr>
      <w:bookmarkStart w:id="18" w:name="_Toc234580067"/>
      <w:r>
        <w:lastRenderedPageBreak/>
        <w:t>2025</w:t>
      </w:r>
      <w:r w:rsidR="00576093">
        <w:t>–</w:t>
      </w:r>
      <w:r w:rsidR="008C3EC1">
        <w:t>2</w:t>
      </w:r>
      <w:r>
        <w:t>6</w:t>
      </w:r>
      <w:r w:rsidR="008C3EC1">
        <w:t xml:space="preserve"> </w:t>
      </w:r>
      <w:r w:rsidR="00733A0B">
        <w:t>Key performance measures</w:t>
      </w:r>
      <w:bookmarkEnd w:id="18"/>
    </w:p>
    <w:p w14:paraId="40AF0CD4" w14:textId="1F48CFBE" w:rsidR="00733A0B" w:rsidRPr="00315936" w:rsidRDefault="00733A0B" w:rsidP="00733A0B">
      <w:pPr>
        <w:pStyle w:val="Heading2"/>
      </w:pPr>
      <w:bookmarkStart w:id="19" w:name="_Toc167781662"/>
      <w:bookmarkStart w:id="20" w:name="_Toc234580068"/>
      <w:r w:rsidRPr="00315936">
        <w:t>High quality and safe care</w:t>
      </w:r>
      <w:bookmarkEnd w:id="19"/>
      <w:bookmarkEnd w:id="20"/>
    </w:p>
    <w:tbl>
      <w:tblPr>
        <w:tblStyle w:val="TableGrid"/>
        <w:tblW w:w="10374" w:type="dxa"/>
        <w:tblLook w:val="04A0" w:firstRow="1" w:lastRow="0" w:firstColumn="1" w:lastColumn="0" w:noHBand="0" w:noVBand="1"/>
      </w:tblPr>
      <w:tblGrid>
        <w:gridCol w:w="2547"/>
        <w:gridCol w:w="4369"/>
        <w:gridCol w:w="3458"/>
      </w:tblGrid>
      <w:tr w:rsidR="00D11EA6" w:rsidRPr="00315936" w14:paraId="33D00530" w14:textId="77777777" w:rsidTr="008E1561">
        <w:trPr>
          <w:cantSplit/>
          <w:trHeight w:val="340"/>
          <w:tblHeader/>
        </w:trPr>
        <w:tc>
          <w:tcPr>
            <w:tcW w:w="2547" w:type="dxa"/>
            <w:shd w:val="clear" w:color="auto" w:fill="000066"/>
          </w:tcPr>
          <w:p w14:paraId="083B3415" w14:textId="399CA632" w:rsidR="00733A0B" w:rsidRPr="00315936" w:rsidRDefault="00733A0B">
            <w:pPr>
              <w:pStyle w:val="Tablecolhead"/>
            </w:pPr>
            <w:r w:rsidRPr="00315936">
              <w:t>Program</w:t>
            </w:r>
          </w:p>
        </w:tc>
        <w:tc>
          <w:tcPr>
            <w:tcW w:w="4369" w:type="dxa"/>
            <w:shd w:val="clear" w:color="auto" w:fill="000066"/>
          </w:tcPr>
          <w:p w14:paraId="6249C1D3" w14:textId="1CFA0883" w:rsidR="00733A0B" w:rsidRPr="00315936" w:rsidRDefault="00733A0B">
            <w:pPr>
              <w:pStyle w:val="Tablecolhead"/>
            </w:pPr>
            <w:r w:rsidRPr="00315936">
              <w:t>Measure</w:t>
            </w:r>
          </w:p>
        </w:tc>
        <w:tc>
          <w:tcPr>
            <w:tcW w:w="3458" w:type="dxa"/>
            <w:shd w:val="clear" w:color="auto" w:fill="000066"/>
          </w:tcPr>
          <w:p w14:paraId="429D9E55" w14:textId="05B0DDBD" w:rsidR="00733A0B" w:rsidRPr="00315936" w:rsidRDefault="00733A0B">
            <w:pPr>
              <w:pStyle w:val="Tablecolhead"/>
            </w:pPr>
            <w:r w:rsidRPr="00315936">
              <w:t>Target</w:t>
            </w:r>
          </w:p>
        </w:tc>
      </w:tr>
      <w:tr w:rsidR="00494385" w:rsidRPr="00315936" w14:paraId="3BCEB99D" w14:textId="77777777" w:rsidTr="008E1561">
        <w:trPr>
          <w:cantSplit/>
        </w:trPr>
        <w:tc>
          <w:tcPr>
            <w:tcW w:w="2547" w:type="dxa"/>
          </w:tcPr>
          <w:p w14:paraId="4E63C1E7" w14:textId="43FF09F1" w:rsidR="001E64E1" w:rsidRPr="00315936" w:rsidRDefault="001E64E1" w:rsidP="001E64E1">
            <w:pPr>
              <w:pStyle w:val="Tabletext"/>
            </w:pPr>
            <w:r w:rsidRPr="00315936">
              <w:t>Infection prevention and control</w:t>
            </w:r>
          </w:p>
        </w:tc>
        <w:tc>
          <w:tcPr>
            <w:tcW w:w="4369" w:type="dxa"/>
          </w:tcPr>
          <w:p w14:paraId="64128EFC" w14:textId="2A08F737" w:rsidR="001E64E1" w:rsidRPr="00315936" w:rsidRDefault="001E64E1" w:rsidP="001E64E1">
            <w:pPr>
              <w:pStyle w:val="Tabletext"/>
              <w:rPr>
                <w:vertAlign w:val="superscript"/>
              </w:rPr>
            </w:pPr>
            <w:r w:rsidRPr="00315936">
              <w:t>Percentage of healthcare workers immunised for influenz</w:t>
            </w:r>
            <w:bookmarkStart w:id="21" w:name="_Ref169537961"/>
            <w:r w:rsidRPr="00315936">
              <w:t>a</w:t>
            </w:r>
            <w:bookmarkEnd w:id="21"/>
          </w:p>
        </w:tc>
        <w:tc>
          <w:tcPr>
            <w:tcW w:w="3458" w:type="dxa"/>
          </w:tcPr>
          <w:p w14:paraId="3704521B" w14:textId="6ED7579B" w:rsidR="001E64E1" w:rsidRPr="00315936" w:rsidRDefault="001E64E1" w:rsidP="001E64E1">
            <w:pPr>
              <w:pStyle w:val="Tabletext"/>
            </w:pPr>
            <w:r w:rsidRPr="00315936">
              <w:t>94</w:t>
            </w:r>
            <w:r w:rsidR="00A67D0D" w:rsidRPr="00315936">
              <w:t xml:space="preserve"> per cent</w:t>
            </w:r>
          </w:p>
        </w:tc>
      </w:tr>
      <w:tr w:rsidR="00494385" w:rsidRPr="00315936" w14:paraId="77886CC7" w14:textId="77777777" w:rsidTr="008E1561">
        <w:trPr>
          <w:cantSplit/>
        </w:trPr>
        <w:tc>
          <w:tcPr>
            <w:tcW w:w="2547" w:type="dxa"/>
          </w:tcPr>
          <w:p w14:paraId="20BA47D3" w14:textId="792C0178" w:rsidR="001E64E1" w:rsidRPr="00315936" w:rsidRDefault="001E64E1" w:rsidP="001E64E1">
            <w:pPr>
              <w:pStyle w:val="Tabletext"/>
            </w:pPr>
            <w:r w:rsidRPr="00315936">
              <w:t>Continuing care</w:t>
            </w:r>
          </w:p>
        </w:tc>
        <w:tc>
          <w:tcPr>
            <w:tcW w:w="4369" w:type="dxa"/>
          </w:tcPr>
          <w:p w14:paraId="2562346F" w14:textId="7DA9ED9B" w:rsidR="001E64E1" w:rsidRPr="00315936" w:rsidRDefault="001E64E1" w:rsidP="001E64E1">
            <w:pPr>
              <w:pStyle w:val="Tabletext"/>
            </w:pPr>
            <w:r w:rsidRPr="00315936">
              <w:t>Average change in the functional independence measure (FIM) score per day of care for rehabilitation separations</w:t>
            </w:r>
          </w:p>
        </w:tc>
        <w:tc>
          <w:tcPr>
            <w:tcW w:w="3458" w:type="dxa"/>
          </w:tcPr>
          <w:p w14:paraId="43824471" w14:textId="73528413" w:rsidR="001E64E1" w:rsidRPr="00315936" w:rsidRDefault="000B6450" w:rsidP="001E64E1">
            <w:pPr>
              <w:pStyle w:val="Tabletext"/>
            </w:pPr>
            <w:r>
              <w:t xml:space="preserve">Greater than or equal to </w:t>
            </w:r>
            <w:r w:rsidR="001E64E1" w:rsidRPr="00315936">
              <w:t>0.645</w:t>
            </w:r>
          </w:p>
        </w:tc>
      </w:tr>
      <w:tr w:rsidR="00494385" w:rsidRPr="00315936" w14:paraId="4C514097" w14:textId="77777777" w:rsidTr="008E1561">
        <w:trPr>
          <w:cantSplit/>
        </w:trPr>
        <w:tc>
          <w:tcPr>
            <w:tcW w:w="2547" w:type="dxa"/>
          </w:tcPr>
          <w:p w14:paraId="61BA4C27" w14:textId="7AF1F385" w:rsidR="001E64E1" w:rsidRPr="00315936" w:rsidRDefault="001E64E1" w:rsidP="001E64E1">
            <w:pPr>
              <w:pStyle w:val="Tabletext"/>
            </w:pPr>
            <w:r w:rsidRPr="00315936">
              <w:t>Adverse events</w:t>
            </w:r>
          </w:p>
        </w:tc>
        <w:tc>
          <w:tcPr>
            <w:tcW w:w="4369" w:type="dxa"/>
          </w:tcPr>
          <w:p w14:paraId="430858DF" w14:textId="6BCFFBCF" w:rsidR="001E64E1" w:rsidRPr="00315936" w:rsidRDefault="001E64E1" w:rsidP="001E64E1">
            <w:pPr>
              <w:pStyle w:val="Tabletext"/>
            </w:pPr>
            <w:r w:rsidRPr="00315936">
              <w:rPr>
                <w:rFonts w:eastAsia="MS Gothic"/>
              </w:rPr>
              <w:t>Percentage of reported sentinel events for which a root cause analysis (RCA) report was submitted within 30 business days from notification of the event</w:t>
            </w:r>
            <w:r w:rsidRPr="00315936">
              <w:rPr>
                <w:rStyle w:val="eop"/>
                <w:rFonts w:eastAsia="MS Mincho"/>
              </w:rPr>
              <w:t> </w:t>
            </w:r>
          </w:p>
        </w:tc>
        <w:tc>
          <w:tcPr>
            <w:tcW w:w="3458" w:type="dxa"/>
          </w:tcPr>
          <w:p w14:paraId="324641A6" w14:textId="50177210" w:rsidR="001E64E1" w:rsidRPr="00315936" w:rsidRDefault="001E64E1" w:rsidP="001E64E1">
            <w:pPr>
              <w:pStyle w:val="Tabletext"/>
            </w:pPr>
            <w:r w:rsidRPr="00315936">
              <w:t>All sentinel event reports submitted within 30 business days from notification</w:t>
            </w:r>
          </w:p>
        </w:tc>
      </w:tr>
      <w:tr w:rsidR="00494385" w:rsidRPr="00315936" w14:paraId="660D635F" w14:textId="77777777" w:rsidTr="008E1561">
        <w:trPr>
          <w:cantSplit/>
        </w:trPr>
        <w:tc>
          <w:tcPr>
            <w:tcW w:w="2547" w:type="dxa"/>
          </w:tcPr>
          <w:p w14:paraId="04B393C8" w14:textId="2A2D459C" w:rsidR="001E64E1" w:rsidRPr="00315936" w:rsidRDefault="001E64E1" w:rsidP="001E64E1">
            <w:pPr>
              <w:pStyle w:val="Tabletext"/>
            </w:pPr>
            <w:r w:rsidRPr="00315936">
              <w:t>Aged care</w:t>
            </w:r>
          </w:p>
        </w:tc>
        <w:tc>
          <w:tcPr>
            <w:tcW w:w="4369" w:type="dxa"/>
          </w:tcPr>
          <w:p w14:paraId="783907AA" w14:textId="2AE2CF3E" w:rsidR="001E64E1" w:rsidRPr="00315936" w:rsidRDefault="00783A59" w:rsidP="001E64E1">
            <w:pPr>
              <w:pStyle w:val="Tabletext"/>
            </w:pPr>
            <w:r w:rsidRPr="00315936">
              <w:t xml:space="preserve">Public Sector Residential Aged Care Services </w:t>
            </w:r>
            <w:r w:rsidR="00912D9D">
              <w:t>overall star rating</w:t>
            </w:r>
          </w:p>
        </w:tc>
        <w:tc>
          <w:tcPr>
            <w:tcW w:w="3458" w:type="dxa"/>
          </w:tcPr>
          <w:p w14:paraId="3EE804D0" w14:textId="3638E24D" w:rsidR="001E64E1" w:rsidRPr="00315936" w:rsidRDefault="00912D9D" w:rsidP="001E64E1">
            <w:pPr>
              <w:pStyle w:val="Tabletext"/>
            </w:pPr>
            <w:r>
              <w:t>100</w:t>
            </w:r>
            <w:r w:rsidR="00477259">
              <w:t xml:space="preserve"> per cent</w:t>
            </w:r>
            <w:r>
              <w:t xml:space="preserve"> </w:t>
            </w:r>
            <w:r w:rsidR="00210563">
              <w:t>of services at 3 stars or above</w:t>
            </w:r>
          </w:p>
        </w:tc>
      </w:tr>
      <w:tr w:rsidR="00494385" w:rsidRPr="00315936" w14:paraId="48D5864D" w14:textId="77777777" w:rsidTr="008E1561">
        <w:trPr>
          <w:cantSplit/>
        </w:trPr>
        <w:tc>
          <w:tcPr>
            <w:tcW w:w="2547" w:type="dxa"/>
          </w:tcPr>
          <w:p w14:paraId="2AAA1C1D" w14:textId="3C55E0E9" w:rsidR="001E64E1" w:rsidRPr="00315936" w:rsidRDefault="001E64E1" w:rsidP="001E64E1">
            <w:pPr>
              <w:pStyle w:val="Tabletext"/>
              <w:rPr>
                <w:rFonts w:eastAsia="MS Gothic"/>
              </w:rPr>
            </w:pPr>
            <w:r w:rsidRPr="00315936">
              <w:t>Patient experience</w:t>
            </w:r>
          </w:p>
        </w:tc>
        <w:tc>
          <w:tcPr>
            <w:tcW w:w="4369" w:type="dxa"/>
          </w:tcPr>
          <w:p w14:paraId="5B054DE3" w14:textId="526B054D" w:rsidR="001E64E1" w:rsidRPr="00315936" w:rsidRDefault="001E64E1" w:rsidP="001E64E1">
            <w:pPr>
              <w:pStyle w:val="Tabletext"/>
              <w:rPr>
                <w:rFonts w:eastAsia="MS Gothic"/>
              </w:rPr>
            </w:pPr>
            <w:r w:rsidRPr="00315936">
              <w:t xml:space="preserve">Percentage of patients who reported positive experiences of their hospital stay </w:t>
            </w:r>
          </w:p>
        </w:tc>
        <w:tc>
          <w:tcPr>
            <w:tcW w:w="3458" w:type="dxa"/>
          </w:tcPr>
          <w:p w14:paraId="7589F6FF" w14:textId="3A42E3EC" w:rsidR="001E64E1" w:rsidRPr="00315936" w:rsidRDefault="7E2A516F" w:rsidP="001E64E1">
            <w:pPr>
              <w:pStyle w:val="Tabletext"/>
            </w:pPr>
            <w:r>
              <w:t>95</w:t>
            </w:r>
            <w:r w:rsidR="74709492">
              <w:t xml:space="preserve"> per cent</w:t>
            </w:r>
          </w:p>
        </w:tc>
      </w:tr>
      <w:tr w:rsidR="00494385" w:rsidRPr="00315936" w14:paraId="09BFDC45" w14:textId="77777777" w:rsidTr="008E1561">
        <w:trPr>
          <w:cantSplit/>
        </w:trPr>
        <w:tc>
          <w:tcPr>
            <w:tcW w:w="2547" w:type="dxa"/>
          </w:tcPr>
          <w:p w14:paraId="1360B8D1" w14:textId="10549A68" w:rsidR="001E64E1" w:rsidRPr="00315936" w:rsidRDefault="001E64E1" w:rsidP="001E64E1">
            <w:pPr>
              <w:pStyle w:val="Tabletext"/>
              <w:rPr>
                <w:rFonts w:eastAsia="MS Gothic"/>
              </w:rPr>
            </w:pPr>
            <w:r w:rsidRPr="00315936">
              <w:t>Aboriginal health</w:t>
            </w:r>
          </w:p>
        </w:tc>
        <w:tc>
          <w:tcPr>
            <w:tcW w:w="4369" w:type="dxa"/>
          </w:tcPr>
          <w:p w14:paraId="009EE546" w14:textId="67A27E66" w:rsidR="001E64E1" w:rsidRPr="00315936" w:rsidRDefault="00230564" w:rsidP="001E64E1">
            <w:pPr>
              <w:pStyle w:val="Tabletext"/>
            </w:pPr>
            <w:r w:rsidRPr="002156EA">
              <w:t xml:space="preserve">The difference between the percentage of Aboriginal </w:t>
            </w:r>
            <w:r w:rsidR="00F11536">
              <w:t>and/or Torres Strait Islander</w:t>
            </w:r>
            <w:r w:rsidRPr="002156EA">
              <w:t xml:space="preserve"> patients and non-Aboriginal </w:t>
            </w:r>
            <w:r w:rsidR="00F11536">
              <w:t xml:space="preserve">and/or non-Torres Strait Islander </w:t>
            </w:r>
            <w:r w:rsidRPr="002156EA">
              <w:t xml:space="preserve">patients who left against medical </w:t>
            </w:r>
            <w:r w:rsidR="001E64E1" w:rsidRPr="00315936" w:rsidDel="00230564">
              <w:t>advice</w:t>
            </w:r>
          </w:p>
        </w:tc>
        <w:tc>
          <w:tcPr>
            <w:tcW w:w="3458" w:type="dxa"/>
          </w:tcPr>
          <w:p w14:paraId="6ACE5C82" w14:textId="08BAB22D" w:rsidR="001E64E1" w:rsidRPr="00315936" w:rsidRDefault="00987653" w:rsidP="001E64E1">
            <w:pPr>
              <w:pStyle w:val="Tabletext"/>
            </w:pPr>
            <w:r w:rsidRPr="00315936">
              <w:t>0</w:t>
            </w:r>
            <w:r w:rsidR="00C90186" w:rsidRPr="00315936">
              <w:t xml:space="preserve"> per</w:t>
            </w:r>
            <w:r w:rsidR="00FC697C">
              <w:t xml:space="preserve"> </w:t>
            </w:r>
            <w:r w:rsidR="00C90186" w:rsidRPr="00315936">
              <w:t>cent</w:t>
            </w:r>
          </w:p>
        </w:tc>
      </w:tr>
      <w:tr w:rsidR="00494385" w:rsidRPr="00315936" w14:paraId="528FC691" w14:textId="77777777" w:rsidTr="008E1561">
        <w:trPr>
          <w:cantSplit/>
        </w:trPr>
        <w:tc>
          <w:tcPr>
            <w:tcW w:w="2547" w:type="dxa"/>
          </w:tcPr>
          <w:p w14:paraId="16F7692C" w14:textId="40FBFFB5" w:rsidR="001E64E1" w:rsidRPr="00315936" w:rsidRDefault="001E64E1" w:rsidP="001E64E1">
            <w:pPr>
              <w:pStyle w:val="Tabletext"/>
            </w:pPr>
            <w:r w:rsidRPr="00315936">
              <w:t>Aboriginal health</w:t>
            </w:r>
          </w:p>
        </w:tc>
        <w:tc>
          <w:tcPr>
            <w:tcW w:w="4369" w:type="dxa"/>
          </w:tcPr>
          <w:p w14:paraId="2C8A89CA" w14:textId="66028540" w:rsidR="001E64E1" w:rsidRPr="00315936" w:rsidRDefault="00230564" w:rsidP="001E64E1">
            <w:pPr>
              <w:pStyle w:val="Tabletext"/>
            </w:pPr>
            <w:r w:rsidRPr="002156EA">
              <w:t xml:space="preserve">The difference between the percentage of Aboriginal </w:t>
            </w:r>
            <w:r w:rsidR="00F11536">
              <w:t xml:space="preserve">and/or Torres Strait Islander </w:t>
            </w:r>
            <w:r w:rsidRPr="002156EA">
              <w:t xml:space="preserve">patients and non-Aboriginal </w:t>
            </w:r>
            <w:r w:rsidR="00F11536">
              <w:t xml:space="preserve">and/or non-Torres Strait Islander </w:t>
            </w:r>
            <w:r w:rsidRPr="002156EA">
              <w:t>patients</w:t>
            </w:r>
            <w:r>
              <w:t xml:space="preserve"> presenting to emergency departments who did not wait to be treated</w:t>
            </w:r>
          </w:p>
        </w:tc>
        <w:tc>
          <w:tcPr>
            <w:tcW w:w="3458" w:type="dxa"/>
          </w:tcPr>
          <w:p w14:paraId="59D4C4D3" w14:textId="54DC27D9" w:rsidR="001E64E1" w:rsidRPr="00315936" w:rsidRDefault="00C90186" w:rsidP="001E64E1">
            <w:pPr>
              <w:pStyle w:val="Tabletext"/>
            </w:pPr>
            <w:r w:rsidRPr="00315936">
              <w:t>0 per cent</w:t>
            </w:r>
          </w:p>
        </w:tc>
      </w:tr>
      <w:tr w:rsidR="00151EE8" w:rsidRPr="00315936" w14:paraId="65FA8C5F" w14:textId="77777777" w:rsidTr="008E1561">
        <w:trPr>
          <w:cantSplit/>
        </w:trPr>
        <w:tc>
          <w:tcPr>
            <w:tcW w:w="2547" w:type="dxa"/>
          </w:tcPr>
          <w:p w14:paraId="42477E5C" w14:textId="726A5E55" w:rsidR="00151EE8" w:rsidRPr="00315936" w:rsidRDefault="00151EE8" w:rsidP="00151EE8">
            <w:pPr>
              <w:pStyle w:val="Tabletext"/>
              <w:rPr>
                <w:rFonts w:eastAsia="MS Gothic"/>
              </w:rPr>
            </w:pPr>
            <w:r w:rsidRPr="00315936">
              <w:rPr>
                <w:rFonts w:eastAsia="MS Gothic"/>
              </w:rPr>
              <w:t>Mental health patient experience</w:t>
            </w:r>
          </w:p>
        </w:tc>
        <w:tc>
          <w:tcPr>
            <w:tcW w:w="4369" w:type="dxa"/>
          </w:tcPr>
          <w:p w14:paraId="4BC76E21" w14:textId="66D98A5F" w:rsidR="00151EE8" w:rsidRDefault="009629FB" w:rsidP="009629FB">
            <w:pPr>
              <w:pStyle w:val="Tabletext"/>
            </w:pPr>
            <w:r w:rsidRPr="00435CB2">
              <w:t>Percentage of consumers who rated their overall experience with a service in the last three months as positive</w:t>
            </w:r>
          </w:p>
        </w:tc>
        <w:tc>
          <w:tcPr>
            <w:tcW w:w="3458" w:type="dxa"/>
          </w:tcPr>
          <w:p w14:paraId="3CD8D89B" w14:textId="78E4CDAA" w:rsidR="00151EE8" w:rsidDel="00482182" w:rsidRDefault="00D94D37" w:rsidP="00151EE8">
            <w:pPr>
              <w:pStyle w:val="Tabletext"/>
            </w:pPr>
            <w:r>
              <w:t>80 per cent</w:t>
            </w:r>
          </w:p>
        </w:tc>
      </w:tr>
      <w:tr w:rsidR="00494385" w:rsidRPr="00315936" w14:paraId="62564EB7" w14:textId="77777777" w:rsidTr="008E1561">
        <w:trPr>
          <w:cantSplit/>
        </w:trPr>
        <w:tc>
          <w:tcPr>
            <w:tcW w:w="2547" w:type="dxa"/>
          </w:tcPr>
          <w:p w14:paraId="794F6BDE" w14:textId="13843F62" w:rsidR="001E64E1" w:rsidRPr="00315936" w:rsidRDefault="001E64E1" w:rsidP="001E64E1">
            <w:pPr>
              <w:pStyle w:val="Tabletext"/>
              <w:rPr>
                <w:rFonts w:eastAsia="MS Gothic"/>
              </w:rPr>
            </w:pPr>
            <w:r w:rsidRPr="00315936">
              <w:rPr>
                <w:rFonts w:eastAsia="MS Gothic"/>
              </w:rPr>
              <w:t>Mental health patient experience</w:t>
            </w:r>
          </w:p>
        </w:tc>
        <w:tc>
          <w:tcPr>
            <w:tcW w:w="4369" w:type="dxa"/>
          </w:tcPr>
          <w:p w14:paraId="76EA2C2A" w14:textId="59C7E63E" w:rsidR="001E64E1" w:rsidRPr="00315936" w:rsidRDefault="672966B9" w:rsidP="001E64E1">
            <w:pPr>
              <w:pStyle w:val="Tabletext"/>
            </w:pPr>
            <w:r>
              <w:t>Percentage of families/carers reporting a ‘very good’ or ‘excellent’ overall experience of the service</w:t>
            </w:r>
          </w:p>
        </w:tc>
        <w:tc>
          <w:tcPr>
            <w:tcW w:w="3458" w:type="dxa"/>
          </w:tcPr>
          <w:p w14:paraId="10AD45AA" w14:textId="4CB388E7" w:rsidR="001E64E1" w:rsidRPr="00315936" w:rsidRDefault="17DE2AC0" w:rsidP="001E64E1">
            <w:pPr>
              <w:pStyle w:val="Tabletext"/>
            </w:pPr>
            <w:r>
              <w:t>80 per cent</w:t>
            </w:r>
          </w:p>
        </w:tc>
      </w:tr>
      <w:tr w:rsidR="00494385" w:rsidRPr="00315936" w14:paraId="315E6DD8" w14:textId="77777777" w:rsidTr="008E1561">
        <w:trPr>
          <w:cantSplit/>
        </w:trPr>
        <w:tc>
          <w:tcPr>
            <w:tcW w:w="2547" w:type="dxa"/>
          </w:tcPr>
          <w:p w14:paraId="428E26F1" w14:textId="72A1228D" w:rsidR="001E64E1" w:rsidRPr="00315936" w:rsidRDefault="001E64E1" w:rsidP="001E64E1">
            <w:pPr>
              <w:pStyle w:val="Tabletext"/>
              <w:rPr>
                <w:rFonts w:eastAsia="MS Gothic"/>
              </w:rPr>
            </w:pPr>
            <w:r w:rsidRPr="00315936">
              <w:rPr>
                <w:rFonts w:eastAsia="MS Gothic"/>
              </w:rPr>
              <w:t>Mental health patient experience</w:t>
            </w:r>
          </w:p>
        </w:tc>
        <w:tc>
          <w:tcPr>
            <w:tcW w:w="4369" w:type="dxa"/>
          </w:tcPr>
          <w:p w14:paraId="6278C5C3" w14:textId="4D792BBB" w:rsidR="001E64E1" w:rsidRPr="00315936" w:rsidRDefault="001E64E1" w:rsidP="001E64E1">
            <w:pPr>
              <w:pStyle w:val="Tabletext"/>
              <w:rPr>
                <w:rFonts w:eastAsia="MS Gothic"/>
              </w:rPr>
            </w:pPr>
            <w:r w:rsidRPr="00315936">
              <w:t>Percentage of families/carers who report they ‘always’ or ‘usually’ felt their opinions as a carer were respected</w:t>
            </w:r>
          </w:p>
        </w:tc>
        <w:tc>
          <w:tcPr>
            <w:tcW w:w="3458" w:type="dxa"/>
          </w:tcPr>
          <w:p w14:paraId="4E47BE5A" w14:textId="61F9EC5A" w:rsidR="001E64E1" w:rsidRPr="00315936" w:rsidRDefault="7E2A516F" w:rsidP="001E64E1">
            <w:pPr>
              <w:pStyle w:val="Tabletext"/>
            </w:pPr>
            <w:r>
              <w:t>90</w:t>
            </w:r>
            <w:r w:rsidR="74709492">
              <w:t xml:space="preserve"> per cent</w:t>
            </w:r>
          </w:p>
        </w:tc>
      </w:tr>
      <w:tr w:rsidR="00494385" w:rsidRPr="00315936" w14:paraId="0F00B9DB" w14:textId="77777777" w:rsidTr="008E1561">
        <w:trPr>
          <w:cantSplit/>
        </w:trPr>
        <w:tc>
          <w:tcPr>
            <w:tcW w:w="2547" w:type="dxa"/>
          </w:tcPr>
          <w:p w14:paraId="0B83ED81" w14:textId="31A3F2B5" w:rsidR="001E64E1" w:rsidRPr="00315936" w:rsidRDefault="001E64E1" w:rsidP="001E64E1">
            <w:pPr>
              <w:pStyle w:val="Tabletext"/>
              <w:rPr>
                <w:rFonts w:eastAsia="MS Gothic"/>
              </w:rPr>
            </w:pPr>
            <w:r w:rsidRPr="00315936">
              <w:rPr>
                <w:rFonts w:eastAsia="MS Gothic"/>
              </w:rPr>
              <w:t>Mental health patient experience</w:t>
            </w:r>
          </w:p>
        </w:tc>
        <w:tc>
          <w:tcPr>
            <w:tcW w:w="4369" w:type="dxa"/>
          </w:tcPr>
          <w:p w14:paraId="5F3B1CC4" w14:textId="7C6EDF7E" w:rsidR="001E64E1" w:rsidRPr="00315936" w:rsidRDefault="001E64E1" w:rsidP="001E64E1">
            <w:pPr>
              <w:pStyle w:val="Tabletext"/>
            </w:pPr>
            <w:r w:rsidRPr="00315936">
              <w:t>Percentage of mental health consumers reporting they ‘usually’ or ‘always’ felt safe using this service</w:t>
            </w:r>
          </w:p>
        </w:tc>
        <w:tc>
          <w:tcPr>
            <w:tcW w:w="3458" w:type="dxa"/>
          </w:tcPr>
          <w:p w14:paraId="79CB802A" w14:textId="2F3B3EDB" w:rsidR="001E64E1" w:rsidRPr="00315936" w:rsidRDefault="7E2A516F" w:rsidP="001E64E1">
            <w:pPr>
              <w:pStyle w:val="Tabletext"/>
            </w:pPr>
            <w:r>
              <w:t>90</w:t>
            </w:r>
            <w:r w:rsidR="74709492">
              <w:t xml:space="preserve"> per cent</w:t>
            </w:r>
          </w:p>
        </w:tc>
      </w:tr>
      <w:tr w:rsidR="00494385" w:rsidRPr="00315936" w14:paraId="0E5B4FDD" w14:textId="77777777" w:rsidTr="008E1561">
        <w:trPr>
          <w:cantSplit/>
        </w:trPr>
        <w:tc>
          <w:tcPr>
            <w:tcW w:w="2547" w:type="dxa"/>
          </w:tcPr>
          <w:p w14:paraId="0EA8C792" w14:textId="013C0CE1" w:rsidR="001E64E1" w:rsidRPr="00315936" w:rsidRDefault="001E64E1" w:rsidP="001E64E1">
            <w:pPr>
              <w:pStyle w:val="Tabletext"/>
              <w:rPr>
                <w:rFonts w:eastAsia="MS Gothic"/>
              </w:rPr>
            </w:pPr>
            <w:r w:rsidRPr="00315936">
              <w:rPr>
                <w:rFonts w:eastAsia="MS Gothic"/>
              </w:rPr>
              <w:t>Mental health seclusions</w:t>
            </w:r>
          </w:p>
        </w:tc>
        <w:tc>
          <w:tcPr>
            <w:tcW w:w="4369" w:type="dxa"/>
          </w:tcPr>
          <w:p w14:paraId="7BFCE62E" w14:textId="2ADFBFFD" w:rsidR="001E64E1" w:rsidRPr="00315936" w:rsidRDefault="001E64E1" w:rsidP="001E64E1">
            <w:pPr>
              <w:pStyle w:val="Tabletext"/>
              <w:rPr>
                <w:rFonts w:eastAsia="MS Gothic"/>
              </w:rPr>
            </w:pPr>
            <w:r w:rsidRPr="00315936">
              <w:t xml:space="preserve">Rate of seclusion episodes per 1,000 occupied bed days </w:t>
            </w:r>
            <w:r w:rsidR="00636287">
              <w:t xml:space="preserve">– </w:t>
            </w:r>
            <w:r w:rsidRPr="00315936">
              <w:t>Inpatient</w:t>
            </w:r>
          </w:p>
        </w:tc>
        <w:tc>
          <w:tcPr>
            <w:tcW w:w="3458" w:type="dxa"/>
          </w:tcPr>
          <w:p w14:paraId="3017711E" w14:textId="36D1D282" w:rsidR="00143333" w:rsidRPr="00315936" w:rsidRDefault="002528DC" w:rsidP="002528DC">
            <w:pPr>
              <w:pStyle w:val="Tabletext"/>
            </w:pPr>
            <w:r>
              <w:t>L</w:t>
            </w:r>
            <w:r w:rsidR="00C337B9">
              <w:t xml:space="preserve">ess than or equal to </w:t>
            </w:r>
            <w:r w:rsidR="4C1637B8">
              <w:t>6</w:t>
            </w:r>
            <w:r w:rsidR="00BC6B57">
              <w:t xml:space="preserve"> episodes</w:t>
            </w:r>
          </w:p>
        </w:tc>
      </w:tr>
      <w:tr w:rsidR="00494385" w:rsidRPr="00315936" w14:paraId="5D8BC140" w14:textId="77777777" w:rsidTr="008E1561">
        <w:trPr>
          <w:cantSplit/>
        </w:trPr>
        <w:tc>
          <w:tcPr>
            <w:tcW w:w="2547" w:type="dxa"/>
          </w:tcPr>
          <w:p w14:paraId="60137B18" w14:textId="09CF4266" w:rsidR="001E64E1" w:rsidRPr="00315936" w:rsidRDefault="001E64E1" w:rsidP="001E64E1">
            <w:pPr>
              <w:pStyle w:val="Tabletext"/>
            </w:pPr>
            <w:r w:rsidRPr="00315936">
              <w:rPr>
                <w:rFonts w:eastAsia="MS Gothic"/>
              </w:rPr>
              <w:lastRenderedPageBreak/>
              <w:t xml:space="preserve">Mental health readmissions </w:t>
            </w:r>
          </w:p>
        </w:tc>
        <w:tc>
          <w:tcPr>
            <w:tcW w:w="4369" w:type="dxa"/>
          </w:tcPr>
          <w:p w14:paraId="66662F31" w14:textId="24C89881" w:rsidR="001E64E1" w:rsidRPr="00315936" w:rsidRDefault="001E64E1" w:rsidP="001E64E1">
            <w:pPr>
              <w:pStyle w:val="Tabletext"/>
              <w:rPr>
                <w:rFonts w:eastAsia="MS Gothic"/>
              </w:rPr>
            </w:pPr>
            <w:r w:rsidRPr="00315936">
              <w:t xml:space="preserve">Percentage of consumers re-admitted within 28 days of separation </w:t>
            </w:r>
            <w:r w:rsidR="00395CDE">
              <w:t xml:space="preserve">– </w:t>
            </w:r>
            <w:r w:rsidRPr="00315936">
              <w:t xml:space="preserve">Inpatient </w:t>
            </w:r>
          </w:p>
        </w:tc>
        <w:tc>
          <w:tcPr>
            <w:tcW w:w="3458" w:type="dxa"/>
          </w:tcPr>
          <w:p w14:paraId="792D6515" w14:textId="00D19454" w:rsidR="001E64E1" w:rsidRPr="00315936" w:rsidRDefault="008B103A" w:rsidP="001E64E1">
            <w:pPr>
              <w:pStyle w:val="Tabletext"/>
            </w:pPr>
            <w:r>
              <w:t xml:space="preserve">Less than </w:t>
            </w:r>
            <w:r w:rsidR="001E64E1" w:rsidRPr="00315936">
              <w:t>14</w:t>
            </w:r>
            <w:r w:rsidR="00A67D0D" w:rsidRPr="00315936">
              <w:t xml:space="preserve"> per cent</w:t>
            </w:r>
          </w:p>
        </w:tc>
      </w:tr>
      <w:tr w:rsidR="00494385" w:rsidRPr="00315936" w14:paraId="0F6D266E" w14:textId="77777777" w:rsidTr="008E1561">
        <w:trPr>
          <w:cantSplit/>
        </w:trPr>
        <w:tc>
          <w:tcPr>
            <w:tcW w:w="2547" w:type="dxa"/>
          </w:tcPr>
          <w:p w14:paraId="18C97746" w14:textId="36A0D509" w:rsidR="00B251A7" w:rsidRPr="00315936" w:rsidRDefault="00053871" w:rsidP="001E64E1">
            <w:pPr>
              <w:pStyle w:val="Tabletext"/>
            </w:pPr>
            <w:r w:rsidRPr="00315936">
              <w:t>Mental health post discharge follow</w:t>
            </w:r>
            <w:r w:rsidR="001E69DB" w:rsidRPr="00315936">
              <w:t>-up</w:t>
            </w:r>
          </w:p>
        </w:tc>
        <w:tc>
          <w:tcPr>
            <w:tcW w:w="4369" w:type="dxa"/>
          </w:tcPr>
          <w:p w14:paraId="03F177F9" w14:textId="6D8E861A" w:rsidR="00B251A7" w:rsidRPr="00315936" w:rsidRDefault="00516B4D" w:rsidP="00516B4D">
            <w:pPr>
              <w:pStyle w:val="Tabletext"/>
            </w:pPr>
            <w:r>
              <w:t>Percentage of consumers followed up within 7 days of separation – Inpatient </w:t>
            </w:r>
          </w:p>
        </w:tc>
        <w:tc>
          <w:tcPr>
            <w:tcW w:w="3458" w:type="dxa"/>
          </w:tcPr>
          <w:p w14:paraId="61944021" w14:textId="1DFEEBDA" w:rsidR="00B251A7" w:rsidRPr="00315936" w:rsidRDefault="03A89DB9" w:rsidP="001E64E1">
            <w:pPr>
              <w:pStyle w:val="Tabletext"/>
            </w:pPr>
            <w:r>
              <w:t>88 per cent</w:t>
            </w:r>
          </w:p>
        </w:tc>
      </w:tr>
    </w:tbl>
    <w:p w14:paraId="3A01E63F" w14:textId="74C9613F" w:rsidR="00733A0B" w:rsidRPr="00315936" w:rsidRDefault="00733A0B" w:rsidP="00733A0B">
      <w:pPr>
        <w:pStyle w:val="Heading2"/>
      </w:pPr>
      <w:bookmarkStart w:id="22" w:name="_Toc167781663"/>
      <w:bookmarkStart w:id="23" w:name="_Toc234580069"/>
      <w:r w:rsidRPr="00315936">
        <w:t>Strong governance, leadership and culture</w:t>
      </w:r>
      <w:bookmarkEnd w:id="22"/>
      <w:bookmarkEnd w:id="23"/>
    </w:p>
    <w:tbl>
      <w:tblPr>
        <w:tblStyle w:val="TableGrid"/>
        <w:tblW w:w="10374" w:type="dxa"/>
        <w:tblLook w:val="04A0" w:firstRow="1" w:lastRow="0" w:firstColumn="1" w:lastColumn="0" w:noHBand="0" w:noVBand="1"/>
      </w:tblPr>
      <w:tblGrid>
        <w:gridCol w:w="2547"/>
        <w:gridCol w:w="4369"/>
        <w:gridCol w:w="3458"/>
      </w:tblGrid>
      <w:tr w:rsidR="009046D5" w:rsidRPr="00315936" w14:paraId="731822BC" w14:textId="77777777" w:rsidTr="008E1561">
        <w:trPr>
          <w:cantSplit/>
          <w:trHeight w:val="340"/>
          <w:tblHeader/>
        </w:trPr>
        <w:tc>
          <w:tcPr>
            <w:tcW w:w="2547" w:type="dxa"/>
            <w:shd w:val="clear" w:color="auto" w:fill="000066"/>
          </w:tcPr>
          <w:p w14:paraId="2D883A6B" w14:textId="77777777" w:rsidR="009046D5" w:rsidRPr="00315936" w:rsidRDefault="009046D5">
            <w:pPr>
              <w:pStyle w:val="Tablecolhead"/>
            </w:pPr>
            <w:r w:rsidRPr="00315936">
              <w:t>Program</w:t>
            </w:r>
          </w:p>
        </w:tc>
        <w:tc>
          <w:tcPr>
            <w:tcW w:w="4369" w:type="dxa"/>
            <w:shd w:val="clear" w:color="auto" w:fill="000066"/>
          </w:tcPr>
          <w:p w14:paraId="5E35EE91" w14:textId="77777777" w:rsidR="009046D5" w:rsidRPr="00315936" w:rsidRDefault="009046D5">
            <w:pPr>
              <w:pStyle w:val="Tablecolhead"/>
            </w:pPr>
            <w:r w:rsidRPr="00315936">
              <w:t>Measure</w:t>
            </w:r>
          </w:p>
        </w:tc>
        <w:tc>
          <w:tcPr>
            <w:tcW w:w="3458" w:type="dxa"/>
            <w:shd w:val="clear" w:color="auto" w:fill="000066"/>
          </w:tcPr>
          <w:p w14:paraId="560E0665" w14:textId="77777777" w:rsidR="009046D5" w:rsidRPr="00315936" w:rsidRDefault="009046D5">
            <w:pPr>
              <w:pStyle w:val="Tablecolhead"/>
            </w:pPr>
            <w:r w:rsidRPr="00315936">
              <w:t>Target</w:t>
            </w:r>
          </w:p>
        </w:tc>
      </w:tr>
      <w:tr w:rsidR="009046D5" w:rsidRPr="00315936" w14:paraId="5063F501" w14:textId="77777777" w:rsidTr="008E1561">
        <w:trPr>
          <w:cantSplit/>
          <w:trHeight w:val="801"/>
        </w:trPr>
        <w:tc>
          <w:tcPr>
            <w:tcW w:w="2547" w:type="dxa"/>
          </w:tcPr>
          <w:p w14:paraId="7FF98286" w14:textId="3BC6A16F" w:rsidR="009046D5" w:rsidRPr="00315936" w:rsidRDefault="009046D5">
            <w:pPr>
              <w:pStyle w:val="Tabletext"/>
            </w:pPr>
            <w:r w:rsidRPr="00315936">
              <w:t>Organisational culture</w:t>
            </w:r>
          </w:p>
        </w:tc>
        <w:tc>
          <w:tcPr>
            <w:tcW w:w="4369" w:type="dxa"/>
          </w:tcPr>
          <w:p w14:paraId="2211552E" w14:textId="4EE309DD" w:rsidR="009046D5" w:rsidRPr="00315936" w:rsidRDefault="009046D5">
            <w:pPr>
              <w:pStyle w:val="Tabletext"/>
            </w:pPr>
            <w:r w:rsidRPr="00315936">
              <w:t>People matter survey – Percentage of staff with an overall positive response to safety culture survey questions</w:t>
            </w:r>
          </w:p>
        </w:tc>
        <w:tc>
          <w:tcPr>
            <w:tcW w:w="3458" w:type="dxa"/>
          </w:tcPr>
          <w:p w14:paraId="0DFD7AFD" w14:textId="5BADE82D" w:rsidR="009046D5" w:rsidRPr="00315936" w:rsidRDefault="46A64D89">
            <w:pPr>
              <w:pStyle w:val="Tabletext"/>
            </w:pPr>
            <w:r>
              <w:t>80</w:t>
            </w:r>
            <w:r w:rsidR="74709492">
              <w:t xml:space="preserve"> per cent</w:t>
            </w:r>
          </w:p>
        </w:tc>
      </w:tr>
    </w:tbl>
    <w:p w14:paraId="2D24F739" w14:textId="30B846DB" w:rsidR="00733A0B" w:rsidRPr="00315936" w:rsidRDefault="00733A0B" w:rsidP="00733A0B">
      <w:pPr>
        <w:pStyle w:val="Heading2"/>
      </w:pPr>
      <w:bookmarkStart w:id="24" w:name="_Toc167781664"/>
      <w:bookmarkStart w:id="25" w:name="_Toc234580070"/>
      <w:r w:rsidRPr="00315936">
        <w:t>Timely access to care</w:t>
      </w:r>
      <w:bookmarkEnd w:id="24"/>
      <w:bookmarkEnd w:id="25"/>
    </w:p>
    <w:tbl>
      <w:tblPr>
        <w:tblStyle w:val="TableGrid"/>
        <w:tblW w:w="10374" w:type="dxa"/>
        <w:tblLook w:val="04A0" w:firstRow="1" w:lastRow="0" w:firstColumn="1" w:lastColumn="0" w:noHBand="0" w:noVBand="1"/>
      </w:tblPr>
      <w:tblGrid>
        <w:gridCol w:w="2547"/>
        <w:gridCol w:w="4369"/>
        <w:gridCol w:w="3458"/>
      </w:tblGrid>
      <w:tr w:rsidR="00D11EA6" w:rsidRPr="00315936" w14:paraId="68266AA5" w14:textId="77777777" w:rsidTr="008E1561">
        <w:trPr>
          <w:cantSplit/>
          <w:trHeight w:val="340"/>
          <w:tblHeader/>
        </w:trPr>
        <w:tc>
          <w:tcPr>
            <w:tcW w:w="2547" w:type="dxa"/>
            <w:shd w:val="clear" w:color="auto" w:fill="000066"/>
          </w:tcPr>
          <w:p w14:paraId="50F996A7" w14:textId="77777777" w:rsidR="009046D5" w:rsidRPr="00315936" w:rsidRDefault="009046D5">
            <w:pPr>
              <w:pStyle w:val="Tablecolhead"/>
            </w:pPr>
            <w:r w:rsidRPr="00315936">
              <w:t>Program</w:t>
            </w:r>
          </w:p>
        </w:tc>
        <w:tc>
          <w:tcPr>
            <w:tcW w:w="4369" w:type="dxa"/>
            <w:shd w:val="clear" w:color="auto" w:fill="000066"/>
          </w:tcPr>
          <w:p w14:paraId="12156015" w14:textId="77777777" w:rsidR="009046D5" w:rsidRPr="00315936" w:rsidRDefault="009046D5">
            <w:pPr>
              <w:pStyle w:val="Tablecolhead"/>
            </w:pPr>
            <w:r w:rsidRPr="00315936">
              <w:t>Measure</w:t>
            </w:r>
          </w:p>
        </w:tc>
        <w:tc>
          <w:tcPr>
            <w:tcW w:w="3458" w:type="dxa"/>
            <w:shd w:val="clear" w:color="auto" w:fill="000066"/>
          </w:tcPr>
          <w:p w14:paraId="5913D02E" w14:textId="77777777" w:rsidR="009046D5" w:rsidRPr="00315936" w:rsidRDefault="009046D5">
            <w:pPr>
              <w:pStyle w:val="Tablecolhead"/>
            </w:pPr>
            <w:r w:rsidRPr="00315936">
              <w:t>Target</w:t>
            </w:r>
          </w:p>
        </w:tc>
      </w:tr>
      <w:tr w:rsidR="009046D5" w:rsidRPr="00315936" w14:paraId="16F0A630" w14:textId="77777777" w:rsidTr="008E1561">
        <w:trPr>
          <w:cantSplit/>
        </w:trPr>
        <w:tc>
          <w:tcPr>
            <w:tcW w:w="2547" w:type="dxa"/>
          </w:tcPr>
          <w:p w14:paraId="24D63866" w14:textId="4C091285" w:rsidR="009046D5" w:rsidRPr="00315936" w:rsidRDefault="009046D5" w:rsidP="009046D5">
            <w:pPr>
              <w:pStyle w:val="Tabletext"/>
            </w:pPr>
            <w:r w:rsidRPr="00315936">
              <w:t>Planned surgery</w:t>
            </w:r>
          </w:p>
        </w:tc>
        <w:tc>
          <w:tcPr>
            <w:tcW w:w="4369" w:type="dxa"/>
          </w:tcPr>
          <w:p w14:paraId="493E6F94" w14:textId="68276EEF" w:rsidR="009046D5" w:rsidRPr="00315936" w:rsidRDefault="009046D5" w:rsidP="009046D5">
            <w:pPr>
              <w:pStyle w:val="Tabletext"/>
            </w:pPr>
            <w:r w:rsidRPr="00315936">
              <w:t>Percentage of urgency category 1 planned surgery patients admitted within 30 days</w:t>
            </w:r>
          </w:p>
        </w:tc>
        <w:tc>
          <w:tcPr>
            <w:tcW w:w="3458" w:type="dxa"/>
          </w:tcPr>
          <w:p w14:paraId="7B4B6863" w14:textId="38DD5B53" w:rsidR="009046D5" w:rsidRPr="00315936" w:rsidRDefault="009046D5" w:rsidP="009046D5">
            <w:pPr>
              <w:pStyle w:val="Tabletext"/>
            </w:pPr>
            <w:r w:rsidRPr="00315936">
              <w:t>100</w:t>
            </w:r>
            <w:r w:rsidR="00A67D0D" w:rsidRPr="00315936">
              <w:t xml:space="preserve"> per cent</w:t>
            </w:r>
          </w:p>
        </w:tc>
      </w:tr>
      <w:tr w:rsidR="009046D5" w:rsidRPr="00315936" w14:paraId="591B61C4" w14:textId="77777777" w:rsidTr="008E1561">
        <w:trPr>
          <w:cantSplit/>
        </w:trPr>
        <w:tc>
          <w:tcPr>
            <w:tcW w:w="2547" w:type="dxa"/>
          </w:tcPr>
          <w:p w14:paraId="29243B9B" w14:textId="7994EFA8" w:rsidR="009046D5" w:rsidRPr="00315936" w:rsidRDefault="00FE70F4" w:rsidP="009046D5">
            <w:pPr>
              <w:pStyle w:val="Tabletext"/>
            </w:pPr>
            <w:r w:rsidRPr="00315936">
              <w:t>Planned surgery</w:t>
            </w:r>
          </w:p>
        </w:tc>
        <w:tc>
          <w:tcPr>
            <w:tcW w:w="4369" w:type="dxa"/>
          </w:tcPr>
          <w:p w14:paraId="6E0F7DAD" w14:textId="1888C3DE" w:rsidR="009046D5" w:rsidRPr="00315936" w:rsidRDefault="009046D5" w:rsidP="009046D5">
            <w:pPr>
              <w:pStyle w:val="Tabletext"/>
            </w:pPr>
            <w:r w:rsidRPr="00315936">
              <w:t xml:space="preserve">Percentage of </w:t>
            </w:r>
            <w:r w:rsidR="00EB1A2C">
              <w:t>planned surgery patients admitted within the clinically recommended time</w:t>
            </w:r>
          </w:p>
        </w:tc>
        <w:tc>
          <w:tcPr>
            <w:tcW w:w="3458" w:type="dxa"/>
          </w:tcPr>
          <w:p w14:paraId="635543EA" w14:textId="18D5E1A8" w:rsidR="009046D5" w:rsidRPr="00315936" w:rsidRDefault="2AAE3C47" w:rsidP="009046D5">
            <w:pPr>
              <w:pStyle w:val="Tabletext"/>
            </w:pPr>
            <w:r>
              <w:t>94 per cent</w:t>
            </w:r>
          </w:p>
        </w:tc>
      </w:tr>
      <w:tr w:rsidR="009046D5" w:rsidRPr="00315936" w14:paraId="5E59C30C" w14:textId="77777777" w:rsidTr="008E1561">
        <w:trPr>
          <w:cantSplit/>
        </w:trPr>
        <w:tc>
          <w:tcPr>
            <w:tcW w:w="2547" w:type="dxa"/>
          </w:tcPr>
          <w:p w14:paraId="0A827C6A" w14:textId="1BBD0084" w:rsidR="009046D5" w:rsidRPr="00315936" w:rsidRDefault="00FE70F4" w:rsidP="009046D5">
            <w:pPr>
              <w:pStyle w:val="Tabletext"/>
            </w:pPr>
            <w:r w:rsidRPr="00315936">
              <w:t>Planned surgery</w:t>
            </w:r>
          </w:p>
        </w:tc>
        <w:tc>
          <w:tcPr>
            <w:tcW w:w="4369" w:type="dxa"/>
          </w:tcPr>
          <w:p w14:paraId="4AEBAAAD" w14:textId="26143154" w:rsidR="009046D5" w:rsidRPr="00AC34D9" w:rsidRDefault="009046D5" w:rsidP="009046D5">
            <w:pPr>
              <w:pStyle w:val="Tabletext"/>
            </w:pPr>
            <w:r w:rsidRPr="00315936">
              <w:t xml:space="preserve">Number of patients admitted from the planned surgery waiting list </w:t>
            </w:r>
          </w:p>
        </w:tc>
        <w:tc>
          <w:tcPr>
            <w:tcW w:w="3458" w:type="dxa"/>
          </w:tcPr>
          <w:p w14:paraId="4DFF8337" w14:textId="3E76962D" w:rsidR="009046D5" w:rsidRPr="00315936" w:rsidRDefault="009046D5" w:rsidP="009046D5">
            <w:r w:rsidRPr="00315936">
              <w:t>Health service specific</w:t>
            </w:r>
          </w:p>
        </w:tc>
      </w:tr>
      <w:tr w:rsidR="009046D5" w:rsidRPr="00315936" w14:paraId="2DC5ABEC" w14:textId="77777777" w:rsidTr="008E1561">
        <w:trPr>
          <w:cantSplit/>
        </w:trPr>
        <w:tc>
          <w:tcPr>
            <w:tcW w:w="2547" w:type="dxa"/>
          </w:tcPr>
          <w:p w14:paraId="349C9D0B" w14:textId="59CAD6E2" w:rsidR="009046D5" w:rsidRPr="00315936" w:rsidRDefault="00FE70F4" w:rsidP="009046D5">
            <w:pPr>
              <w:pStyle w:val="Tabletext"/>
            </w:pPr>
            <w:r w:rsidRPr="00315936">
              <w:t>Planned surgery</w:t>
            </w:r>
          </w:p>
        </w:tc>
        <w:tc>
          <w:tcPr>
            <w:tcW w:w="4369" w:type="dxa"/>
          </w:tcPr>
          <w:p w14:paraId="7741883C" w14:textId="26026C0D" w:rsidR="009046D5" w:rsidRPr="00315936" w:rsidRDefault="009046D5" w:rsidP="009046D5">
            <w:pPr>
              <w:pStyle w:val="Tabletext"/>
            </w:pPr>
            <w:bookmarkStart w:id="26" w:name="_Hlk213062461"/>
            <w:r w:rsidRPr="00315936">
              <w:t>Percentage of patients on the waiting list who have waited longer than clinically recommended for their respective triage category</w:t>
            </w:r>
            <w:bookmarkEnd w:id="26"/>
          </w:p>
        </w:tc>
        <w:tc>
          <w:tcPr>
            <w:tcW w:w="3458" w:type="dxa"/>
          </w:tcPr>
          <w:p w14:paraId="28144C73" w14:textId="5CA05BA8" w:rsidR="000C0292" w:rsidRPr="00315936" w:rsidRDefault="00463E6B" w:rsidP="009046D5">
            <w:pPr>
              <w:pStyle w:val="Tabletext"/>
            </w:pPr>
            <w:r>
              <w:t>Greater than or equal to</w:t>
            </w:r>
            <w:r w:rsidR="3606E106">
              <w:t xml:space="preserve"> </w:t>
            </w:r>
            <w:r w:rsidR="009046D5" w:rsidRPr="00315936">
              <w:t>25</w:t>
            </w:r>
            <w:r w:rsidR="00A67D0D" w:rsidRPr="00315936">
              <w:t xml:space="preserve"> per cent</w:t>
            </w:r>
            <w:r w:rsidR="009046D5" w:rsidRPr="00315936">
              <w:t xml:space="preserve"> proportional improvement </w:t>
            </w:r>
            <w:r w:rsidR="000E5753">
              <w:t>on</w:t>
            </w:r>
            <w:r w:rsidR="009046D5" w:rsidRPr="00315936">
              <w:t xml:space="preserve"> prior year</w:t>
            </w:r>
            <w:r w:rsidR="000E5753">
              <w:t xml:space="preserve"> </w:t>
            </w:r>
            <w:proofErr w:type="spellStart"/>
            <w:r w:rsidR="000E5753">
              <w:t>performance</w:t>
            </w:r>
            <w:r w:rsidR="009C333F">
              <w:fldChar w:fldCharType="begin"/>
            </w:r>
            <w:r w:rsidR="009C333F">
              <w:instrText xml:space="preserve"> NOTEREF _Ref201831384 \f \h </w:instrText>
            </w:r>
            <w:r w:rsidR="009C333F">
              <w:fldChar w:fldCharType="separate"/>
            </w:r>
            <w:r w:rsidR="009C333F" w:rsidRPr="00972BEB">
              <w:rPr>
                <w:rStyle w:val="EndnoteReference"/>
              </w:rPr>
              <w:t>ii</w:t>
            </w:r>
            <w:proofErr w:type="spellEnd"/>
            <w:r w:rsidR="009C333F">
              <w:fldChar w:fldCharType="end"/>
            </w:r>
          </w:p>
        </w:tc>
      </w:tr>
      <w:tr w:rsidR="00D304EC" w:rsidRPr="00315936" w14:paraId="414BB706" w14:textId="77777777" w:rsidTr="008E1561">
        <w:trPr>
          <w:cantSplit/>
        </w:trPr>
        <w:tc>
          <w:tcPr>
            <w:tcW w:w="2547" w:type="dxa"/>
          </w:tcPr>
          <w:p w14:paraId="5FFD946D" w14:textId="4F870D67" w:rsidR="00D304EC" w:rsidRPr="00315936" w:rsidRDefault="00D304EC" w:rsidP="00D304EC">
            <w:pPr>
              <w:pStyle w:val="Tabletext"/>
              <w:rPr>
                <w:rFonts w:eastAsia="MS Gothic"/>
              </w:rPr>
            </w:pPr>
            <w:r>
              <w:t>Planned surgery</w:t>
            </w:r>
          </w:p>
        </w:tc>
        <w:tc>
          <w:tcPr>
            <w:tcW w:w="4369" w:type="dxa"/>
          </w:tcPr>
          <w:p w14:paraId="1E3405CC" w14:textId="46972D76" w:rsidR="00D304EC" w:rsidRPr="00315936" w:rsidRDefault="00D304EC" w:rsidP="00D304EC">
            <w:pPr>
              <w:pStyle w:val="Tabletext"/>
            </w:pPr>
            <w:bookmarkStart w:id="27" w:name="_Hlk213062438"/>
            <w:r w:rsidRPr="00315936">
              <w:rPr>
                <w:rFonts w:cs="Arial"/>
                <w:color w:val="000000"/>
                <w:szCs w:val="21"/>
                <w:shd w:val="clear" w:color="auto" w:fill="FFFFFF"/>
              </w:rPr>
              <w:t>Optimisation of surgical inpatient length of stay</w:t>
            </w:r>
            <w:r>
              <w:rPr>
                <w:rFonts w:cs="Arial"/>
                <w:color w:val="000000"/>
                <w:szCs w:val="21"/>
                <w:shd w:val="clear" w:color="auto" w:fill="FFFFFF"/>
              </w:rPr>
              <w:t xml:space="preserve"> (LOS)</w:t>
            </w:r>
            <w:r w:rsidRPr="00315936">
              <w:rPr>
                <w:rFonts w:cs="Arial"/>
                <w:color w:val="000000"/>
                <w:szCs w:val="21"/>
                <w:shd w:val="clear" w:color="auto" w:fill="FFFFFF"/>
              </w:rPr>
              <w:t>, including through use of virtual and home-based pre- and post-operative models of care</w:t>
            </w:r>
            <w:r w:rsidRPr="00315936">
              <w:rPr>
                <w:rStyle w:val="eop"/>
                <w:rFonts w:eastAsia="MS Gothic" w:cs="Arial"/>
                <w:color w:val="000000"/>
                <w:szCs w:val="21"/>
                <w:shd w:val="clear" w:color="auto" w:fill="FFFFFF"/>
              </w:rPr>
              <w:t> </w:t>
            </w:r>
            <w:bookmarkEnd w:id="27"/>
          </w:p>
        </w:tc>
        <w:tc>
          <w:tcPr>
            <w:tcW w:w="3458" w:type="dxa"/>
          </w:tcPr>
          <w:p w14:paraId="4CCF21AD" w14:textId="19BF49E7" w:rsidR="00D304EC" w:rsidRPr="00D304EC" w:rsidRDefault="00D304EC" w:rsidP="00D304EC">
            <w:pPr>
              <w:pStyle w:val="Tabletext"/>
            </w:pPr>
            <w:r w:rsidRPr="3F528552">
              <w:rPr>
                <w:rFonts w:cs="Arial"/>
                <w:color w:val="000000"/>
                <w:shd w:val="clear" w:color="auto" w:fill="FFFFFF"/>
              </w:rPr>
              <w:t>Reduction in average LOS for surgical patients by at least 2 per cent on prior year performance</w:t>
            </w:r>
            <w:r w:rsidRPr="3F528552">
              <w:rPr>
                <w:rStyle w:val="eop"/>
                <w:rFonts w:eastAsia="MS Gothic" w:cs="Arial"/>
                <w:color w:val="000000"/>
                <w:shd w:val="clear" w:color="auto" w:fill="FFFFFF"/>
              </w:rPr>
              <w:t> </w:t>
            </w:r>
          </w:p>
        </w:tc>
      </w:tr>
      <w:tr w:rsidR="009046D5" w:rsidRPr="00315936" w14:paraId="6430F2A5" w14:textId="77777777" w:rsidTr="008E1561">
        <w:trPr>
          <w:cantSplit/>
          <w:trHeight w:val="2551"/>
        </w:trPr>
        <w:tc>
          <w:tcPr>
            <w:tcW w:w="2547" w:type="dxa"/>
          </w:tcPr>
          <w:p w14:paraId="136155E7" w14:textId="1A20A005" w:rsidR="009046D5" w:rsidRPr="00315936" w:rsidRDefault="009046D5" w:rsidP="009046D5">
            <w:pPr>
              <w:pStyle w:val="Tabletext"/>
              <w:rPr>
                <w:rFonts w:eastAsia="MS Gothic"/>
              </w:rPr>
            </w:pPr>
            <w:r w:rsidRPr="00315936">
              <w:rPr>
                <w:rFonts w:eastAsia="MS Gothic"/>
              </w:rPr>
              <w:t>Emergency care</w:t>
            </w:r>
          </w:p>
        </w:tc>
        <w:tc>
          <w:tcPr>
            <w:tcW w:w="4369" w:type="dxa"/>
          </w:tcPr>
          <w:p w14:paraId="1829383E" w14:textId="0E4DFBA7" w:rsidR="009046D5" w:rsidRPr="00315936" w:rsidRDefault="009046D5" w:rsidP="009046D5">
            <w:pPr>
              <w:pStyle w:val="Tabletext"/>
              <w:rPr>
                <w:rFonts w:eastAsia="MS Gothic"/>
              </w:rPr>
            </w:pPr>
            <w:r w:rsidRPr="00315936">
              <w:t>Percentage of patients transferred from ambulance to emergency department within 40 minutes</w:t>
            </w:r>
          </w:p>
        </w:tc>
        <w:tc>
          <w:tcPr>
            <w:tcW w:w="3458" w:type="dxa"/>
          </w:tcPr>
          <w:p w14:paraId="5A2E91C1" w14:textId="7860D081" w:rsidR="00B75012" w:rsidRPr="006C3DF3" w:rsidRDefault="00DC58E3" w:rsidP="008E1561">
            <w:pPr>
              <w:pStyle w:val="Tabletext"/>
            </w:pPr>
            <w:r w:rsidRPr="008E1561">
              <w:rPr>
                <w:i/>
                <w:iCs/>
              </w:rPr>
              <w:t>Statewide</w:t>
            </w:r>
            <w:r w:rsidRPr="00DE13D6">
              <w:t xml:space="preserve">: </w:t>
            </w:r>
            <w:r w:rsidR="6E45CE5A" w:rsidRPr="006C3DF3">
              <w:t xml:space="preserve">Greater than or equal to </w:t>
            </w:r>
            <w:r w:rsidR="7AFD3630" w:rsidRPr="00DE13D6">
              <w:t>80</w:t>
            </w:r>
            <w:r w:rsidRPr="00DE13D6">
              <w:t xml:space="preserve"> per cent</w:t>
            </w:r>
            <w:r w:rsidR="00D87FD5" w:rsidRPr="006C3DF3">
              <w:t xml:space="preserve"> </w:t>
            </w:r>
            <w:r w:rsidR="00BE0549" w:rsidRPr="00535D2B">
              <w:rPr>
                <w:b/>
                <w:bCs/>
              </w:rPr>
              <w:t>or</w:t>
            </w:r>
            <w:r w:rsidR="00D87FD5" w:rsidRPr="006C3DF3">
              <w:t xml:space="preserve"> </w:t>
            </w:r>
            <w:r w:rsidR="3552FA41" w:rsidRPr="006C3DF3">
              <w:t xml:space="preserve">at least </w:t>
            </w:r>
            <w:r w:rsidR="00D87FD5" w:rsidRPr="006C3DF3">
              <w:t>3</w:t>
            </w:r>
            <w:r w:rsidR="00943A37" w:rsidRPr="006C3DF3">
              <w:t xml:space="preserve"> per cent improvement on </w:t>
            </w:r>
            <w:r w:rsidR="00D817FC" w:rsidRPr="006C3DF3">
              <w:t>the same time last</w:t>
            </w:r>
            <w:r w:rsidR="00B75012" w:rsidRPr="006C3DF3">
              <w:t xml:space="preserve"> </w:t>
            </w:r>
            <w:r w:rsidR="002F322D">
              <w:t>year</w:t>
            </w:r>
          </w:p>
          <w:p w14:paraId="005F5448" w14:textId="41F6C2BB" w:rsidR="00643804" w:rsidRPr="00DE13D6" w:rsidRDefault="65ADD188" w:rsidP="008E1561">
            <w:pPr>
              <w:pStyle w:val="Tablebullet1"/>
              <w:numPr>
                <w:ilvl w:val="0"/>
                <w:numId w:val="0"/>
              </w:numPr>
              <w:rPr>
                <w:highlight w:val="yellow"/>
              </w:rPr>
            </w:pPr>
            <w:r w:rsidRPr="008E1561">
              <w:rPr>
                <w:i/>
                <w:iCs/>
              </w:rPr>
              <w:t>Health Services</w:t>
            </w:r>
            <w:r w:rsidRPr="006C3DF3">
              <w:t>:</w:t>
            </w:r>
            <w:r w:rsidR="00E54981">
              <w:t xml:space="preserve"> </w:t>
            </w:r>
            <w:r w:rsidR="002F322D" w:rsidRPr="00AB3E04">
              <w:t>This measure is assessed at the campus level</w:t>
            </w:r>
            <w:r w:rsidR="007F7810">
              <w:t xml:space="preserve">; </w:t>
            </w:r>
            <w:r w:rsidR="002F322D" w:rsidRPr="00AB3E04">
              <w:t xml:space="preserve">campus level targets are dependent on the assigned performance </w:t>
            </w:r>
            <w:proofErr w:type="spellStart"/>
            <w:r w:rsidR="002F322D" w:rsidRPr="00AB3E04">
              <w:t>ti</w:t>
            </w:r>
            <w:r w:rsidR="00F94218" w:rsidRPr="00AB3E04">
              <w:t>er</w:t>
            </w:r>
            <w:r w:rsidR="00515888">
              <w:fldChar w:fldCharType="begin"/>
            </w:r>
            <w:r w:rsidR="00515888">
              <w:instrText xml:space="preserve"> NOTEREF _Ref201831690 \f \h </w:instrText>
            </w:r>
            <w:r w:rsidR="00515888">
              <w:fldChar w:fldCharType="separate"/>
            </w:r>
            <w:r w:rsidR="00515888" w:rsidRPr="00515888">
              <w:rPr>
                <w:rStyle w:val="EndnoteReference"/>
              </w:rPr>
              <w:t>i</w:t>
            </w:r>
            <w:proofErr w:type="spellEnd"/>
            <w:r w:rsidR="00515888">
              <w:fldChar w:fldCharType="end"/>
            </w:r>
          </w:p>
        </w:tc>
      </w:tr>
      <w:tr w:rsidR="009046D5" w:rsidRPr="00315936" w14:paraId="6065FB2A" w14:textId="77777777" w:rsidTr="008E1561">
        <w:trPr>
          <w:cantSplit/>
        </w:trPr>
        <w:tc>
          <w:tcPr>
            <w:tcW w:w="2547" w:type="dxa"/>
          </w:tcPr>
          <w:p w14:paraId="44D98F64" w14:textId="2CA541C5" w:rsidR="009046D5" w:rsidRPr="00315936" w:rsidRDefault="007B7CF6" w:rsidP="009046D5">
            <w:pPr>
              <w:pStyle w:val="Tabletext"/>
              <w:rPr>
                <w:rFonts w:eastAsia="MS Gothic"/>
              </w:rPr>
            </w:pPr>
            <w:r w:rsidRPr="00315936">
              <w:rPr>
                <w:rFonts w:eastAsia="MS Gothic"/>
              </w:rPr>
              <w:t>Emergency care</w:t>
            </w:r>
          </w:p>
        </w:tc>
        <w:tc>
          <w:tcPr>
            <w:tcW w:w="4369" w:type="dxa"/>
          </w:tcPr>
          <w:p w14:paraId="695EC352" w14:textId="18D4E1C8" w:rsidR="009046D5" w:rsidRPr="00315936" w:rsidRDefault="009046D5" w:rsidP="009046D5">
            <w:pPr>
              <w:pStyle w:val="Tabletext"/>
            </w:pPr>
            <w:r w:rsidRPr="00315936">
              <w:t>Number of patients with a length of stay in the emergency department greater than 24 hours</w:t>
            </w:r>
          </w:p>
        </w:tc>
        <w:tc>
          <w:tcPr>
            <w:tcW w:w="3458" w:type="dxa"/>
          </w:tcPr>
          <w:p w14:paraId="73781261" w14:textId="39E6635D" w:rsidR="009046D5" w:rsidRPr="00315936" w:rsidRDefault="009046D5" w:rsidP="009046D5">
            <w:pPr>
              <w:pStyle w:val="Tabletext"/>
            </w:pPr>
            <w:r w:rsidRPr="00315936">
              <w:t>0</w:t>
            </w:r>
          </w:p>
        </w:tc>
      </w:tr>
      <w:tr w:rsidR="00926E1B" w:rsidRPr="00315936" w14:paraId="43D8619A" w14:textId="77777777" w:rsidTr="008E1561">
        <w:trPr>
          <w:cantSplit/>
        </w:trPr>
        <w:tc>
          <w:tcPr>
            <w:tcW w:w="2547" w:type="dxa"/>
          </w:tcPr>
          <w:p w14:paraId="436151B3" w14:textId="7E1A70C0" w:rsidR="00926E1B" w:rsidRPr="00315936" w:rsidRDefault="00926E1B" w:rsidP="00926E1B">
            <w:pPr>
              <w:pStyle w:val="Tabletext"/>
            </w:pPr>
            <w:r w:rsidRPr="00315936">
              <w:rPr>
                <w:rFonts w:eastAsia="MS Gothic"/>
              </w:rPr>
              <w:t>Emergency care</w:t>
            </w:r>
          </w:p>
        </w:tc>
        <w:tc>
          <w:tcPr>
            <w:tcW w:w="4369" w:type="dxa"/>
          </w:tcPr>
          <w:p w14:paraId="078818E5" w14:textId="6903C589" w:rsidR="00224194" w:rsidRPr="00315936" w:rsidRDefault="00224194" w:rsidP="00926E1B">
            <w:pPr>
              <w:pStyle w:val="Tabletext"/>
              <w:rPr>
                <w:rFonts w:eastAsia="MS Gothic"/>
              </w:rPr>
            </w:pPr>
            <w:r w:rsidRPr="00315936">
              <w:rPr>
                <w:rFonts w:eastAsia="MS Gothic"/>
              </w:rPr>
              <w:t xml:space="preserve">Average ED length of stay </w:t>
            </w:r>
            <w:r w:rsidR="0011422E">
              <w:rPr>
                <w:rFonts w:eastAsia="MS Gothic"/>
              </w:rPr>
              <w:t xml:space="preserve">for </w:t>
            </w:r>
            <w:r w:rsidRPr="00315936">
              <w:rPr>
                <w:rFonts w:eastAsia="MS Gothic"/>
              </w:rPr>
              <w:t>non-admitted</w:t>
            </w:r>
            <w:r w:rsidR="00AA7934">
              <w:rPr>
                <w:rFonts w:eastAsia="MS Gothic"/>
              </w:rPr>
              <w:t xml:space="preserve"> patients</w:t>
            </w:r>
            <w:r w:rsidRPr="00315936">
              <w:rPr>
                <w:rFonts w:eastAsia="MS Gothic"/>
              </w:rPr>
              <w:t xml:space="preserve">, in minutes  </w:t>
            </w:r>
          </w:p>
        </w:tc>
        <w:tc>
          <w:tcPr>
            <w:tcW w:w="3458" w:type="dxa"/>
          </w:tcPr>
          <w:p w14:paraId="0B2FCD01" w14:textId="3072E43A" w:rsidR="00926E1B" w:rsidRPr="00315936" w:rsidRDefault="002F6585" w:rsidP="00F47632">
            <w:pPr>
              <w:pStyle w:val="Tabletext"/>
            </w:pPr>
            <w:r>
              <w:t xml:space="preserve">Less than </w:t>
            </w:r>
            <w:r w:rsidR="289A14D5">
              <w:t xml:space="preserve">or equal to </w:t>
            </w:r>
            <w:r w:rsidR="46C55901">
              <w:t>240</w:t>
            </w:r>
            <w:r w:rsidR="004C0F97">
              <w:t xml:space="preserve"> minutes </w:t>
            </w:r>
            <w:r w:rsidR="00BE0549" w:rsidRPr="00535D2B">
              <w:rPr>
                <w:b/>
                <w:bCs/>
              </w:rPr>
              <w:t>or</w:t>
            </w:r>
            <w:r w:rsidR="00F47632">
              <w:t xml:space="preserve"> </w:t>
            </w:r>
            <w:r w:rsidR="00BE0549">
              <w:t>a</w:t>
            </w:r>
            <w:r w:rsidR="49664210">
              <w:t xml:space="preserve">t least </w:t>
            </w:r>
            <w:r w:rsidR="72D116AF">
              <w:t>3</w:t>
            </w:r>
            <w:r w:rsidR="596CA3CA">
              <w:t xml:space="preserve"> per cent improvement on </w:t>
            </w:r>
            <w:r w:rsidR="00B65349">
              <w:t>the same time last year</w:t>
            </w:r>
          </w:p>
        </w:tc>
      </w:tr>
      <w:tr w:rsidR="00926E1B" w:rsidRPr="00315936" w14:paraId="156A2CEC" w14:textId="77777777" w:rsidTr="008E1561">
        <w:trPr>
          <w:cantSplit/>
        </w:trPr>
        <w:tc>
          <w:tcPr>
            <w:tcW w:w="2547" w:type="dxa"/>
          </w:tcPr>
          <w:p w14:paraId="5F251A4C" w14:textId="5232BA35" w:rsidR="00926E1B" w:rsidRPr="00315936" w:rsidRDefault="00926E1B" w:rsidP="00926E1B">
            <w:pPr>
              <w:pStyle w:val="Tabletext"/>
              <w:rPr>
                <w:rFonts w:eastAsia="MS Gothic"/>
              </w:rPr>
            </w:pPr>
            <w:r w:rsidRPr="00315936">
              <w:rPr>
                <w:rFonts w:eastAsia="MS Gothic"/>
              </w:rPr>
              <w:lastRenderedPageBreak/>
              <w:t>Emergency care</w:t>
            </w:r>
          </w:p>
        </w:tc>
        <w:tc>
          <w:tcPr>
            <w:tcW w:w="4369" w:type="dxa"/>
          </w:tcPr>
          <w:p w14:paraId="2D6ECF25" w14:textId="796232E6" w:rsidR="003677B6" w:rsidRPr="00315936" w:rsidRDefault="003677B6" w:rsidP="00926E1B">
            <w:pPr>
              <w:pStyle w:val="Tabletext"/>
            </w:pPr>
            <w:r w:rsidRPr="00315936">
              <w:rPr>
                <w:rFonts w:eastAsia="MS Gothic"/>
              </w:rPr>
              <w:t>Average ED length of stay</w:t>
            </w:r>
            <w:r w:rsidR="0011422E">
              <w:rPr>
                <w:rFonts w:eastAsia="MS Gothic"/>
              </w:rPr>
              <w:t xml:space="preserve"> for</w:t>
            </w:r>
            <w:r w:rsidRPr="00315936">
              <w:rPr>
                <w:rFonts w:eastAsia="MS Gothic"/>
              </w:rPr>
              <w:t xml:space="preserve"> admitted</w:t>
            </w:r>
            <w:r w:rsidR="00AA7934">
              <w:rPr>
                <w:rFonts w:eastAsia="MS Gothic"/>
              </w:rPr>
              <w:t xml:space="preserve"> patients</w:t>
            </w:r>
            <w:r w:rsidRPr="00315936">
              <w:rPr>
                <w:rFonts w:eastAsia="MS Gothic"/>
              </w:rPr>
              <w:t>, in minutes</w:t>
            </w:r>
          </w:p>
        </w:tc>
        <w:tc>
          <w:tcPr>
            <w:tcW w:w="3458" w:type="dxa"/>
          </w:tcPr>
          <w:p w14:paraId="0F0D89BF" w14:textId="333A0A0C" w:rsidR="00926E1B" w:rsidRPr="00315936" w:rsidRDefault="009045A6" w:rsidP="00F47632">
            <w:pPr>
              <w:pStyle w:val="Tabletext"/>
            </w:pPr>
            <w:r w:rsidRPr="00C05981">
              <w:t xml:space="preserve">Less than </w:t>
            </w:r>
            <w:r w:rsidR="3337C688" w:rsidRPr="00C05981">
              <w:t xml:space="preserve">or equal to </w:t>
            </w:r>
            <w:r w:rsidR="3AEB29B3" w:rsidRPr="00C05981">
              <w:t>414</w:t>
            </w:r>
            <w:r w:rsidRPr="00C05981">
              <w:t xml:space="preserve"> minutes</w:t>
            </w:r>
            <w:r w:rsidR="007B2EBF" w:rsidRPr="00C05981">
              <w:t xml:space="preserve"> </w:t>
            </w:r>
            <w:r w:rsidR="00FF0796" w:rsidRPr="00535D2B">
              <w:rPr>
                <w:b/>
                <w:bCs/>
              </w:rPr>
              <w:t>or</w:t>
            </w:r>
            <w:r w:rsidR="00F47632">
              <w:rPr>
                <w:b/>
                <w:bCs/>
              </w:rPr>
              <w:t xml:space="preserve"> </w:t>
            </w:r>
            <w:r w:rsidR="00FF0796">
              <w:t>a</w:t>
            </w:r>
            <w:r w:rsidR="132E231E" w:rsidRPr="00A363ED">
              <w:t xml:space="preserve">t least </w:t>
            </w:r>
            <w:r w:rsidR="6C915BB0" w:rsidRPr="00A363ED">
              <w:t>5</w:t>
            </w:r>
            <w:r w:rsidR="17E50A4C" w:rsidRPr="00BD1FD4">
              <w:t xml:space="preserve"> per cent improvement on </w:t>
            </w:r>
            <w:r w:rsidR="00CA76F3">
              <w:t xml:space="preserve">the same time last year </w:t>
            </w:r>
          </w:p>
        </w:tc>
      </w:tr>
      <w:tr w:rsidR="00EA7D3C" w14:paraId="76B9FE24" w14:textId="77777777" w:rsidTr="008E1561">
        <w:trPr>
          <w:cantSplit/>
          <w:trHeight w:val="300"/>
        </w:trPr>
        <w:tc>
          <w:tcPr>
            <w:tcW w:w="2547" w:type="dxa"/>
          </w:tcPr>
          <w:p w14:paraId="53E2DC38" w14:textId="6CF17163" w:rsidR="00EA7D3C" w:rsidRPr="00315936" w:rsidRDefault="00EA7D3C" w:rsidP="00EA7D3C">
            <w:pPr>
              <w:pStyle w:val="Tabletext"/>
              <w:rPr>
                <w:rFonts w:eastAsia="MS Gothic"/>
              </w:rPr>
            </w:pPr>
            <w:r w:rsidRPr="00315936">
              <w:rPr>
                <w:rFonts w:eastAsia="MS Gothic"/>
              </w:rPr>
              <w:t>Mental health</w:t>
            </w:r>
          </w:p>
        </w:tc>
        <w:tc>
          <w:tcPr>
            <w:tcW w:w="4369" w:type="dxa"/>
          </w:tcPr>
          <w:p w14:paraId="412739B1" w14:textId="2DB3A8A6" w:rsidR="00EA7D3C" w:rsidRPr="00315936" w:rsidRDefault="00EA7D3C" w:rsidP="00EA7D3C">
            <w:pPr>
              <w:rPr>
                <w:rFonts w:cs="Arial"/>
                <w:color w:val="000000"/>
                <w:szCs w:val="21"/>
                <w:shd w:val="clear" w:color="auto" w:fill="FFFFFF"/>
              </w:rPr>
            </w:pPr>
            <w:r w:rsidRPr="00315936">
              <w:t>Percentage of mental health-related emergency department presentations with a length of stay of less than 4 hours</w:t>
            </w:r>
          </w:p>
        </w:tc>
        <w:tc>
          <w:tcPr>
            <w:tcW w:w="3458" w:type="dxa"/>
          </w:tcPr>
          <w:p w14:paraId="18DD23FA" w14:textId="70DDAFD8" w:rsidR="00EA7D3C" w:rsidRDefault="00EA7D3C" w:rsidP="00EA7D3C">
            <w:pPr>
              <w:pStyle w:val="Tabletext"/>
            </w:pPr>
            <w:r w:rsidRPr="00315936">
              <w:t>65 per cent</w:t>
            </w:r>
          </w:p>
        </w:tc>
      </w:tr>
      <w:tr w:rsidR="0082172D" w14:paraId="0A8CB98A" w14:textId="77777777" w:rsidTr="008E1561">
        <w:trPr>
          <w:cantSplit/>
          <w:trHeight w:val="300"/>
        </w:trPr>
        <w:tc>
          <w:tcPr>
            <w:tcW w:w="2547" w:type="dxa"/>
          </w:tcPr>
          <w:p w14:paraId="3486CA51" w14:textId="6722857A" w:rsidR="0082172D" w:rsidRPr="686ABE5A" w:rsidRDefault="0082172D" w:rsidP="0082172D">
            <w:pPr>
              <w:pStyle w:val="Tabletext"/>
              <w:rPr>
                <w:rFonts w:eastAsia="MS Gothic"/>
              </w:rPr>
            </w:pPr>
            <w:r w:rsidRPr="00315936">
              <w:rPr>
                <w:rFonts w:eastAsia="MS Gothic"/>
              </w:rPr>
              <w:t>Mental health</w:t>
            </w:r>
          </w:p>
        </w:tc>
        <w:tc>
          <w:tcPr>
            <w:tcW w:w="4369" w:type="dxa"/>
          </w:tcPr>
          <w:p w14:paraId="320C4EA2" w14:textId="491DD682" w:rsidR="0082172D" w:rsidRPr="686ABE5A" w:rsidRDefault="0082172D" w:rsidP="0082172D">
            <w:pPr>
              <w:rPr>
                <w:rFonts w:eastAsia="MS Gothic"/>
              </w:rPr>
            </w:pPr>
            <w:r w:rsidRPr="00315936">
              <w:rPr>
                <w:rFonts w:cs="Arial"/>
                <w:color w:val="000000"/>
                <w:szCs w:val="21"/>
                <w:shd w:val="clear" w:color="auto" w:fill="FFFFFF"/>
              </w:rPr>
              <w:t>Percentage of departures from emergency departments to a mental health bed within 8 hours</w:t>
            </w:r>
            <w:r w:rsidRPr="00315936">
              <w:rPr>
                <w:rStyle w:val="eop"/>
                <w:rFonts w:eastAsia="MS Gothic" w:cs="Arial"/>
                <w:color w:val="000000"/>
                <w:szCs w:val="21"/>
                <w:shd w:val="clear" w:color="auto" w:fill="FFFFFF"/>
              </w:rPr>
              <w:t> </w:t>
            </w:r>
          </w:p>
        </w:tc>
        <w:tc>
          <w:tcPr>
            <w:tcW w:w="3458" w:type="dxa"/>
          </w:tcPr>
          <w:p w14:paraId="1D316216" w14:textId="6CBC4A10" w:rsidR="0082172D" w:rsidRDefault="0082172D" w:rsidP="0082172D">
            <w:pPr>
              <w:pStyle w:val="Tabletext"/>
            </w:pPr>
            <w:r>
              <w:t>80 per cent</w:t>
            </w:r>
          </w:p>
        </w:tc>
      </w:tr>
      <w:tr w:rsidR="686ABE5A" w14:paraId="4B6AC04D" w14:textId="77777777" w:rsidTr="008E1561">
        <w:trPr>
          <w:cantSplit/>
          <w:trHeight w:val="300"/>
        </w:trPr>
        <w:tc>
          <w:tcPr>
            <w:tcW w:w="2547" w:type="dxa"/>
          </w:tcPr>
          <w:p w14:paraId="3A929AE7" w14:textId="2B81D9CF" w:rsidR="56C4A54F" w:rsidRDefault="56C4A54F" w:rsidP="686ABE5A">
            <w:pPr>
              <w:pStyle w:val="Tabletext"/>
              <w:rPr>
                <w:rFonts w:eastAsia="MS Gothic"/>
              </w:rPr>
            </w:pPr>
            <w:r w:rsidRPr="686ABE5A">
              <w:rPr>
                <w:rFonts w:eastAsia="MS Gothic"/>
              </w:rPr>
              <w:t>Mental Health</w:t>
            </w:r>
          </w:p>
        </w:tc>
        <w:tc>
          <w:tcPr>
            <w:tcW w:w="4369" w:type="dxa"/>
          </w:tcPr>
          <w:p w14:paraId="3F2122FC" w14:textId="186591BC" w:rsidR="56C4A54F" w:rsidRDefault="56C4A54F" w:rsidP="686ABE5A">
            <w:pPr>
              <w:rPr>
                <w:rFonts w:eastAsia="MS Gothic"/>
              </w:rPr>
            </w:pPr>
            <w:r w:rsidRPr="686ABE5A">
              <w:rPr>
                <w:rFonts w:eastAsia="MS Gothic"/>
              </w:rPr>
              <w:t>Number of admitted mental health occupied bed days</w:t>
            </w:r>
          </w:p>
        </w:tc>
        <w:tc>
          <w:tcPr>
            <w:tcW w:w="3458" w:type="dxa"/>
          </w:tcPr>
          <w:p w14:paraId="74C4F443" w14:textId="7D442F59" w:rsidR="56C4A54F" w:rsidRDefault="56C4A54F" w:rsidP="686ABE5A">
            <w:pPr>
              <w:pStyle w:val="Tabletext"/>
            </w:pPr>
            <w:r>
              <w:t>Health service specific</w:t>
            </w:r>
          </w:p>
        </w:tc>
      </w:tr>
      <w:tr w:rsidR="00F82046" w:rsidRPr="00315936" w14:paraId="5185F8EF" w14:textId="77777777" w:rsidTr="008E1561">
        <w:trPr>
          <w:cantSplit/>
        </w:trPr>
        <w:tc>
          <w:tcPr>
            <w:tcW w:w="2547" w:type="dxa"/>
          </w:tcPr>
          <w:p w14:paraId="69504CB7" w14:textId="38B665D5" w:rsidR="00F82046" w:rsidRPr="00315936" w:rsidRDefault="00F82046" w:rsidP="004F754C">
            <w:pPr>
              <w:pStyle w:val="Tabletext"/>
              <w:rPr>
                <w:rFonts w:eastAsia="MS Gothic"/>
              </w:rPr>
            </w:pPr>
            <w:r>
              <w:rPr>
                <w:rFonts w:eastAsia="MS Gothic"/>
              </w:rPr>
              <w:t>Mental Health</w:t>
            </w:r>
          </w:p>
        </w:tc>
        <w:tc>
          <w:tcPr>
            <w:tcW w:w="4369" w:type="dxa"/>
          </w:tcPr>
          <w:p w14:paraId="489BEC23" w14:textId="1C1BB187" w:rsidR="00F82046" w:rsidRPr="00315936" w:rsidRDefault="008E7C37" w:rsidP="004F754C">
            <w:pPr>
              <w:pStyle w:val="Tabletext"/>
              <w:rPr>
                <w:rFonts w:cs="Arial"/>
                <w:color w:val="000000"/>
                <w:szCs w:val="21"/>
                <w:shd w:val="clear" w:color="auto" w:fill="FFFFFF"/>
              </w:rPr>
            </w:pPr>
            <w:r>
              <w:rPr>
                <w:rFonts w:cs="Arial"/>
                <w:color w:val="000000"/>
                <w:szCs w:val="21"/>
                <w:shd w:val="clear" w:color="auto" w:fill="FFFFFF"/>
              </w:rPr>
              <w:t>Number of community mental health service hours</w:t>
            </w:r>
          </w:p>
        </w:tc>
        <w:tc>
          <w:tcPr>
            <w:tcW w:w="3458" w:type="dxa"/>
          </w:tcPr>
          <w:p w14:paraId="20BEC485" w14:textId="3B4B3020" w:rsidR="00F82046" w:rsidRPr="00315936" w:rsidRDefault="008E7C37" w:rsidP="004F754C">
            <w:pPr>
              <w:pStyle w:val="Tabletext"/>
            </w:pPr>
            <w:r>
              <w:t>Health service specific</w:t>
            </w:r>
          </w:p>
        </w:tc>
      </w:tr>
      <w:tr w:rsidR="009046D5" w:rsidRPr="00315936" w14:paraId="08B86A3D" w14:textId="77777777" w:rsidTr="008E1561">
        <w:trPr>
          <w:cantSplit/>
        </w:trPr>
        <w:tc>
          <w:tcPr>
            <w:tcW w:w="2547" w:type="dxa"/>
          </w:tcPr>
          <w:p w14:paraId="1E99A52E" w14:textId="24044FE5" w:rsidR="009046D5" w:rsidRPr="00315936" w:rsidRDefault="009046D5" w:rsidP="009046D5">
            <w:pPr>
              <w:pStyle w:val="Tabletext"/>
              <w:rPr>
                <w:rFonts w:eastAsia="MS Gothic"/>
              </w:rPr>
            </w:pPr>
            <w:r w:rsidRPr="00315936">
              <w:rPr>
                <w:rFonts w:eastAsia="MS Gothic"/>
              </w:rPr>
              <w:t>Specialist clinics</w:t>
            </w:r>
          </w:p>
        </w:tc>
        <w:tc>
          <w:tcPr>
            <w:tcW w:w="4369" w:type="dxa"/>
          </w:tcPr>
          <w:p w14:paraId="07628E36" w14:textId="59CF9FF2" w:rsidR="009046D5" w:rsidRPr="00315936" w:rsidRDefault="009046D5" w:rsidP="009046D5">
            <w:pPr>
              <w:pStyle w:val="Tabletext"/>
              <w:rPr>
                <w:rFonts w:eastAsia="MS Gothic"/>
              </w:rPr>
            </w:pPr>
            <w:bookmarkStart w:id="28" w:name="_Hlk213062495"/>
            <w:r w:rsidRPr="00315936">
              <w:t>Percentage of patients referred by a GP or external specialist who attended a first appointment within the recommended timeframe</w:t>
            </w:r>
            <w:bookmarkEnd w:id="28"/>
            <w:r w:rsidR="00004764">
              <w:rPr>
                <w:rStyle w:val="EndnoteReference"/>
              </w:rPr>
              <w:endnoteReference w:id="4"/>
            </w:r>
          </w:p>
        </w:tc>
        <w:tc>
          <w:tcPr>
            <w:tcW w:w="3458" w:type="dxa"/>
          </w:tcPr>
          <w:p w14:paraId="6AF65F71" w14:textId="2C5FAFEE" w:rsidR="009046D5" w:rsidRPr="00315936" w:rsidRDefault="46A64D89" w:rsidP="009046D5">
            <w:pPr>
              <w:pStyle w:val="Tabletext"/>
            </w:pPr>
            <w:r>
              <w:t>95</w:t>
            </w:r>
            <w:r w:rsidR="74709492">
              <w:t xml:space="preserve"> per cent</w:t>
            </w:r>
          </w:p>
        </w:tc>
      </w:tr>
      <w:tr w:rsidR="009046D5" w:rsidRPr="00315936" w14:paraId="3047B848" w14:textId="77777777" w:rsidTr="008E1561">
        <w:trPr>
          <w:cantSplit/>
        </w:trPr>
        <w:tc>
          <w:tcPr>
            <w:tcW w:w="2547" w:type="dxa"/>
          </w:tcPr>
          <w:p w14:paraId="25D06720" w14:textId="5750D01B" w:rsidR="009046D5" w:rsidRPr="00315936" w:rsidRDefault="009046D5" w:rsidP="009046D5">
            <w:pPr>
              <w:pStyle w:val="Tabletext"/>
            </w:pPr>
            <w:r w:rsidRPr="00315936">
              <w:t>Home based care</w:t>
            </w:r>
          </w:p>
        </w:tc>
        <w:tc>
          <w:tcPr>
            <w:tcW w:w="4369" w:type="dxa"/>
          </w:tcPr>
          <w:p w14:paraId="4710FC9C" w14:textId="775810CB" w:rsidR="009046D5" w:rsidRPr="00315936" w:rsidRDefault="009046D5" w:rsidP="009046D5">
            <w:pPr>
              <w:pStyle w:val="Tabletext"/>
              <w:rPr>
                <w:rFonts w:eastAsia="MS Gothic"/>
              </w:rPr>
            </w:pPr>
            <w:r w:rsidRPr="00315936">
              <w:t>Percentage of admitted bed days delivered at home</w:t>
            </w:r>
          </w:p>
        </w:tc>
        <w:tc>
          <w:tcPr>
            <w:tcW w:w="3458" w:type="dxa"/>
          </w:tcPr>
          <w:p w14:paraId="71B7B92C" w14:textId="1EC17476" w:rsidR="009046D5" w:rsidRPr="00315936" w:rsidRDefault="0045754F" w:rsidP="009046D5">
            <w:pPr>
              <w:pStyle w:val="Tabletext"/>
            </w:pPr>
            <w:r>
              <w:t xml:space="preserve">Health </w:t>
            </w:r>
            <w:r w:rsidR="006370B1">
              <w:t xml:space="preserve">service specific </w:t>
            </w:r>
          </w:p>
        </w:tc>
      </w:tr>
    </w:tbl>
    <w:p w14:paraId="6FACEFF8" w14:textId="0C840624" w:rsidR="00733A0B" w:rsidRDefault="00733A0B" w:rsidP="00733A0B">
      <w:pPr>
        <w:pStyle w:val="Heading2"/>
      </w:pPr>
      <w:bookmarkStart w:id="29" w:name="_Toc167781665"/>
      <w:bookmarkStart w:id="30" w:name="_Toc234580071"/>
      <w:r w:rsidRPr="00315936">
        <w:t>Effective financial management</w:t>
      </w:r>
      <w:bookmarkEnd w:id="29"/>
      <w:bookmarkEnd w:id="30"/>
    </w:p>
    <w:tbl>
      <w:tblPr>
        <w:tblStyle w:val="TableGrid"/>
        <w:tblW w:w="10374" w:type="dxa"/>
        <w:tblLook w:val="04A0" w:firstRow="1" w:lastRow="0" w:firstColumn="1" w:lastColumn="0" w:noHBand="0" w:noVBand="1"/>
      </w:tblPr>
      <w:tblGrid>
        <w:gridCol w:w="2547"/>
        <w:gridCol w:w="4369"/>
        <w:gridCol w:w="3458"/>
      </w:tblGrid>
      <w:tr w:rsidR="008E0AB3" w:rsidRPr="00315936" w14:paraId="348424A4" w14:textId="77777777" w:rsidTr="008E1561">
        <w:trPr>
          <w:cantSplit/>
          <w:trHeight w:val="340"/>
          <w:tblHeader/>
        </w:trPr>
        <w:tc>
          <w:tcPr>
            <w:tcW w:w="2547" w:type="dxa"/>
            <w:shd w:val="clear" w:color="auto" w:fill="000066"/>
          </w:tcPr>
          <w:p w14:paraId="163C9DB3" w14:textId="77777777" w:rsidR="008E0AB3" w:rsidRPr="00315936" w:rsidRDefault="008E0AB3">
            <w:pPr>
              <w:pStyle w:val="Tablecolhead"/>
            </w:pPr>
            <w:r w:rsidRPr="00315936">
              <w:t>Program</w:t>
            </w:r>
          </w:p>
        </w:tc>
        <w:tc>
          <w:tcPr>
            <w:tcW w:w="4369" w:type="dxa"/>
            <w:shd w:val="clear" w:color="auto" w:fill="000066"/>
          </w:tcPr>
          <w:p w14:paraId="2E7AA3BC" w14:textId="77777777" w:rsidR="008E0AB3" w:rsidRPr="00315936" w:rsidRDefault="008E0AB3">
            <w:pPr>
              <w:pStyle w:val="Tablecolhead"/>
            </w:pPr>
            <w:r w:rsidRPr="00315936">
              <w:t>Measure</w:t>
            </w:r>
          </w:p>
        </w:tc>
        <w:tc>
          <w:tcPr>
            <w:tcW w:w="3458" w:type="dxa"/>
            <w:shd w:val="clear" w:color="auto" w:fill="000066"/>
          </w:tcPr>
          <w:p w14:paraId="31E8369E" w14:textId="77777777" w:rsidR="008E0AB3" w:rsidRPr="00315936" w:rsidRDefault="008E0AB3">
            <w:pPr>
              <w:pStyle w:val="Tablecolhead"/>
            </w:pPr>
            <w:r w:rsidRPr="00315936">
              <w:t>Target</w:t>
            </w:r>
          </w:p>
        </w:tc>
      </w:tr>
      <w:tr w:rsidR="008E0AB3" w:rsidRPr="00315936" w14:paraId="744B858B" w14:textId="77777777" w:rsidTr="008E1561">
        <w:trPr>
          <w:cantSplit/>
        </w:trPr>
        <w:tc>
          <w:tcPr>
            <w:tcW w:w="2547" w:type="dxa"/>
          </w:tcPr>
          <w:p w14:paraId="4C7E67DE" w14:textId="77777777" w:rsidR="008E0AB3" w:rsidRPr="00315936" w:rsidRDefault="008E0AB3">
            <w:pPr>
              <w:pStyle w:val="Tabletext"/>
            </w:pPr>
            <w:r w:rsidRPr="00315936">
              <w:t>Effective financial management</w:t>
            </w:r>
          </w:p>
        </w:tc>
        <w:tc>
          <w:tcPr>
            <w:tcW w:w="4369" w:type="dxa"/>
          </w:tcPr>
          <w:p w14:paraId="286383A5" w14:textId="52A07670" w:rsidR="008E0AB3" w:rsidRPr="00315936" w:rsidRDefault="008E0AB3">
            <w:pPr>
              <w:pStyle w:val="Tabletext"/>
            </w:pPr>
            <w:r w:rsidRPr="00315936">
              <w:t>Operating result ($M)</w:t>
            </w:r>
          </w:p>
        </w:tc>
        <w:tc>
          <w:tcPr>
            <w:tcW w:w="3458" w:type="dxa"/>
          </w:tcPr>
          <w:p w14:paraId="0CBE1C2C" w14:textId="77777777" w:rsidR="008E0AB3" w:rsidRPr="00315936" w:rsidRDefault="008E0AB3">
            <w:pPr>
              <w:pStyle w:val="Tabletext"/>
            </w:pPr>
            <w:r w:rsidRPr="00315936">
              <w:t>Health service specific</w:t>
            </w:r>
          </w:p>
        </w:tc>
      </w:tr>
      <w:tr w:rsidR="008E0AB3" w:rsidRPr="00315936" w14:paraId="636C4D2F" w14:textId="77777777" w:rsidTr="008E1561">
        <w:trPr>
          <w:cantSplit/>
        </w:trPr>
        <w:tc>
          <w:tcPr>
            <w:tcW w:w="2547" w:type="dxa"/>
          </w:tcPr>
          <w:p w14:paraId="104F233B" w14:textId="77777777" w:rsidR="008E0AB3" w:rsidRPr="00315936" w:rsidRDefault="008E0AB3">
            <w:pPr>
              <w:pStyle w:val="Tabletext"/>
            </w:pPr>
            <w:r w:rsidRPr="00315936">
              <w:t>Effective financial management</w:t>
            </w:r>
          </w:p>
        </w:tc>
        <w:tc>
          <w:tcPr>
            <w:tcW w:w="4369" w:type="dxa"/>
          </w:tcPr>
          <w:p w14:paraId="47073A1E" w14:textId="7B040280" w:rsidR="008E0AB3" w:rsidRPr="00315936" w:rsidRDefault="008E0AB3">
            <w:pPr>
              <w:pStyle w:val="Tabletext"/>
            </w:pPr>
            <w:r w:rsidRPr="00315936">
              <w:t xml:space="preserve">Adjusted Current Asset Ratio (ACAR)  </w:t>
            </w:r>
          </w:p>
        </w:tc>
        <w:tc>
          <w:tcPr>
            <w:tcW w:w="3458" w:type="dxa"/>
          </w:tcPr>
          <w:p w14:paraId="7B4D66C3" w14:textId="58587AD2" w:rsidR="008E0AB3" w:rsidRPr="00315936" w:rsidRDefault="1B31AB50">
            <w:pPr>
              <w:pStyle w:val="Tabletext"/>
            </w:pPr>
            <w:r>
              <w:t xml:space="preserve">Greater than or equal to </w:t>
            </w:r>
            <w:r w:rsidR="15F24CDB">
              <w:t>0</w:t>
            </w:r>
            <w:r w:rsidR="008E0AB3" w:rsidRPr="00315936">
              <w:t xml:space="preserve">.7 </w:t>
            </w:r>
            <w:r w:rsidR="008E0AB3" w:rsidRPr="00535D2B">
              <w:rPr>
                <w:b/>
                <w:bCs/>
              </w:rPr>
              <w:t xml:space="preserve">or </w:t>
            </w:r>
            <w:r w:rsidR="0A145A4B">
              <w:t xml:space="preserve">at least </w:t>
            </w:r>
            <w:r w:rsidR="008E0AB3" w:rsidRPr="00315936">
              <w:t xml:space="preserve">3 per cent improvement from health service base target </w:t>
            </w:r>
          </w:p>
        </w:tc>
      </w:tr>
      <w:tr w:rsidR="008E0AB3" w:rsidRPr="00315936" w14:paraId="6E010823" w14:textId="77777777" w:rsidTr="008E1561">
        <w:trPr>
          <w:cantSplit/>
        </w:trPr>
        <w:tc>
          <w:tcPr>
            <w:tcW w:w="2547" w:type="dxa"/>
          </w:tcPr>
          <w:p w14:paraId="4CD9F823" w14:textId="77777777" w:rsidR="008E0AB3" w:rsidRPr="00315936" w:rsidRDefault="008E0AB3">
            <w:pPr>
              <w:pStyle w:val="Tabletext"/>
            </w:pPr>
            <w:r w:rsidRPr="00315936">
              <w:t>Effective financial management</w:t>
            </w:r>
          </w:p>
        </w:tc>
        <w:tc>
          <w:tcPr>
            <w:tcW w:w="4369" w:type="dxa"/>
          </w:tcPr>
          <w:p w14:paraId="61113E6A" w14:textId="24CE433F" w:rsidR="008E0AB3" w:rsidRPr="00315936" w:rsidRDefault="008E0AB3">
            <w:pPr>
              <w:pStyle w:val="Tabletext"/>
            </w:pPr>
            <w:r w:rsidRPr="006B2CF1">
              <w:t>Variance between the forecast and actual operating result (OR) as a percentage of the forecast OR for the current financial year ending 30 June</w:t>
            </w:r>
          </w:p>
        </w:tc>
        <w:tc>
          <w:tcPr>
            <w:tcW w:w="3458" w:type="dxa"/>
          </w:tcPr>
          <w:p w14:paraId="6D945154" w14:textId="2FA0EBC6" w:rsidR="008E0AB3" w:rsidRPr="00315936" w:rsidRDefault="27D06A7B">
            <w:pPr>
              <w:pStyle w:val="Tabletext"/>
            </w:pPr>
            <w:r w:rsidRPr="00C05981">
              <w:t xml:space="preserve">Less than or equal to </w:t>
            </w:r>
            <w:r w:rsidR="20EE1EEB" w:rsidRPr="00C05981">
              <w:t>5</w:t>
            </w:r>
            <w:r w:rsidR="009934D9" w:rsidRPr="00C05981">
              <w:t xml:space="preserve"> per cent variance</w:t>
            </w:r>
          </w:p>
        </w:tc>
      </w:tr>
    </w:tbl>
    <w:p w14:paraId="6214F8CF" w14:textId="77777777" w:rsidR="008E0AB3" w:rsidRDefault="008E0AB3" w:rsidP="008E0AB3">
      <w:pPr>
        <w:pStyle w:val="Body"/>
        <w:sectPr w:rsidR="008E0AB3" w:rsidSect="00A47AC7">
          <w:footerReference w:type="even" r:id="rId26"/>
          <w:footerReference w:type="default" r:id="rId27"/>
          <w:headerReference w:type="first" r:id="rId28"/>
          <w:footerReference w:type="first" r:id="rId29"/>
          <w:pgSz w:w="11906" w:h="16838" w:code="9"/>
          <w:pgMar w:top="720" w:right="720" w:bottom="720" w:left="720" w:header="680" w:footer="851" w:gutter="0"/>
          <w:cols w:space="340"/>
          <w:titlePg/>
          <w:docGrid w:linePitch="360"/>
        </w:sectPr>
      </w:pPr>
    </w:p>
    <w:p w14:paraId="60CD0F0F" w14:textId="09F39F42" w:rsidR="00733A0B" w:rsidRPr="00315936" w:rsidRDefault="00140581" w:rsidP="1FAFEA63">
      <w:pPr>
        <w:pStyle w:val="Heading1"/>
        <w:spacing w:after="0" w:line="240" w:lineRule="auto"/>
      </w:pPr>
      <w:bookmarkStart w:id="31" w:name="_Toc234580072"/>
      <w:r>
        <w:lastRenderedPageBreak/>
        <w:t>Business rules</w:t>
      </w:r>
      <w:bookmarkEnd w:id="31"/>
    </w:p>
    <w:p w14:paraId="320A6511" w14:textId="118E5AAB" w:rsidR="00140581" w:rsidRPr="00315936" w:rsidRDefault="00140581" w:rsidP="00140581">
      <w:pPr>
        <w:pStyle w:val="Heading2"/>
      </w:pPr>
      <w:bookmarkStart w:id="32" w:name="_Toc167781667"/>
      <w:bookmarkStart w:id="33" w:name="_Toc234580073"/>
      <w:r w:rsidRPr="00315936">
        <w:t>High quality and safe care</w:t>
      </w:r>
      <w:bookmarkEnd w:id="32"/>
      <w:bookmarkEnd w:id="33"/>
    </w:p>
    <w:p w14:paraId="3848AC61" w14:textId="2C4BE9D0" w:rsidR="00140581" w:rsidRPr="00315936" w:rsidRDefault="00140581" w:rsidP="00140581">
      <w:pPr>
        <w:pStyle w:val="Heading3"/>
      </w:pPr>
      <w:bookmarkStart w:id="34" w:name="_Toc662554265"/>
      <w:r w:rsidRPr="00315936">
        <w:t>Infection prevention and control</w:t>
      </w:r>
      <w:bookmarkEnd w:id="34"/>
    </w:p>
    <w:p w14:paraId="6AEF8A32" w14:textId="47384622" w:rsidR="003E5BED" w:rsidRPr="00315936" w:rsidRDefault="00AD2366" w:rsidP="008E7F78">
      <w:pPr>
        <w:pStyle w:val="Heading4"/>
      </w:pPr>
      <w:bookmarkStart w:id="35" w:name="_Toc1158523473"/>
      <w:r w:rsidRPr="00317FE9">
        <w:t>Percentage of healthcare workers immunised for influenza</w:t>
      </w:r>
      <w:bookmarkEnd w:id="35"/>
    </w:p>
    <w:tbl>
      <w:tblPr>
        <w:tblStyle w:val="TableGrid"/>
        <w:tblW w:w="10343" w:type="dxa"/>
        <w:tblLook w:val="04A0" w:firstRow="1" w:lastRow="0" w:firstColumn="1" w:lastColumn="0" w:noHBand="0" w:noVBand="1"/>
      </w:tblPr>
      <w:tblGrid>
        <w:gridCol w:w="1838"/>
        <w:gridCol w:w="8505"/>
      </w:tblGrid>
      <w:tr w:rsidR="00CD0C77" w:rsidRPr="00315936" w14:paraId="675B65B4"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A1926A6" w14:textId="125369DA" w:rsidR="00CD0C77" w:rsidRPr="00315936" w:rsidRDefault="00C3016B">
            <w:pPr>
              <w:pStyle w:val="Tablecolhead"/>
              <w:rPr>
                <w:b w:val="0"/>
                <w:lang w:eastAsia="en-AU"/>
              </w:rPr>
            </w:pPr>
            <w:r w:rsidRPr="00315936">
              <w:rPr>
                <w:b w:val="0"/>
                <w:lang w:eastAsia="en-AU"/>
              </w:rPr>
              <w:t>Measure</w:t>
            </w:r>
          </w:p>
        </w:tc>
        <w:tc>
          <w:tcPr>
            <w:tcW w:w="8505" w:type="dxa"/>
            <w:tcBorders>
              <w:left w:val="single" w:sz="4" w:space="0" w:color="FFFFFF" w:themeColor="background1"/>
            </w:tcBorders>
          </w:tcPr>
          <w:p w14:paraId="01EC7544" w14:textId="675E1275" w:rsidR="00CD0C77" w:rsidRPr="00315936" w:rsidRDefault="00CD0C77">
            <w:pPr>
              <w:pStyle w:val="Tabletext"/>
              <w:rPr>
                <w:vertAlign w:val="superscript"/>
              </w:rPr>
            </w:pPr>
            <w:bookmarkStart w:id="36" w:name="_Hlk213062700"/>
            <w:r w:rsidRPr="00315936">
              <w:t>Percentage of healthcare workers immunised for influenza</w:t>
            </w:r>
            <w:bookmarkStart w:id="37" w:name="_Ref201832379"/>
            <w:bookmarkStart w:id="38" w:name="_Ref201303385"/>
            <w:bookmarkEnd w:id="36"/>
            <w:r w:rsidR="00004764">
              <w:rPr>
                <w:rStyle w:val="EndnoteReference"/>
              </w:rPr>
              <w:endnoteReference w:id="5"/>
            </w:r>
            <w:bookmarkEnd w:id="37"/>
            <w:r w:rsidR="00D91127">
              <w:rPr>
                <w:vertAlign w:val="superscript"/>
              </w:rPr>
              <w:t>,</w:t>
            </w:r>
            <w:bookmarkStart w:id="39" w:name="_Ref201833119"/>
            <w:r w:rsidR="00D91127">
              <w:rPr>
                <w:rStyle w:val="EndnoteReference"/>
              </w:rPr>
              <w:endnoteReference w:id="6"/>
            </w:r>
            <w:bookmarkEnd w:id="39"/>
            <w:r w:rsidR="00004764">
              <w:t xml:space="preserve">  </w:t>
            </w:r>
            <w:bookmarkEnd w:id="38"/>
          </w:p>
        </w:tc>
      </w:tr>
      <w:tr w:rsidR="00CD0C77" w:rsidRPr="00315936" w14:paraId="0DDA6B30"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859867B" w14:textId="77777777" w:rsidR="00CD0C77" w:rsidRPr="00315936" w:rsidRDefault="00CD0C77">
            <w:pPr>
              <w:pStyle w:val="Tablecolhead"/>
              <w:rPr>
                <w:b w:val="0"/>
                <w:lang w:eastAsia="en-AU"/>
              </w:rPr>
            </w:pPr>
            <w:r w:rsidRPr="00315936">
              <w:rPr>
                <w:b w:val="0"/>
                <w:lang w:eastAsia="en-AU"/>
              </w:rPr>
              <w:t>Description </w:t>
            </w:r>
          </w:p>
        </w:tc>
        <w:tc>
          <w:tcPr>
            <w:tcW w:w="8505" w:type="dxa"/>
            <w:tcBorders>
              <w:left w:val="single" w:sz="4" w:space="0" w:color="FFFFFF" w:themeColor="background1"/>
            </w:tcBorders>
          </w:tcPr>
          <w:p w14:paraId="5D88F03A" w14:textId="77777777" w:rsidR="00CD0C77" w:rsidRPr="00315936" w:rsidRDefault="00CD0C77">
            <w:pPr>
              <w:pStyle w:val="Tabletext"/>
              <w:rPr>
                <w:rFonts w:ascii="VIC" w:eastAsia="VIC" w:hAnsi="VIC" w:cs="VIC"/>
                <w:color w:val="000000" w:themeColor="text1"/>
                <w:sz w:val="20"/>
              </w:rPr>
            </w:pPr>
            <w:r w:rsidRPr="00315936">
              <w:t>High coverage rates of immunisation in healthcare workers (HCW) are essential to reduce the risk of influenza transmission in healthcare settings.</w:t>
            </w:r>
          </w:p>
          <w:p w14:paraId="413E4B45" w14:textId="7A2F1B70" w:rsidR="00CD0C77" w:rsidRPr="00315936" w:rsidRDefault="00CD0C77">
            <w:pPr>
              <w:pStyle w:val="Tabletext"/>
              <w:rPr>
                <w:rFonts w:ascii="VIC" w:eastAsia="VIC" w:hAnsi="VIC" w:cs="VIC"/>
                <w:color w:val="000000" w:themeColor="text1"/>
                <w:sz w:val="20"/>
              </w:rPr>
            </w:pPr>
            <w:r w:rsidRPr="00315936">
              <w:t xml:space="preserve">This </w:t>
            </w:r>
            <w:r w:rsidR="00C3016B" w:rsidRPr="00315936">
              <w:t>measure</w:t>
            </w:r>
            <w:r w:rsidR="00375F30">
              <w:t>s</w:t>
            </w:r>
            <w:r w:rsidRPr="00315936">
              <w:t xml:space="preserve"> the percentage of</w:t>
            </w:r>
            <w:r w:rsidR="00BA5C6F" w:rsidRPr="00315936">
              <w:t xml:space="preserve"> </w:t>
            </w:r>
            <w:r w:rsidR="00375BB1">
              <w:t xml:space="preserve">eligible </w:t>
            </w:r>
            <w:r w:rsidR="00E96102">
              <w:t>staff wh</w:t>
            </w:r>
            <w:r w:rsidR="002E6F92">
              <w:t>o were vaccinated</w:t>
            </w:r>
            <w:r w:rsidR="00EF4480">
              <w:t xml:space="preserve"> against </w:t>
            </w:r>
            <w:r w:rsidR="00C64DA9">
              <w:t>influenza</w:t>
            </w:r>
            <w:r w:rsidR="002E6F92">
              <w:t xml:space="preserve">. Eligible staff are those </w:t>
            </w:r>
            <w:r w:rsidR="006D376C">
              <w:t xml:space="preserve">who were </w:t>
            </w:r>
            <w:r w:rsidR="00375BB1" w:rsidRPr="00315936">
              <w:t>permanently, temporarily, or casually (bank staff) employed</w:t>
            </w:r>
            <w:r w:rsidR="00AD20C1">
              <w:t xml:space="preserve"> by </w:t>
            </w:r>
            <w:r w:rsidR="00AD20C1" w:rsidRPr="00315936">
              <w:t xml:space="preserve">the nominated hospital / health service </w:t>
            </w:r>
            <w:r w:rsidR="00BA5C6F" w:rsidRPr="00315936">
              <w:t xml:space="preserve">(including residential aged care services and community health staff) </w:t>
            </w:r>
            <w:r w:rsidR="00C64DA9">
              <w:t>and</w:t>
            </w:r>
            <w:r w:rsidR="00BA5C6F">
              <w:t xml:space="preserve"> </w:t>
            </w:r>
            <w:r w:rsidR="00BA5C6F" w:rsidRPr="00315936">
              <w:t>worked one or more shifts during the influenza vaccination campaign</w:t>
            </w:r>
            <w:r w:rsidR="00AD20C1">
              <w:t>.</w:t>
            </w:r>
          </w:p>
        </w:tc>
      </w:tr>
      <w:tr w:rsidR="00CD0C77" w:rsidRPr="00315936" w14:paraId="0F4EEE5C"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F4ED11B" w14:textId="77777777" w:rsidR="00CD0C77" w:rsidRPr="00315936" w:rsidRDefault="00CD0C77" w:rsidP="00FB3915">
            <w:pPr>
              <w:pStyle w:val="Tablecolhead"/>
              <w:rPr>
                <w:b w:val="0"/>
              </w:rPr>
            </w:pPr>
            <w:r w:rsidRPr="00315936">
              <w:rPr>
                <w:b w:val="0"/>
              </w:rPr>
              <w:t>Calculating performance</w:t>
            </w:r>
          </w:p>
        </w:tc>
        <w:tc>
          <w:tcPr>
            <w:tcW w:w="8505" w:type="dxa"/>
            <w:tcBorders>
              <w:left w:val="single" w:sz="4" w:space="0" w:color="FFFFFF" w:themeColor="background1"/>
            </w:tcBorders>
          </w:tcPr>
          <w:p w14:paraId="4DFB6153" w14:textId="323258EC" w:rsidR="00CD0C77" w:rsidRDefault="00CD0C77">
            <w:pPr>
              <w:pStyle w:val="Tabletext"/>
            </w:pPr>
            <w:r w:rsidRPr="00315936">
              <w:t xml:space="preserve">The </w:t>
            </w:r>
            <w:r w:rsidR="0046211D">
              <w:t xml:space="preserve">audit </w:t>
            </w:r>
            <w:r w:rsidRPr="00315936">
              <w:t>period used to calculate the rate of HCW immunisation is</w:t>
            </w:r>
            <w:r w:rsidR="00F04C88">
              <w:t xml:space="preserve"> aligned with the Victorian Department of Health’s annual influenza vaccination campaign.</w:t>
            </w:r>
          </w:p>
          <w:p w14:paraId="5DB8A2EB" w14:textId="73E0A3F9" w:rsidR="002203FD" w:rsidRPr="00315936" w:rsidRDefault="002203FD">
            <w:pPr>
              <w:pStyle w:val="Tabletext"/>
            </w:pPr>
            <w:r w:rsidRPr="00315936">
              <w:t>The HCW categories used are aligned with the Australian Co</w:t>
            </w:r>
            <w:r>
              <w:t>mmission</w:t>
            </w:r>
            <w:r w:rsidRPr="00315936">
              <w:t xml:space="preserve"> on Safety and Quality in Health Care (ACSQHC) Australian guidelines for prevention and control of infection in healthcare. Details can be found at </w:t>
            </w:r>
            <w:hyperlink r:id="rId30" w:history="1">
              <w:r w:rsidRPr="00315936">
                <w:rPr>
                  <w:rStyle w:val="Hyperlink"/>
                </w:rPr>
                <w:t>Vaccination for healthcare workers, Department of Health</w:t>
              </w:r>
            </w:hyperlink>
            <w:r w:rsidRPr="00315936">
              <w:t xml:space="preserve"> &lt;https://www.health.vic.gov.au/immunisation/vaccination-for-healthcare-workers&gt;.</w:t>
            </w:r>
          </w:p>
        </w:tc>
      </w:tr>
      <w:tr w:rsidR="00CD0C77" w:rsidRPr="00315936" w14:paraId="3A812C2C"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21B02DB" w14:textId="77777777" w:rsidR="00CD0C77" w:rsidRPr="00315936" w:rsidRDefault="00CD0C77" w:rsidP="00FB3915">
            <w:pPr>
              <w:pStyle w:val="Tablecolhead"/>
              <w:rPr>
                <w:b w:val="0"/>
              </w:rPr>
            </w:pPr>
            <w:r w:rsidRPr="00315936">
              <w:rPr>
                <w:b w:val="0"/>
              </w:rPr>
              <w:t>Numerator</w:t>
            </w:r>
          </w:p>
        </w:tc>
        <w:tc>
          <w:tcPr>
            <w:tcW w:w="8505" w:type="dxa"/>
            <w:tcBorders>
              <w:left w:val="single" w:sz="4" w:space="0" w:color="FFFFFF" w:themeColor="background1"/>
            </w:tcBorders>
          </w:tcPr>
          <w:p w14:paraId="414977AE" w14:textId="54B4E8FA" w:rsidR="00CD0C77" w:rsidRPr="00315936" w:rsidRDefault="00CD0C77">
            <w:pPr>
              <w:pStyle w:val="Tabletext"/>
            </w:pPr>
            <w:r w:rsidRPr="00315936">
              <w:t xml:space="preserve">Number of category A, B and C HCW vaccinated as </w:t>
            </w:r>
            <w:r w:rsidRPr="000368D7">
              <w:t xml:space="preserve">at </w:t>
            </w:r>
            <w:r w:rsidR="00C959F1" w:rsidRPr="00076BEC">
              <w:t>the influenza vaccination campaign</w:t>
            </w:r>
            <w:r w:rsidR="000A1B68">
              <w:t xml:space="preserve"> end date</w:t>
            </w:r>
            <w:r w:rsidR="002F78E3">
              <w:t>.</w:t>
            </w:r>
          </w:p>
        </w:tc>
      </w:tr>
      <w:tr w:rsidR="00CD0C77" w:rsidRPr="00315936" w14:paraId="36196702"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8886549" w14:textId="77777777" w:rsidR="00CD0C77" w:rsidRPr="00315936" w:rsidRDefault="00CD0C77" w:rsidP="00FB3915">
            <w:pPr>
              <w:pStyle w:val="Tablecolhead"/>
              <w:rPr>
                <w:b w:val="0"/>
              </w:rPr>
            </w:pPr>
            <w:r w:rsidRPr="00315936">
              <w:rPr>
                <w:b w:val="0"/>
              </w:rPr>
              <w:t>Denominator</w:t>
            </w:r>
          </w:p>
        </w:tc>
        <w:tc>
          <w:tcPr>
            <w:tcW w:w="8505" w:type="dxa"/>
            <w:tcBorders>
              <w:left w:val="single" w:sz="4" w:space="0" w:color="FFFFFF" w:themeColor="background1"/>
            </w:tcBorders>
          </w:tcPr>
          <w:p w14:paraId="73A25811" w14:textId="50BC3BA8" w:rsidR="00CD0C77" w:rsidRPr="00315936" w:rsidRDefault="00CD0C77">
            <w:pPr>
              <w:pStyle w:val="Tabletext"/>
            </w:pPr>
            <w:r w:rsidRPr="00315936">
              <w:t xml:space="preserve">Number of category A, B and C HCW employed who worked one or more shifts during the influenza </w:t>
            </w:r>
            <w:r w:rsidRPr="0008310F">
              <w:t xml:space="preserve">vaccination campaign </w:t>
            </w:r>
          </w:p>
        </w:tc>
      </w:tr>
      <w:tr w:rsidR="00CD0C77" w:rsidRPr="00315936" w14:paraId="5D7733E6"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9181AF" w14:textId="77777777" w:rsidR="00CD0C77" w:rsidRPr="00315936" w:rsidRDefault="00CD0C77" w:rsidP="00FB3915">
            <w:pPr>
              <w:pStyle w:val="Tablecolhead"/>
              <w:rPr>
                <w:b w:val="0"/>
              </w:rPr>
            </w:pPr>
            <w:r w:rsidRPr="00315936">
              <w:rPr>
                <w:b w:val="0"/>
              </w:rPr>
              <w:t>Statewide target</w:t>
            </w:r>
          </w:p>
        </w:tc>
        <w:tc>
          <w:tcPr>
            <w:tcW w:w="8505" w:type="dxa"/>
            <w:tcBorders>
              <w:left w:val="single" w:sz="4" w:space="0" w:color="FFFFFF" w:themeColor="background1"/>
            </w:tcBorders>
          </w:tcPr>
          <w:p w14:paraId="7428D4C3" w14:textId="3ADA827A" w:rsidR="00CD0C77" w:rsidRPr="00315936" w:rsidRDefault="00CD0C77">
            <w:pPr>
              <w:pStyle w:val="Tabletext"/>
            </w:pPr>
            <w:r w:rsidRPr="00315936">
              <w:t>94</w:t>
            </w:r>
            <w:r w:rsidR="00A67D0D" w:rsidRPr="00315936">
              <w:t xml:space="preserve"> per cent</w:t>
            </w:r>
          </w:p>
        </w:tc>
      </w:tr>
      <w:tr w:rsidR="003B7235" w:rsidRPr="00315936" w14:paraId="7CD35813"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A515417" w14:textId="719AF79D" w:rsidR="003B7235" w:rsidRPr="00315936" w:rsidRDefault="004C256A" w:rsidP="00FB3915">
            <w:pPr>
              <w:pStyle w:val="Tablecolhead"/>
              <w:rPr>
                <w:b w:val="0"/>
              </w:rPr>
            </w:pPr>
            <w:r w:rsidRPr="00315936">
              <w:rPr>
                <w:b w:val="0"/>
              </w:rPr>
              <w:t>Achieved</w:t>
            </w:r>
          </w:p>
        </w:tc>
        <w:tc>
          <w:tcPr>
            <w:tcW w:w="8505" w:type="dxa"/>
            <w:tcBorders>
              <w:left w:val="single" w:sz="4" w:space="0" w:color="FFFFFF" w:themeColor="background1"/>
            </w:tcBorders>
          </w:tcPr>
          <w:p w14:paraId="7D13D4B0" w14:textId="63369453" w:rsidR="003B7235" w:rsidRPr="00315936" w:rsidRDefault="00CB4370">
            <w:pPr>
              <w:pStyle w:val="Tabletext"/>
            </w:pPr>
            <w:r>
              <w:t>Greater than or equal to</w:t>
            </w:r>
            <w:r w:rsidR="004C256A" w:rsidRPr="00315936">
              <w:t xml:space="preserve"> 94</w:t>
            </w:r>
            <w:r w:rsidR="00A67D0D" w:rsidRPr="00315936">
              <w:t xml:space="preserve"> per cent</w:t>
            </w:r>
          </w:p>
        </w:tc>
      </w:tr>
      <w:tr w:rsidR="004C256A" w:rsidRPr="00315936" w14:paraId="3321475D"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27D8181" w14:textId="24707124" w:rsidR="004C256A" w:rsidRPr="00315936" w:rsidRDefault="004C256A" w:rsidP="00FB3915">
            <w:pPr>
              <w:pStyle w:val="Tablecolhead"/>
              <w:rPr>
                <w:b w:val="0"/>
              </w:rPr>
            </w:pPr>
            <w:r w:rsidRPr="00315936">
              <w:rPr>
                <w:b w:val="0"/>
              </w:rPr>
              <w:t>Not achieved</w:t>
            </w:r>
          </w:p>
        </w:tc>
        <w:tc>
          <w:tcPr>
            <w:tcW w:w="8505" w:type="dxa"/>
            <w:tcBorders>
              <w:left w:val="single" w:sz="4" w:space="0" w:color="FFFFFF" w:themeColor="background1"/>
            </w:tcBorders>
          </w:tcPr>
          <w:p w14:paraId="43DDE830" w14:textId="40AA093E" w:rsidR="004C256A" w:rsidRPr="00315936" w:rsidRDefault="00CB4370">
            <w:pPr>
              <w:pStyle w:val="Tabletext"/>
            </w:pPr>
            <w:r>
              <w:t xml:space="preserve">Less than </w:t>
            </w:r>
            <w:r w:rsidR="004C256A" w:rsidRPr="00315936">
              <w:t>94</w:t>
            </w:r>
            <w:r w:rsidR="00A67D0D" w:rsidRPr="00315936">
              <w:t xml:space="preserve"> per cent</w:t>
            </w:r>
          </w:p>
        </w:tc>
      </w:tr>
      <w:tr w:rsidR="00CD0C77" w:rsidRPr="00315936" w14:paraId="7943CBC0"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E3AA0FA" w14:textId="77777777" w:rsidR="00CD0C77" w:rsidRPr="00315936" w:rsidRDefault="00CD0C77" w:rsidP="00FB3915">
            <w:pPr>
              <w:pStyle w:val="Tablecolhead"/>
              <w:rPr>
                <w:b w:val="0"/>
              </w:rPr>
            </w:pPr>
            <w:r w:rsidRPr="00315936">
              <w:rPr>
                <w:b w:val="0"/>
              </w:rPr>
              <w:t>Improvement</w:t>
            </w:r>
          </w:p>
        </w:tc>
        <w:tc>
          <w:tcPr>
            <w:tcW w:w="8505" w:type="dxa"/>
            <w:tcBorders>
              <w:left w:val="single" w:sz="4" w:space="0" w:color="FFFFFF" w:themeColor="background1"/>
            </w:tcBorders>
          </w:tcPr>
          <w:p w14:paraId="6A3E760D" w14:textId="3874BE6F" w:rsidR="00CD0C77" w:rsidRPr="00315936" w:rsidRDefault="00CD0C77">
            <w:pPr>
              <w:pStyle w:val="Tabletext"/>
              <w:rPr>
                <w:rFonts w:ascii="VIC" w:eastAsia="VIC" w:hAnsi="VIC" w:cs="VIC"/>
                <w:color w:val="000000" w:themeColor="text1"/>
                <w:sz w:val="20"/>
              </w:rPr>
            </w:pPr>
            <w:proofErr w:type="gramStart"/>
            <w:r w:rsidRPr="00315936">
              <w:t>For the purpose of</w:t>
            </w:r>
            <w:proofErr w:type="gramEnd"/>
            <w:r w:rsidRPr="00315936">
              <w:t xml:space="preserve"> the performance risk assessment</w:t>
            </w:r>
            <w:r w:rsidR="00507430">
              <w:t>,</w:t>
            </w:r>
            <w:r w:rsidRPr="00315936">
              <w:t xml:space="preserve"> improvement is assessed against the previous year performance.</w:t>
            </w:r>
          </w:p>
        </w:tc>
      </w:tr>
      <w:tr w:rsidR="00CD0C77" w:rsidRPr="00315936" w14:paraId="1C64B413"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8EC8EB2" w14:textId="77777777" w:rsidR="00CD0C77" w:rsidRPr="00315936" w:rsidRDefault="00CD0C77" w:rsidP="00FB3915">
            <w:pPr>
              <w:pStyle w:val="Tablecolhead"/>
              <w:rPr>
                <w:b w:val="0"/>
              </w:rPr>
            </w:pPr>
            <w:r w:rsidRPr="00315936">
              <w:rPr>
                <w:b w:val="0"/>
              </w:rPr>
              <w:t>Frequency of reporting and data collection</w:t>
            </w:r>
          </w:p>
        </w:tc>
        <w:tc>
          <w:tcPr>
            <w:tcW w:w="8505" w:type="dxa"/>
            <w:tcBorders>
              <w:left w:val="single" w:sz="4" w:space="0" w:color="FFFFFF" w:themeColor="background1"/>
            </w:tcBorders>
          </w:tcPr>
          <w:p w14:paraId="069EF3F8" w14:textId="5678DB4C" w:rsidR="00234F04" w:rsidRPr="00315936" w:rsidRDefault="00234F04">
            <w:pPr>
              <w:pStyle w:val="Tabletext"/>
            </w:pPr>
            <w:r w:rsidRPr="00315936">
              <w:t>Performance is monitored and assessed annually and reported in Q1</w:t>
            </w:r>
            <w:r w:rsidR="007A56BC" w:rsidRPr="00315936">
              <w:t xml:space="preserve"> at the health service level</w:t>
            </w:r>
            <w:r w:rsidRPr="00315936">
              <w:t>.</w:t>
            </w:r>
          </w:p>
          <w:p w14:paraId="662B0593" w14:textId="17A6A410" w:rsidR="00CD0C77" w:rsidRPr="00315936" w:rsidRDefault="4988B69B" w:rsidP="55528ABA">
            <w:pPr>
              <w:pStyle w:val="Tabletext"/>
              <w:rPr>
                <w:rFonts w:ascii="VIC" w:eastAsia="VIC" w:hAnsi="VIC" w:cs="VIC"/>
                <w:color w:val="000000" w:themeColor="text1"/>
                <w:sz w:val="20"/>
              </w:rPr>
            </w:pPr>
            <w:r>
              <w:t xml:space="preserve">Data on vaccination rates must be submitted to </w:t>
            </w:r>
            <w:bookmarkStart w:id="40" w:name="_Hlk213062765"/>
            <w:r w:rsidR="6AE1EB9E">
              <w:t xml:space="preserve">Victorian </w:t>
            </w:r>
            <w:r w:rsidR="00A9DE2E">
              <w:t xml:space="preserve">Healthcare </w:t>
            </w:r>
            <w:r w:rsidR="52E1DC0F">
              <w:t>Associated Infection</w:t>
            </w:r>
            <w:r w:rsidR="6AE1EB9E">
              <w:t xml:space="preserve"> Surveillance System</w:t>
            </w:r>
            <w:bookmarkEnd w:id="40"/>
            <w:r w:rsidR="6AE1EB9E">
              <w:t xml:space="preserve"> (</w:t>
            </w:r>
            <w:hyperlink r:id="rId31">
              <w:r w:rsidR="470CF8CC" w:rsidRPr="55528ABA">
                <w:rPr>
                  <w:rStyle w:val="Hyperlink"/>
                </w:rPr>
                <w:t>VICNISS</w:t>
              </w:r>
            </w:hyperlink>
            <w:r w:rsidR="6AE1EB9E" w:rsidRPr="55528ABA">
              <w:rPr>
                <w:rStyle w:val="Hyperlink"/>
              </w:rPr>
              <w:t>)</w:t>
            </w:r>
            <w:r w:rsidR="695C7F03" w:rsidRPr="55528ABA">
              <w:rPr>
                <w:rStyle w:val="Hyperlink"/>
              </w:rPr>
              <w:t xml:space="preserve"> Coordinating Centre</w:t>
            </w:r>
            <w:r w:rsidR="470CF8CC">
              <w:t xml:space="preserve"> </w:t>
            </w:r>
            <w:r w:rsidR="3335F9B5">
              <w:t>&lt;</w:t>
            </w:r>
            <w:r w:rsidR="2B8AA518">
              <w:t>http://www.vicniss.org.au</w:t>
            </w:r>
            <w:r w:rsidR="3335F9B5">
              <w:t xml:space="preserve">&gt; </w:t>
            </w:r>
            <w:r>
              <w:t>by 31 August. If possible, data should be submitted by HCW category.</w:t>
            </w:r>
          </w:p>
          <w:p w14:paraId="5ACD989D" w14:textId="6B8A7176" w:rsidR="00CD0C77" w:rsidRPr="00315936" w:rsidRDefault="00CD0C77">
            <w:pPr>
              <w:pStyle w:val="Tabletext"/>
              <w:rPr>
                <w:rFonts w:ascii="VIC" w:eastAsia="VIC" w:hAnsi="VIC" w:cs="VIC"/>
                <w:color w:val="000000" w:themeColor="text1"/>
                <w:sz w:val="20"/>
              </w:rPr>
            </w:pPr>
            <w:r w:rsidRPr="00315936">
              <w:t xml:space="preserve">Where data are not submitted, the </w:t>
            </w:r>
            <w:r w:rsidR="00F02A04">
              <w:t>target</w:t>
            </w:r>
            <w:r w:rsidR="00F02A04" w:rsidRPr="00315936">
              <w:t xml:space="preserve"> </w:t>
            </w:r>
            <w:r w:rsidRPr="00315936">
              <w:t xml:space="preserve">is deemed </w:t>
            </w:r>
            <w:r w:rsidR="00F02A04">
              <w:t>to be</w:t>
            </w:r>
            <w:r w:rsidR="00F02A04" w:rsidRPr="00315936">
              <w:t xml:space="preserve"> </w:t>
            </w:r>
            <w:r w:rsidRPr="00315936">
              <w:t xml:space="preserve">not achieved. </w:t>
            </w:r>
          </w:p>
        </w:tc>
      </w:tr>
    </w:tbl>
    <w:p w14:paraId="2FBE3A2B" w14:textId="2FCA452F" w:rsidR="00140581" w:rsidRPr="00315936" w:rsidRDefault="00140581" w:rsidP="00140581">
      <w:pPr>
        <w:pStyle w:val="Heading3"/>
      </w:pPr>
      <w:bookmarkStart w:id="41" w:name="_Toc1834360761"/>
      <w:r w:rsidRPr="00315936">
        <w:lastRenderedPageBreak/>
        <w:t>Continuing care</w:t>
      </w:r>
      <w:bookmarkEnd w:id="41"/>
    </w:p>
    <w:p w14:paraId="1CF54152" w14:textId="6BF79306" w:rsidR="004B482F" w:rsidRPr="00315936" w:rsidRDefault="003E5BED" w:rsidP="008E7F78">
      <w:pPr>
        <w:pStyle w:val="Heading4"/>
      </w:pPr>
      <w:bookmarkStart w:id="42" w:name="_Toc669258446"/>
      <w:r w:rsidRPr="00315936">
        <w:t>Average change in the functional independence measure (FIM) score per day of care for rehabilitation separations</w:t>
      </w:r>
      <w:bookmarkEnd w:id="42"/>
    </w:p>
    <w:tbl>
      <w:tblPr>
        <w:tblStyle w:val="TableGrid"/>
        <w:tblW w:w="10343" w:type="dxa"/>
        <w:tblLook w:val="04A0" w:firstRow="1" w:lastRow="0" w:firstColumn="1" w:lastColumn="0" w:noHBand="0" w:noVBand="1"/>
      </w:tblPr>
      <w:tblGrid>
        <w:gridCol w:w="1837"/>
        <w:gridCol w:w="8506"/>
      </w:tblGrid>
      <w:tr w:rsidR="008630DB" w:rsidRPr="00315936" w14:paraId="6D45EF6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19481E2" w14:textId="5239898E" w:rsidR="008630DB"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1947A9B3" w14:textId="77777777" w:rsidR="008630DB" w:rsidRPr="00315936" w:rsidRDefault="008630DB">
            <w:pPr>
              <w:pStyle w:val="Tabletext"/>
              <w:rPr>
                <w:lang w:eastAsia="en-AU"/>
              </w:rPr>
            </w:pPr>
            <w:r w:rsidRPr="00315936">
              <w:t>Average change in the functional independence measure (FIM) score per day of care for rehabilitation separations</w:t>
            </w:r>
          </w:p>
        </w:tc>
      </w:tr>
      <w:tr w:rsidR="008630DB" w:rsidRPr="00315936" w14:paraId="0C1E3DA4"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FDFED0" w14:textId="77777777" w:rsidR="008630DB" w:rsidRPr="00315936" w:rsidRDefault="008630DB">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6B60A767" w14:textId="590812A6" w:rsidR="008630DB" w:rsidRDefault="008630DB">
            <w:pPr>
              <w:pStyle w:val="Tabletext"/>
            </w:pPr>
            <w:r w:rsidRPr="00315936">
              <w:t xml:space="preserve">The FIM™ instrument is a basic </w:t>
            </w:r>
            <w:r w:rsidR="00C3016B" w:rsidRPr="00315936">
              <w:t>measure</w:t>
            </w:r>
            <w:r w:rsidRPr="00315936">
              <w:t xml:space="preserve"> of patient disability</w:t>
            </w:r>
            <w:r w:rsidR="00B91592">
              <w:t xml:space="preserve"> and </w:t>
            </w:r>
            <w:r w:rsidRPr="00315936">
              <w:t>is used to track changes in the functional ability of a patient during an episode of hospital rehabilitation.</w:t>
            </w:r>
          </w:p>
          <w:p w14:paraId="183B54FC" w14:textId="151A80E3" w:rsidR="00433064" w:rsidRPr="00315936" w:rsidRDefault="00433064">
            <w:pPr>
              <w:pStyle w:val="Tabletext"/>
            </w:pPr>
            <w:r>
              <w:t xml:space="preserve">Patient function is assessed </w:t>
            </w:r>
            <w:r w:rsidR="00B1145B">
              <w:t xml:space="preserve">using the </w:t>
            </w:r>
            <w:r w:rsidR="00B1145B" w:rsidRPr="00315936">
              <w:t>FIM™</w:t>
            </w:r>
            <w:r w:rsidR="00B1145B">
              <w:t xml:space="preserve"> instrument at the start of a rehabili</w:t>
            </w:r>
            <w:r w:rsidR="005F61CE">
              <w:t xml:space="preserve">tation episode of care and at the end of a rehabilitation episode of care. Admission assessment is collected within 72 hours of the start </w:t>
            </w:r>
            <w:r w:rsidR="005426A9">
              <w:t xml:space="preserve">of a rehabilitation episode. Discharge assessment is collected </w:t>
            </w:r>
            <w:r w:rsidR="00D0198D">
              <w:t>within 72 hours prior to the end of a rehabilitation episode</w:t>
            </w:r>
            <w:r w:rsidR="008B00CE">
              <w:t>.</w:t>
            </w:r>
          </w:p>
          <w:p w14:paraId="76030CFB" w14:textId="1658403E" w:rsidR="008630DB" w:rsidRPr="00315936" w:rsidRDefault="008630DB">
            <w:pPr>
              <w:pStyle w:val="Tabletext"/>
            </w:pPr>
            <w:r w:rsidRPr="00315936">
              <w:t xml:space="preserve">FIM™ is comprised of 18 items, grouped into </w:t>
            </w:r>
            <w:r w:rsidR="00691279" w:rsidRPr="00315936">
              <w:t xml:space="preserve">two </w:t>
            </w:r>
            <w:r w:rsidRPr="00315936">
              <w:t>subscales</w:t>
            </w:r>
            <w:r w:rsidRPr="00315936" w:rsidDel="00484CFB">
              <w:t xml:space="preserve"> </w:t>
            </w:r>
            <w:r w:rsidR="00484CFB">
              <w:rPr>
                <w:rFonts w:cs="Arial"/>
              </w:rPr>
              <w:t>‒</w:t>
            </w:r>
            <w:r w:rsidR="00484CFB" w:rsidRPr="00315936">
              <w:t xml:space="preserve"> </w:t>
            </w:r>
            <w:r w:rsidRPr="00315936">
              <w:t>motor and cognition</w:t>
            </w:r>
            <w:r w:rsidR="00484CFB">
              <w:t xml:space="preserve"> </w:t>
            </w:r>
            <w:r w:rsidR="00806742">
              <w:rPr>
                <w:rFonts w:cs="Arial"/>
              </w:rPr>
              <w:t>‒</w:t>
            </w:r>
            <w:r w:rsidRPr="00315936">
              <w:t xml:space="preserve"> each of which is assessed against a seven-point ordinal scale, where the higher the score for an item, the more independently the patient can perform the tasks assessed by that item. Total scores range from 18 to 126.</w:t>
            </w:r>
          </w:p>
          <w:p w14:paraId="6E15EF0B" w14:textId="691748FB" w:rsidR="008630DB" w:rsidRPr="00315936" w:rsidRDefault="008630DB">
            <w:pPr>
              <w:pStyle w:val="Tabletext"/>
            </w:pPr>
            <w:r w:rsidRPr="00315936">
              <w:t xml:space="preserve">A low FIM™ score is a good </w:t>
            </w:r>
            <w:r w:rsidR="00C3016B" w:rsidRPr="00315936">
              <w:t>measure</w:t>
            </w:r>
            <w:r w:rsidRPr="00315936">
              <w:t xml:space="preserve"> of need for subacute bed-based care due to reduced function.</w:t>
            </w:r>
          </w:p>
          <w:p w14:paraId="5A806E8F" w14:textId="33D0F573" w:rsidR="008630DB" w:rsidRPr="00315936" w:rsidRDefault="00D82856">
            <w:pPr>
              <w:pStyle w:val="Tabletext"/>
              <w:rPr>
                <w:lang w:eastAsia="en-AU"/>
              </w:rPr>
            </w:pPr>
            <w:r>
              <w:t xml:space="preserve">A </w:t>
            </w:r>
            <w:r w:rsidR="008630DB" w:rsidRPr="00315936">
              <w:t>higher FIM™ score may indicate that care through the Health Independence Program may be as effective in meeting the patient’s needs.</w:t>
            </w:r>
          </w:p>
        </w:tc>
      </w:tr>
      <w:tr w:rsidR="008630DB" w:rsidRPr="00315936" w14:paraId="71816516" w14:textId="77777777" w:rsidTr="008E1561">
        <w:trPr>
          <w:trHeight w:val="1406"/>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F2F804F" w14:textId="77777777" w:rsidR="008630DB" w:rsidRPr="00315936" w:rsidRDefault="008630DB">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5C5A5EB1" w14:textId="77777777" w:rsidR="008630DB" w:rsidRPr="00315936" w:rsidRDefault="008630DB">
            <w:pPr>
              <w:pStyle w:val="Tabletext"/>
            </w:pPr>
            <w:r w:rsidRPr="00315936">
              <w:t>FIM™ efficiency is measured by the difference between FIM™ on discharge and FIM™ on admission divided by the number of days of the episode of care.</w:t>
            </w:r>
          </w:p>
          <w:p w14:paraId="04618874" w14:textId="62000B93" w:rsidR="00D018E0" w:rsidRDefault="008630DB">
            <w:pPr>
              <w:pStyle w:val="Tabletext"/>
            </w:pPr>
            <w:r>
              <w:t xml:space="preserve">This </w:t>
            </w:r>
            <w:r w:rsidR="00C3016B">
              <w:t>measure</w:t>
            </w:r>
            <w:r>
              <w:t xml:space="preserve"> applies to all health services providing </w:t>
            </w:r>
            <w:r w:rsidR="00A013CF">
              <w:t xml:space="preserve">admitted rehabilitation </w:t>
            </w:r>
            <w:r>
              <w:t>care</w:t>
            </w:r>
            <w:r w:rsidR="00303C57">
              <w:t xml:space="preserve"> and includes episodes </w:t>
            </w:r>
            <w:r w:rsidR="007279DE">
              <w:t xml:space="preserve">where the patient </w:t>
            </w:r>
            <w:r w:rsidR="00303C57">
              <w:t>spent time in Hospital in the Home (HITH)</w:t>
            </w:r>
            <w:r w:rsidR="002C2229">
              <w:t>.</w:t>
            </w:r>
          </w:p>
          <w:p w14:paraId="30E237BF" w14:textId="6FD2C878" w:rsidR="008630DB" w:rsidRPr="00315936" w:rsidRDefault="00020BC8">
            <w:pPr>
              <w:pStyle w:val="Tabletext"/>
            </w:pPr>
            <w:r>
              <w:t>It e</w:t>
            </w:r>
            <w:r w:rsidR="008630DB">
              <w:t xml:space="preserve">xcludes </w:t>
            </w:r>
            <w:r w:rsidR="007C034A">
              <w:t xml:space="preserve">Geriatric Evaluation and Management care, </w:t>
            </w:r>
            <w:r w:rsidR="008630DB">
              <w:t xml:space="preserve">palliative care, non-acute care and paediatric </w:t>
            </w:r>
            <w:r w:rsidR="00547EE5">
              <w:t>r</w:t>
            </w:r>
            <w:r w:rsidR="008630DB">
              <w:t>ehabilitation.</w:t>
            </w:r>
          </w:p>
        </w:tc>
      </w:tr>
      <w:tr w:rsidR="008630DB" w:rsidRPr="00315936" w14:paraId="1A1887C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C1000DF" w14:textId="77777777" w:rsidR="008630DB" w:rsidRPr="00315936" w:rsidRDefault="008630DB">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5CFE127F" w14:textId="77777777" w:rsidR="008630DB" w:rsidRPr="00315936" w:rsidRDefault="008630DB">
            <w:pPr>
              <w:pStyle w:val="Tabletext"/>
            </w:pPr>
            <w:r>
              <w:t>Sum of (Separation FIM Total Score minus Admission FIM Total Score) for all rehabilitation patients</w:t>
            </w:r>
          </w:p>
        </w:tc>
      </w:tr>
      <w:tr w:rsidR="008630DB" w:rsidRPr="00315936" w14:paraId="6BA8E2B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A1D9783" w14:textId="77777777" w:rsidR="008630DB" w:rsidRPr="00315936" w:rsidRDefault="008630DB">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C4A5B9A" w14:textId="77777777" w:rsidR="008630DB" w:rsidRPr="00315936" w:rsidRDefault="008630DB">
            <w:pPr>
              <w:pStyle w:val="Tabletext"/>
            </w:pPr>
            <w:r w:rsidRPr="00315936">
              <w:t>Sum of length of stay for all rehabilitation patients, excluding leave days</w:t>
            </w:r>
          </w:p>
        </w:tc>
      </w:tr>
      <w:tr w:rsidR="008630DB" w:rsidRPr="00315936" w14:paraId="3FEAECB4"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90E29B2" w14:textId="77777777" w:rsidR="008630DB" w:rsidRPr="00315936" w:rsidRDefault="008630DB">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3F6279E4" w14:textId="65B2B44D" w:rsidR="008630DB" w:rsidRPr="00315936" w:rsidRDefault="54BD2526">
            <w:pPr>
              <w:pStyle w:val="Tabletext"/>
            </w:pPr>
            <w:r>
              <w:t xml:space="preserve">Greater than or equal to </w:t>
            </w:r>
            <w:r w:rsidR="53789344">
              <w:t>0.645</w:t>
            </w:r>
          </w:p>
        </w:tc>
      </w:tr>
      <w:tr w:rsidR="008630DB" w:rsidRPr="00315936" w14:paraId="06D4DB4C"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311222" w14:textId="1CFB4BE9" w:rsidR="008630DB" w:rsidRPr="00315936" w:rsidRDefault="008630DB">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2B9178D2" w14:textId="1686CB5E" w:rsidR="008630DB" w:rsidRPr="00315936" w:rsidRDefault="00CB4370">
            <w:pPr>
              <w:pStyle w:val="Tabletext"/>
            </w:pPr>
            <w:r>
              <w:t xml:space="preserve">Greater than or </w:t>
            </w:r>
            <w:r w:rsidR="00FF7367">
              <w:t>e</w:t>
            </w:r>
            <w:r w:rsidR="008630DB" w:rsidRPr="00315936">
              <w:t>qual to 0.645</w:t>
            </w:r>
          </w:p>
        </w:tc>
      </w:tr>
      <w:tr w:rsidR="008630DB" w:rsidRPr="00315936" w14:paraId="476C8E1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ED9F45" w14:textId="2F857EEA" w:rsidR="008630DB" w:rsidRPr="00315936" w:rsidRDefault="008630DB">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6D03D76E" w14:textId="369E06F4" w:rsidR="008630DB" w:rsidRPr="00315936" w:rsidRDefault="001D4BCA">
            <w:pPr>
              <w:pStyle w:val="Tabletext"/>
            </w:pPr>
            <w:r>
              <w:t xml:space="preserve">Less than </w:t>
            </w:r>
            <w:r w:rsidR="008630DB" w:rsidRPr="00315936">
              <w:t>0.645</w:t>
            </w:r>
          </w:p>
        </w:tc>
      </w:tr>
      <w:tr w:rsidR="008630DB" w:rsidRPr="00315936" w14:paraId="3EEEF91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D73E721" w14:textId="77777777" w:rsidR="008630DB" w:rsidRPr="00315936" w:rsidRDefault="008630DB">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2276B448" w14:textId="3C8494C2" w:rsidR="008630DB" w:rsidRPr="00315936" w:rsidRDefault="00594E41">
            <w:pPr>
              <w:pStyle w:val="Tabletext"/>
              <w:rPr>
                <w:lang w:eastAsia="en-AU"/>
              </w:rPr>
            </w:pPr>
            <w:proofErr w:type="gramStart"/>
            <w:r w:rsidRPr="00315936">
              <w:t>For the purpose of</w:t>
            </w:r>
            <w:proofErr w:type="gramEnd"/>
            <w:r w:rsidRPr="00315936">
              <w:t xml:space="preserve"> the performance risk assessment</w:t>
            </w:r>
            <w:r>
              <w:t>,</w:t>
            </w:r>
            <w:r w:rsidRPr="00315936">
              <w:t xml:space="preserve"> improvement is assessed against </w:t>
            </w:r>
            <w:r w:rsidR="00C705EE">
              <w:t>the</w:t>
            </w:r>
            <w:r w:rsidR="008630DB" w:rsidRPr="00315936">
              <w:t xml:space="preserve"> previous quarter performance.</w:t>
            </w:r>
          </w:p>
        </w:tc>
      </w:tr>
      <w:tr w:rsidR="008630DB" w:rsidRPr="00315936" w14:paraId="49F2436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0D68D0B" w14:textId="77777777" w:rsidR="008630DB" w:rsidRPr="00315936" w:rsidRDefault="008630DB">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2328E356" w14:textId="3FB8055C" w:rsidR="00D335AF" w:rsidRPr="00315936" w:rsidRDefault="00297489">
            <w:pPr>
              <w:pStyle w:val="Tabletext"/>
            </w:pPr>
            <w:r w:rsidRPr="00315936">
              <w:t xml:space="preserve">Performance is </w:t>
            </w:r>
            <w:r w:rsidR="00244983" w:rsidRPr="00315936">
              <w:t>reported</w:t>
            </w:r>
            <w:r w:rsidR="00407560" w:rsidRPr="00315936">
              <w:t xml:space="preserve"> quarterly</w:t>
            </w:r>
            <w:r w:rsidR="00C01857" w:rsidRPr="00315936">
              <w:t xml:space="preserve"> at the health service level</w:t>
            </w:r>
            <w:r w:rsidR="00D335AF" w:rsidRPr="00315936">
              <w:t xml:space="preserve"> with a one quarter lag. </w:t>
            </w:r>
          </w:p>
          <w:p w14:paraId="71EDC6D8" w14:textId="6144270A" w:rsidR="008630DB" w:rsidRPr="00315936" w:rsidRDefault="008630DB">
            <w:pPr>
              <w:pStyle w:val="Tabletext"/>
            </w:pPr>
            <w:r w:rsidRPr="00315936">
              <w:t>Data extracted from Victorian Admitted Episodes Dataset</w:t>
            </w:r>
            <w:r w:rsidR="007155A9" w:rsidRPr="00315936">
              <w:t xml:space="preserve"> (VAED)</w:t>
            </w:r>
            <w:r w:rsidRPr="00315936">
              <w:t xml:space="preserve"> </w:t>
            </w:r>
          </w:p>
        </w:tc>
      </w:tr>
    </w:tbl>
    <w:p w14:paraId="601B9FFA" w14:textId="1ED52B1D" w:rsidR="00140581" w:rsidRPr="00315936" w:rsidRDefault="00140581" w:rsidP="00140581">
      <w:pPr>
        <w:pStyle w:val="Heading3"/>
      </w:pPr>
      <w:bookmarkStart w:id="43" w:name="_Toc1493101171"/>
      <w:r w:rsidRPr="00315936">
        <w:t>Adverse events</w:t>
      </w:r>
      <w:bookmarkEnd w:id="43"/>
    </w:p>
    <w:p w14:paraId="7A2ED356" w14:textId="7CCFC6BC" w:rsidR="0020339B" w:rsidRPr="00315936" w:rsidRDefault="004B482F" w:rsidP="008E7F78">
      <w:pPr>
        <w:pStyle w:val="Heading4"/>
        <w:rPr>
          <w:rStyle w:val="eop"/>
        </w:rPr>
      </w:pPr>
      <w:bookmarkStart w:id="44" w:name="_Toc1972397454"/>
      <w:r w:rsidRPr="00315936">
        <w:rPr>
          <w:rFonts w:eastAsia="MS Gothic"/>
        </w:rPr>
        <w:t>Percentage of reported sentinel events for which a root cause analysis (RCA) report was submitted within 30 business days from notification of the event</w:t>
      </w:r>
      <w:bookmarkEnd w:id="44"/>
      <w:r w:rsidRPr="00315936">
        <w:rPr>
          <w:rStyle w:val="eop"/>
        </w:rPr>
        <w:t> </w:t>
      </w:r>
    </w:p>
    <w:tbl>
      <w:tblPr>
        <w:tblStyle w:val="TableGrid"/>
        <w:tblW w:w="10343" w:type="dxa"/>
        <w:tblLook w:val="04A0" w:firstRow="1" w:lastRow="0" w:firstColumn="1" w:lastColumn="0" w:noHBand="0" w:noVBand="1"/>
      </w:tblPr>
      <w:tblGrid>
        <w:gridCol w:w="1837"/>
        <w:gridCol w:w="8506"/>
      </w:tblGrid>
      <w:tr w:rsidR="00A043EA" w:rsidRPr="00315936" w14:paraId="211D17B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B520034" w14:textId="77777777" w:rsidR="00A043EA" w:rsidRPr="00315936" w:rsidRDefault="00A043EA">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53DEB045" w14:textId="2C0EF065" w:rsidR="00A043EA" w:rsidRPr="00315936" w:rsidRDefault="00A043EA">
            <w:pPr>
              <w:pStyle w:val="Tabletext"/>
              <w:rPr>
                <w:rStyle w:val="EndnoteReference"/>
              </w:rPr>
            </w:pPr>
            <w:r w:rsidRPr="00315936">
              <w:t>Percentage of reported sentinel events for which a root cause analysis (RCA)</w:t>
            </w:r>
            <w:r w:rsidR="00FD1C2F">
              <w:rPr>
                <w:rStyle w:val="EndnoteReference"/>
              </w:rPr>
              <w:endnoteReference w:id="7"/>
            </w:r>
            <w:r w:rsidR="00FD1C2F">
              <w:t xml:space="preserve"> </w:t>
            </w:r>
            <w:r w:rsidRPr="00315936">
              <w:t xml:space="preserve">report was submitted within 30 business days from notification of the </w:t>
            </w:r>
            <w:proofErr w:type="spellStart"/>
            <w:r w:rsidRPr="00315936">
              <w:t>event</w:t>
            </w:r>
            <w:r w:rsidR="00C318A5">
              <w:fldChar w:fldCharType="begin"/>
            </w:r>
            <w:r w:rsidR="00C318A5">
              <w:instrText xml:space="preserve"> NOTEREF _Ref201832379 \f \h </w:instrText>
            </w:r>
            <w:r w:rsidR="0094255B">
              <w:instrText xml:space="preserve"> \* MERGEFORMAT </w:instrText>
            </w:r>
            <w:r w:rsidR="00C318A5">
              <w:fldChar w:fldCharType="separate"/>
            </w:r>
            <w:r w:rsidR="00C318A5" w:rsidRPr="000C5882">
              <w:rPr>
                <w:rStyle w:val="EndnoteReference"/>
              </w:rPr>
              <w:t>iv</w:t>
            </w:r>
            <w:proofErr w:type="spellEnd"/>
            <w:r w:rsidR="00C318A5">
              <w:fldChar w:fldCharType="end"/>
            </w:r>
          </w:p>
        </w:tc>
      </w:tr>
      <w:tr w:rsidR="00A043EA" w:rsidRPr="00315936" w14:paraId="2A8178D7"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422A5DB" w14:textId="77777777" w:rsidR="00A043EA" w:rsidRPr="00315936" w:rsidRDefault="00A043EA">
            <w:pPr>
              <w:pStyle w:val="Tablecolhead"/>
              <w:rPr>
                <w:b w:val="0"/>
                <w:lang w:eastAsia="en-AU"/>
              </w:rPr>
            </w:pPr>
            <w:r w:rsidRPr="00315936">
              <w:rPr>
                <w:b w:val="0"/>
                <w:lang w:eastAsia="en-AU"/>
              </w:rPr>
              <w:lastRenderedPageBreak/>
              <w:t>Description </w:t>
            </w:r>
          </w:p>
        </w:tc>
        <w:tc>
          <w:tcPr>
            <w:tcW w:w="8506" w:type="dxa"/>
            <w:tcBorders>
              <w:left w:val="single" w:sz="4" w:space="0" w:color="FFFFFF" w:themeColor="background1"/>
            </w:tcBorders>
          </w:tcPr>
          <w:p w14:paraId="29774492" w14:textId="0A6F0918" w:rsidR="00F122D2" w:rsidRPr="00315936" w:rsidRDefault="15F6BBAA" w:rsidP="00F122D2">
            <w:pPr>
              <w:pStyle w:val="Tabletext"/>
            </w:pPr>
            <w:r>
              <w:t xml:space="preserve">In Victoria </w:t>
            </w:r>
            <w:r w:rsidR="304940B3">
              <w:t>a ‘</w:t>
            </w:r>
            <w:r>
              <w:t>sentinel event’ refers to an ‘unexpected and adverse event that occurs infrequently in a health service entity and results in the death of, or serious physical or psychological injury (category 11 only) to a patient as a result of system and process deficiencies at the health service entity.</w:t>
            </w:r>
            <w:r w:rsidR="00F122D2" w:rsidRPr="55528ABA">
              <w:rPr>
                <w:rStyle w:val="EndnoteReference"/>
              </w:rPr>
              <w:endnoteReference w:id="8"/>
            </w:r>
            <w:r w:rsidR="4E205933">
              <w:t xml:space="preserve"> </w:t>
            </w:r>
            <w:r>
              <w:t>This measure is a trigger for discussion regarding quality, safety and improvement in health services, as well as compliance with mandatory reporting of sentinel events.</w:t>
            </w:r>
          </w:p>
          <w:p w14:paraId="5F8E67C2" w14:textId="77777777" w:rsidR="00F122D2" w:rsidRPr="00A223F2" w:rsidRDefault="00F122D2" w:rsidP="00F122D2">
            <w:pPr>
              <w:pStyle w:val="Tabletext"/>
              <w:rPr>
                <w:rFonts w:cs="Arial"/>
              </w:rPr>
            </w:pPr>
            <w:r w:rsidRPr="00A223F2">
              <w:rPr>
                <w:rFonts w:cs="Arial"/>
              </w:rPr>
              <w:t>The sentinel event program aims to improve health service system design and delivery through shared learning from a defined range of serious adverse events (sentinel events).</w:t>
            </w:r>
          </w:p>
          <w:p w14:paraId="752F6BB1" w14:textId="77777777" w:rsidR="00F122D2" w:rsidRPr="00315936" w:rsidRDefault="00F122D2" w:rsidP="00F122D2">
            <w:pPr>
              <w:pStyle w:val="Tabletext"/>
            </w:pPr>
            <w:r w:rsidRPr="00315936">
              <w:t>Increasing numbers of sentinel events are concerning</w:t>
            </w:r>
            <w:r>
              <w:t>,</w:t>
            </w:r>
            <w:r w:rsidRPr="00315936">
              <w:t xml:space="preserve"> particularly in the context of other safety and quality risks. Very low numbers may be a sign of an under-reporting culture. Of most importance is the timeliness of the response and effectiveness of the action taken to prevent re-occurrence.</w:t>
            </w:r>
          </w:p>
          <w:p w14:paraId="37436CEC" w14:textId="0ED1BBA8" w:rsidR="00F122D2" w:rsidRPr="00315936" w:rsidRDefault="00F122D2" w:rsidP="00F122D2">
            <w:pPr>
              <w:pStyle w:val="Tabletext"/>
            </w:pPr>
            <w:r>
              <w:t>Safer Care Victoria (</w:t>
            </w:r>
            <w:r w:rsidRPr="00951045">
              <w:t>SCV</w:t>
            </w:r>
            <w:r>
              <w:t>)</w:t>
            </w:r>
            <w:r w:rsidRPr="00315936">
              <w:t xml:space="preserve"> coordinates the</w:t>
            </w:r>
            <w:r>
              <w:t xml:space="preserve"> Victorian</w:t>
            </w:r>
            <w:r w:rsidRPr="00315936">
              <w:t xml:space="preserve"> sentinel event program. All public and private health services</w:t>
            </w:r>
            <w:r>
              <w:t>, as well as the services under their governance</w:t>
            </w:r>
            <w:r w:rsidR="00501722">
              <w:rPr>
                <w:rStyle w:val="EndnoteReference"/>
              </w:rPr>
              <w:endnoteReference w:id="9"/>
            </w:r>
            <w:r w:rsidRPr="00315936">
              <w:t xml:space="preserve"> are required to notify SCV within three business days of becoming aware of a sentinel and provide a report outlining a plan to prevent recurrence. A copy of the sentinel event report must be submitted to SCV within 30 business days of the notification.</w:t>
            </w:r>
          </w:p>
          <w:p w14:paraId="5CD67633" w14:textId="30B66AE2" w:rsidR="00A043EA" w:rsidRPr="00315936" w:rsidRDefault="00F122D2" w:rsidP="00F122D2">
            <w:pPr>
              <w:pStyle w:val="Tabletext"/>
              <w:rPr>
                <w:lang w:eastAsia="en-AU"/>
              </w:rPr>
            </w:pPr>
            <w:r w:rsidRPr="00315936">
              <w:t>Under special circumstances an extension beyond 30 business days may be provided by SCV. In these instances, this measure will be assessed against the new agreed submission date</w:t>
            </w:r>
            <w:r>
              <w:t>.</w:t>
            </w:r>
          </w:p>
        </w:tc>
      </w:tr>
      <w:tr w:rsidR="00F122D2" w:rsidRPr="00315936" w14:paraId="419A39A9" w14:textId="77777777" w:rsidTr="55528ABA">
        <w:trPr>
          <w:trHeight w:val="1905"/>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405A2AD" w14:textId="77777777" w:rsidR="00F122D2" w:rsidRPr="00315936" w:rsidRDefault="00F122D2" w:rsidP="00F122D2">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0035E417" w14:textId="77777777" w:rsidR="00F122D2" w:rsidRDefault="00F122D2" w:rsidP="00F122D2">
            <w:pPr>
              <w:pStyle w:val="Tabletext"/>
            </w:pPr>
            <w:r w:rsidRPr="00315936">
              <w:t>This measure captures numbers of notifiable sentinel events for which a sentinel event report is submitted within 30 business days from notification of the event to SCV.</w:t>
            </w:r>
          </w:p>
          <w:p w14:paraId="2E7C024D" w14:textId="10767F1B" w:rsidR="00F122D2" w:rsidRDefault="00F122D2" w:rsidP="00F122D2">
            <w:pPr>
              <w:pStyle w:val="Tabletext"/>
            </w:pPr>
            <w:r>
              <w:t>Health services that do not have any sentinel even</w:t>
            </w:r>
            <w:r w:rsidR="003F155B">
              <w:t>t</w:t>
            </w:r>
            <w:r>
              <w:t xml:space="preserve"> reports due or have not submitted any sentinel event reports during the reference period will be assigned N/A for this measure.</w:t>
            </w:r>
          </w:p>
          <w:p w14:paraId="53175791" w14:textId="77777777" w:rsidR="00A3132D" w:rsidRDefault="00F122D2" w:rsidP="00F122D2">
            <w:pPr>
              <w:pStyle w:val="Tabletext"/>
            </w:pPr>
            <w:r w:rsidRPr="00315936">
              <w:t>Reportable sentinel events must meet</w:t>
            </w:r>
            <w:r>
              <w:t xml:space="preserve"> </w:t>
            </w:r>
            <w:r w:rsidRPr="00315936">
              <w:t>the criteria</w:t>
            </w:r>
            <w:r>
              <w:t xml:space="preserve"> for the Australian sentinel event (ASE) categories</w:t>
            </w:r>
            <w:r w:rsidR="007A7C8A">
              <w:t xml:space="preserve"> or</w:t>
            </w:r>
            <w:r>
              <w:t xml:space="preserve"> those that fall under the Victorian only category 11. </w:t>
            </w:r>
          </w:p>
          <w:p w14:paraId="299E867D" w14:textId="65BE5D8A" w:rsidR="00F122D2" w:rsidRPr="00315936" w:rsidRDefault="00F122D2" w:rsidP="00F122D2">
            <w:pPr>
              <w:pStyle w:val="Tabletext"/>
            </w:pPr>
            <w:r>
              <w:t xml:space="preserve">Further information regarding the sentinel events program, reporting requirements and sentinel event criteria is available via the </w:t>
            </w:r>
            <w:hyperlink r:id="rId32" w:history="1">
              <w:r w:rsidRPr="005854BC">
                <w:rPr>
                  <w:rStyle w:val="Hyperlink"/>
                </w:rPr>
                <w:t>Victorian sentinel events guide</w:t>
              </w:r>
            </w:hyperlink>
            <w:r>
              <w:t xml:space="preserve"> &lt;</w:t>
            </w:r>
            <w:r w:rsidRPr="005337E1">
              <w:t>https://www.safercare.vic.gov.au/best-practice-improvement/publications/sentinel-events-guide</w:t>
            </w:r>
            <w:r>
              <w:t>&gt;</w:t>
            </w:r>
          </w:p>
        </w:tc>
      </w:tr>
      <w:tr w:rsidR="00F122D2" w:rsidRPr="00315936" w14:paraId="6A5271E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4A2D07A" w14:textId="77777777" w:rsidR="00F122D2" w:rsidRPr="00315936" w:rsidRDefault="00F122D2" w:rsidP="00F122D2">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0524A81F" w14:textId="6933123E" w:rsidR="00F122D2" w:rsidRPr="00315936" w:rsidRDefault="00FF31E2" w:rsidP="00F122D2">
            <w:pPr>
              <w:pStyle w:val="Tabletext"/>
            </w:pPr>
            <w:r w:rsidRPr="00315936">
              <w:t xml:space="preserve">Number of sentinel event </w:t>
            </w:r>
            <w:r>
              <w:t>RCA</w:t>
            </w:r>
            <w:r w:rsidRPr="00315936">
              <w:t xml:space="preserve"> forms submitted within 30 business days.</w:t>
            </w:r>
            <w:r w:rsidRPr="00315936">
              <w:rPr>
                <w:rStyle w:val="eop"/>
                <w:rFonts w:eastAsia="MS Gothic"/>
              </w:rPr>
              <w:t> </w:t>
            </w:r>
          </w:p>
        </w:tc>
      </w:tr>
      <w:tr w:rsidR="00F122D2" w:rsidRPr="00315936" w14:paraId="506785E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7E846B7" w14:textId="77777777" w:rsidR="00F122D2" w:rsidRPr="00315936" w:rsidRDefault="00F122D2" w:rsidP="00F122D2">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E69B253" w14:textId="44E88F5D" w:rsidR="00886A5C" w:rsidRDefault="00FF31E2" w:rsidP="00F122D2">
            <w:pPr>
              <w:pStyle w:val="Tabletext"/>
            </w:pPr>
            <w:r w:rsidRPr="00315936">
              <w:t xml:space="preserve">Number of sentinel events with </w:t>
            </w:r>
            <w:r w:rsidR="0023550B" w:rsidRPr="00315936">
              <w:t>an</w:t>
            </w:r>
            <w:r w:rsidRPr="00315936">
              <w:t xml:space="preserve"> </w:t>
            </w:r>
            <w:r>
              <w:t xml:space="preserve">RCA </w:t>
            </w:r>
            <w:r w:rsidRPr="00315936">
              <w:t>report due</w:t>
            </w:r>
            <w:r>
              <w:t xml:space="preserve"> </w:t>
            </w:r>
            <w:r w:rsidR="00D47485">
              <w:t xml:space="preserve">within </w:t>
            </w:r>
            <w:r>
              <w:t>or submitted during</w:t>
            </w:r>
            <w:r w:rsidRPr="00315936">
              <w:t xml:space="preserve"> the reporting period. </w:t>
            </w:r>
          </w:p>
          <w:p w14:paraId="24EDC33B" w14:textId="282E9728" w:rsidR="00F122D2" w:rsidRPr="00315936" w:rsidRDefault="00FF31E2" w:rsidP="00F122D2">
            <w:pPr>
              <w:pStyle w:val="Tabletext"/>
            </w:pPr>
            <w:r w:rsidRPr="00315936">
              <w:t>Exclusions: sentinel events with a ‘withdrawn’ flag</w:t>
            </w:r>
            <w:r w:rsidRPr="00315936">
              <w:rPr>
                <w:rStyle w:val="eop"/>
                <w:rFonts w:eastAsia="MS Gothic"/>
              </w:rPr>
              <w:t> </w:t>
            </w:r>
          </w:p>
        </w:tc>
      </w:tr>
      <w:tr w:rsidR="00F122D2" w:rsidRPr="00315936" w14:paraId="7AD18E7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87BB3E" w14:textId="77777777" w:rsidR="00F122D2" w:rsidRPr="00315936" w:rsidRDefault="00F122D2" w:rsidP="00F122D2">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2826FD56" w14:textId="78314853" w:rsidR="00F122D2" w:rsidRPr="00315936" w:rsidRDefault="00FF31E2" w:rsidP="00F122D2">
            <w:pPr>
              <w:pStyle w:val="Tabletext"/>
            </w:pPr>
            <w:r w:rsidRPr="00315936">
              <w:t>All</w:t>
            </w:r>
            <w:r w:rsidRPr="00315936" w:rsidDel="00272C95">
              <w:t xml:space="preserve"> </w:t>
            </w:r>
            <w:r w:rsidRPr="00315936">
              <w:t>sentinel event reports submitted within 30</w:t>
            </w:r>
            <w:r>
              <w:t xml:space="preserve"> </w:t>
            </w:r>
            <w:r w:rsidRPr="00315936">
              <w:t>business day</w:t>
            </w:r>
            <w:r>
              <w:t>s</w:t>
            </w:r>
          </w:p>
        </w:tc>
      </w:tr>
      <w:tr w:rsidR="00F122D2" w:rsidRPr="00315936" w14:paraId="5671120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453CE0A" w14:textId="77777777" w:rsidR="00F122D2" w:rsidRPr="00315936" w:rsidRDefault="00F122D2" w:rsidP="00F122D2">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2E1428E1" w14:textId="15B0821B" w:rsidR="00F122D2" w:rsidRPr="00315936" w:rsidRDefault="00FF31E2" w:rsidP="00F122D2">
            <w:pPr>
              <w:pStyle w:val="Tabletext"/>
            </w:pPr>
            <w:r w:rsidRPr="00315936">
              <w:t>All</w:t>
            </w:r>
            <w:r w:rsidRPr="00315936" w:rsidDel="00272C95">
              <w:t xml:space="preserve"> </w:t>
            </w:r>
            <w:r w:rsidRPr="00315936">
              <w:t>sentinel event reports submitted within 30 business days</w:t>
            </w:r>
          </w:p>
        </w:tc>
      </w:tr>
      <w:tr w:rsidR="00F122D2" w:rsidRPr="00315936" w14:paraId="1A3EB70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ACCC180" w14:textId="77777777" w:rsidR="00F122D2" w:rsidRPr="00315936" w:rsidRDefault="00F122D2" w:rsidP="00F122D2">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C281F1F" w14:textId="2F7BF34B" w:rsidR="00F122D2" w:rsidRPr="00315936" w:rsidRDefault="00FF31E2" w:rsidP="00F122D2">
            <w:pPr>
              <w:pStyle w:val="Tabletext"/>
            </w:pPr>
            <w:r>
              <w:t>At least one s</w:t>
            </w:r>
            <w:r w:rsidRPr="00315936">
              <w:t>entinel event report not submitted within 30 business days</w:t>
            </w:r>
          </w:p>
        </w:tc>
      </w:tr>
      <w:tr w:rsidR="00F122D2" w:rsidRPr="00315936" w14:paraId="2C5AF82D"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2FFC441" w14:textId="77777777" w:rsidR="00F122D2" w:rsidRPr="00315936" w:rsidRDefault="00F122D2" w:rsidP="00F122D2">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5918ED78" w14:textId="4131418A" w:rsidR="00F122D2" w:rsidRPr="00315936" w:rsidRDefault="00FF31E2" w:rsidP="00F122D2">
            <w:pPr>
              <w:pStyle w:val="Tabletext"/>
              <w:rPr>
                <w:lang w:eastAsia="en-AU"/>
              </w:rPr>
            </w:pPr>
            <w:proofErr w:type="gramStart"/>
            <w:r w:rsidRPr="00315936">
              <w:t>For the purpose of</w:t>
            </w:r>
            <w:proofErr w:type="gramEnd"/>
            <w:r w:rsidRPr="00315936">
              <w:t xml:space="preserve"> the performance risk assessment</w:t>
            </w:r>
            <w:r>
              <w:t>,</w:t>
            </w:r>
            <w:r w:rsidRPr="00315936">
              <w:t xml:space="preserve"> improvement is assessed against the previous quarter performance. </w:t>
            </w:r>
          </w:p>
        </w:tc>
      </w:tr>
      <w:tr w:rsidR="00F122D2" w:rsidRPr="00315936" w14:paraId="378CFE4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8EF992F" w14:textId="77777777" w:rsidR="00F122D2" w:rsidRPr="00315936" w:rsidRDefault="00F122D2" w:rsidP="00F122D2">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24785621" w14:textId="19AC14F1" w:rsidR="00F122D2" w:rsidRPr="00315936" w:rsidRDefault="00FF31E2" w:rsidP="00F122D2">
            <w:pPr>
              <w:pStyle w:val="Tabletext"/>
            </w:pPr>
            <w:r w:rsidRPr="00315936">
              <w:t>Performance is reported quarterly and annually at the health service level</w:t>
            </w:r>
            <w:r>
              <w:t>.</w:t>
            </w:r>
            <w:r w:rsidRPr="00315936">
              <w:t xml:space="preserve"> Data are sourced from the SCV Sentinel event data collection</w:t>
            </w:r>
            <w:r>
              <w:t>.</w:t>
            </w:r>
            <w:r w:rsidRPr="00315936">
              <w:t xml:space="preserve"> </w:t>
            </w:r>
          </w:p>
        </w:tc>
      </w:tr>
    </w:tbl>
    <w:p w14:paraId="69BDAD10" w14:textId="2CA52CA9" w:rsidR="00140581" w:rsidRPr="00315936" w:rsidRDefault="00140581" w:rsidP="00140581">
      <w:pPr>
        <w:pStyle w:val="Heading3"/>
      </w:pPr>
      <w:bookmarkStart w:id="45" w:name="_Toc1181875896"/>
      <w:r w:rsidRPr="00315936">
        <w:lastRenderedPageBreak/>
        <w:t>Aged care</w:t>
      </w:r>
      <w:bookmarkEnd w:id="45"/>
    </w:p>
    <w:p w14:paraId="062CEADB" w14:textId="171A1E96" w:rsidR="00AF49AE" w:rsidRPr="00315936" w:rsidRDefault="00064B39" w:rsidP="008E7F78">
      <w:pPr>
        <w:pStyle w:val="Heading4"/>
      </w:pPr>
      <w:bookmarkStart w:id="46" w:name="_Toc114793895"/>
      <w:r w:rsidRPr="2ECFC544">
        <w:rPr>
          <w:lang w:eastAsia="en-AU"/>
        </w:rPr>
        <w:t>Public Sector Residential Aged Care Services (</w:t>
      </w:r>
      <w:r w:rsidR="0020339B">
        <w:t>PSRACS</w:t>
      </w:r>
      <w:r>
        <w:t>)</w:t>
      </w:r>
      <w:r w:rsidR="0020339B">
        <w:t xml:space="preserve"> overall</w:t>
      </w:r>
      <w:r w:rsidR="20075970">
        <w:t xml:space="preserve"> star</w:t>
      </w:r>
      <w:r w:rsidR="0020339B">
        <w:t xml:space="preserve"> rating</w:t>
      </w:r>
      <w:bookmarkEnd w:id="46"/>
    </w:p>
    <w:tbl>
      <w:tblPr>
        <w:tblW w:w="1034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837"/>
        <w:gridCol w:w="8503"/>
      </w:tblGrid>
      <w:tr w:rsidR="00D82522" w:rsidRPr="00315936" w14:paraId="06D00892"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hideMark/>
          </w:tcPr>
          <w:p w14:paraId="55CFF87A" w14:textId="29D0524B" w:rsidR="00D82522" w:rsidRPr="00315936" w:rsidRDefault="00C3016B" w:rsidP="001A453F">
            <w:pPr>
              <w:pStyle w:val="Tablecolhead"/>
              <w:keepNext/>
              <w:rPr>
                <w:rFonts w:ascii="Segoe UI" w:hAnsi="Segoe UI" w:cs="Segoe UI"/>
                <w:b w:val="0"/>
                <w:sz w:val="18"/>
                <w:szCs w:val="18"/>
                <w:lang w:val="en-US" w:eastAsia="en-AU"/>
              </w:rPr>
            </w:pPr>
            <w:r w:rsidRPr="00315936">
              <w:rPr>
                <w:b w:val="0"/>
                <w:lang w:eastAsia="en-AU"/>
              </w:rPr>
              <w:t>Measure</w:t>
            </w:r>
            <w:r w:rsidR="00D82522" w:rsidRPr="00315936">
              <w:rPr>
                <w:b w:val="0"/>
                <w:lang w:val="en-US" w:eastAsia="en-AU"/>
              </w:rPr>
              <w:t> </w:t>
            </w:r>
          </w:p>
        </w:tc>
        <w:tc>
          <w:tcPr>
            <w:tcW w:w="8503" w:type="dxa"/>
            <w:tcBorders>
              <w:top w:val="single" w:sz="6" w:space="0" w:color="auto"/>
              <w:left w:val="single" w:sz="6" w:space="0" w:color="000000" w:themeColor="text1"/>
              <w:bottom w:val="single" w:sz="6" w:space="0" w:color="000000" w:themeColor="text1"/>
              <w:right w:val="single" w:sz="6" w:space="0" w:color="auto"/>
            </w:tcBorders>
            <w:hideMark/>
          </w:tcPr>
          <w:p w14:paraId="267C3A29" w14:textId="27966C64" w:rsidR="00D82522" w:rsidRPr="00315936" w:rsidRDefault="00064B39" w:rsidP="2ECFC544">
            <w:pPr>
              <w:pStyle w:val="Tabletext"/>
              <w:keepNext/>
              <w:rPr>
                <w:lang w:val="en-US" w:eastAsia="en-AU"/>
              </w:rPr>
            </w:pPr>
            <w:r w:rsidRPr="2ECFC544">
              <w:rPr>
                <w:lang w:eastAsia="en-AU"/>
              </w:rPr>
              <w:t>Public Sector Residential Aged Care Services (</w:t>
            </w:r>
            <w:r w:rsidR="2E9B8190" w:rsidRPr="2ECFC544">
              <w:rPr>
                <w:lang w:eastAsia="en-AU"/>
              </w:rPr>
              <w:t>PSRACS</w:t>
            </w:r>
            <w:r w:rsidRPr="2ECFC544">
              <w:rPr>
                <w:lang w:eastAsia="en-AU"/>
              </w:rPr>
              <w:t>)</w:t>
            </w:r>
            <w:r w:rsidR="2E9B8190" w:rsidRPr="2ECFC544">
              <w:rPr>
                <w:lang w:eastAsia="en-AU"/>
              </w:rPr>
              <w:t xml:space="preserve"> overall star rating</w:t>
            </w:r>
          </w:p>
        </w:tc>
      </w:tr>
      <w:tr w:rsidR="00D82522" w:rsidRPr="00315936" w14:paraId="38C6492C"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75E57C10" w14:textId="77777777" w:rsidR="00D82522" w:rsidRPr="00315936" w:rsidRDefault="00D82522" w:rsidP="001A453F">
            <w:pPr>
              <w:pStyle w:val="Tablecolhead"/>
              <w:keepNext/>
              <w:rPr>
                <w:rFonts w:ascii="Segoe UI" w:hAnsi="Segoe UI" w:cs="Segoe UI"/>
                <w:b w:val="0"/>
                <w:sz w:val="18"/>
                <w:szCs w:val="18"/>
                <w:lang w:val="en-US" w:eastAsia="en-AU"/>
              </w:rPr>
            </w:pPr>
            <w:r w:rsidRPr="00315936">
              <w:rPr>
                <w:b w:val="0"/>
                <w:lang w:eastAsia="en-AU"/>
              </w:rPr>
              <w:t>Description </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FD56666" w14:textId="0A7925AC" w:rsidR="00D82522" w:rsidRPr="00315936" w:rsidRDefault="00082A5C" w:rsidP="001A453F">
            <w:pPr>
              <w:pStyle w:val="Tabletext"/>
              <w:keepNext/>
              <w:rPr>
                <w:rFonts w:ascii="Segoe UI" w:hAnsi="Segoe UI" w:cs="Segoe UI"/>
                <w:sz w:val="18"/>
                <w:szCs w:val="18"/>
                <w:lang w:val="en-US" w:eastAsia="en-AU"/>
              </w:rPr>
            </w:pPr>
            <w:r w:rsidRPr="00315936">
              <w:rPr>
                <w:lang w:eastAsia="en-AU"/>
              </w:rPr>
              <w:t>PSRACS</w:t>
            </w:r>
            <w:r w:rsidRPr="00315936">
              <w:rPr>
                <w:rFonts w:cstheme="minorHAnsi"/>
              </w:rPr>
              <w:t xml:space="preserve"> </w:t>
            </w:r>
            <w:r w:rsidR="00C40F0E" w:rsidRPr="00315936">
              <w:rPr>
                <w:rFonts w:cstheme="minorHAnsi"/>
              </w:rPr>
              <w:t xml:space="preserve">Star Ratings for residential aged care </w:t>
            </w:r>
            <w:r w:rsidR="00472239">
              <w:rPr>
                <w:rFonts w:cstheme="minorHAnsi"/>
              </w:rPr>
              <w:t>were</w:t>
            </w:r>
            <w:r w:rsidR="00472239" w:rsidRPr="00315936">
              <w:rPr>
                <w:rFonts w:cstheme="minorHAnsi"/>
              </w:rPr>
              <w:t xml:space="preserve"> </w:t>
            </w:r>
            <w:r w:rsidR="00C40F0E" w:rsidRPr="00315936">
              <w:rPr>
                <w:rFonts w:cstheme="minorHAnsi"/>
              </w:rPr>
              <w:t>introduced by the Australian Government in response to recommendations from the Royal Commission into Aged Care Quality and Safety.</w:t>
            </w:r>
            <w:r w:rsidR="00C40F0E" w:rsidRPr="00315936" w:rsidDel="00472239">
              <w:rPr>
                <w:lang w:eastAsia="en-AU"/>
              </w:rPr>
              <w:t xml:space="preserve"> </w:t>
            </w:r>
            <w:r w:rsidRPr="00315936">
              <w:rPr>
                <w:lang w:eastAsia="en-AU"/>
              </w:rPr>
              <w:t>They</w:t>
            </w:r>
            <w:r w:rsidR="00D82522" w:rsidRPr="00315936">
              <w:rPr>
                <w:lang w:eastAsia="en-AU"/>
              </w:rPr>
              <w:t xml:space="preserve"> provide information about a provider’s quality of care and how they compare to others. The overall rating is based on a provider’s performance across four key areas of compliance, quality measures, resident</w:t>
            </w:r>
            <w:r w:rsidR="00A64BF6" w:rsidRPr="00315936">
              <w:rPr>
                <w:lang w:eastAsia="en-AU"/>
              </w:rPr>
              <w:t>’s</w:t>
            </w:r>
            <w:r w:rsidR="00D82522" w:rsidRPr="00315936">
              <w:rPr>
                <w:lang w:eastAsia="en-AU"/>
              </w:rPr>
              <w:t xml:space="preserve"> experience</w:t>
            </w:r>
            <w:r w:rsidR="00472239">
              <w:rPr>
                <w:lang w:eastAsia="en-AU"/>
              </w:rPr>
              <w:t>,</w:t>
            </w:r>
            <w:r w:rsidR="00D82522" w:rsidRPr="00315936">
              <w:rPr>
                <w:lang w:eastAsia="en-AU"/>
              </w:rPr>
              <w:t xml:space="preserve"> and staffing. </w:t>
            </w:r>
            <w:r w:rsidR="00D82522" w:rsidRPr="00315936">
              <w:rPr>
                <w:lang w:val="en-US" w:eastAsia="en-AU"/>
              </w:rPr>
              <w:t> </w:t>
            </w:r>
          </w:p>
        </w:tc>
      </w:tr>
      <w:tr w:rsidR="00D82522" w:rsidRPr="00315936" w14:paraId="308A5390"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29F1E90A" w14:textId="77777777" w:rsidR="00D82522" w:rsidRPr="00315936" w:rsidRDefault="00D82522">
            <w:pPr>
              <w:pStyle w:val="Tablecolhead"/>
              <w:rPr>
                <w:rFonts w:ascii="Segoe UI" w:hAnsi="Segoe UI" w:cs="Segoe UI"/>
                <w:b w:val="0"/>
                <w:sz w:val="18"/>
                <w:szCs w:val="18"/>
                <w:lang w:val="en-US" w:eastAsia="en-AU"/>
              </w:rPr>
            </w:pPr>
            <w:r w:rsidRPr="00315936">
              <w:rPr>
                <w:b w:val="0"/>
                <w:lang w:eastAsia="en-AU"/>
              </w:rPr>
              <w:t>Calculating performance</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B2425D8" w14:textId="77777777" w:rsidR="00050A38" w:rsidRDefault="00050A38">
            <w:pPr>
              <w:pStyle w:val="Tabletext"/>
              <w:rPr>
                <w:rFonts w:eastAsia="Arial" w:cs="Arial"/>
                <w:szCs w:val="21"/>
                <w:lang w:val="en-US"/>
              </w:rPr>
            </w:pPr>
            <w:r w:rsidRPr="2ECFC544">
              <w:rPr>
                <w:rFonts w:eastAsia="Arial" w:cs="Arial"/>
                <w:szCs w:val="21"/>
                <w:lang w:val="en-US"/>
              </w:rPr>
              <w:t>This measure is calculated as the percentage of facilities managed by a Health Service with an overall rating of 3 or above</w:t>
            </w:r>
            <w:r>
              <w:rPr>
                <w:rFonts w:eastAsia="Arial" w:cs="Arial"/>
                <w:szCs w:val="21"/>
                <w:lang w:val="en-US"/>
              </w:rPr>
              <w:t>.</w:t>
            </w:r>
          </w:p>
          <w:p w14:paraId="4085E61F" w14:textId="432DAFA3" w:rsidR="00D82522" w:rsidRPr="00315936" w:rsidRDefault="2E9B8190">
            <w:pPr>
              <w:pStyle w:val="Tabletext"/>
              <w:rPr>
                <w:rFonts w:ascii="Segoe UI" w:hAnsi="Segoe UI" w:cs="Segoe UI"/>
                <w:sz w:val="18"/>
                <w:szCs w:val="18"/>
                <w:lang w:val="en-US" w:eastAsia="en-AU"/>
              </w:rPr>
            </w:pPr>
            <w:r w:rsidRPr="2ECFC544">
              <w:rPr>
                <w:lang w:eastAsia="en-AU"/>
              </w:rPr>
              <w:t>The overall star rating is derived from weighting applied to each sub-category (compliance, quality measures, resident</w:t>
            </w:r>
            <w:r w:rsidR="5E3AA685" w:rsidRPr="2ECFC544">
              <w:rPr>
                <w:lang w:eastAsia="en-AU"/>
              </w:rPr>
              <w:t>’</w:t>
            </w:r>
            <w:r w:rsidRPr="2ECFC544">
              <w:rPr>
                <w:lang w:eastAsia="en-AU"/>
              </w:rPr>
              <w:t>s experience and staffing) rating.</w:t>
            </w:r>
            <w:r w:rsidRPr="2ECFC544">
              <w:rPr>
                <w:lang w:val="en-US" w:eastAsia="en-AU"/>
              </w:rPr>
              <w:t> </w:t>
            </w:r>
          </w:p>
          <w:p w14:paraId="2DE6983D" w14:textId="413994C4" w:rsidR="00050A38" w:rsidRDefault="00A6408F">
            <w:pPr>
              <w:pStyle w:val="Tabletext"/>
              <w:rPr>
                <w:lang w:eastAsia="en-AU"/>
              </w:rPr>
            </w:pPr>
            <w:r>
              <w:rPr>
                <w:lang w:eastAsia="en-AU"/>
              </w:rPr>
              <w:t>Includes</w:t>
            </w:r>
            <w:r w:rsidR="00050A38" w:rsidRPr="2ECFC544">
              <w:rPr>
                <w:lang w:eastAsia="en-AU"/>
              </w:rPr>
              <w:t xml:space="preserve"> all PSRACS, except National Aboriginal and Torres Strait Islander Flexible Aged Care program services, Multi-Purpose Services or for aged care provided in the home, as all required data </w:t>
            </w:r>
            <w:r w:rsidR="00050A38">
              <w:rPr>
                <w:lang w:eastAsia="en-AU"/>
              </w:rPr>
              <w:t>are</w:t>
            </w:r>
            <w:r w:rsidR="00050A38" w:rsidRPr="2ECFC544">
              <w:rPr>
                <w:lang w:eastAsia="en-AU"/>
              </w:rPr>
              <w:t xml:space="preserve"> not currently reported by these service types</w:t>
            </w:r>
          </w:p>
          <w:p w14:paraId="0172EA12" w14:textId="30AC6499" w:rsidR="00D82522" w:rsidRPr="00315936" w:rsidRDefault="2E9B8190" w:rsidP="007B1F13">
            <w:pPr>
              <w:pStyle w:val="Tabletext"/>
              <w:rPr>
                <w:lang w:val="en-US"/>
              </w:rPr>
            </w:pPr>
            <w:r w:rsidRPr="2ECFC544">
              <w:rPr>
                <w:lang w:eastAsia="en-AU"/>
              </w:rPr>
              <w:t xml:space="preserve">For detailed information on the calculation of the overall star rating please refer to the </w:t>
            </w:r>
            <w:hyperlink r:id="rId33">
              <w:r w:rsidRPr="2ECFC544">
                <w:rPr>
                  <w:color w:val="467886"/>
                  <w:u w:val="single"/>
                  <w:lang w:eastAsia="en-AU"/>
                </w:rPr>
                <w:t>Department of Health and Aged Care – Star Ratings Provider</w:t>
              </w:r>
              <w:r w:rsidR="7323243B" w:rsidRPr="2ECFC544">
                <w:rPr>
                  <w:color w:val="467886"/>
                  <w:u w:val="single"/>
                  <w:lang w:eastAsia="en-AU"/>
                </w:rPr>
                <w:t xml:space="preserve"> M</w:t>
              </w:r>
              <w:r w:rsidRPr="2ECFC544">
                <w:rPr>
                  <w:color w:val="467886"/>
                  <w:u w:val="single"/>
                  <w:lang w:eastAsia="en-AU"/>
                </w:rPr>
                <w:t>anual</w:t>
              </w:r>
            </w:hyperlink>
            <w:r w:rsidR="36F47F13" w:rsidRPr="2ECFC544">
              <w:rPr>
                <w:lang w:val="en-US" w:eastAsia="en-AU"/>
              </w:rPr>
              <w:t xml:space="preserve"> </w:t>
            </w:r>
            <w:r w:rsidR="00A5103A">
              <w:rPr>
                <w:lang w:eastAsia="en-AU"/>
              </w:rPr>
              <w:t xml:space="preserve"> </w:t>
            </w:r>
            <w:r w:rsidR="31767CE1" w:rsidRPr="2ECFC544">
              <w:rPr>
                <w:lang w:eastAsia="en-AU"/>
              </w:rPr>
              <w:t>&lt;https://www.health.gov.au/resources/publications/star-ratings-provider-manual?language=en&gt;</w:t>
            </w:r>
            <w:r w:rsidR="6ADD6CD8" w:rsidRPr="2ECFC544">
              <w:rPr>
                <w:lang w:eastAsia="en-AU"/>
              </w:rPr>
              <w:t>.</w:t>
            </w:r>
          </w:p>
        </w:tc>
      </w:tr>
      <w:tr w:rsidR="00D82522" w:rsidRPr="00315936" w14:paraId="52C8186F"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45B4766F" w14:textId="77777777" w:rsidR="00D82522" w:rsidRPr="00315936" w:rsidRDefault="00D82522">
            <w:pPr>
              <w:pStyle w:val="Tablecolhead"/>
              <w:rPr>
                <w:rFonts w:ascii="Segoe UI" w:hAnsi="Segoe UI" w:cs="Segoe UI"/>
                <w:b w:val="0"/>
                <w:sz w:val="18"/>
                <w:szCs w:val="18"/>
                <w:lang w:val="en-US" w:eastAsia="en-AU"/>
              </w:rPr>
            </w:pPr>
            <w:r w:rsidRPr="26325B93">
              <w:rPr>
                <w:b w:val="0"/>
                <w:lang w:eastAsia="en-AU"/>
              </w:rPr>
              <w:t>Numerator</w:t>
            </w:r>
            <w:r w:rsidRPr="26325B93">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37304B5E" w14:textId="592014B9" w:rsidR="00D82522" w:rsidRPr="00315936" w:rsidRDefault="543CEA82" w:rsidP="2ECFC544">
            <w:pPr>
              <w:spacing w:before="80" w:after="60" w:line="279" w:lineRule="auto"/>
              <w:rPr>
                <w:lang w:val="en-US"/>
              </w:rPr>
            </w:pPr>
            <w:r w:rsidRPr="2ECFC544">
              <w:rPr>
                <w:rFonts w:eastAsia="Arial" w:cs="Arial"/>
                <w:szCs w:val="21"/>
              </w:rPr>
              <w:t xml:space="preserve">Total number of facilities with an </w:t>
            </w:r>
            <w:r w:rsidRPr="2ECFC544">
              <w:rPr>
                <w:rFonts w:eastAsia="Arial" w:cs="Arial"/>
                <w:color w:val="000000" w:themeColor="text1"/>
                <w:szCs w:val="21"/>
              </w:rPr>
              <w:t>overall star rating of 3 or above</w:t>
            </w:r>
            <w:r w:rsidRPr="2ECFC544">
              <w:rPr>
                <w:rFonts w:eastAsia="Arial" w:cs="Arial"/>
                <w:color w:val="000000" w:themeColor="text1"/>
                <w:szCs w:val="21"/>
                <w:lang w:val="en-US"/>
              </w:rPr>
              <w:t> </w:t>
            </w:r>
          </w:p>
        </w:tc>
      </w:tr>
      <w:tr w:rsidR="00D82522" w:rsidRPr="00315936" w14:paraId="0E98818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615E3882" w14:textId="77777777" w:rsidR="00D82522" w:rsidRPr="00315936" w:rsidRDefault="00D82522">
            <w:pPr>
              <w:pStyle w:val="Tablecolhead"/>
              <w:rPr>
                <w:rFonts w:ascii="Segoe UI" w:hAnsi="Segoe UI" w:cs="Segoe UI"/>
                <w:b w:val="0"/>
                <w:sz w:val="18"/>
                <w:szCs w:val="18"/>
                <w:lang w:val="en-US" w:eastAsia="en-AU"/>
              </w:rPr>
            </w:pPr>
            <w:r w:rsidRPr="00315936">
              <w:rPr>
                <w:b w:val="0"/>
                <w:lang w:eastAsia="en-AU"/>
              </w:rPr>
              <w:t>Denominator</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76AAB96D" w14:textId="10AC69C8" w:rsidR="00D82522" w:rsidRPr="00315936" w:rsidRDefault="0818DCB4" w:rsidP="007B1F13">
            <w:pPr>
              <w:spacing w:before="80" w:after="60" w:line="279" w:lineRule="auto"/>
              <w:rPr>
                <w:lang w:val="en-US" w:eastAsia="en-AU"/>
              </w:rPr>
            </w:pPr>
            <w:r w:rsidRPr="2ECFC544">
              <w:rPr>
                <w:rFonts w:eastAsia="Arial" w:cs="Arial"/>
                <w:szCs w:val="21"/>
              </w:rPr>
              <w:t>Total number of facilities</w:t>
            </w:r>
          </w:p>
        </w:tc>
      </w:tr>
      <w:tr w:rsidR="00D82522" w:rsidRPr="00315936" w14:paraId="23DEAA5B" w14:textId="77777777" w:rsidTr="008E1561">
        <w:trPr>
          <w:trHeight w:val="51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0BAD3C42" w14:textId="77777777" w:rsidR="00D82522" w:rsidRPr="00315936" w:rsidRDefault="00D82522">
            <w:pPr>
              <w:pStyle w:val="Tablecolhead"/>
              <w:rPr>
                <w:rFonts w:ascii="Segoe UI" w:hAnsi="Segoe UI" w:cs="Segoe UI"/>
                <w:b w:val="0"/>
                <w:sz w:val="18"/>
                <w:szCs w:val="18"/>
                <w:lang w:val="en-US" w:eastAsia="en-AU"/>
              </w:rPr>
            </w:pPr>
            <w:r w:rsidRPr="00315936">
              <w:rPr>
                <w:b w:val="0"/>
                <w:lang w:eastAsia="en-AU"/>
              </w:rPr>
              <w:t>Statewide target</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0FED7643" w14:textId="565407AC" w:rsidR="00D82522" w:rsidRPr="00315936" w:rsidRDefault="0B9C9F87" w:rsidP="2ECFC544">
            <w:pPr>
              <w:spacing w:before="80" w:after="60" w:line="279" w:lineRule="auto"/>
            </w:pPr>
            <w:r w:rsidRPr="2ECFC544">
              <w:rPr>
                <w:rFonts w:eastAsia="Arial" w:cs="Arial"/>
                <w:color w:val="000000" w:themeColor="text1"/>
                <w:szCs w:val="21"/>
                <w:lang w:val="en-US"/>
              </w:rPr>
              <w:t>100 per cent of facilities with an overall star rating of 3 or above</w:t>
            </w:r>
            <w:r w:rsidRPr="2ECFC544">
              <w:t xml:space="preserve"> </w:t>
            </w:r>
          </w:p>
        </w:tc>
      </w:tr>
      <w:tr w:rsidR="00D82522" w:rsidRPr="00315936" w14:paraId="782731E5"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277BBE3" w14:textId="6EFD6428" w:rsidR="00D82522" w:rsidRPr="00315936" w:rsidRDefault="00D82522">
            <w:pPr>
              <w:pStyle w:val="Tablecolhead"/>
              <w:rPr>
                <w:b w:val="0"/>
                <w:lang w:eastAsia="en-AU"/>
              </w:rPr>
            </w:pPr>
            <w:r w:rsidRPr="00315936">
              <w:rPr>
                <w:b w:val="0"/>
                <w:lang w:eastAsia="en-AU"/>
              </w:rPr>
              <w:t>Achieved</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tcPr>
          <w:p w14:paraId="366FC00B" w14:textId="69A1D12B" w:rsidR="00D82522" w:rsidRPr="00315936" w:rsidRDefault="3A5E8D70" w:rsidP="2ECFC544">
            <w:pPr>
              <w:pStyle w:val="Tabletext"/>
              <w:spacing w:line="259" w:lineRule="auto"/>
              <w:rPr>
                <w:lang w:eastAsia="en-AU"/>
              </w:rPr>
            </w:pPr>
            <w:r w:rsidRPr="2ECFC544">
              <w:rPr>
                <w:lang w:eastAsia="en-AU"/>
              </w:rPr>
              <w:t>100</w:t>
            </w:r>
            <w:r w:rsidR="00791B2A">
              <w:rPr>
                <w:lang w:eastAsia="en-AU"/>
              </w:rPr>
              <w:t xml:space="preserve"> per cent</w:t>
            </w:r>
          </w:p>
        </w:tc>
      </w:tr>
      <w:tr w:rsidR="00D82522" w:rsidRPr="00315936" w14:paraId="18C0651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2B21E79" w14:textId="2C492D0D" w:rsidR="00D82522" w:rsidRPr="00315936" w:rsidRDefault="00D82522">
            <w:pPr>
              <w:pStyle w:val="Tablecolhead"/>
              <w:rPr>
                <w:b w:val="0"/>
                <w:lang w:eastAsia="en-AU"/>
              </w:rPr>
            </w:pPr>
            <w:r w:rsidRPr="00315936">
              <w:rPr>
                <w:b w:val="0"/>
                <w:lang w:eastAsia="en-AU"/>
              </w:rPr>
              <w:t>Not achieved</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tcPr>
          <w:p w14:paraId="5647BA3C" w14:textId="0E2CB604" w:rsidR="00D82522" w:rsidRPr="00315936" w:rsidRDefault="00FB4C53" w:rsidP="2ECFC544">
            <w:pPr>
              <w:pStyle w:val="Tabletext"/>
              <w:rPr>
                <w:lang w:val="en-US" w:eastAsia="en-AU"/>
              </w:rPr>
            </w:pPr>
            <w:r>
              <w:rPr>
                <w:lang w:eastAsia="en-AU"/>
              </w:rPr>
              <w:t xml:space="preserve">Less than </w:t>
            </w:r>
            <w:r w:rsidR="5529F68A" w:rsidRPr="2ECFC544">
              <w:rPr>
                <w:lang w:eastAsia="en-AU"/>
              </w:rPr>
              <w:t>100</w:t>
            </w:r>
            <w:r w:rsidR="00791B2A">
              <w:rPr>
                <w:lang w:eastAsia="en-AU"/>
              </w:rPr>
              <w:t xml:space="preserve"> per cent</w:t>
            </w:r>
          </w:p>
        </w:tc>
      </w:tr>
      <w:tr w:rsidR="00D82522" w:rsidRPr="00315936" w14:paraId="47B4EB1C"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hideMark/>
          </w:tcPr>
          <w:p w14:paraId="22A075F5" w14:textId="77777777" w:rsidR="00D82522" w:rsidRPr="00315936" w:rsidRDefault="00D82522">
            <w:pPr>
              <w:pStyle w:val="Tablecolhead"/>
              <w:rPr>
                <w:rFonts w:ascii="Segoe UI" w:hAnsi="Segoe UI" w:cs="Segoe UI"/>
                <w:b w:val="0"/>
                <w:sz w:val="18"/>
                <w:szCs w:val="18"/>
                <w:lang w:val="en-US" w:eastAsia="en-AU"/>
              </w:rPr>
            </w:pPr>
            <w:r w:rsidRPr="00315936">
              <w:rPr>
                <w:b w:val="0"/>
                <w:lang w:eastAsia="en-AU"/>
              </w:rPr>
              <w:t>Improvement</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000000" w:themeColor="text1"/>
              <w:right w:val="single" w:sz="6" w:space="0" w:color="auto"/>
            </w:tcBorders>
            <w:hideMark/>
          </w:tcPr>
          <w:p w14:paraId="00DA09C1" w14:textId="48F5B3EF" w:rsidR="00D82522" w:rsidRPr="00315936" w:rsidRDefault="00201D51">
            <w:pPr>
              <w:pStyle w:val="Tabletext"/>
              <w:rPr>
                <w:rFonts w:ascii="Segoe UI" w:hAnsi="Segoe UI" w:cs="Segoe UI"/>
                <w:sz w:val="18"/>
                <w:szCs w:val="18"/>
                <w:lang w:val="en-US" w:eastAsia="en-AU"/>
              </w:rPr>
            </w:pPr>
            <w:proofErr w:type="gramStart"/>
            <w:r w:rsidRPr="00315936">
              <w:t>For the purpose of</w:t>
            </w:r>
            <w:proofErr w:type="gramEnd"/>
            <w:r w:rsidRPr="00315936">
              <w:t xml:space="preserve"> the performance risk assessment</w:t>
            </w:r>
            <w:r>
              <w:t>,</w:t>
            </w:r>
            <w:r w:rsidRPr="00315936">
              <w:t xml:space="preserve"> improvement is assessed against the previous quarter performance.</w:t>
            </w:r>
          </w:p>
        </w:tc>
      </w:tr>
      <w:tr w:rsidR="00D82522" w:rsidRPr="00315936" w14:paraId="454A0C52"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hideMark/>
          </w:tcPr>
          <w:p w14:paraId="02AC5B48" w14:textId="77777777" w:rsidR="00D82522" w:rsidRPr="00315936" w:rsidRDefault="00D82522">
            <w:pPr>
              <w:pStyle w:val="Tablecolhead"/>
              <w:rPr>
                <w:rFonts w:ascii="Segoe UI" w:hAnsi="Segoe UI" w:cs="Segoe UI"/>
                <w:b w:val="0"/>
                <w:sz w:val="18"/>
                <w:szCs w:val="18"/>
                <w:lang w:val="en-US" w:eastAsia="en-AU"/>
              </w:rPr>
            </w:pPr>
            <w:r w:rsidRPr="00315936">
              <w:rPr>
                <w:b w:val="0"/>
                <w:lang w:eastAsia="en-AU"/>
              </w:rPr>
              <w:t>Frequency of reporting and data collection</w:t>
            </w:r>
            <w:r w:rsidRPr="00315936">
              <w:rPr>
                <w:b w:val="0"/>
                <w:lang w:val="en-US" w:eastAsia="en-AU"/>
              </w:rPr>
              <w:t> </w:t>
            </w:r>
          </w:p>
        </w:tc>
        <w:tc>
          <w:tcPr>
            <w:tcW w:w="8503" w:type="dxa"/>
            <w:tcBorders>
              <w:top w:val="single" w:sz="6" w:space="0" w:color="000000" w:themeColor="text1"/>
              <w:left w:val="single" w:sz="6" w:space="0" w:color="000000" w:themeColor="text1"/>
              <w:bottom w:val="single" w:sz="6" w:space="0" w:color="auto"/>
              <w:right w:val="single" w:sz="6" w:space="0" w:color="auto"/>
            </w:tcBorders>
            <w:hideMark/>
          </w:tcPr>
          <w:p w14:paraId="57D6624D" w14:textId="77777777" w:rsidR="00D51011" w:rsidRPr="00315936" w:rsidRDefault="00981901">
            <w:pPr>
              <w:pStyle w:val="Tabletext"/>
              <w:rPr>
                <w:lang w:eastAsia="en-AU"/>
              </w:rPr>
            </w:pPr>
            <w:r w:rsidRPr="00315936">
              <w:rPr>
                <w:lang w:eastAsia="en-AU"/>
              </w:rPr>
              <w:t xml:space="preserve">Performance is reported </w:t>
            </w:r>
            <w:r w:rsidR="00DD0AA1" w:rsidRPr="00315936">
              <w:rPr>
                <w:lang w:eastAsia="en-AU"/>
              </w:rPr>
              <w:t xml:space="preserve">quarterly at the facility level </w:t>
            </w:r>
            <w:r w:rsidR="0037026F" w:rsidRPr="00315936">
              <w:rPr>
                <w:lang w:eastAsia="en-AU"/>
              </w:rPr>
              <w:t>with a one quarter lag</w:t>
            </w:r>
            <w:r w:rsidR="00D51011" w:rsidRPr="00315936">
              <w:rPr>
                <w:lang w:eastAsia="en-AU"/>
              </w:rPr>
              <w:t>.</w:t>
            </w:r>
          </w:p>
          <w:p w14:paraId="64239CFA" w14:textId="31DAF99F" w:rsidR="009356B5" w:rsidRPr="00315936" w:rsidRDefault="008C360C" w:rsidP="00EB3944">
            <w:pPr>
              <w:pStyle w:val="Tabletext"/>
              <w:rPr>
                <w:rFonts w:ascii="Segoe UI" w:hAnsi="Segoe UI" w:cs="Segoe UI"/>
                <w:sz w:val="18"/>
                <w:szCs w:val="18"/>
                <w:lang w:val="en-US" w:eastAsia="en-AU"/>
              </w:rPr>
            </w:pPr>
            <w:r w:rsidRPr="00315936">
              <w:t xml:space="preserve">Data </w:t>
            </w:r>
            <w:r w:rsidR="00593994" w:rsidRPr="00315936">
              <w:t xml:space="preserve">sourced from the </w:t>
            </w:r>
            <w:r w:rsidR="00593994" w:rsidRPr="00315936">
              <w:rPr>
                <w:lang w:eastAsia="en-AU"/>
              </w:rPr>
              <w:t>Australian Institute of Health and Welfare – GEN Aged care Star Ratings quarterly data extract</w:t>
            </w:r>
            <w:r w:rsidRPr="00315936">
              <w:t xml:space="preserve"> </w:t>
            </w:r>
          </w:p>
        </w:tc>
      </w:tr>
    </w:tbl>
    <w:p w14:paraId="12CE0C2E" w14:textId="05B60905" w:rsidR="00140581" w:rsidRPr="00315936" w:rsidRDefault="00140581" w:rsidP="00140581">
      <w:pPr>
        <w:pStyle w:val="Heading3"/>
      </w:pPr>
      <w:bookmarkStart w:id="47" w:name="_Toc800437645"/>
      <w:r w:rsidRPr="00315936">
        <w:t>Patient experience</w:t>
      </w:r>
      <w:bookmarkEnd w:id="47"/>
    </w:p>
    <w:p w14:paraId="7CA0EB7A" w14:textId="58268006" w:rsidR="00964900" w:rsidRPr="00315936" w:rsidRDefault="00AF49AE" w:rsidP="008E7F78">
      <w:pPr>
        <w:pStyle w:val="Heading4"/>
      </w:pPr>
      <w:bookmarkStart w:id="48" w:name="_Toc1128653705"/>
      <w:r w:rsidRPr="00315936">
        <w:t>Percentage of patients who reported positive experiences of their hospital stay</w:t>
      </w:r>
      <w:bookmarkEnd w:id="48"/>
    </w:p>
    <w:tbl>
      <w:tblPr>
        <w:tblStyle w:val="TableGrid"/>
        <w:tblW w:w="10340" w:type="dxa"/>
        <w:tblLook w:val="04A0" w:firstRow="1" w:lastRow="0" w:firstColumn="1" w:lastColumn="0" w:noHBand="0" w:noVBand="1"/>
      </w:tblPr>
      <w:tblGrid>
        <w:gridCol w:w="1837"/>
        <w:gridCol w:w="8503"/>
      </w:tblGrid>
      <w:tr w:rsidR="00DE4F6E" w:rsidRPr="00315936" w14:paraId="04E7DADA"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6983A787" w14:textId="500537D6" w:rsidR="00DE4F6E"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7ABECDBE" w14:textId="77777777" w:rsidR="00DE4F6E" w:rsidRPr="00315936" w:rsidRDefault="00DE4F6E">
            <w:pPr>
              <w:pStyle w:val="Tabletext"/>
            </w:pPr>
            <w:r w:rsidRPr="00315936">
              <w:t>Percentage of patients who reported positive experiences of their hospital stay</w:t>
            </w:r>
          </w:p>
        </w:tc>
      </w:tr>
      <w:tr w:rsidR="00DE4F6E" w:rsidRPr="00315936" w14:paraId="6B04F15C"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DC3952B" w14:textId="77777777" w:rsidR="00DE4F6E" w:rsidRPr="00315936" w:rsidRDefault="00DE4F6E">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633E6065" w14:textId="3CC7D9E5" w:rsidR="00DE4F6E" w:rsidRPr="00315936" w:rsidRDefault="00DE4F6E">
            <w:pPr>
              <w:pStyle w:val="Tabletext"/>
            </w:pPr>
            <w:r w:rsidRPr="00315936">
              <w:t>Patient experience measures provide a patient-centred perspective on interactions with healthcare providers. Monitoring insights from these measures contributes to improving the provision of care and strengthens the relationship between patients and care providers. These measures contribute to overall safety and quality monitoring within the health system.</w:t>
            </w:r>
          </w:p>
        </w:tc>
      </w:tr>
      <w:tr w:rsidR="00DE4F6E" w:rsidRPr="00315936" w14:paraId="2DAE9C57"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7AC3B20" w14:textId="77777777" w:rsidR="00DE4F6E" w:rsidRPr="00315936" w:rsidRDefault="00DE4F6E">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65651942" w14:textId="10EF89DE" w:rsidR="00DE4F6E" w:rsidRPr="00315936" w:rsidRDefault="6491EBBE" w:rsidP="55528ABA">
            <w:pPr>
              <w:pStyle w:val="Tabletext"/>
              <w:rPr>
                <w:rFonts w:ascii="VIC" w:eastAsia="VIC" w:hAnsi="VIC" w:cs="VIC"/>
                <w:color w:val="000000" w:themeColor="text1"/>
                <w:sz w:val="20"/>
              </w:rPr>
            </w:pPr>
            <w:r>
              <w:t xml:space="preserve">The percentage of patients (or where patient </w:t>
            </w:r>
            <w:bookmarkStart w:id="49" w:name="_Int_MVUAo2MD"/>
            <w:proofErr w:type="gramStart"/>
            <w:r>
              <w:t>is not able to</w:t>
            </w:r>
            <w:bookmarkEnd w:id="49"/>
            <w:proofErr w:type="gramEnd"/>
            <w:r>
              <w:t xml:space="preserve"> report, their primary informal carer) who respond</w:t>
            </w:r>
            <w:r w:rsidR="64AFDAF5">
              <w:t>ed</w:t>
            </w:r>
            <w:r>
              <w:t xml:space="preserve">, 'Very good' or 'Good' to </w:t>
            </w:r>
            <w:r w:rsidR="20E51B82">
              <w:t xml:space="preserve">the </w:t>
            </w:r>
            <w:r>
              <w:t>question</w:t>
            </w:r>
            <w:r w:rsidR="351DBB24">
              <w:t>:</w:t>
            </w:r>
          </w:p>
          <w:p w14:paraId="7286E29F" w14:textId="47EE3447" w:rsidR="00DE4F6E" w:rsidRPr="00315936" w:rsidRDefault="00DA140F">
            <w:pPr>
              <w:pStyle w:val="Tabletext"/>
              <w:rPr>
                <w:rFonts w:ascii="VIC" w:eastAsia="VIC" w:hAnsi="VIC" w:cs="VIC"/>
                <w:color w:val="000000" w:themeColor="text1"/>
                <w:szCs w:val="21"/>
              </w:rPr>
            </w:pPr>
            <w:r w:rsidRPr="00115B46">
              <w:rPr>
                <w:i/>
              </w:rPr>
              <w:lastRenderedPageBreak/>
              <w:t>‘</w:t>
            </w:r>
            <w:r w:rsidR="00DE4F6E" w:rsidRPr="00115B46">
              <w:rPr>
                <w:i/>
              </w:rPr>
              <w:t>Overall, how would you rate the care you received from the hospital?</w:t>
            </w:r>
            <w:r w:rsidRPr="00315936">
              <w:t>’</w:t>
            </w:r>
            <w:r w:rsidR="00DE4F6E" w:rsidRPr="00315936">
              <w:t xml:space="preserve"> in the adult inpatient section of the Victorian Healthcare Experience Survey (VHES) collected at all health services except Royal Children’s Hospital</w:t>
            </w:r>
          </w:p>
          <w:p w14:paraId="3BB0F24F" w14:textId="779DCA59" w:rsidR="00DE4F6E" w:rsidRPr="00315936" w:rsidRDefault="002A3ECB">
            <w:pPr>
              <w:pStyle w:val="Tabletext"/>
              <w:rPr>
                <w:rFonts w:ascii="VIC" w:eastAsia="VIC" w:hAnsi="VIC" w:cs="VIC"/>
                <w:color w:val="000000" w:themeColor="text1"/>
                <w:sz w:val="20"/>
              </w:rPr>
            </w:pPr>
            <w:r>
              <w:t>o</w:t>
            </w:r>
            <w:r w:rsidR="00DE4F6E" w:rsidRPr="00315936">
              <w:t>r</w:t>
            </w:r>
            <w:r w:rsidR="00DA140F" w:rsidRPr="00315936">
              <w:t>:</w:t>
            </w:r>
            <w:r w:rsidR="00DE4F6E" w:rsidRPr="00315936">
              <w:t xml:space="preserve"> </w:t>
            </w:r>
          </w:p>
          <w:p w14:paraId="10B4B3E1" w14:textId="224A1D98" w:rsidR="00DE4F6E" w:rsidRPr="00315936" w:rsidRDefault="00DE4F6E" w:rsidP="13E608F4">
            <w:pPr>
              <w:pStyle w:val="Tabletext"/>
              <w:rPr>
                <w:rFonts w:ascii="VIC" w:eastAsia="VIC" w:hAnsi="VIC" w:cs="VIC"/>
                <w:color w:val="000000" w:themeColor="text1"/>
              </w:rPr>
            </w:pPr>
            <w:r w:rsidRPr="00315936">
              <w:t>‘</w:t>
            </w:r>
            <w:r w:rsidRPr="00115B46">
              <w:rPr>
                <w:i/>
              </w:rPr>
              <w:t>Overall, how would you rate the care your child received from the hospital?</w:t>
            </w:r>
            <w:r w:rsidRPr="00315936">
              <w:t>’ in the inpatient section of the Victorian Paediatric Inpatient Survey collected at Royal Children’s Hospital only</w:t>
            </w:r>
            <w:r w:rsidR="00C052AD">
              <w:t>.</w:t>
            </w:r>
          </w:p>
          <w:p w14:paraId="0E4CA6FB" w14:textId="36C8E1D1" w:rsidR="00DE4F6E" w:rsidRPr="00315936" w:rsidRDefault="413D43BD">
            <w:pPr>
              <w:pStyle w:val="Tabletext"/>
              <w:rPr>
                <w:rFonts w:eastAsia="VIC"/>
              </w:rPr>
            </w:pPr>
            <w:r>
              <w:t xml:space="preserve">Results are not reported where there are fewer than </w:t>
            </w:r>
            <w:r w:rsidR="0031713B">
              <w:t>10</w:t>
            </w:r>
            <w:r>
              <w:t xml:space="preserve"> responses received</w:t>
            </w:r>
            <w:r w:rsidR="00C052AD">
              <w:t>.</w:t>
            </w:r>
          </w:p>
        </w:tc>
      </w:tr>
      <w:tr w:rsidR="00DE4F6E" w:rsidRPr="00315936" w14:paraId="7197A69D"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EB06F14" w14:textId="77777777" w:rsidR="00DE4F6E" w:rsidRPr="00315936" w:rsidRDefault="00DE4F6E">
            <w:pPr>
              <w:pStyle w:val="Tablecolhead"/>
              <w:rPr>
                <w:b w:val="0"/>
                <w:lang w:eastAsia="en-AU"/>
              </w:rPr>
            </w:pPr>
            <w:r w:rsidRPr="00315936">
              <w:rPr>
                <w:b w:val="0"/>
                <w:lang w:eastAsia="en-AU"/>
              </w:rPr>
              <w:lastRenderedPageBreak/>
              <w:t>Numerator</w:t>
            </w:r>
          </w:p>
        </w:tc>
        <w:tc>
          <w:tcPr>
            <w:tcW w:w="8503" w:type="dxa"/>
            <w:tcBorders>
              <w:left w:val="single" w:sz="6" w:space="0" w:color="000000" w:themeColor="text1"/>
            </w:tcBorders>
          </w:tcPr>
          <w:p w14:paraId="71A211F4" w14:textId="76F30702" w:rsidR="00DE4F6E" w:rsidRPr="00315936" w:rsidRDefault="00DE4F6E">
            <w:pPr>
              <w:pStyle w:val="Tabletext"/>
            </w:pPr>
            <w:r w:rsidRPr="00315936">
              <w:t xml:space="preserve">Weighted sum of ‘Good’ or ‘Very good’ responses to the question: </w:t>
            </w:r>
            <w:r w:rsidRPr="00115B46">
              <w:rPr>
                <w:i/>
              </w:rPr>
              <w:t>'Overall, how would you rate the care you received while in hospital?</w:t>
            </w:r>
            <w:r w:rsidR="00D60C0A" w:rsidRPr="00315936">
              <w:t>’</w:t>
            </w:r>
            <w:r w:rsidRPr="00315936">
              <w:t xml:space="preserve"> </w:t>
            </w:r>
            <w:r w:rsidR="0005023D">
              <w:t>o</w:t>
            </w:r>
            <w:r w:rsidRPr="00315936">
              <w:t>r</w:t>
            </w:r>
            <w:r w:rsidRPr="00315936" w:rsidDel="0005023D">
              <w:t xml:space="preserve"> </w:t>
            </w:r>
            <w:r w:rsidRPr="00315936">
              <w:t>‘</w:t>
            </w:r>
            <w:r w:rsidRPr="00115B46">
              <w:rPr>
                <w:i/>
              </w:rPr>
              <w:t>Overall, how would you rate the care your child received from the hospital?</w:t>
            </w:r>
            <w:r w:rsidRPr="00315936">
              <w:t xml:space="preserve">’ </w:t>
            </w:r>
          </w:p>
        </w:tc>
      </w:tr>
      <w:tr w:rsidR="00DE4F6E" w:rsidRPr="00315936" w14:paraId="3529788D"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1DFC14E" w14:textId="77777777" w:rsidR="00DE4F6E" w:rsidRPr="00315936" w:rsidRDefault="00DE4F6E">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3C6621BF" w14:textId="4862C15B" w:rsidR="00DE4F6E" w:rsidRPr="00315936" w:rsidRDefault="00DE4F6E">
            <w:pPr>
              <w:pStyle w:val="Tabletext"/>
            </w:pPr>
            <w:r w:rsidRPr="00315936">
              <w:t xml:space="preserve">Weighted sum of </w:t>
            </w:r>
            <w:r w:rsidR="00AB5B87">
              <w:t>all</w:t>
            </w:r>
            <w:r w:rsidR="00AB5B87" w:rsidRPr="00315936">
              <w:t xml:space="preserve"> </w:t>
            </w:r>
            <w:r w:rsidRPr="00315936">
              <w:t xml:space="preserve">responses to the question </w:t>
            </w:r>
            <w:r w:rsidRPr="00115B46">
              <w:rPr>
                <w:i/>
              </w:rPr>
              <w:t>'Overall, how would you rate the care you received while in hospital?</w:t>
            </w:r>
            <w:r w:rsidRPr="00315936">
              <w:t xml:space="preserve">' </w:t>
            </w:r>
            <w:r w:rsidR="0005023D">
              <w:t>o</w:t>
            </w:r>
            <w:r w:rsidRPr="00315936">
              <w:t>r</w:t>
            </w:r>
            <w:r w:rsidRPr="00315936" w:rsidDel="0005023D">
              <w:t xml:space="preserve"> </w:t>
            </w:r>
            <w:r w:rsidRPr="00315936">
              <w:t>‘</w:t>
            </w:r>
            <w:r w:rsidRPr="00115B46">
              <w:rPr>
                <w:i/>
              </w:rPr>
              <w:t>Overall, how would you rate the care your child received from the hospital?</w:t>
            </w:r>
            <w:r w:rsidRPr="00315936">
              <w:t>’</w:t>
            </w:r>
          </w:p>
        </w:tc>
      </w:tr>
      <w:tr w:rsidR="00DE4F6E" w:rsidRPr="00315936" w14:paraId="54659105"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3027CBC" w14:textId="77777777" w:rsidR="00DE4F6E" w:rsidRPr="00315936" w:rsidRDefault="00DE4F6E">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61780506" w14:textId="43E27CD9" w:rsidR="00DE4F6E" w:rsidRPr="00315936" w:rsidRDefault="00DE4F6E">
            <w:pPr>
              <w:pStyle w:val="Tabletext"/>
            </w:pPr>
            <w:r w:rsidRPr="00315936">
              <w:t>95</w:t>
            </w:r>
            <w:r w:rsidR="00A67D0D" w:rsidRPr="00315936">
              <w:t xml:space="preserve"> per cent</w:t>
            </w:r>
          </w:p>
        </w:tc>
      </w:tr>
      <w:tr w:rsidR="00DE4F6E" w:rsidRPr="00315936" w14:paraId="48751E7A"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AD0A6AD" w14:textId="6F096E74" w:rsidR="00DE4F6E" w:rsidRPr="00315936" w:rsidRDefault="00DE4F6E">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7196FD02" w14:textId="06983858" w:rsidR="00DE4F6E" w:rsidRPr="00315936" w:rsidRDefault="004C3A97">
            <w:pPr>
              <w:pStyle w:val="Tabletext"/>
            </w:pPr>
            <w:r>
              <w:t>Greater than or e</w:t>
            </w:r>
            <w:r w:rsidR="00DE4F6E" w:rsidRPr="00315936">
              <w:t>qual to 95</w:t>
            </w:r>
            <w:r w:rsidR="00A67D0D" w:rsidRPr="00315936">
              <w:t xml:space="preserve"> per cent</w:t>
            </w:r>
          </w:p>
        </w:tc>
      </w:tr>
      <w:tr w:rsidR="00DE4F6E" w:rsidRPr="00315936" w14:paraId="4201FD90"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01F05C3" w14:textId="20E81242" w:rsidR="00DE4F6E" w:rsidRPr="00315936" w:rsidRDefault="00DE4F6E">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512CE2B4" w14:textId="0D764437" w:rsidR="00DE4F6E" w:rsidRPr="00315936" w:rsidRDefault="004C3A97">
            <w:pPr>
              <w:pStyle w:val="Tabletext"/>
            </w:pPr>
            <w:r>
              <w:t>Less than</w:t>
            </w:r>
            <w:r w:rsidR="00DE4F6E" w:rsidRPr="00315936">
              <w:t xml:space="preserve"> 95</w:t>
            </w:r>
            <w:r w:rsidR="00A67D0D" w:rsidRPr="00315936">
              <w:t xml:space="preserve"> per cent</w:t>
            </w:r>
          </w:p>
        </w:tc>
      </w:tr>
      <w:tr w:rsidR="00DE4F6E" w:rsidRPr="00315936" w14:paraId="2A50090A"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2A72690" w14:textId="77777777" w:rsidR="00DE4F6E" w:rsidRPr="00315936" w:rsidRDefault="00DE4F6E">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217F4392" w14:textId="3BEA141E" w:rsidR="00DE4F6E" w:rsidRPr="00315936" w:rsidRDefault="00DE4F6E">
            <w:pPr>
              <w:pStyle w:val="Tabletext"/>
            </w:pPr>
            <w:proofErr w:type="gramStart"/>
            <w:r w:rsidRPr="00315936">
              <w:t>For the purpose of</w:t>
            </w:r>
            <w:proofErr w:type="gramEnd"/>
            <w:r w:rsidRPr="00315936">
              <w:t xml:space="preserve"> the performance risk assessment</w:t>
            </w:r>
            <w:r w:rsidR="0010113D">
              <w:t>,</w:t>
            </w:r>
            <w:r w:rsidRPr="00315936">
              <w:t xml:space="preserve"> improvement is assessed against the previous quarter performance.</w:t>
            </w:r>
          </w:p>
        </w:tc>
      </w:tr>
      <w:tr w:rsidR="00DE4F6E" w:rsidRPr="00315936" w14:paraId="196128DA"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5B7785AB" w14:textId="77777777" w:rsidR="00DE4F6E" w:rsidRPr="00315936" w:rsidRDefault="00DE4F6E">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13C8BC06" w14:textId="082356FA" w:rsidR="003F3F95" w:rsidRPr="00315936" w:rsidRDefault="7D5757CA">
            <w:pPr>
              <w:pStyle w:val="Tabletext"/>
            </w:pPr>
            <w:r>
              <w:t xml:space="preserve">Performance is </w:t>
            </w:r>
            <w:r w:rsidR="584D5761">
              <w:t>reported quarterly</w:t>
            </w:r>
            <w:r w:rsidR="566DEFE6">
              <w:t xml:space="preserve"> at the health ser</w:t>
            </w:r>
            <w:r w:rsidR="5FCD717F">
              <w:t>vice level</w:t>
            </w:r>
            <w:r w:rsidR="584D5761">
              <w:t xml:space="preserve"> with a one quarter lag. </w:t>
            </w:r>
            <w:r w:rsidR="0AD8B31B">
              <w:t xml:space="preserve">Data </w:t>
            </w:r>
            <w:r w:rsidR="0BFD7486">
              <w:t>are sourced from the VHES</w:t>
            </w:r>
            <w:r w:rsidR="003178F8">
              <w:t>.</w:t>
            </w:r>
          </w:p>
          <w:p w14:paraId="7AFB6511" w14:textId="7C49A2B0" w:rsidR="00DE4F6E" w:rsidRPr="00315936" w:rsidRDefault="00A607AA">
            <w:pPr>
              <w:pStyle w:val="Tabletext"/>
            </w:pPr>
            <w:r w:rsidRPr="00315936">
              <w:t>Results are reported</w:t>
            </w:r>
            <w:r w:rsidR="00DE4F6E" w:rsidRPr="00315936">
              <w:t xml:space="preserve"> at health service level.</w:t>
            </w:r>
          </w:p>
        </w:tc>
      </w:tr>
    </w:tbl>
    <w:p w14:paraId="291F291C" w14:textId="2B78EACB" w:rsidR="00140581" w:rsidRPr="00315936" w:rsidRDefault="00140581" w:rsidP="00140581">
      <w:pPr>
        <w:pStyle w:val="Heading3"/>
      </w:pPr>
      <w:bookmarkStart w:id="50" w:name="_Toc256414232"/>
      <w:r w:rsidRPr="00315936">
        <w:t>Aboriginal health</w:t>
      </w:r>
      <w:bookmarkEnd w:id="50"/>
    </w:p>
    <w:p w14:paraId="6C1670E7" w14:textId="06FE1553" w:rsidR="00964900" w:rsidRPr="00315936" w:rsidRDefault="64F3B9AE" w:rsidP="008E7F78">
      <w:pPr>
        <w:pStyle w:val="Heading4"/>
        <w:rPr>
          <w:rFonts w:ascii="Times New Roman" w:hAnsi="Times New Roman"/>
        </w:rPr>
      </w:pPr>
      <w:bookmarkStart w:id="51" w:name="_Toc1129750640"/>
      <w:r>
        <w:t xml:space="preserve">The </w:t>
      </w:r>
      <w:r w:rsidR="009C2D3F">
        <w:t>difference</w:t>
      </w:r>
      <w:r>
        <w:t xml:space="preserve"> between the </w:t>
      </w:r>
      <w:r w:rsidR="009C2D3F">
        <w:t>percentage</w:t>
      </w:r>
      <w:r>
        <w:t xml:space="preserve"> of Aboriginal </w:t>
      </w:r>
      <w:r w:rsidR="000E633B">
        <w:t xml:space="preserve">and/or Torres Strait Islander </w:t>
      </w:r>
      <w:r>
        <w:t>patients</w:t>
      </w:r>
      <w:r w:rsidR="003266A5">
        <w:t xml:space="preserve"> and non-Aboriginal </w:t>
      </w:r>
      <w:r w:rsidR="00CD2DF0">
        <w:t xml:space="preserve">and/or non-Torres </w:t>
      </w:r>
      <w:r w:rsidR="00A54A57">
        <w:t>Strait</w:t>
      </w:r>
      <w:r w:rsidR="00CD2DF0">
        <w:t xml:space="preserve"> Islander</w:t>
      </w:r>
      <w:r w:rsidR="003266A5">
        <w:t xml:space="preserve"> patients</w:t>
      </w:r>
      <w:r>
        <w:t xml:space="preserve"> who left against medical advice </w:t>
      </w:r>
      <w:bookmarkEnd w:id="51"/>
    </w:p>
    <w:tbl>
      <w:tblPr>
        <w:tblStyle w:val="TableGrid"/>
        <w:tblW w:w="10340" w:type="dxa"/>
        <w:tblLook w:val="04A0" w:firstRow="1" w:lastRow="0" w:firstColumn="1" w:lastColumn="0" w:noHBand="0" w:noVBand="1"/>
      </w:tblPr>
      <w:tblGrid>
        <w:gridCol w:w="1837"/>
        <w:gridCol w:w="8503"/>
      </w:tblGrid>
      <w:tr w:rsidR="00B335F5" w:rsidRPr="00315936" w14:paraId="2C6F9B1E"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46FE4981" w14:textId="5AE1A11F" w:rsidR="00540285"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2456AE76" w14:textId="5B9BC506" w:rsidR="00540285" w:rsidRPr="00AC34D9" w:rsidRDefault="269CB00B">
            <w:pPr>
              <w:pStyle w:val="Tabletext"/>
            </w:pPr>
            <w:r>
              <w:t xml:space="preserve">The </w:t>
            </w:r>
            <w:r w:rsidR="003F6895">
              <w:t>d</w:t>
            </w:r>
            <w:r w:rsidR="003F6895" w:rsidRPr="003F6895">
              <w:t xml:space="preserve">ifference between the percentage of Aboriginal </w:t>
            </w:r>
            <w:r w:rsidR="00CD2DF0">
              <w:t>and/or Torres Strait Islander</w:t>
            </w:r>
            <w:r w:rsidR="003F6895" w:rsidRPr="003F6895">
              <w:t xml:space="preserve"> patients and non-Aboriginal </w:t>
            </w:r>
            <w:r w:rsidR="00CD2DF0">
              <w:t xml:space="preserve">and/or </w:t>
            </w:r>
            <w:r w:rsidR="009D2B9A">
              <w:t>non-</w:t>
            </w:r>
            <w:r w:rsidR="00CD2DF0">
              <w:t>Torres Strait</w:t>
            </w:r>
            <w:r w:rsidR="003F6895" w:rsidRPr="003F6895">
              <w:t xml:space="preserve"> </w:t>
            </w:r>
            <w:r w:rsidR="000A43A5">
              <w:t>Islander</w:t>
            </w:r>
            <w:r w:rsidR="003F6895" w:rsidRPr="003F6895">
              <w:t xml:space="preserve"> patients who left against medical advice</w:t>
            </w:r>
          </w:p>
        </w:tc>
      </w:tr>
      <w:tr w:rsidR="00B335F5" w:rsidRPr="00315936" w14:paraId="0DEF8CD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09E94DB" w14:textId="77777777" w:rsidR="00540285" w:rsidRPr="00315936" w:rsidRDefault="00540285">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6EC16FEB" w14:textId="4CF0B23E" w:rsidR="00540285" w:rsidRPr="00315936" w:rsidRDefault="00540285">
            <w:pPr>
              <w:pStyle w:val="Tabletext"/>
              <w:rPr>
                <w:lang w:eastAsia="en-AU"/>
              </w:rPr>
            </w:pPr>
            <w:r w:rsidRPr="00315936">
              <w:rPr>
                <w:rFonts w:eastAsia="Times"/>
              </w:rPr>
              <w:t xml:space="preserve">This measure reports </w:t>
            </w:r>
            <w:r w:rsidR="007E63BF" w:rsidRPr="00315936">
              <w:rPr>
                <w:rFonts w:eastAsia="Times"/>
              </w:rPr>
              <w:t>t</w:t>
            </w:r>
            <w:r w:rsidR="007E63BF" w:rsidRPr="00315936">
              <w:t xml:space="preserve">he </w:t>
            </w:r>
            <w:r w:rsidR="0016375A">
              <w:t>difference</w:t>
            </w:r>
            <w:r w:rsidR="007E63BF" w:rsidRPr="00315936">
              <w:t xml:space="preserve"> between the </w:t>
            </w:r>
            <w:r w:rsidR="00957A8E">
              <w:t>percentage</w:t>
            </w:r>
            <w:r w:rsidR="007E63BF" w:rsidRPr="00315936">
              <w:t xml:space="preserve"> of Aboriginal </w:t>
            </w:r>
            <w:r w:rsidR="000A43A5">
              <w:t>and/or Torres Strait Islander</w:t>
            </w:r>
            <w:r w:rsidR="00A51AA2">
              <w:t xml:space="preserve"> admitted</w:t>
            </w:r>
            <w:r w:rsidR="007E63BF" w:rsidRPr="00315936">
              <w:t xml:space="preserve"> patients who left against medical advice compared to non-Aboriginal </w:t>
            </w:r>
            <w:r w:rsidR="000A43A5">
              <w:t xml:space="preserve">and/or </w:t>
            </w:r>
            <w:r w:rsidR="009D2B9A">
              <w:t>non-</w:t>
            </w:r>
            <w:r w:rsidR="000A43A5">
              <w:t>Torres Strait Islander</w:t>
            </w:r>
            <w:r w:rsidR="007E63BF" w:rsidRPr="00315936">
              <w:t xml:space="preserve"> </w:t>
            </w:r>
            <w:r w:rsidR="001F61C8">
              <w:t xml:space="preserve">admitted </w:t>
            </w:r>
            <w:r w:rsidR="007E63BF" w:rsidRPr="00315936">
              <w:t>patients</w:t>
            </w:r>
            <w:r w:rsidR="006F7096">
              <w:t>.</w:t>
            </w:r>
          </w:p>
        </w:tc>
      </w:tr>
      <w:tr w:rsidR="00B335F5" w:rsidRPr="00315936" w14:paraId="0002C825"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9FA3745" w14:textId="77777777" w:rsidR="00540285" w:rsidRPr="00315936" w:rsidRDefault="00540285">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2E5DA765" w14:textId="77777777" w:rsidR="0079095A" w:rsidRDefault="00540285">
            <w:pPr>
              <w:pStyle w:val="Tabletext"/>
              <w:rPr>
                <w:rFonts w:eastAsia="Times"/>
              </w:rPr>
            </w:pPr>
            <w:r w:rsidRPr="00315936">
              <w:rPr>
                <w:rFonts w:eastAsia="Times"/>
              </w:rPr>
              <w:t xml:space="preserve">This </w:t>
            </w:r>
            <w:r w:rsidR="00C3016B" w:rsidRPr="00315936">
              <w:rPr>
                <w:rFonts w:eastAsia="Times"/>
              </w:rPr>
              <w:t>measure</w:t>
            </w:r>
            <w:r w:rsidRPr="00315936">
              <w:rPr>
                <w:rFonts w:eastAsia="Times"/>
              </w:rPr>
              <w:t xml:space="preserve"> includes </w:t>
            </w:r>
            <w:r w:rsidR="0079095A">
              <w:rPr>
                <w:rFonts w:eastAsia="Times"/>
              </w:rPr>
              <w:t>patients with a:</w:t>
            </w:r>
          </w:p>
          <w:p w14:paraId="5538C305" w14:textId="0D87E322" w:rsidR="0079095A" w:rsidRDefault="00540285" w:rsidP="00FE5FC6">
            <w:pPr>
              <w:pStyle w:val="Tablebullet1"/>
              <w:rPr>
                <w:rFonts w:eastAsia="Times"/>
              </w:rPr>
            </w:pPr>
            <w:r w:rsidRPr="00315936">
              <w:rPr>
                <w:rFonts w:eastAsia="Times"/>
              </w:rPr>
              <w:t xml:space="preserve"> Care Type = </w:t>
            </w:r>
            <w:r w:rsidR="003F74B7">
              <w:rPr>
                <w:rFonts w:eastAsia="Times"/>
              </w:rPr>
              <w:t>‘</w:t>
            </w:r>
            <w:r w:rsidRPr="00315936">
              <w:rPr>
                <w:rFonts w:eastAsia="Times"/>
              </w:rPr>
              <w:t>4</w:t>
            </w:r>
            <w:r w:rsidR="003F74B7">
              <w:rPr>
                <w:rFonts w:eastAsia="Times"/>
              </w:rPr>
              <w:t>’</w:t>
            </w:r>
            <w:r w:rsidR="00B20F14">
              <w:rPr>
                <w:rFonts w:eastAsia="Times"/>
              </w:rPr>
              <w:t xml:space="preserve"> </w:t>
            </w:r>
          </w:p>
          <w:p w14:paraId="6595BB39" w14:textId="4345A114" w:rsidR="0079095A" w:rsidRDefault="004E57BA" w:rsidP="004E57BA">
            <w:pPr>
              <w:pStyle w:val="Tabletext"/>
              <w:rPr>
                <w:rFonts w:eastAsia="Times"/>
              </w:rPr>
            </w:pPr>
            <w:r w:rsidRPr="00315936">
              <w:rPr>
                <w:rFonts w:eastAsia="Times"/>
              </w:rPr>
              <w:t xml:space="preserve">This measure excludes </w:t>
            </w:r>
            <w:r w:rsidR="0079095A">
              <w:rPr>
                <w:rFonts w:eastAsia="Times"/>
              </w:rPr>
              <w:t>patients with a</w:t>
            </w:r>
            <w:r w:rsidR="00AB7A8D">
              <w:rPr>
                <w:rFonts w:eastAsia="Times"/>
              </w:rPr>
              <w:t>:</w:t>
            </w:r>
            <w:r w:rsidR="0079095A">
              <w:rPr>
                <w:rFonts w:eastAsia="Times"/>
              </w:rPr>
              <w:t xml:space="preserve"> </w:t>
            </w:r>
          </w:p>
          <w:p w14:paraId="25911AD4" w14:textId="3CF8800C" w:rsidR="004E57BA" w:rsidRDefault="004E57BA" w:rsidP="00FE5FC6">
            <w:pPr>
              <w:pStyle w:val="Tablebullet1"/>
              <w:rPr>
                <w:rFonts w:eastAsia="Times"/>
              </w:rPr>
            </w:pPr>
            <w:r w:rsidRPr="00315936">
              <w:rPr>
                <w:rFonts w:eastAsia="Times"/>
              </w:rPr>
              <w:t xml:space="preserve">Separation Mode = </w:t>
            </w:r>
            <w:r w:rsidR="003F74B7">
              <w:rPr>
                <w:rFonts w:eastAsia="Times"/>
              </w:rPr>
              <w:t>‘</w:t>
            </w:r>
            <w:r w:rsidRPr="00315936">
              <w:rPr>
                <w:rFonts w:eastAsia="Times"/>
              </w:rPr>
              <w:t>S</w:t>
            </w:r>
            <w:r w:rsidR="003F74B7">
              <w:rPr>
                <w:rFonts w:eastAsia="Times"/>
              </w:rPr>
              <w:t>’</w:t>
            </w:r>
            <w:r w:rsidR="007205C0">
              <w:rPr>
                <w:rFonts w:eastAsia="Times"/>
              </w:rPr>
              <w:t xml:space="preserve"> </w:t>
            </w:r>
            <w:r w:rsidR="007205C0" w:rsidRPr="35DC7732">
              <w:rPr>
                <w:rFonts w:eastAsia="Times"/>
              </w:rPr>
              <w:t>Statistic</w:t>
            </w:r>
            <w:r w:rsidR="3CF7EBB4" w:rsidRPr="35DC7732">
              <w:rPr>
                <w:rFonts w:eastAsia="Times"/>
              </w:rPr>
              <w:t>al</w:t>
            </w:r>
            <w:r w:rsidR="007205C0">
              <w:rPr>
                <w:rFonts w:eastAsia="Times"/>
              </w:rPr>
              <w:t xml:space="preserve"> separation</w:t>
            </w:r>
          </w:p>
          <w:p w14:paraId="27A1BCBA" w14:textId="0066918A" w:rsidR="007205C0" w:rsidRDefault="007205C0" w:rsidP="00FE5FC6">
            <w:pPr>
              <w:pStyle w:val="Tablebullet1"/>
              <w:rPr>
                <w:rFonts w:eastAsia="Times"/>
              </w:rPr>
            </w:pPr>
            <w:r>
              <w:rPr>
                <w:rFonts w:eastAsia="Times"/>
              </w:rPr>
              <w:t>Indigenous status code</w:t>
            </w:r>
            <w:r w:rsidR="002E3231">
              <w:rPr>
                <w:rFonts w:eastAsia="Times"/>
              </w:rPr>
              <w:t xml:space="preserve"> = </w:t>
            </w:r>
            <w:r w:rsidR="003F74B7">
              <w:rPr>
                <w:rFonts w:eastAsia="Times"/>
              </w:rPr>
              <w:t>‘</w:t>
            </w:r>
            <w:r w:rsidR="002E3231">
              <w:rPr>
                <w:rFonts w:eastAsia="Times"/>
              </w:rPr>
              <w:t>8</w:t>
            </w:r>
            <w:r w:rsidR="003F74B7">
              <w:rPr>
                <w:rFonts w:eastAsia="Times"/>
              </w:rPr>
              <w:t>’</w:t>
            </w:r>
            <w:r w:rsidR="002E3231">
              <w:rPr>
                <w:rFonts w:eastAsia="Times"/>
              </w:rPr>
              <w:t xml:space="preserve"> Question unable to be asked </w:t>
            </w:r>
            <w:r w:rsidR="43C47CCE" w:rsidRPr="45E80651">
              <w:rPr>
                <w:rFonts w:eastAsia="Times"/>
              </w:rPr>
              <w:t>or</w:t>
            </w:r>
            <w:r w:rsidR="002E3231">
              <w:rPr>
                <w:rFonts w:eastAsia="Times"/>
              </w:rPr>
              <w:t xml:space="preserve"> </w:t>
            </w:r>
            <w:r w:rsidR="003F74B7">
              <w:rPr>
                <w:rFonts w:eastAsia="Times"/>
              </w:rPr>
              <w:t>‘</w:t>
            </w:r>
            <w:r w:rsidR="002E3231">
              <w:rPr>
                <w:rFonts w:eastAsia="Times"/>
              </w:rPr>
              <w:t>9</w:t>
            </w:r>
            <w:r w:rsidR="003F74B7">
              <w:rPr>
                <w:rFonts w:eastAsia="Times"/>
              </w:rPr>
              <w:t>’</w:t>
            </w:r>
            <w:r w:rsidR="002E3231">
              <w:rPr>
                <w:rFonts w:eastAsia="Times"/>
              </w:rPr>
              <w:t xml:space="preserve"> </w:t>
            </w:r>
            <w:r w:rsidR="00B463DE">
              <w:rPr>
                <w:rFonts w:eastAsia="Times"/>
              </w:rPr>
              <w:t>Patient refused to answer</w:t>
            </w:r>
            <w:r w:rsidR="00FE57FB">
              <w:rPr>
                <w:rFonts w:eastAsia="Times"/>
              </w:rPr>
              <w:t>.</w:t>
            </w:r>
          </w:p>
          <w:p w14:paraId="3B40CA19" w14:textId="5930F5C0" w:rsidR="0079095A" w:rsidRPr="00315936" w:rsidRDefault="172AFFC6" w:rsidP="46E18CA4">
            <w:pPr>
              <w:pStyle w:val="Tabletext"/>
              <w:rPr>
                <w:rFonts w:eastAsia="Times"/>
              </w:rPr>
            </w:pPr>
            <w:r w:rsidRPr="22637D85">
              <w:rPr>
                <w:rFonts w:eastAsia="Times"/>
              </w:rPr>
              <w:t xml:space="preserve">The </w:t>
            </w:r>
            <w:r w:rsidR="0044658E">
              <w:rPr>
                <w:rFonts w:eastAsia="Times"/>
              </w:rPr>
              <w:t>denomina</w:t>
            </w:r>
            <w:r w:rsidRPr="22637D85">
              <w:rPr>
                <w:rFonts w:eastAsia="Times"/>
              </w:rPr>
              <w:t xml:space="preserve">tor for the percentage of Aboriginal </w:t>
            </w:r>
            <w:r w:rsidR="0029191F">
              <w:rPr>
                <w:rFonts w:eastAsia="Times"/>
              </w:rPr>
              <w:t>and/or Torres Strait Islander</w:t>
            </w:r>
            <w:r w:rsidRPr="22637D85">
              <w:rPr>
                <w:rFonts w:eastAsia="Times"/>
              </w:rPr>
              <w:t xml:space="preserve"> patients who </w:t>
            </w:r>
            <w:r w:rsidRPr="1B0CEDE2">
              <w:rPr>
                <w:rFonts w:eastAsia="Times"/>
              </w:rPr>
              <w:t xml:space="preserve">left against medical advice is the number of </w:t>
            </w:r>
            <w:r w:rsidRPr="06BB05B3">
              <w:rPr>
                <w:rFonts w:eastAsia="Times"/>
              </w:rPr>
              <w:t>patient</w:t>
            </w:r>
            <w:r w:rsidR="4C99E3C9" w:rsidRPr="06BB05B3">
              <w:rPr>
                <w:rFonts w:eastAsia="Times"/>
              </w:rPr>
              <w:t xml:space="preserve"> episodes </w:t>
            </w:r>
            <w:r w:rsidR="4C99E3C9" w:rsidRPr="46E18CA4">
              <w:rPr>
                <w:rFonts w:eastAsia="Times"/>
              </w:rPr>
              <w:t>that satisfy the following condition:</w:t>
            </w:r>
          </w:p>
          <w:p w14:paraId="061BAD42" w14:textId="6CCD4678" w:rsidR="0079095A" w:rsidRPr="00315936" w:rsidRDefault="00F1019A" w:rsidP="00FE5FC6">
            <w:pPr>
              <w:pStyle w:val="Tablebullet1"/>
              <w:rPr>
                <w:rFonts w:eastAsia="Times"/>
              </w:rPr>
            </w:pPr>
            <w:r>
              <w:rPr>
                <w:rFonts w:eastAsia="Times"/>
              </w:rPr>
              <w:lastRenderedPageBreak/>
              <w:t>I</w:t>
            </w:r>
            <w:r w:rsidR="172AFFC6" w:rsidRPr="4B82AF59">
              <w:rPr>
                <w:rFonts w:eastAsia="Times"/>
              </w:rPr>
              <w:t xml:space="preserve">ndigenous status code </w:t>
            </w:r>
            <w:r w:rsidR="003231A1">
              <w:rPr>
                <w:rFonts w:eastAsia="Times"/>
              </w:rPr>
              <w:t>=</w:t>
            </w:r>
            <w:r w:rsidR="172AFFC6" w:rsidRPr="4B82AF59">
              <w:rPr>
                <w:rFonts w:eastAsia="Times"/>
              </w:rPr>
              <w:t xml:space="preserve"> </w:t>
            </w:r>
            <w:r w:rsidR="004A195F">
              <w:rPr>
                <w:rFonts w:eastAsia="Times"/>
              </w:rPr>
              <w:t>‘</w:t>
            </w:r>
            <w:r w:rsidR="172AFFC6" w:rsidRPr="4B82AF59">
              <w:rPr>
                <w:rFonts w:eastAsia="Times"/>
              </w:rPr>
              <w:t>1</w:t>
            </w:r>
            <w:r w:rsidR="004A195F">
              <w:rPr>
                <w:rFonts w:eastAsia="Times"/>
              </w:rPr>
              <w:t>’</w:t>
            </w:r>
            <w:r w:rsidR="172AFFC6" w:rsidRPr="4B82AF59">
              <w:rPr>
                <w:rFonts w:eastAsia="Times"/>
              </w:rPr>
              <w:t xml:space="preserve"> </w:t>
            </w:r>
            <w:r w:rsidR="60C55144" w:rsidRPr="6656C7EC">
              <w:rPr>
                <w:rFonts w:eastAsia="Times"/>
              </w:rPr>
              <w:t xml:space="preserve">- </w:t>
            </w:r>
            <w:r w:rsidR="60C55144" w:rsidRPr="06BB05B3">
              <w:rPr>
                <w:rFonts w:eastAsia="Arial"/>
              </w:rPr>
              <w:t xml:space="preserve">Aboriginal but not Torres Strait Islander origin, </w:t>
            </w:r>
            <w:r w:rsidR="004A195F">
              <w:rPr>
                <w:rFonts w:eastAsia="Arial"/>
              </w:rPr>
              <w:t>‘</w:t>
            </w:r>
            <w:r w:rsidR="60C55144" w:rsidRPr="06BB05B3">
              <w:rPr>
                <w:rFonts w:eastAsia="Arial"/>
              </w:rPr>
              <w:t>2</w:t>
            </w:r>
            <w:r w:rsidR="004A195F">
              <w:rPr>
                <w:rFonts w:eastAsia="Arial"/>
              </w:rPr>
              <w:t>’</w:t>
            </w:r>
            <w:r w:rsidR="60C55144" w:rsidRPr="06BB05B3">
              <w:rPr>
                <w:rFonts w:eastAsia="Arial"/>
              </w:rPr>
              <w:t xml:space="preserve"> - Torres Strait Islander but not Aboriginal origin, </w:t>
            </w:r>
            <w:r w:rsidR="0F408537" w:rsidRPr="5C1E5DB2">
              <w:rPr>
                <w:rFonts w:eastAsia="Arial"/>
              </w:rPr>
              <w:t>or</w:t>
            </w:r>
            <w:r w:rsidR="60C55144" w:rsidRPr="06BB05B3">
              <w:rPr>
                <w:rFonts w:eastAsia="Arial"/>
              </w:rPr>
              <w:t xml:space="preserve"> </w:t>
            </w:r>
            <w:r w:rsidR="004A195F">
              <w:rPr>
                <w:rFonts w:eastAsia="Arial"/>
              </w:rPr>
              <w:t>‘</w:t>
            </w:r>
            <w:r w:rsidR="60C55144" w:rsidRPr="06BB05B3">
              <w:rPr>
                <w:rFonts w:eastAsia="Arial"/>
              </w:rPr>
              <w:t>3</w:t>
            </w:r>
            <w:r w:rsidR="004A195F">
              <w:rPr>
                <w:rFonts w:eastAsia="Arial"/>
              </w:rPr>
              <w:t>’</w:t>
            </w:r>
            <w:r w:rsidR="60C55144" w:rsidRPr="06BB05B3">
              <w:rPr>
                <w:rFonts w:eastAsia="Arial"/>
              </w:rPr>
              <w:t xml:space="preserve"> - </w:t>
            </w:r>
            <w:r w:rsidR="2623526F" w:rsidRPr="06BB05B3">
              <w:rPr>
                <w:rFonts w:eastAsia="Arial"/>
              </w:rPr>
              <w:t>Both Aboriginal and Torres Strait Islander origin</w:t>
            </w:r>
            <w:r w:rsidR="007457D3">
              <w:rPr>
                <w:rFonts w:eastAsia="Arial"/>
              </w:rPr>
              <w:t>.</w:t>
            </w:r>
          </w:p>
          <w:p w14:paraId="232EAE88" w14:textId="3F7A7A64" w:rsidR="00164FCC" w:rsidRDefault="00164FCC" w:rsidP="00164FCC">
            <w:pPr>
              <w:pStyle w:val="Tabletext"/>
              <w:rPr>
                <w:rFonts w:eastAsia="Times"/>
              </w:rPr>
            </w:pPr>
            <w:r>
              <w:rPr>
                <w:rFonts w:eastAsia="Times"/>
              </w:rPr>
              <w:t xml:space="preserve">For non-Aboriginal </w:t>
            </w:r>
            <w:r w:rsidR="00D217BE">
              <w:rPr>
                <w:rFonts w:eastAsia="Times"/>
              </w:rPr>
              <w:t xml:space="preserve">and/or </w:t>
            </w:r>
            <w:r w:rsidR="009D2B9A">
              <w:rPr>
                <w:rFonts w:eastAsia="Times"/>
              </w:rPr>
              <w:t>non-</w:t>
            </w:r>
            <w:r w:rsidR="00D217BE">
              <w:rPr>
                <w:rFonts w:eastAsia="Times"/>
              </w:rPr>
              <w:t>Torres Strait Islander</w:t>
            </w:r>
            <w:r>
              <w:rPr>
                <w:rFonts w:eastAsia="Times"/>
              </w:rPr>
              <w:t xml:space="preserve"> patients, the denominator is the</w:t>
            </w:r>
            <w:r w:rsidR="00010E7D">
              <w:rPr>
                <w:rFonts w:eastAsia="Times"/>
              </w:rPr>
              <w:t xml:space="preserve"> number of patient episodes that satisfy the following condition</w:t>
            </w:r>
            <w:r w:rsidR="00F1019A">
              <w:rPr>
                <w:rFonts w:eastAsia="Times"/>
              </w:rPr>
              <w:t>:</w:t>
            </w:r>
          </w:p>
          <w:p w14:paraId="0C10D0D3" w14:textId="1A6DED2D" w:rsidR="00F1019A" w:rsidRDefault="00F1019A" w:rsidP="00FE5FC6">
            <w:pPr>
              <w:pStyle w:val="Tablebullet1"/>
              <w:rPr>
                <w:rFonts w:eastAsia="Times"/>
              </w:rPr>
            </w:pPr>
            <w:r>
              <w:rPr>
                <w:rFonts w:eastAsia="Times"/>
              </w:rPr>
              <w:t xml:space="preserve">Indigenous status code </w:t>
            </w:r>
            <w:r w:rsidR="003B54DB">
              <w:rPr>
                <w:rFonts w:eastAsia="Times"/>
              </w:rPr>
              <w:t>=</w:t>
            </w:r>
            <w:r>
              <w:rPr>
                <w:rFonts w:eastAsia="Times"/>
              </w:rPr>
              <w:t xml:space="preserve"> </w:t>
            </w:r>
            <w:r w:rsidR="004A195F">
              <w:rPr>
                <w:rFonts w:eastAsia="Times"/>
              </w:rPr>
              <w:t>‘</w:t>
            </w:r>
            <w:r>
              <w:rPr>
                <w:rFonts w:eastAsia="Times"/>
              </w:rPr>
              <w:t>4</w:t>
            </w:r>
            <w:r w:rsidR="004A195F">
              <w:rPr>
                <w:rFonts w:eastAsia="Times"/>
              </w:rPr>
              <w:t>’</w:t>
            </w:r>
            <w:r>
              <w:rPr>
                <w:rFonts w:eastAsia="Times"/>
              </w:rPr>
              <w:t xml:space="preserve"> - </w:t>
            </w:r>
            <w:r w:rsidR="006B1311">
              <w:t>Neither Aboriginal nor Torres Strait Islander origin</w:t>
            </w:r>
            <w:r w:rsidR="003B54DB">
              <w:t>.</w:t>
            </w:r>
          </w:p>
          <w:p w14:paraId="6B5DFF57" w14:textId="77454477" w:rsidR="00F1019A" w:rsidRDefault="00191036" w:rsidP="00164FCC">
            <w:pPr>
              <w:pStyle w:val="Tabletext"/>
              <w:rPr>
                <w:rFonts w:eastAsia="Times"/>
              </w:rPr>
            </w:pPr>
            <w:r>
              <w:rPr>
                <w:rFonts w:eastAsia="Times"/>
              </w:rPr>
              <w:t xml:space="preserve">The numerator </w:t>
            </w:r>
            <w:r w:rsidR="00A8586E">
              <w:rPr>
                <w:rFonts w:eastAsia="Times"/>
              </w:rPr>
              <w:t xml:space="preserve">in both percentages </w:t>
            </w:r>
            <w:r>
              <w:rPr>
                <w:rFonts w:eastAsia="Times"/>
              </w:rPr>
              <w:t xml:space="preserve">is the number of patient </w:t>
            </w:r>
            <w:r w:rsidR="00E0067C">
              <w:rPr>
                <w:rFonts w:eastAsia="Times"/>
              </w:rPr>
              <w:t xml:space="preserve">episodes in the </w:t>
            </w:r>
            <w:r w:rsidR="00972E9B">
              <w:rPr>
                <w:rFonts w:eastAsia="Times"/>
              </w:rPr>
              <w:t xml:space="preserve">respective </w:t>
            </w:r>
            <w:r w:rsidR="00E0067C">
              <w:rPr>
                <w:rFonts w:eastAsia="Times"/>
              </w:rPr>
              <w:t>denominator</w:t>
            </w:r>
            <w:r w:rsidR="00972E9B">
              <w:rPr>
                <w:rFonts w:eastAsia="Times"/>
              </w:rPr>
              <w:t>s</w:t>
            </w:r>
            <w:r w:rsidR="00E0067C">
              <w:rPr>
                <w:rFonts w:eastAsia="Times"/>
              </w:rPr>
              <w:t xml:space="preserve"> that satisfy the following condition:</w:t>
            </w:r>
          </w:p>
          <w:p w14:paraId="72ACA792" w14:textId="5C657F21" w:rsidR="00F1019A" w:rsidRPr="007156DD" w:rsidRDefault="00E0067C" w:rsidP="00FE5FC6">
            <w:pPr>
              <w:pStyle w:val="Tablebullet1"/>
              <w:rPr>
                <w:rFonts w:eastAsia="Times"/>
              </w:rPr>
            </w:pPr>
            <w:r>
              <w:rPr>
                <w:rFonts w:eastAsia="Times"/>
              </w:rPr>
              <w:t xml:space="preserve">Separation mode </w:t>
            </w:r>
            <w:r w:rsidR="003B54DB">
              <w:rPr>
                <w:rFonts w:eastAsia="Times"/>
              </w:rPr>
              <w:t xml:space="preserve">= </w:t>
            </w:r>
            <w:r w:rsidR="004A195F">
              <w:rPr>
                <w:rFonts w:eastAsia="Times"/>
              </w:rPr>
              <w:t>‘</w:t>
            </w:r>
            <w:r>
              <w:rPr>
                <w:rFonts w:eastAsia="Times"/>
              </w:rPr>
              <w:t>Z</w:t>
            </w:r>
            <w:r w:rsidR="004A195F">
              <w:rPr>
                <w:rFonts w:eastAsia="Times"/>
              </w:rPr>
              <w:t>’</w:t>
            </w:r>
            <w:r>
              <w:rPr>
                <w:rFonts w:eastAsia="Times"/>
              </w:rPr>
              <w:t xml:space="preserve"> - </w:t>
            </w:r>
            <w:r w:rsidRPr="008A7DB2">
              <w:rPr>
                <w:rFonts w:eastAsia="Times"/>
              </w:rPr>
              <w:t>Left against medical advice</w:t>
            </w:r>
            <w:r w:rsidR="00B52B3F">
              <w:rPr>
                <w:rFonts w:eastAsia="Times"/>
              </w:rPr>
              <w:t>.</w:t>
            </w:r>
          </w:p>
          <w:p w14:paraId="0FAB22FC" w14:textId="4DDC3D03" w:rsidR="00540285" w:rsidRPr="00315936" w:rsidRDefault="00540285">
            <w:pPr>
              <w:pStyle w:val="Tabletext"/>
              <w:rPr>
                <w:rFonts w:eastAsia="Times"/>
              </w:rPr>
            </w:pPr>
            <w:r w:rsidRPr="6FD91E33">
              <w:rPr>
                <w:rFonts w:eastAsia="Times"/>
              </w:rPr>
              <w:t xml:space="preserve">This </w:t>
            </w:r>
            <w:r w:rsidR="00C3016B" w:rsidRPr="6FD91E33">
              <w:rPr>
                <w:rFonts w:eastAsia="Times"/>
              </w:rPr>
              <w:t>measure</w:t>
            </w:r>
            <w:r w:rsidRPr="6FD91E33">
              <w:rPr>
                <w:rFonts w:eastAsia="Times"/>
              </w:rPr>
              <w:t xml:space="preserve"> is rounded </w:t>
            </w:r>
            <w:r w:rsidR="4E41BF43" w:rsidRPr="5F330602">
              <w:rPr>
                <w:rFonts w:eastAsia="Times"/>
              </w:rPr>
              <w:t>to the nearest whole number</w:t>
            </w:r>
            <w:r w:rsidRPr="6FD91E33">
              <w:rPr>
                <w:rFonts w:eastAsia="Times"/>
              </w:rPr>
              <w:t>.</w:t>
            </w:r>
          </w:p>
          <w:p w14:paraId="3369E1A8" w14:textId="0DE9A419" w:rsidR="00540285" w:rsidRPr="00315936" w:rsidRDefault="00540285">
            <w:pPr>
              <w:pStyle w:val="Tabletext"/>
            </w:pPr>
            <w:r w:rsidRPr="6FD91E33">
              <w:t xml:space="preserve">Results </w:t>
            </w:r>
            <w:r w:rsidR="00397E75">
              <w:t>are</w:t>
            </w:r>
            <w:r w:rsidR="00397E75" w:rsidRPr="6FD91E33">
              <w:t xml:space="preserve"> </w:t>
            </w:r>
            <w:r w:rsidRPr="6FD91E33">
              <w:t xml:space="preserve">not reported where </w:t>
            </w:r>
            <w:r w:rsidR="4EC20D50" w:rsidRPr="6FD91E33">
              <w:t>either percentage has</w:t>
            </w:r>
            <w:r w:rsidR="0048037E" w:rsidRPr="6FD91E33">
              <w:t xml:space="preserve"> </w:t>
            </w:r>
            <w:r w:rsidR="0048037E">
              <w:t>a</w:t>
            </w:r>
            <w:r w:rsidR="0048037E" w:rsidRPr="6FD91E33">
              <w:t xml:space="preserve"> </w:t>
            </w:r>
            <w:r w:rsidRPr="6FD91E33">
              <w:t>denominator less than 10.</w:t>
            </w:r>
            <w:r w:rsidRPr="6FD91E33">
              <w:rPr>
                <w:rStyle w:val="eop"/>
              </w:rPr>
              <w:t> </w:t>
            </w:r>
          </w:p>
        </w:tc>
      </w:tr>
      <w:tr w:rsidR="00B335F5" w:rsidRPr="00315936" w14:paraId="200C3059"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5C4EC51" w14:textId="77777777" w:rsidR="00540285" w:rsidRPr="00315936" w:rsidRDefault="00540285">
            <w:pPr>
              <w:pStyle w:val="Tablecolhead"/>
              <w:rPr>
                <w:b w:val="0"/>
                <w:lang w:eastAsia="en-AU"/>
              </w:rPr>
            </w:pPr>
            <w:r w:rsidRPr="00315936">
              <w:rPr>
                <w:b w:val="0"/>
                <w:lang w:eastAsia="en-AU"/>
              </w:rPr>
              <w:lastRenderedPageBreak/>
              <w:t>Numerator</w:t>
            </w:r>
          </w:p>
        </w:tc>
        <w:tc>
          <w:tcPr>
            <w:tcW w:w="8503" w:type="dxa"/>
            <w:tcBorders>
              <w:left w:val="single" w:sz="6" w:space="0" w:color="000000" w:themeColor="text1"/>
            </w:tcBorders>
          </w:tcPr>
          <w:p w14:paraId="077C3D4A" w14:textId="5749055C" w:rsidR="00251638" w:rsidRPr="00251638" w:rsidRDefault="00251638" w:rsidP="00251638">
            <w:pPr>
              <w:pStyle w:val="Tabletext"/>
              <w:rPr>
                <w:rFonts w:eastAsia="Times"/>
              </w:rPr>
            </w:pPr>
            <w:r w:rsidRPr="00251638">
              <w:rPr>
                <w:rFonts w:eastAsia="Times"/>
              </w:rPr>
              <w:t xml:space="preserve">Percentage of </w:t>
            </w:r>
            <w:r w:rsidR="008F717D">
              <w:rPr>
                <w:rFonts w:eastAsia="Times"/>
              </w:rPr>
              <w:t>n</w:t>
            </w:r>
            <w:r w:rsidR="008F717D" w:rsidRPr="00251638">
              <w:rPr>
                <w:rFonts w:eastAsia="Times"/>
              </w:rPr>
              <w:t>on</w:t>
            </w:r>
            <w:r w:rsidRPr="00251638">
              <w:rPr>
                <w:rFonts w:eastAsia="Times"/>
              </w:rPr>
              <w:t xml:space="preserve">-Aboriginal </w:t>
            </w:r>
            <w:r w:rsidRPr="00251638" w:rsidDel="00136118">
              <w:rPr>
                <w:rFonts w:eastAsia="Times"/>
              </w:rPr>
              <w:t xml:space="preserve">and/or </w:t>
            </w:r>
            <w:r w:rsidR="002135EB">
              <w:rPr>
                <w:rFonts w:eastAsia="Times"/>
              </w:rPr>
              <w:t>non-</w:t>
            </w:r>
            <w:r w:rsidRPr="00251638" w:rsidDel="00136118">
              <w:rPr>
                <w:rFonts w:eastAsia="Times"/>
              </w:rPr>
              <w:t xml:space="preserve">Torres Strait Islander </w:t>
            </w:r>
            <w:r w:rsidRPr="00251638">
              <w:rPr>
                <w:rFonts w:eastAsia="Times"/>
              </w:rPr>
              <w:t>admitted patients with a separation mode of ‘left against medical advice’ (Separation Mode Code = Z) </w:t>
            </w:r>
          </w:p>
          <w:p w14:paraId="4447E57F" w14:textId="1FFFAE18" w:rsidR="00251638" w:rsidRPr="00B335F5" w:rsidRDefault="00B77951" w:rsidP="00251638">
            <w:pPr>
              <w:pStyle w:val="Tabletext"/>
              <w:rPr>
                <w:rFonts w:eastAsia="Times"/>
                <w:i/>
                <w:iCs/>
              </w:rPr>
            </w:pPr>
            <w:r w:rsidRPr="00B335F5">
              <w:rPr>
                <w:rFonts w:eastAsia="Times"/>
                <w:i/>
                <w:iCs/>
              </w:rPr>
              <w:t>m</w:t>
            </w:r>
            <w:r w:rsidR="00251638" w:rsidRPr="00B335F5">
              <w:rPr>
                <w:rFonts w:eastAsia="Times"/>
                <w:i/>
                <w:iCs/>
              </w:rPr>
              <w:t>inus  </w:t>
            </w:r>
          </w:p>
          <w:p w14:paraId="6EAA8DBB" w14:textId="275F6FB1" w:rsidR="00540285" w:rsidRPr="00251638" w:rsidRDefault="00251638">
            <w:pPr>
              <w:pStyle w:val="Tabletext"/>
              <w:rPr>
                <w:rFonts w:eastAsia="Times"/>
              </w:rPr>
            </w:pPr>
            <w:r w:rsidRPr="00251638">
              <w:rPr>
                <w:rFonts w:eastAsia="Times"/>
              </w:rPr>
              <w:t xml:space="preserve">Percentage of Aboriginal </w:t>
            </w:r>
            <w:r w:rsidRPr="00251638" w:rsidDel="00136118">
              <w:rPr>
                <w:rFonts w:eastAsia="Times"/>
              </w:rPr>
              <w:t xml:space="preserve">and/or Torres Strait Islander </w:t>
            </w:r>
            <w:r w:rsidRPr="00251638">
              <w:rPr>
                <w:rFonts w:eastAsia="Times"/>
              </w:rPr>
              <w:t>admitted patients with a separation mode of ‘left against medical advice’ (Separation Mode Code = Z</w:t>
            </w:r>
            <w:r w:rsidR="008F717D">
              <w:rPr>
                <w:rFonts w:eastAsia="Times"/>
              </w:rPr>
              <w:t>)</w:t>
            </w:r>
            <w:r w:rsidRPr="00251638">
              <w:rPr>
                <w:rFonts w:eastAsia="Times"/>
              </w:rPr>
              <w:t> </w:t>
            </w:r>
          </w:p>
        </w:tc>
      </w:tr>
      <w:tr w:rsidR="00B335F5" w:rsidRPr="00315936" w14:paraId="1B1E15EB"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EA798FB" w14:textId="77777777" w:rsidR="00540285" w:rsidRPr="00315936" w:rsidRDefault="00540285">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4EA49612" w14:textId="105C3CD8" w:rsidR="00540285" w:rsidRPr="00315936" w:rsidRDefault="00251638">
            <w:pPr>
              <w:pStyle w:val="Tabletext"/>
            </w:pPr>
            <w:r>
              <w:t>N/A</w:t>
            </w:r>
          </w:p>
        </w:tc>
      </w:tr>
      <w:tr w:rsidR="00B335F5" w:rsidRPr="00315936" w14:paraId="6BBA76CB"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C3BA8FE" w14:textId="77777777" w:rsidR="00540285" w:rsidRPr="00315936" w:rsidRDefault="00540285">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47CF0332" w14:textId="44453003" w:rsidR="00540285" w:rsidRPr="00315936" w:rsidRDefault="00B25943">
            <w:pPr>
              <w:pStyle w:val="Tabletext"/>
            </w:pPr>
            <w:r>
              <w:t xml:space="preserve">0 per cent </w:t>
            </w:r>
          </w:p>
        </w:tc>
      </w:tr>
      <w:tr w:rsidR="00B335F5" w:rsidRPr="00315936" w14:paraId="78638385"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B6C3D95" w14:textId="77777777" w:rsidR="00540285" w:rsidRPr="00315936" w:rsidRDefault="00540285">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32837670" w14:textId="58A977B5" w:rsidR="00540285" w:rsidRPr="00315936" w:rsidRDefault="00CA1044">
            <w:pPr>
              <w:pStyle w:val="Tabletext"/>
            </w:pPr>
            <w:r>
              <w:t>No difference</w:t>
            </w:r>
            <w:r w:rsidR="00D117DA">
              <w:t xml:space="preserve"> between Aboriginal and</w:t>
            </w:r>
            <w:r w:rsidR="008E42FF">
              <w:t>/or Torres Strait Islander</w:t>
            </w:r>
            <w:r w:rsidR="00D117DA">
              <w:t xml:space="preserve"> and non-Aboriginal </w:t>
            </w:r>
            <w:r w:rsidR="008E42FF">
              <w:t>and/or non</w:t>
            </w:r>
            <w:r w:rsidR="002135EB">
              <w:t xml:space="preserve">-Torres Strait Islander </w:t>
            </w:r>
            <w:r w:rsidR="00D117DA">
              <w:t>patients</w:t>
            </w:r>
            <w:r>
              <w:t xml:space="preserve"> </w:t>
            </w:r>
          </w:p>
        </w:tc>
      </w:tr>
      <w:tr w:rsidR="00B335F5" w:rsidRPr="00315936" w14:paraId="33BF7E17"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CB9878B" w14:textId="77777777" w:rsidR="00540285" w:rsidRPr="00315936" w:rsidRDefault="00540285">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1491ADA6" w14:textId="2B2501DA" w:rsidR="00540285" w:rsidRPr="00315936" w:rsidRDefault="00D117DA">
            <w:pPr>
              <w:pStyle w:val="Tabletext"/>
            </w:pPr>
            <w:r>
              <w:rPr>
                <w:rFonts w:eastAsia="Times"/>
              </w:rPr>
              <w:t>A differen</w:t>
            </w:r>
            <w:r w:rsidR="00653331">
              <w:rPr>
                <w:rFonts w:eastAsia="Times"/>
              </w:rPr>
              <w:t>ce</w:t>
            </w:r>
            <w:r>
              <w:rPr>
                <w:rFonts w:eastAsia="Times"/>
              </w:rPr>
              <w:t xml:space="preserve"> between Aboriginal and</w:t>
            </w:r>
            <w:r w:rsidR="00381BD6">
              <w:rPr>
                <w:rFonts w:eastAsia="Times"/>
              </w:rPr>
              <w:t>/or Torres Strait Islander</w:t>
            </w:r>
            <w:r>
              <w:rPr>
                <w:rFonts w:eastAsia="Times"/>
              </w:rPr>
              <w:t xml:space="preserve"> and non-Aboriginal </w:t>
            </w:r>
            <w:r w:rsidR="00F55B73">
              <w:rPr>
                <w:rFonts w:eastAsia="Times"/>
              </w:rPr>
              <w:t xml:space="preserve">and/or non-Torres Strait Islander </w:t>
            </w:r>
            <w:r>
              <w:rPr>
                <w:rFonts w:eastAsia="Times"/>
              </w:rPr>
              <w:t>patients</w:t>
            </w:r>
          </w:p>
        </w:tc>
      </w:tr>
      <w:tr w:rsidR="00B335F5" w:rsidRPr="00315936" w14:paraId="689AFA58"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4550874" w14:textId="77777777" w:rsidR="00540285" w:rsidRPr="00315936" w:rsidRDefault="00540285">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5D322AA6" w14:textId="134CA7E7" w:rsidR="00540285" w:rsidRPr="00315936" w:rsidRDefault="00ED107C">
            <w:pPr>
              <w:pStyle w:val="Tabletext"/>
              <w:rPr>
                <w:lang w:eastAsia="en-AU"/>
              </w:rPr>
            </w:pPr>
            <w:proofErr w:type="gramStart"/>
            <w:r w:rsidRPr="00315936">
              <w:t>For the purpose of</w:t>
            </w:r>
            <w:proofErr w:type="gramEnd"/>
            <w:r w:rsidRPr="00315936">
              <w:t xml:space="preserve"> the performance risk assessment</w:t>
            </w:r>
            <w:r>
              <w:t>,</w:t>
            </w:r>
            <w:r w:rsidRPr="00315936">
              <w:t xml:space="preserve"> improvement is assessed against the previous quarter performance</w:t>
            </w:r>
            <w:r w:rsidR="00540285" w:rsidRPr="00315936">
              <w:t>.</w:t>
            </w:r>
          </w:p>
        </w:tc>
      </w:tr>
      <w:tr w:rsidR="00B335F5" w:rsidRPr="00315936" w14:paraId="35888B75"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1C82EC38" w14:textId="77777777" w:rsidR="00540285" w:rsidRPr="00315936" w:rsidRDefault="00540285">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210A1E2C" w14:textId="3B3FE0E1" w:rsidR="00BA07F2" w:rsidRPr="00315936" w:rsidRDefault="0093344D">
            <w:pPr>
              <w:pStyle w:val="Tabletext"/>
              <w:rPr>
                <w:rFonts w:eastAsia="Times"/>
              </w:rPr>
            </w:pPr>
            <w:r w:rsidRPr="00315936">
              <w:rPr>
                <w:rFonts w:eastAsia="Times"/>
              </w:rPr>
              <w:t xml:space="preserve">Performance is reported </w:t>
            </w:r>
            <w:r w:rsidR="00540285" w:rsidRPr="00315936">
              <w:rPr>
                <w:rFonts w:eastAsia="Times"/>
              </w:rPr>
              <w:t>quarterly</w:t>
            </w:r>
            <w:r w:rsidRPr="00315936">
              <w:rPr>
                <w:rFonts w:eastAsia="Times"/>
              </w:rPr>
              <w:t xml:space="preserve"> at the </w:t>
            </w:r>
            <w:r w:rsidR="00BA07F2" w:rsidRPr="00315936">
              <w:rPr>
                <w:rFonts w:eastAsia="Times"/>
              </w:rPr>
              <w:t>health service level</w:t>
            </w:r>
            <w:r w:rsidR="000311D6">
              <w:rPr>
                <w:rFonts w:eastAsia="Times"/>
              </w:rPr>
              <w:t>.</w:t>
            </w:r>
          </w:p>
          <w:p w14:paraId="65ACE98C" w14:textId="4C12882B" w:rsidR="00540285" w:rsidRPr="00315936" w:rsidRDefault="00BA07F2">
            <w:pPr>
              <w:pStyle w:val="Tabletext"/>
              <w:rPr>
                <w:rFonts w:eastAsia="Times"/>
              </w:rPr>
            </w:pPr>
            <w:r w:rsidRPr="00315936">
              <w:rPr>
                <w:rFonts w:eastAsia="Times"/>
              </w:rPr>
              <w:t xml:space="preserve">Data are sourced from </w:t>
            </w:r>
            <w:r w:rsidR="00057C77" w:rsidRPr="00315936">
              <w:rPr>
                <w:rFonts w:eastAsia="Times"/>
              </w:rPr>
              <w:t>the Victorian Admitted Episodes Dataset (VAED)</w:t>
            </w:r>
          </w:p>
        </w:tc>
      </w:tr>
    </w:tbl>
    <w:p w14:paraId="4FBAA78D" w14:textId="3B682134" w:rsidR="000C231F" w:rsidRPr="00315936" w:rsidRDefault="59B2FB04" w:rsidP="008E7F78">
      <w:pPr>
        <w:pStyle w:val="Heading4"/>
      </w:pPr>
      <w:bookmarkStart w:id="52" w:name="_Toc1466225620"/>
      <w:r>
        <w:t xml:space="preserve">The </w:t>
      </w:r>
      <w:r w:rsidR="00A444FF">
        <w:t>d</w:t>
      </w:r>
      <w:r w:rsidR="00A444FF" w:rsidRPr="00A444FF">
        <w:t xml:space="preserve">ifference between the percentage of Aboriginal </w:t>
      </w:r>
      <w:r w:rsidR="00F55B73">
        <w:t>and/or Torres Strait Islander</w:t>
      </w:r>
      <w:r w:rsidR="00A444FF" w:rsidRPr="00A444FF">
        <w:t xml:space="preserve"> patients and non-Aboriginal </w:t>
      </w:r>
      <w:r w:rsidR="00F55B73">
        <w:t>and/or non-Torres Strait Islander</w:t>
      </w:r>
      <w:r w:rsidR="00A444FF" w:rsidRPr="00A444FF">
        <w:t xml:space="preserve"> patients presenting to ED who did not wait to be treated</w:t>
      </w:r>
      <w:bookmarkEnd w:id="52"/>
    </w:p>
    <w:tbl>
      <w:tblPr>
        <w:tblStyle w:val="TableGrid"/>
        <w:tblW w:w="10340" w:type="dxa"/>
        <w:tblLook w:val="04A0" w:firstRow="1" w:lastRow="0" w:firstColumn="1" w:lastColumn="0" w:noHBand="0" w:noVBand="1"/>
      </w:tblPr>
      <w:tblGrid>
        <w:gridCol w:w="1837"/>
        <w:gridCol w:w="8503"/>
      </w:tblGrid>
      <w:tr w:rsidR="006B6DB7" w:rsidRPr="00315936" w14:paraId="00D5E796"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1AEBEB02" w14:textId="54543546" w:rsidR="00033F3A"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67A35A8E" w14:textId="72F209E1" w:rsidR="00033F3A" w:rsidRPr="00AC34D9" w:rsidRDefault="7FB2071C">
            <w:pPr>
              <w:pStyle w:val="Tabletext"/>
            </w:pPr>
            <w:r>
              <w:t xml:space="preserve">The </w:t>
            </w:r>
            <w:r w:rsidR="00D13580">
              <w:t>d</w:t>
            </w:r>
            <w:r w:rsidR="00D13580" w:rsidRPr="003F6895">
              <w:t xml:space="preserve">ifference between the percentage of Aboriginal </w:t>
            </w:r>
            <w:r w:rsidR="001D7BC3">
              <w:t xml:space="preserve">and/or Torres Strait Islander </w:t>
            </w:r>
            <w:r w:rsidR="00D13580" w:rsidRPr="003F6895">
              <w:t xml:space="preserve">patients and non-Aboriginal </w:t>
            </w:r>
            <w:r w:rsidR="001D7BC3">
              <w:t>and/or non-Torres Strait Islander</w:t>
            </w:r>
            <w:r w:rsidR="00D13580" w:rsidRPr="003F6895">
              <w:t xml:space="preserve"> patients</w:t>
            </w:r>
            <w:r w:rsidR="008C0BBA">
              <w:t xml:space="preserve"> presenting to hospital emergency departments </w:t>
            </w:r>
            <w:r>
              <w:t xml:space="preserve">who did not wait </w:t>
            </w:r>
            <w:r w:rsidR="008C0BBA">
              <w:t xml:space="preserve">to be </w:t>
            </w:r>
            <w:r w:rsidR="0047473F">
              <w:t xml:space="preserve">treated </w:t>
            </w:r>
          </w:p>
        </w:tc>
      </w:tr>
      <w:tr w:rsidR="006B6DB7" w:rsidRPr="00315936" w14:paraId="3D8ED6C6"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9220B7C" w14:textId="77777777" w:rsidR="00033F3A" w:rsidRPr="00315936" w:rsidRDefault="00033F3A">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1A1F4B0C" w14:textId="6B4EA12A" w:rsidR="00033F3A" w:rsidRPr="00AC34D9" w:rsidRDefault="105C0EE0">
            <w:pPr>
              <w:pStyle w:val="Tabletext"/>
              <w:rPr>
                <w:lang w:eastAsia="en-AU"/>
              </w:rPr>
            </w:pPr>
            <w:r w:rsidRPr="4652BBA0">
              <w:rPr>
                <w:rFonts w:eastAsia="Times"/>
              </w:rPr>
              <w:t xml:space="preserve">This measure reports </w:t>
            </w:r>
            <w:r w:rsidR="7FB2071C" w:rsidRPr="4652BBA0">
              <w:rPr>
                <w:rFonts w:eastAsia="Times"/>
              </w:rPr>
              <w:t>t</w:t>
            </w:r>
            <w:r w:rsidR="7FB2071C">
              <w:t xml:space="preserve">he </w:t>
            </w:r>
            <w:r w:rsidR="009912F9">
              <w:t xml:space="preserve">difference </w:t>
            </w:r>
            <w:r w:rsidR="7FB2071C">
              <w:t xml:space="preserve">between the </w:t>
            </w:r>
            <w:r w:rsidR="00491F5E">
              <w:t>percentage</w:t>
            </w:r>
            <w:r w:rsidR="00033F3A">
              <w:t xml:space="preserve"> </w:t>
            </w:r>
            <w:r w:rsidR="7FB2071C">
              <w:t>of Aboriginal</w:t>
            </w:r>
            <w:r w:rsidR="004E627D">
              <w:t xml:space="preserve"> </w:t>
            </w:r>
            <w:r w:rsidR="00F15BF2">
              <w:t>and</w:t>
            </w:r>
            <w:r w:rsidR="001D7BC3">
              <w:t>/or Torres Strait Islander</w:t>
            </w:r>
            <w:r w:rsidR="004E627D">
              <w:t xml:space="preserve"> </w:t>
            </w:r>
            <w:r w:rsidR="00F15BF2">
              <w:t xml:space="preserve">and non-Aboriginal </w:t>
            </w:r>
            <w:r w:rsidR="001D7BC3">
              <w:t>and/or non-Torres Strait Islander</w:t>
            </w:r>
            <w:r w:rsidR="00F15BF2">
              <w:t xml:space="preserve"> </w:t>
            </w:r>
            <w:r w:rsidR="004E627D">
              <w:t>emergency</w:t>
            </w:r>
            <w:r w:rsidR="7FB2071C">
              <w:t xml:space="preserve"> </w:t>
            </w:r>
            <w:r w:rsidR="004E627D">
              <w:t xml:space="preserve">department </w:t>
            </w:r>
            <w:r w:rsidR="7FB2071C">
              <w:t xml:space="preserve">patients who did not wait </w:t>
            </w:r>
            <w:r w:rsidR="004E627D">
              <w:t>for treatment</w:t>
            </w:r>
            <w:r w:rsidR="008313F8">
              <w:t>.</w:t>
            </w:r>
          </w:p>
        </w:tc>
      </w:tr>
      <w:tr w:rsidR="00552712" w:rsidRPr="00315936" w14:paraId="541621A1"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BD25019" w14:textId="77777777" w:rsidR="00033F3A" w:rsidRPr="00315936" w:rsidRDefault="00033F3A">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43804FB9" w14:textId="6375C824" w:rsidR="004448C6" w:rsidRDefault="00033F3A">
            <w:pPr>
              <w:pStyle w:val="Tabletext"/>
              <w:rPr>
                <w:rFonts w:eastAsia="Times"/>
              </w:rPr>
            </w:pPr>
            <w:r w:rsidRPr="00315936">
              <w:rPr>
                <w:rFonts w:eastAsia="Times"/>
              </w:rPr>
              <w:t xml:space="preserve">This </w:t>
            </w:r>
            <w:r w:rsidR="00C3016B" w:rsidRPr="00315936">
              <w:rPr>
                <w:rFonts w:eastAsia="Times"/>
              </w:rPr>
              <w:t>measure</w:t>
            </w:r>
            <w:r w:rsidRPr="00315936">
              <w:rPr>
                <w:rFonts w:eastAsia="Times"/>
              </w:rPr>
              <w:t xml:space="preserve"> excludes patients with</w:t>
            </w:r>
            <w:r w:rsidR="004448C6">
              <w:rPr>
                <w:rFonts w:eastAsia="Times"/>
              </w:rPr>
              <w:t>:</w:t>
            </w:r>
          </w:p>
          <w:p w14:paraId="3E5788ED" w14:textId="4F49A3F6" w:rsidR="00033F3A" w:rsidRDefault="7C32436C" w:rsidP="00AF5A0B">
            <w:pPr>
              <w:pStyle w:val="Tablebullet1"/>
              <w:rPr>
                <w:rFonts w:eastAsia="Times"/>
              </w:rPr>
            </w:pPr>
            <w:r w:rsidRPr="55528ABA">
              <w:rPr>
                <w:rFonts w:eastAsia="Times"/>
              </w:rPr>
              <w:t>D</w:t>
            </w:r>
            <w:r w:rsidR="3F603A63" w:rsidRPr="55528ABA">
              <w:rPr>
                <w:rFonts w:eastAsia="Times"/>
              </w:rPr>
              <w:t>eparture status</w:t>
            </w:r>
            <w:r w:rsidR="5161C25F" w:rsidRPr="55528ABA">
              <w:rPr>
                <w:rFonts w:eastAsia="Times"/>
              </w:rPr>
              <w:t xml:space="preserve"> code</w:t>
            </w:r>
            <w:r w:rsidR="3F603A63" w:rsidRPr="55528ABA">
              <w:rPr>
                <w:rFonts w:eastAsia="Times"/>
              </w:rPr>
              <w:t xml:space="preserve"> </w:t>
            </w:r>
            <w:r w:rsidR="4BF1473B" w:rsidRPr="55528ABA">
              <w:rPr>
                <w:rFonts w:eastAsia="Times"/>
              </w:rPr>
              <w:t>=</w:t>
            </w:r>
            <w:r w:rsidR="0D5BC375" w:rsidRPr="55528ABA">
              <w:rPr>
                <w:rFonts w:eastAsia="Times"/>
              </w:rPr>
              <w:t xml:space="preserve"> </w:t>
            </w:r>
            <w:r w:rsidR="304FB14E" w:rsidRPr="55528ABA">
              <w:rPr>
                <w:rFonts w:eastAsia="Times"/>
              </w:rPr>
              <w:t>‘</w:t>
            </w:r>
            <w:r w:rsidR="2C98FEA0" w:rsidRPr="55528ABA">
              <w:rPr>
                <w:rFonts w:eastAsia="Times"/>
              </w:rPr>
              <w:t>8</w:t>
            </w:r>
            <w:r w:rsidR="304FB14E" w:rsidRPr="55528ABA">
              <w:rPr>
                <w:rFonts w:eastAsia="Times"/>
              </w:rPr>
              <w:t>’</w:t>
            </w:r>
            <w:r w:rsidR="4C8FC0BE" w:rsidRPr="55528ABA">
              <w:rPr>
                <w:rFonts w:eastAsia="Times"/>
              </w:rPr>
              <w:t xml:space="preserve"> </w:t>
            </w:r>
            <w:r w:rsidR="3F603A63" w:rsidRPr="55528ABA">
              <w:rPr>
                <w:rFonts w:eastAsia="Times"/>
              </w:rPr>
              <w:t>Dead on Arrival</w:t>
            </w:r>
          </w:p>
          <w:p w14:paraId="44700CEA" w14:textId="0ACE625D" w:rsidR="00C3549A" w:rsidRPr="00C3549A" w:rsidRDefault="068F387E" w:rsidP="00736265">
            <w:pPr>
              <w:pStyle w:val="Tablebullet1"/>
              <w:rPr>
                <w:rFonts w:eastAsia="Times"/>
              </w:rPr>
            </w:pPr>
            <w:r w:rsidRPr="55528ABA">
              <w:rPr>
                <w:rFonts w:eastAsia="Times"/>
              </w:rPr>
              <w:t xml:space="preserve">Departure status code </w:t>
            </w:r>
            <w:r w:rsidR="4BF1473B" w:rsidRPr="55528ABA">
              <w:rPr>
                <w:rFonts w:eastAsia="Times"/>
              </w:rPr>
              <w:t>=</w:t>
            </w:r>
            <w:r w:rsidRPr="55528ABA">
              <w:rPr>
                <w:rFonts w:eastAsia="Times"/>
              </w:rPr>
              <w:t xml:space="preserve"> </w:t>
            </w:r>
            <w:r w:rsidR="304FB14E" w:rsidRPr="55528ABA">
              <w:rPr>
                <w:rFonts w:eastAsia="Times"/>
              </w:rPr>
              <w:t>‘</w:t>
            </w:r>
            <w:r w:rsidRPr="55528ABA">
              <w:rPr>
                <w:rFonts w:eastAsia="Times"/>
              </w:rPr>
              <w:t>30</w:t>
            </w:r>
            <w:r w:rsidR="304FB14E" w:rsidRPr="55528ABA">
              <w:rPr>
                <w:rFonts w:eastAsia="Times"/>
              </w:rPr>
              <w:t>’</w:t>
            </w:r>
            <w:r w:rsidR="4BF1473B" w:rsidRPr="55528ABA">
              <w:rPr>
                <w:rFonts w:eastAsia="Times"/>
              </w:rPr>
              <w:t xml:space="preserve"> </w:t>
            </w:r>
            <w:r w:rsidR="25E74D5A" w:rsidRPr="55528ABA">
              <w:rPr>
                <w:rFonts w:eastAsia="Times"/>
              </w:rPr>
              <w:t xml:space="preserve">Left after clinical advice regarding treatment options - </w:t>
            </w:r>
            <w:r w:rsidR="4CF91452" w:rsidRPr="55528ABA">
              <w:rPr>
                <w:rFonts w:eastAsia="Times"/>
              </w:rPr>
              <w:t>GP c</w:t>
            </w:r>
            <w:r w:rsidR="42363E21" w:rsidRPr="55528ABA">
              <w:rPr>
                <w:rFonts w:eastAsia="Times"/>
              </w:rPr>
              <w:t>o</w:t>
            </w:r>
            <w:r w:rsidR="4CF91452" w:rsidRPr="55528ABA">
              <w:rPr>
                <w:rFonts w:eastAsia="Times"/>
              </w:rPr>
              <w:t>-</w:t>
            </w:r>
            <w:r w:rsidR="42363E21" w:rsidRPr="55528ABA">
              <w:rPr>
                <w:rFonts w:eastAsia="Times"/>
              </w:rPr>
              <w:t>located clinic</w:t>
            </w:r>
            <w:r w:rsidR="25E74D5A" w:rsidRPr="55528ABA">
              <w:rPr>
                <w:rFonts w:eastAsia="Times"/>
              </w:rPr>
              <w:t xml:space="preserve"> or Priority Primary Care Centre (PPCC)</w:t>
            </w:r>
          </w:p>
          <w:p w14:paraId="589AB723" w14:textId="1FC2EE01" w:rsidR="00C3549A" w:rsidRPr="00C3549A" w:rsidRDefault="00F667B8" w:rsidP="00736265">
            <w:pPr>
              <w:pStyle w:val="Tablebullet1"/>
              <w:rPr>
                <w:rFonts w:eastAsia="Times"/>
              </w:rPr>
            </w:pPr>
            <w:r w:rsidRPr="00C3549A">
              <w:rPr>
                <w:rFonts w:eastAsia="Times"/>
              </w:rPr>
              <w:t xml:space="preserve">Indigenous status code = </w:t>
            </w:r>
            <w:r w:rsidR="003F74B7">
              <w:rPr>
                <w:rFonts w:eastAsia="Times"/>
              </w:rPr>
              <w:t>‘</w:t>
            </w:r>
            <w:r w:rsidRPr="00C3549A">
              <w:rPr>
                <w:rFonts w:eastAsia="Times"/>
              </w:rPr>
              <w:t>8</w:t>
            </w:r>
            <w:r w:rsidR="003F74B7">
              <w:rPr>
                <w:rFonts w:eastAsia="Times"/>
              </w:rPr>
              <w:t>’</w:t>
            </w:r>
            <w:r w:rsidRPr="00C3549A">
              <w:rPr>
                <w:rFonts w:eastAsia="Times"/>
              </w:rPr>
              <w:t xml:space="preserve"> Question unable to be asked </w:t>
            </w:r>
            <w:r w:rsidR="07E55791" w:rsidRPr="00C3549A">
              <w:rPr>
                <w:rFonts w:eastAsia="Times"/>
              </w:rPr>
              <w:t>or</w:t>
            </w:r>
            <w:r w:rsidRPr="00C3549A">
              <w:rPr>
                <w:rFonts w:eastAsia="Times"/>
              </w:rPr>
              <w:t xml:space="preserve"> </w:t>
            </w:r>
            <w:r w:rsidR="003F74B7">
              <w:rPr>
                <w:rFonts w:eastAsia="Times"/>
              </w:rPr>
              <w:t>‘</w:t>
            </w:r>
            <w:r w:rsidRPr="00C3549A">
              <w:rPr>
                <w:rFonts w:eastAsia="Times"/>
              </w:rPr>
              <w:t>9</w:t>
            </w:r>
            <w:r w:rsidR="003F74B7">
              <w:rPr>
                <w:rFonts w:eastAsia="Times"/>
              </w:rPr>
              <w:t>’</w:t>
            </w:r>
            <w:r w:rsidRPr="00C3549A">
              <w:rPr>
                <w:rFonts w:eastAsia="Times"/>
              </w:rPr>
              <w:t xml:space="preserve"> Patient refused to answer</w:t>
            </w:r>
            <w:r w:rsidR="00662BAD" w:rsidRPr="00C3549A">
              <w:rPr>
                <w:rFonts w:eastAsia="Times"/>
              </w:rPr>
              <w:t>.</w:t>
            </w:r>
          </w:p>
          <w:p w14:paraId="6001FBEB" w14:textId="0183366D" w:rsidR="00067F29" w:rsidRDefault="0CD07983" w:rsidP="00736265">
            <w:pPr>
              <w:pStyle w:val="Tablebullet1"/>
              <w:rPr>
                <w:rFonts w:eastAsia="Times"/>
              </w:rPr>
            </w:pPr>
            <w:r w:rsidRPr="2C4E36D3">
              <w:rPr>
                <w:rFonts w:eastAsia="Times"/>
              </w:rPr>
              <w:t xml:space="preserve">Victorian Virtual Emergency </w:t>
            </w:r>
            <w:r w:rsidRPr="351BC747">
              <w:rPr>
                <w:rFonts w:eastAsia="Times"/>
              </w:rPr>
              <w:t>Department (</w:t>
            </w:r>
            <w:r w:rsidR="00E62FCB" w:rsidRPr="351BC747">
              <w:rPr>
                <w:rFonts w:eastAsia="Times"/>
              </w:rPr>
              <w:t>VVED</w:t>
            </w:r>
            <w:r w:rsidR="630964A2" w:rsidRPr="351BC747">
              <w:rPr>
                <w:rFonts w:eastAsia="Times"/>
              </w:rPr>
              <w:t>)</w:t>
            </w:r>
            <w:r w:rsidR="00E62FCB">
              <w:rPr>
                <w:rFonts w:eastAsia="Times"/>
              </w:rPr>
              <w:t xml:space="preserve"> presentations</w:t>
            </w:r>
          </w:p>
          <w:p w14:paraId="6324CE2F" w14:textId="2CBE8F47" w:rsidR="00FC5BC3" w:rsidRPr="00C3549A" w:rsidRDefault="00C502B0" w:rsidP="00736265">
            <w:pPr>
              <w:pStyle w:val="Tablebullet1"/>
              <w:rPr>
                <w:rFonts w:eastAsia="Times"/>
              </w:rPr>
            </w:pPr>
            <w:r>
              <w:rPr>
                <w:rFonts w:eastAsia="Times"/>
              </w:rPr>
              <w:t>Other virtual care</w:t>
            </w:r>
            <w:r w:rsidR="006D45C6">
              <w:rPr>
                <w:rFonts w:eastAsia="Times"/>
              </w:rPr>
              <w:t xml:space="preserve"> presentations</w:t>
            </w:r>
          </w:p>
          <w:p w14:paraId="6F38745C" w14:textId="4FE4AB92" w:rsidR="00662BAD" w:rsidRPr="00F667B8" w:rsidRDefault="4ECC4C12" w:rsidP="1958DFB0">
            <w:pPr>
              <w:pStyle w:val="Tabletext"/>
              <w:rPr>
                <w:rFonts w:eastAsia="Times"/>
              </w:rPr>
            </w:pPr>
            <w:r w:rsidRPr="1958DFB0">
              <w:rPr>
                <w:rFonts w:eastAsia="Times"/>
              </w:rPr>
              <w:lastRenderedPageBreak/>
              <w:t xml:space="preserve">The denominator for the percentage of Aboriginal </w:t>
            </w:r>
            <w:r w:rsidR="004E3BBD">
              <w:rPr>
                <w:rFonts w:eastAsia="Times"/>
              </w:rPr>
              <w:t>and/or Torres Strait Islander</w:t>
            </w:r>
            <w:r w:rsidRPr="1958DFB0">
              <w:rPr>
                <w:rFonts w:eastAsia="Times"/>
              </w:rPr>
              <w:t xml:space="preserve"> patients who </w:t>
            </w:r>
            <w:r w:rsidRPr="4FA7065F">
              <w:rPr>
                <w:rFonts w:eastAsia="Times"/>
              </w:rPr>
              <w:t xml:space="preserve">did not wait to be </w:t>
            </w:r>
            <w:r w:rsidRPr="23618E00">
              <w:rPr>
                <w:rFonts w:eastAsia="Times"/>
              </w:rPr>
              <w:t>treated</w:t>
            </w:r>
            <w:r w:rsidRPr="1958DFB0">
              <w:rPr>
                <w:rFonts w:eastAsia="Times"/>
              </w:rPr>
              <w:t xml:space="preserve"> is the number of </w:t>
            </w:r>
            <w:r w:rsidRPr="74A1C863">
              <w:rPr>
                <w:rFonts w:eastAsia="Times"/>
              </w:rPr>
              <w:t>emergenc</w:t>
            </w:r>
            <w:r w:rsidR="5B2B2E1D" w:rsidRPr="74A1C863">
              <w:rPr>
                <w:rFonts w:eastAsia="Times"/>
              </w:rPr>
              <w:t>y presentations</w:t>
            </w:r>
            <w:r w:rsidRPr="1958DFB0">
              <w:rPr>
                <w:rFonts w:eastAsia="Times"/>
              </w:rPr>
              <w:t xml:space="preserve"> that satisfy the following condition:</w:t>
            </w:r>
          </w:p>
          <w:p w14:paraId="748AF648" w14:textId="19DB35DD" w:rsidR="00662BAD" w:rsidRPr="00F667B8" w:rsidRDefault="4ECC4C12" w:rsidP="00736265">
            <w:pPr>
              <w:pStyle w:val="Tablebullet1"/>
              <w:rPr>
                <w:rFonts w:eastAsia="Times"/>
              </w:rPr>
            </w:pPr>
            <w:r w:rsidRPr="1958DFB0">
              <w:rPr>
                <w:rFonts w:eastAsia="Times"/>
              </w:rPr>
              <w:t xml:space="preserve"> Indigenous status code of </w:t>
            </w:r>
            <w:r w:rsidR="00492925">
              <w:rPr>
                <w:rFonts w:eastAsia="Times"/>
              </w:rPr>
              <w:t>‘</w:t>
            </w:r>
            <w:r w:rsidRPr="1958DFB0">
              <w:rPr>
                <w:rFonts w:eastAsia="Times"/>
              </w:rPr>
              <w:t>1</w:t>
            </w:r>
            <w:r w:rsidR="00492925">
              <w:rPr>
                <w:rFonts w:eastAsia="Times"/>
              </w:rPr>
              <w:t>’</w:t>
            </w:r>
            <w:r w:rsidRPr="1958DFB0">
              <w:rPr>
                <w:rFonts w:eastAsia="Times"/>
              </w:rPr>
              <w:t xml:space="preserve"> - </w:t>
            </w:r>
            <w:r w:rsidRPr="1958DFB0">
              <w:rPr>
                <w:rFonts w:eastAsia="Arial"/>
              </w:rPr>
              <w:t xml:space="preserve">Aboriginal but not Torres Strait Islander origin, </w:t>
            </w:r>
            <w:r w:rsidR="00492925">
              <w:rPr>
                <w:rFonts w:eastAsia="Arial"/>
              </w:rPr>
              <w:t>‘</w:t>
            </w:r>
            <w:r w:rsidRPr="1958DFB0">
              <w:rPr>
                <w:rFonts w:eastAsia="Arial"/>
              </w:rPr>
              <w:t>2</w:t>
            </w:r>
            <w:r w:rsidR="00492925">
              <w:rPr>
                <w:rFonts w:eastAsia="Arial"/>
              </w:rPr>
              <w:t>’</w:t>
            </w:r>
            <w:r w:rsidRPr="1958DFB0">
              <w:rPr>
                <w:rFonts w:eastAsia="Arial"/>
              </w:rPr>
              <w:t xml:space="preserve"> - Torres Strait Islander but not Aboriginal origin, or </w:t>
            </w:r>
            <w:r w:rsidR="00492925">
              <w:rPr>
                <w:rFonts w:eastAsia="Arial"/>
              </w:rPr>
              <w:t>‘</w:t>
            </w:r>
            <w:r w:rsidRPr="1958DFB0">
              <w:rPr>
                <w:rFonts w:eastAsia="Arial"/>
              </w:rPr>
              <w:t>3</w:t>
            </w:r>
            <w:r w:rsidR="00492925">
              <w:rPr>
                <w:rFonts w:eastAsia="Arial"/>
              </w:rPr>
              <w:t>’</w:t>
            </w:r>
            <w:r w:rsidRPr="1958DFB0">
              <w:rPr>
                <w:rFonts w:eastAsia="Arial"/>
              </w:rPr>
              <w:t xml:space="preserve"> - Both Aboriginal and Torres Strait Islander origin</w:t>
            </w:r>
          </w:p>
          <w:p w14:paraId="361D9062" w14:textId="25305CE5" w:rsidR="00662BAD" w:rsidRPr="00F667B8" w:rsidRDefault="4ECC4C12" w:rsidP="1958DFB0">
            <w:pPr>
              <w:pStyle w:val="Tabletext"/>
              <w:rPr>
                <w:rFonts w:eastAsia="Times"/>
              </w:rPr>
            </w:pPr>
            <w:r w:rsidRPr="1958DFB0">
              <w:rPr>
                <w:rFonts w:eastAsia="Times"/>
              </w:rPr>
              <w:t xml:space="preserve">For non-Aboriginal </w:t>
            </w:r>
            <w:r w:rsidR="004E3BBD">
              <w:rPr>
                <w:rFonts w:eastAsia="Times"/>
              </w:rPr>
              <w:t>and/or non-Torres Strait Islander</w:t>
            </w:r>
            <w:r w:rsidRPr="1958DFB0">
              <w:rPr>
                <w:rFonts w:eastAsia="Times"/>
              </w:rPr>
              <w:t xml:space="preserve"> patients, the denominator is the number of </w:t>
            </w:r>
            <w:r w:rsidR="0625469A" w:rsidRPr="304CC7CC">
              <w:rPr>
                <w:rFonts w:eastAsia="Times"/>
              </w:rPr>
              <w:t xml:space="preserve">emergency </w:t>
            </w:r>
            <w:r w:rsidR="0625469A" w:rsidRPr="50E41807">
              <w:rPr>
                <w:rFonts w:eastAsia="Times"/>
              </w:rPr>
              <w:t>presentations</w:t>
            </w:r>
            <w:r w:rsidRPr="1958DFB0">
              <w:rPr>
                <w:rFonts w:eastAsia="Times"/>
              </w:rPr>
              <w:t xml:space="preserve"> that satisfy the following condition:</w:t>
            </w:r>
          </w:p>
          <w:p w14:paraId="49902FD0" w14:textId="647DA4E0" w:rsidR="00662BAD" w:rsidRPr="00F667B8" w:rsidRDefault="4ECC4C12" w:rsidP="00C918DA">
            <w:pPr>
              <w:pStyle w:val="Tablebullet1"/>
              <w:rPr>
                <w:rFonts w:eastAsia="Times"/>
              </w:rPr>
            </w:pPr>
            <w:r w:rsidRPr="1958DFB0">
              <w:rPr>
                <w:rFonts w:eastAsia="Times"/>
              </w:rPr>
              <w:t xml:space="preserve">Indigenous status code </w:t>
            </w:r>
            <w:r w:rsidR="00430D54">
              <w:rPr>
                <w:rFonts w:eastAsia="Times"/>
              </w:rPr>
              <w:t>=</w:t>
            </w:r>
            <w:r w:rsidRPr="1958DFB0">
              <w:rPr>
                <w:rFonts w:eastAsia="Times"/>
              </w:rPr>
              <w:t xml:space="preserve"> </w:t>
            </w:r>
            <w:r w:rsidR="00492925">
              <w:rPr>
                <w:rFonts w:eastAsia="Times"/>
              </w:rPr>
              <w:t>‘</w:t>
            </w:r>
            <w:r w:rsidRPr="1958DFB0">
              <w:rPr>
                <w:rFonts w:eastAsia="Times"/>
              </w:rPr>
              <w:t>4</w:t>
            </w:r>
            <w:r w:rsidR="00492925">
              <w:rPr>
                <w:rFonts w:eastAsia="Times"/>
              </w:rPr>
              <w:t>’</w:t>
            </w:r>
            <w:r w:rsidRPr="1958DFB0">
              <w:rPr>
                <w:rFonts w:eastAsia="Times"/>
              </w:rPr>
              <w:t xml:space="preserve"> - </w:t>
            </w:r>
            <w:r>
              <w:t>Neither Aboriginal nor Torres Strait Islander origin</w:t>
            </w:r>
          </w:p>
          <w:p w14:paraId="6CBC751D" w14:textId="64F43B8C" w:rsidR="00662BAD" w:rsidRPr="00F667B8" w:rsidRDefault="4ECC4C12" w:rsidP="1958DFB0">
            <w:pPr>
              <w:pStyle w:val="Tabletext"/>
              <w:rPr>
                <w:rFonts w:eastAsia="Times"/>
              </w:rPr>
            </w:pPr>
            <w:r w:rsidRPr="1958DFB0">
              <w:rPr>
                <w:rFonts w:eastAsia="Times"/>
              </w:rPr>
              <w:t xml:space="preserve">The numerator in both percentages is the number of </w:t>
            </w:r>
            <w:r w:rsidR="12164AE9" w:rsidRPr="50E41807">
              <w:rPr>
                <w:rFonts w:eastAsia="Times"/>
              </w:rPr>
              <w:t>emergency presentations</w:t>
            </w:r>
            <w:r w:rsidRPr="1958DFB0">
              <w:rPr>
                <w:rFonts w:eastAsia="Times"/>
              </w:rPr>
              <w:t xml:space="preserve"> in the respective denominators that satisfy the following condition:</w:t>
            </w:r>
          </w:p>
          <w:p w14:paraId="623DC1CA" w14:textId="197161A6" w:rsidR="00662BAD" w:rsidRPr="003B7688" w:rsidRDefault="3011AF40" w:rsidP="006B6DB7">
            <w:pPr>
              <w:pStyle w:val="Tablebullet1"/>
              <w:rPr>
                <w:rFonts w:eastAsia="Times"/>
              </w:rPr>
            </w:pPr>
            <w:r w:rsidRPr="133CE699">
              <w:rPr>
                <w:rFonts w:eastAsia="Times"/>
              </w:rPr>
              <w:t xml:space="preserve">Departure status code </w:t>
            </w:r>
            <w:r w:rsidR="00430D54">
              <w:rPr>
                <w:rFonts w:eastAsia="Times"/>
              </w:rPr>
              <w:t>=</w:t>
            </w:r>
            <w:r w:rsidRPr="133CE699">
              <w:rPr>
                <w:rFonts w:eastAsia="Times"/>
              </w:rPr>
              <w:t xml:space="preserve"> </w:t>
            </w:r>
            <w:r w:rsidR="00492925">
              <w:rPr>
                <w:rFonts w:eastAsia="Times"/>
              </w:rPr>
              <w:t>‘</w:t>
            </w:r>
            <w:r w:rsidRPr="133CE699">
              <w:rPr>
                <w:rFonts w:eastAsia="Times"/>
              </w:rPr>
              <w:t>11</w:t>
            </w:r>
            <w:r w:rsidR="00492925">
              <w:rPr>
                <w:rFonts w:eastAsia="Times"/>
              </w:rPr>
              <w:t>’</w:t>
            </w:r>
            <w:r w:rsidRPr="133CE699">
              <w:rPr>
                <w:rFonts w:eastAsia="Times"/>
              </w:rPr>
              <w:t xml:space="preserve"> - </w:t>
            </w:r>
            <w:r w:rsidRPr="133CE699">
              <w:rPr>
                <w:rFonts w:eastAsia="Arial" w:cs="Arial"/>
                <w:szCs w:val="21"/>
              </w:rPr>
              <w:t>Left at own risk, without treatment</w:t>
            </w:r>
          </w:p>
          <w:p w14:paraId="3F2CCEA1" w14:textId="2A9E0A64" w:rsidR="00033F3A" w:rsidRPr="00315936" w:rsidRDefault="0DD9D6EB">
            <w:pPr>
              <w:pStyle w:val="Tabletext"/>
              <w:rPr>
                <w:rFonts w:eastAsia="Times"/>
              </w:rPr>
            </w:pPr>
            <w:r w:rsidRPr="6FD91E33">
              <w:rPr>
                <w:rFonts w:eastAsia="Times"/>
              </w:rPr>
              <w:t xml:space="preserve">This </w:t>
            </w:r>
            <w:r w:rsidR="00C3016B" w:rsidRPr="6FD91E33">
              <w:rPr>
                <w:rFonts w:eastAsia="Times"/>
              </w:rPr>
              <w:t>measure</w:t>
            </w:r>
            <w:r w:rsidRPr="6FD91E33">
              <w:rPr>
                <w:rFonts w:eastAsia="Times"/>
              </w:rPr>
              <w:t xml:space="preserve"> is rounded </w:t>
            </w:r>
            <w:r w:rsidR="776A0802" w:rsidRPr="5F330602">
              <w:rPr>
                <w:rFonts w:eastAsia="Times"/>
              </w:rPr>
              <w:t>to the nearest whole number</w:t>
            </w:r>
            <w:r w:rsidRPr="6FD91E33">
              <w:rPr>
                <w:rFonts w:eastAsia="Times"/>
              </w:rPr>
              <w:t>.</w:t>
            </w:r>
          </w:p>
          <w:p w14:paraId="34FFCADC" w14:textId="37C45A25" w:rsidR="00033F3A" w:rsidRPr="00315936" w:rsidRDefault="0DD9D6EB">
            <w:pPr>
              <w:pStyle w:val="Tabletext"/>
            </w:pPr>
            <w:r w:rsidRPr="6FD91E33">
              <w:t xml:space="preserve">Results </w:t>
            </w:r>
            <w:r w:rsidR="00BE500D">
              <w:t>are</w:t>
            </w:r>
            <w:r w:rsidR="00BE500D" w:rsidRPr="6FD91E33">
              <w:t xml:space="preserve"> </w:t>
            </w:r>
            <w:r w:rsidRPr="6FD91E33">
              <w:t xml:space="preserve">not reported where </w:t>
            </w:r>
            <w:r w:rsidR="67A786AA" w:rsidRPr="6FD91E33">
              <w:t xml:space="preserve">either percentage has </w:t>
            </w:r>
            <w:r w:rsidR="00430D54">
              <w:t>a</w:t>
            </w:r>
            <w:r w:rsidR="00430D54" w:rsidRPr="6FD91E33">
              <w:t xml:space="preserve"> </w:t>
            </w:r>
            <w:r w:rsidRPr="6FD91E33">
              <w:t>denominator less than 10.</w:t>
            </w:r>
            <w:r w:rsidRPr="6FD91E33">
              <w:rPr>
                <w:rStyle w:val="eop"/>
              </w:rPr>
              <w:t> </w:t>
            </w:r>
          </w:p>
        </w:tc>
      </w:tr>
      <w:tr w:rsidR="00033F3A" w:rsidRPr="00315936" w14:paraId="02A1C56B"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014F0CE" w14:textId="77777777" w:rsidR="00033F3A" w:rsidRPr="00315936" w:rsidRDefault="00033F3A">
            <w:pPr>
              <w:pStyle w:val="Tablecolhead"/>
              <w:rPr>
                <w:b w:val="0"/>
                <w:lang w:eastAsia="en-AU"/>
              </w:rPr>
            </w:pPr>
            <w:r w:rsidRPr="00315936">
              <w:rPr>
                <w:b w:val="0"/>
                <w:lang w:eastAsia="en-AU"/>
              </w:rPr>
              <w:lastRenderedPageBreak/>
              <w:t>Numerator</w:t>
            </w:r>
          </w:p>
        </w:tc>
        <w:tc>
          <w:tcPr>
            <w:tcW w:w="8503" w:type="dxa"/>
            <w:tcBorders>
              <w:left w:val="single" w:sz="6" w:space="0" w:color="000000" w:themeColor="text1"/>
            </w:tcBorders>
          </w:tcPr>
          <w:p w14:paraId="03936264" w14:textId="072C2EF8" w:rsidR="00251638" w:rsidRPr="00251638" w:rsidRDefault="00251638" w:rsidP="00251638">
            <w:pPr>
              <w:pStyle w:val="Tabletext"/>
              <w:rPr>
                <w:rFonts w:eastAsia="Times"/>
              </w:rPr>
            </w:pPr>
            <w:r w:rsidRPr="00251638">
              <w:rPr>
                <w:rFonts w:eastAsia="Times"/>
              </w:rPr>
              <w:t xml:space="preserve">Percentage of Aboriginal </w:t>
            </w:r>
            <w:r w:rsidRPr="00251638" w:rsidDel="00576035">
              <w:rPr>
                <w:rFonts w:eastAsia="Times"/>
              </w:rPr>
              <w:t xml:space="preserve">and/or Torres Strait Islander </w:t>
            </w:r>
            <w:r w:rsidRPr="00251638">
              <w:rPr>
                <w:rFonts w:eastAsia="Times"/>
              </w:rPr>
              <w:t xml:space="preserve">emergency department presentations with a departure mode of ‘did not wait’ (Departure </w:t>
            </w:r>
            <w:r w:rsidR="00EB6A5D">
              <w:rPr>
                <w:rFonts w:eastAsia="Times"/>
              </w:rPr>
              <w:t>s</w:t>
            </w:r>
            <w:r w:rsidRPr="00251638">
              <w:rPr>
                <w:rFonts w:eastAsia="Times"/>
              </w:rPr>
              <w:t xml:space="preserve">tatus </w:t>
            </w:r>
            <w:r w:rsidR="00EB6A5D">
              <w:rPr>
                <w:rFonts w:eastAsia="Times"/>
              </w:rPr>
              <w:t>c</w:t>
            </w:r>
            <w:r w:rsidRPr="00251638">
              <w:rPr>
                <w:rFonts w:eastAsia="Times"/>
              </w:rPr>
              <w:t>ode = 11). </w:t>
            </w:r>
          </w:p>
          <w:p w14:paraId="48323B31" w14:textId="7FD7DD83" w:rsidR="00251638" w:rsidRPr="00894A52" w:rsidRDefault="00173F3E" w:rsidP="00251638">
            <w:pPr>
              <w:pStyle w:val="Tabletext"/>
              <w:rPr>
                <w:rFonts w:eastAsia="Times"/>
                <w:i/>
                <w:iCs/>
              </w:rPr>
            </w:pPr>
            <w:r>
              <w:rPr>
                <w:rFonts w:eastAsia="Times"/>
                <w:i/>
                <w:iCs/>
              </w:rPr>
              <w:t>m</w:t>
            </w:r>
            <w:r w:rsidR="00251638" w:rsidRPr="00894A52">
              <w:rPr>
                <w:rFonts w:eastAsia="Times"/>
                <w:i/>
                <w:iCs/>
              </w:rPr>
              <w:t>inus  </w:t>
            </w:r>
          </w:p>
          <w:p w14:paraId="6E670E70" w14:textId="1E8D7B1C" w:rsidR="00033F3A" w:rsidRPr="00251638" w:rsidRDefault="00251638">
            <w:pPr>
              <w:pStyle w:val="Tabletext"/>
              <w:rPr>
                <w:rFonts w:eastAsia="Times"/>
              </w:rPr>
            </w:pPr>
            <w:r w:rsidRPr="00251638">
              <w:rPr>
                <w:rFonts w:eastAsia="Times"/>
              </w:rPr>
              <w:t>Percentage of non</w:t>
            </w:r>
            <w:r w:rsidR="00662BAD" w:rsidRPr="00251638">
              <w:rPr>
                <w:rFonts w:eastAsia="Times"/>
              </w:rPr>
              <w:t>-Aboriginal</w:t>
            </w:r>
            <w:r w:rsidRPr="00251638">
              <w:rPr>
                <w:rFonts w:eastAsia="Times"/>
              </w:rPr>
              <w:t xml:space="preserve"> </w:t>
            </w:r>
            <w:r w:rsidR="004E3BBD">
              <w:rPr>
                <w:rFonts w:eastAsia="Times"/>
              </w:rPr>
              <w:t>and</w:t>
            </w:r>
            <w:r w:rsidR="009B49D3">
              <w:rPr>
                <w:rFonts w:eastAsia="Times"/>
              </w:rPr>
              <w:t xml:space="preserve">/or non-Torres Strait Islander </w:t>
            </w:r>
            <w:r w:rsidRPr="00251638">
              <w:rPr>
                <w:rFonts w:eastAsia="Times"/>
              </w:rPr>
              <w:t xml:space="preserve">emergency department presentations with a departure mode of ‘did not wait’ (Departure </w:t>
            </w:r>
            <w:r w:rsidR="00EB6A5D">
              <w:rPr>
                <w:rFonts w:eastAsia="Times"/>
              </w:rPr>
              <w:t>s</w:t>
            </w:r>
            <w:r w:rsidRPr="00251638">
              <w:rPr>
                <w:rFonts w:eastAsia="Times"/>
              </w:rPr>
              <w:t xml:space="preserve">tatus </w:t>
            </w:r>
            <w:r w:rsidR="00EB6A5D">
              <w:rPr>
                <w:rFonts w:eastAsia="Times"/>
              </w:rPr>
              <w:t>c</w:t>
            </w:r>
            <w:r w:rsidRPr="00251638">
              <w:rPr>
                <w:rFonts w:eastAsia="Times"/>
              </w:rPr>
              <w:t>ode = 11). </w:t>
            </w:r>
          </w:p>
        </w:tc>
      </w:tr>
      <w:tr w:rsidR="00033F3A" w:rsidRPr="00315936" w14:paraId="4C50B202"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31F4E8C" w14:textId="77777777" w:rsidR="00033F3A" w:rsidRPr="00315936" w:rsidRDefault="00033F3A">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33151EF0" w14:textId="647FEFE4" w:rsidR="00033F3A" w:rsidRPr="00315936" w:rsidRDefault="00251638">
            <w:pPr>
              <w:pStyle w:val="Tabletext"/>
            </w:pPr>
            <w:r>
              <w:rPr>
                <w:rFonts w:eastAsia="Times"/>
              </w:rPr>
              <w:t>N/A</w:t>
            </w:r>
          </w:p>
        </w:tc>
      </w:tr>
      <w:tr w:rsidR="00033F3A" w:rsidRPr="00315936" w14:paraId="348A4927"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EC9C1E1" w14:textId="77777777" w:rsidR="00033F3A" w:rsidRPr="00315936" w:rsidRDefault="00033F3A">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2D1FB5B2" w14:textId="6833B6D5" w:rsidR="00033F3A" w:rsidRPr="00315936" w:rsidRDefault="003B2864">
            <w:pPr>
              <w:pStyle w:val="Tabletext"/>
            </w:pPr>
            <w:r>
              <w:t xml:space="preserve">0 per cent </w:t>
            </w:r>
          </w:p>
        </w:tc>
      </w:tr>
      <w:tr w:rsidR="00033F3A" w:rsidRPr="00315936" w14:paraId="12ABEE48"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CFECAA3" w14:textId="1292B568" w:rsidR="00033F3A" w:rsidRPr="00315936" w:rsidRDefault="00033F3A">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75B0975E" w14:textId="55BDFBE9" w:rsidR="00033F3A" w:rsidRPr="00315936" w:rsidRDefault="003B2864">
            <w:pPr>
              <w:pStyle w:val="Tabletext"/>
            </w:pPr>
            <w:r>
              <w:t>No difference between Aboriginal and</w:t>
            </w:r>
            <w:r w:rsidR="009B49D3">
              <w:t xml:space="preserve">/or </w:t>
            </w:r>
            <w:r w:rsidR="0080445D">
              <w:t>Torres Strait Islander</w:t>
            </w:r>
            <w:r>
              <w:t xml:space="preserve"> and non-Aboriginal </w:t>
            </w:r>
            <w:r w:rsidR="0080445D">
              <w:t>and/or non-Torres Strait Islander</w:t>
            </w:r>
            <w:r w:rsidR="0012597E">
              <w:t xml:space="preserve"> patients </w:t>
            </w:r>
          </w:p>
        </w:tc>
      </w:tr>
      <w:tr w:rsidR="00033F3A" w:rsidRPr="00315936" w14:paraId="02993DD4"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8E100D1" w14:textId="4D05D42F" w:rsidR="00033F3A" w:rsidRPr="00315936" w:rsidRDefault="00033F3A">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1AE948C4" w14:textId="561A3D7D" w:rsidR="00033F3A" w:rsidRPr="00315936" w:rsidRDefault="003B2864" w:rsidP="00572526">
            <w:pPr>
              <w:pStyle w:val="Tabletext"/>
              <w:spacing w:line="259" w:lineRule="auto"/>
              <w:rPr>
                <w:rFonts w:eastAsia="Times"/>
              </w:rPr>
            </w:pPr>
            <w:r>
              <w:rPr>
                <w:rFonts w:eastAsia="Times"/>
              </w:rPr>
              <w:t>A differen</w:t>
            </w:r>
            <w:r w:rsidR="00653331">
              <w:rPr>
                <w:rFonts w:eastAsia="Times"/>
              </w:rPr>
              <w:t>ce</w:t>
            </w:r>
            <w:r>
              <w:rPr>
                <w:rFonts w:eastAsia="Times"/>
              </w:rPr>
              <w:t xml:space="preserve"> between Aboriginal and</w:t>
            </w:r>
            <w:r w:rsidR="0012597E">
              <w:rPr>
                <w:rFonts w:eastAsia="Times"/>
              </w:rPr>
              <w:t>/or Torres Strait Islander</w:t>
            </w:r>
            <w:r>
              <w:rPr>
                <w:rFonts w:eastAsia="Times"/>
              </w:rPr>
              <w:t xml:space="preserve"> and non-Aboriginal </w:t>
            </w:r>
            <w:r w:rsidR="00990A8B">
              <w:rPr>
                <w:rFonts w:eastAsia="Times"/>
              </w:rPr>
              <w:t xml:space="preserve">and/or </w:t>
            </w:r>
            <w:r w:rsidR="00514293">
              <w:rPr>
                <w:rFonts w:eastAsia="Times"/>
              </w:rPr>
              <w:t>non-</w:t>
            </w:r>
            <w:r w:rsidR="00990A8B">
              <w:rPr>
                <w:rFonts w:eastAsia="Times"/>
              </w:rPr>
              <w:t>Torres Strait Islander</w:t>
            </w:r>
            <w:r>
              <w:rPr>
                <w:rFonts w:eastAsia="Times"/>
              </w:rPr>
              <w:t xml:space="preserve"> patients</w:t>
            </w:r>
          </w:p>
        </w:tc>
      </w:tr>
      <w:tr w:rsidR="00033F3A" w:rsidRPr="00315936" w14:paraId="41EC6F42"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FB7658F" w14:textId="77777777" w:rsidR="00033F3A" w:rsidRPr="00315936" w:rsidRDefault="00033F3A">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29BFE622" w14:textId="7A0B9608" w:rsidR="00033F3A" w:rsidRPr="00315936" w:rsidRDefault="0044017C">
            <w:pPr>
              <w:pStyle w:val="Tabletext"/>
              <w:rPr>
                <w:lang w:eastAsia="en-AU"/>
              </w:rPr>
            </w:pPr>
            <w:proofErr w:type="gramStart"/>
            <w:r w:rsidRPr="00315936">
              <w:t>For the purpose of</w:t>
            </w:r>
            <w:proofErr w:type="gramEnd"/>
            <w:r w:rsidRPr="00315936">
              <w:t xml:space="preserve"> the performance risk assessment</w:t>
            </w:r>
            <w:r>
              <w:t>,</w:t>
            </w:r>
            <w:r w:rsidRPr="00315936">
              <w:t xml:space="preserve"> improvement is assessed against the previous quarter performance.</w:t>
            </w:r>
          </w:p>
        </w:tc>
      </w:tr>
      <w:tr w:rsidR="00033F3A" w:rsidRPr="00315936" w14:paraId="769E8C75"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267506B4" w14:textId="77777777" w:rsidR="00033F3A" w:rsidRPr="00315936" w:rsidRDefault="00033F3A">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79D3032A" w14:textId="3A15BAA3" w:rsidR="00BD6AC8" w:rsidRPr="00315936" w:rsidRDefault="00BD6AC8" w:rsidP="00BD6AC8">
            <w:pPr>
              <w:pStyle w:val="Tabletext"/>
              <w:rPr>
                <w:rFonts w:eastAsia="Times"/>
              </w:rPr>
            </w:pPr>
            <w:r w:rsidRPr="00315936">
              <w:rPr>
                <w:rFonts w:eastAsia="Times"/>
              </w:rPr>
              <w:t xml:space="preserve">Performance is reported quarterly at the </w:t>
            </w:r>
            <w:r w:rsidR="009E755D" w:rsidRPr="00315936">
              <w:rPr>
                <w:rFonts w:eastAsia="Times"/>
              </w:rPr>
              <w:t>campus</w:t>
            </w:r>
            <w:r w:rsidRPr="00315936">
              <w:rPr>
                <w:rFonts w:eastAsia="Times"/>
              </w:rPr>
              <w:t xml:space="preserve"> level</w:t>
            </w:r>
          </w:p>
          <w:p w14:paraId="6EF636BB" w14:textId="2CE9C64B" w:rsidR="00033F3A" w:rsidRPr="00315936" w:rsidRDefault="00033F3A">
            <w:pPr>
              <w:pStyle w:val="Tabletext"/>
              <w:rPr>
                <w:lang w:eastAsia="en-AU"/>
              </w:rPr>
            </w:pPr>
            <w:r w:rsidRPr="00315936">
              <w:rPr>
                <w:rFonts w:eastAsia="Times"/>
              </w:rPr>
              <w:t xml:space="preserve">Data are </w:t>
            </w:r>
            <w:r w:rsidR="00BD6AC8" w:rsidRPr="00315936">
              <w:rPr>
                <w:rFonts w:eastAsia="Times"/>
              </w:rPr>
              <w:t>sourced from</w:t>
            </w:r>
            <w:r w:rsidR="001A7165" w:rsidRPr="00315936">
              <w:rPr>
                <w:rFonts w:eastAsia="Times"/>
              </w:rPr>
              <w:t xml:space="preserve"> the</w:t>
            </w:r>
            <w:r w:rsidR="00B82309" w:rsidRPr="00315936">
              <w:rPr>
                <w:rFonts w:eastAsia="Times"/>
              </w:rPr>
              <w:t xml:space="preserve"> </w:t>
            </w:r>
            <w:r w:rsidRPr="00315936">
              <w:rPr>
                <w:rFonts w:eastAsia="Times"/>
              </w:rPr>
              <w:t>Victorian Emergency Minimum Dataset</w:t>
            </w:r>
            <w:r w:rsidR="00D15EA5">
              <w:rPr>
                <w:rFonts w:eastAsia="Times"/>
              </w:rPr>
              <w:t xml:space="preserve"> (VEMD)</w:t>
            </w:r>
            <w:r w:rsidRPr="00315936">
              <w:rPr>
                <w:rFonts w:eastAsia="Times"/>
              </w:rPr>
              <w:t xml:space="preserve">. </w:t>
            </w:r>
          </w:p>
        </w:tc>
      </w:tr>
    </w:tbl>
    <w:p w14:paraId="77D4A8EE" w14:textId="77777777" w:rsidR="00F73FF0" w:rsidRDefault="00140581" w:rsidP="00235C47">
      <w:pPr>
        <w:pStyle w:val="Heading3"/>
      </w:pPr>
      <w:bookmarkStart w:id="53" w:name="_Toc122350134"/>
      <w:r w:rsidRPr="2ECFC544">
        <w:t>Mental health patient experience</w:t>
      </w:r>
    </w:p>
    <w:p w14:paraId="0080EC24" w14:textId="5D3A3680" w:rsidR="00A444FF" w:rsidRDefault="00A444FF" w:rsidP="008E7F78">
      <w:pPr>
        <w:pStyle w:val="Heading4"/>
      </w:pPr>
      <w:r w:rsidRPr="00ED67A5">
        <w:t>Percentage of consumers</w:t>
      </w:r>
      <w:r w:rsidR="00195812" w:rsidRPr="00195812">
        <w:t xml:space="preserve"> who rated their overall experience with a service in the last three months as positive</w:t>
      </w:r>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00195812" w14:paraId="101AC6F9"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2762E3E" w14:textId="77777777" w:rsidR="00195812" w:rsidRDefault="00195812">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tcPr>
          <w:p w14:paraId="1AD8F424" w14:textId="47E40132" w:rsidR="00195812" w:rsidRDefault="00737114">
            <w:pPr>
              <w:pStyle w:val="Tabletext"/>
              <w:spacing w:line="279" w:lineRule="auto"/>
              <w:rPr>
                <w:rFonts w:eastAsia="Arial" w:cs="Arial"/>
                <w:szCs w:val="21"/>
              </w:rPr>
            </w:pPr>
            <w:r w:rsidRPr="00737114">
              <w:rPr>
                <w:rFonts w:eastAsia="Arial" w:cs="Arial"/>
                <w:szCs w:val="21"/>
              </w:rPr>
              <w:t>Percentage of consumers who rated their overall experience of care with a service in the last 3 months as positive</w:t>
            </w:r>
            <w:r w:rsidR="00C55676">
              <w:rPr>
                <w:rFonts w:eastAsia="Arial" w:cs="Arial"/>
                <w:szCs w:val="21"/>
              </w:rPr>
              <w:t xml:space="preserve"> </w:t>
            </w:r>
            <w:r w:rsidR="00F86086">
              <w:rPr>
                <w:rFonts w:eastAsia="Arial" w:cs="Arial"/>
                <w:szCs w:val="21"/>
              </w:rPr>
              <w:fldChar w:fldCharType="begin"/>
            </w:r>
            <w:r w:rsidR="00F86086">
              <w:rPr>
                <w:rFonts w:eastAsia="Arial" w:cs="Arial"/>
                <w:szCs w:val="21"/>
              </w:rPr>
              <w:instrText xml:space="preserve"> NOTEREF _Ref201832379 \f \h </w:instrText>
            </w:r>
            <w:r w:rsidR="0094255B">
              <w:rPr>
                <w:rFonts w:eastAsia="Arial" w:cs="Arial"/>
                <w:szCs w:val="21"/>
              </w:rPr>
              <w:instrText xml:space="preserve"> \* MERGEFORMAT </w:instrText>
            </w:r>
            <w:r w:rsidR="00F86086">
              <w:rPr>
                <w:rFonts w:eastAsia="Arial" w:cs="Arial"/>
                <w:szCs w:val="21"/>
              </w:rPr>
            </w:r>
            <w:r w:rsidR="00F86086">
              <w:rPr>
                <w:rFonts w:eastAsia="Arial" w:cs="Arial"/>
                <w:szCs w:val="21"/>
              </w:rPr>
              <w:fldChar w:fldCharType="separate"/>
            </w:r>
            <w:r w:rsidR="00F86086" w:rsidRPr="00F86086">
              <w:rPr>
                <w:rStyle w:val="EndnoteReference"/>
                <w:rFonts w:eastAsia="Arial"/>
              </w:rPr>
              <w:t>iv</w:t>
            </w:r>
            <w:r w:rsidR="00F86086">
              <w:rPr>
                <w:rFonts w:eastAsia="Arial" w:cs="Arial"/>
                <w:szCs w:val="21"/>
              </w:rPr>
              <w:fldChar w:fldCharType="end"/>
            </w:r>
          </w:p>
        </w:tc>
      </w:tr>
      <w:tr w:rsidR="00195812" w14:paraId="17C6BEEF"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E4FF347" w14:textId="77777777" w:rsidR="00195812" w:rsidRDefault="00195812">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0C34ED2C" w14:textId="17562CE1" w:rsidR="00195812" w:rsidRDefault="00195812" w:rsidP="55528ABA">
            <w:pPr>
              <w:pStyle w:val="Tabletext"/>
              <w:spacing w:line="279" w:lineRule="auto"/>
              <w:rPr>
                <w:rFonts w:eastAsia="Arial" w:cs="Arial"/>
              </w:rPr>
            </w:pPr>
            <w:r w:rsidRPr="55528ABA">
              <w:rPr>
                <w:rFonts w:eastAsia="Arial" w:cs="Arial"/>
              </w:rPr>
              <w:t xml:space="preserve">Personalised care and support </w:t>
            </w:r>
            <w:bookmarkStart w:id="54" w:name="_Int_872bfw4q"/>
            <w:proofErr w:type="gramStart"/>
            <w:r w:rsidRPr="55528ABA">
              <w:rPr>
                <w:rFonts w:eastAsia="Arial" w:cs="Arial"/>
              </w:rPr>
              <w:t>is</w:t>
            </w:r>
            <w:bookmarkEnd w:id="54"/>
            <w:proofErr w:type="gramEnd"/>
            <w:r w:rsidRPr="55528ABA">
              <w:rPr>
                <w:rFonts w:eastAsia="Arial" w:cs="Arial"/>
              </w:rPr>
              <w:t xml:space="preserve"> one of three national mental health and suicide prevention information priorities. It includes collecting and publishing consumer experience data at a range of levels to embed consumer experience of care at the heart of discussions about mental health services. Consumer surveys are a key part of efforts to embed and amplify the voices of mental health consumers in service improvement.</w:t>
            </w:r>
          </w:p>
          <w:p w14:paraId="657B668E" w14:textId="77777777" w:rsidR="00195812" w:rsidRDefault="00195812">
            <w:pPr>
              <w:pStyle w:val="Tabletext"/>
              <w:spacing w:line="279" w:lineRule="auto"/>
              <w:rPr>
                <w:rFonts w:eastAsia="Arial" w:cs="Arial"/>
                <w:szCs w:val="21"/>
              </w:rPr>
            </w:pPr>
            <w:r w:rsidRPr="2ECFC544">
              <w:rPr>
                <w:rFonts w:eastAsia="Arial" w:cs="Arial"/>
                <w:szCs w:val="21"/>
              </w:rPr>
              <w:t xml:space="preserve">Additionally, the principles of the </w:t>
            </w:r>
            <w:r w:rsidRPr="2ECFC544">
              <w:rPr>
                <w:rFonts w:eastAsia="Arial" w:cs="Arial"/>
                <w:i/>
                <w:iCs/>
                <w:szCs w:val="21"/>
              </w:rPr>
              <w:t>Mental Health and Wellbeing Act 2022</w:t>
            </w:r>
            <w:r w:rsidRPr="2ECFC544">
              <w:rPr>
                <w:rFonts w:eastAsia="Arial" w:cs="Arial"/>
                <w:szCs w:val="21"/>
              </w:rPr>
              <w:t xml:space="preserve"> require mental health and wellbeing service providers to:</w:t>
            </w:r>
          </w:p>
          <w:p w14:paraId="4A1A50EB" w14:textId="77777777" w:rsidR="00195812" w:rsidRDefault="00195812">
            <w:pPr>
              <w:pStyle w:val="Tablebullet1"/>
              <w:spacing w:line="279" w:lineRule="auto"/>
              <w:rPr>
                <w:rFonts w:eastAsia="Arial" w:cs="Arial"/>
                <w:szCs w:val="21"/>
              </w:rPr>
            </w:pPr>
            <w:r w:rsidRPr="2ECFC544">
              <w:rPr>
                <w:rFonts w:eastAsia="Arial" w:cs="Arial"/>
                <w:szCs w:val="21"/>
              </w:rPr>
              <w:lastRenderedPageBreak/>
              <w:t>support the dignity and autonomy of people living with mental illness or psychological distress</w:t>
            </w:r>
          </w:p>
          <w:p w14:paraId="6E9F2075" w14:textId="77777777" w:rsidR="00195812" w:rsidRDefault="00195812">
            <w:pPr>
              <w:pStyle w:val="Tablebullet1"/>
              <w:spacing w:line="279" w:lineRule="auto"/>
              <w:rPr>
                <w:rFonts w:eastAsia="Arial" w:cs="Arial"/>
                <w:szCs w:val="21"/>
              </w:rPr>
            </w:pPr>
            <w:r w:rsidRPr="2ECFC544">
              <w:rPr>
                <w:rFonts w:eastAsia="Arial" w:cs="Arial"/>
                <w:szCs w:val="21"/>
              </w:rPr>
              <w:t>ensure people are involved in decisions about their treatment, care and support</w:t>
            </w:r>
          </w:p>
          <w:p w14:paraId="69AD2794" w14:textId="77777777" w:rsidR="00195812" w:rsidRDefault="00195812">
            <w:pPr>
              <w:pStyle w:val="Tablebullet1"/>
              <w:spacing w:line="279" w:lineRule="auto"/>
              <w:rPr>
                <w:rFonts w:eastAsia="Arial" w:cs="Arial"/>
                <w:szCs w:val="21"/>
              </w:rPr>
            </w:pPr>
            <w:r w:rsidRPr="2ECFC544">
              <w:rPr>
                <w:rFonts w:eastAsia="Arial" w:cs="Arial"/>
                <w:szCs w:val="21"/>
              </w:rPr>
              <w:t>recognise the role of families, carers and supporters</w:t>
            </w:r>
          </w:p>
          <w:p w14:paraId="32D45B5E" w14:textId="77777777" w:rsidR="00195812" w:rsidRDefault="00195812">
            <w:pPr>
              <w:pStyle w:val="Tablebullet1"/>
              <w:spacing w:line="279" w:lineRule="auto"/>
              <w:rPr>
                <w:rFonts w:eastAsia="Arial" w:cs="Arial"/>
                <w:szCs w:val="21"/>
              </w:rPr>
            </w:pPr>
            <w:r w:rsidRPr="2ECFC544">
              <w:rPr>
                <w:rFonts w:eastAsia="Arial" w:cs="Arial"/>
                <w:szCs w:val="21"/>
              </w:rPr>
              <w:t>ensure the service system responds to the diverse needs and preferences of Victorians.</w:t>
            </w:r>
          </w:p>
          <w:p w14:paraId="0612BC19" w14:textId="55697DB4" w:rsidR="00195812" w:rsidRDefault="00195812">
            <w:pPr>
              <w:pStyle w:val="Tabletext"/>
              <w:spacing w:line="279" w:lineRule="auto"/>
              <w:rPr>
                <w:rFonts w:eastAsia="Arial" w:cs="Arial"/>
                <w:szCs w:val="21"/>
              </w:rPr>
            </w:pPr>
            <w:r w:rsidRPr="2ECFC544">
              <w:rPr>
                <w:rFonts w:eastAsia="Arial" w:cs="Arial"/>
                <w:szCs w:val="21"/>
              </w:rPr>
              <w:t xml:space="preserve">These principles apply to all mental health </w:t>
            </w:r>
            <w:r>
              <w:rPr>
                <w:rFonts w:eastAsia="Arial" w:cs="Arial"/>
                <w:szCs w:val="21"/>
              </w:rPr>
              <w:t xml:space="preserve">and </w:t>
            </w:r>
            <w:r w:rsidRPr="2ECFC544">
              <w:rPr>
                <w:rFonts w:eastAsia="Arial" w:cs="Arial"/>
                <w:szCs w:val="21"/>
              </w:rPr>
              <w:t>wellbeing service providers.</w:t>
            </w:r>
          </w:p>
        </w:tc>
      </w:tr>
      <w:tr w:rsidR="00195812" w14:paraId="66493D68"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3E97A4FA" w14:textId="77777777" w:rsidR="00195812" w:rsidRDefault="00195812">
            <w:pPr>
              <w:pStyle w:val="Tablecolhead"/>
              <w:spacing w:line="279" w:lineRule="auto"/>
              <w:rPr>
                <w:rFonts w:eastAsia="Arial" w:cs="Arial"/>
                <w:bCs/>
                <w:szCs w:val="21"/>
              </w:rPr>
            </w:pPr>
            <w:r w:rsidRPr="2ECFC544">
              <w:rPr>
                <w:rFonts w:eastAsia="Arial" w:cs="Arial"/>
                <w:b w:val="0"/>
                <w:szCs w:val="21"/>
              </w:rPr>
              <w:lastRenderedPageBreak/>
              <w:t>Calculating performance</w:t>
            </w:r>
          </w:p>
        </w:tc>
        <w:tc>
          <w:tcPr>
            <w:tcW w:w="8503" w:type="dxa"/>
            <w:tcBorders>
              <w:left w:val="single" w:sz="6" w:space="0" w:color="000000" w:themeColor="text1"/>
              <w:right w:val="single" w:sz="6" w:space="0" w:color="auto"/>
            </w:tcBorders>
            <w:tcMar>
              <w:left w:w="90" w:type="dxa"/>
              <w:right w:w="90" w:type="dxa"/>
            </w:tcMar>
          </w:tcPr>
          <w:p w14:paraId="1D000CB7" w14:textId="5EB2685E" w:rsidR="00195812" w:rsidRDefault="00E93F06" w:rsidP="775A0E7C">
            <w:pPr>
              <w:pStyle w:val="Tabletext"/>
              <w:spacing w:line="279" w:lineRule="auto"/>
              <w:rPr>
                <w:rFonts w:eastAsia="Arial" w:cs="Arial"/>
              </w:rPr>
            </w:pPr>
            <w:r w:rsidRPr="00E93F06">
              <w:rPr>
                <w:rFonts w:eastAsia="Arial" w:cs="Arial"/>
                <w:szCs w:val="21"/>
              </w:rPr>
              <w:t>Percentage of Your Experience of Service (YES) survey respondents reporting a positive overall experience of care in the last 3 months with a clinical mental health service provider.</w:t>
            </w:r>
          </w:p>
          <w:p w14:paraId="04CD4AC9" w14:textId="38CCF40B" w:rsidR="00195812" w:rsidRDefault="7A1B6DB8" w:rsidP="4558EAF0">
            <w:pPr>
              <w:pStyle w:val="Tabletext"/>
              <w:spacing w:line="279" w:lineRule="auto"/>
              <w:rPr>
                <w:rFonts w:eastAsia="Arial" w:cs="Arial"/>
              </w:rPr>
            </w:pPr>
            <w:r w:rsidRPr="51A53248">
              <w:rPr>
                <w:rFonts w:eastAsia="Arial" w:cs="Arial"/>
              </w:rPr>
              <w:t>The average score of questions 1-22 is calculated for each respondent</w:t>
            </w:r>
            <w:r w:rsidR="01B5651E" w:rsidRPr="51A53248">
              <w:rPr>
                <w:rFonts w:eastAsia="Arial" w:cs="Arial"/>
              </w:rPr>
              <w:t>, where scores range from 1 to 5</w:t>
            </w:r>
            <w:r w:rsidR="000B5A4E">
              <w:rPr>
                <w:rFonts w:eastAsia="Arial" w:cs="Arial"/>
              </w:rPr>
              <w:t xml:space="preserve"> </w:t>
            </w:r>
            <w:r w:rsidR="004A6A74">
              <w:rPr>
                <w:rFonts w:eastAsia="Arial" w:cs="Arial"/>
              </w:rPr>
              <w:t>(</w:t>
            </w:r>
            <w:r w:rsidR="0014734B">
              <w:rPr>
                <w:rFonts w:eastAsia="Arial" w:cs="Arial"/>
              </w:rPr>
              <w:t>responses of</w:t>
            </w:r>
            <w:r w:rsidR="088BA8D1" w:rsidRPr="2CE05B3C">
              <w:rPr>
                <w:rFonts w:eastAsia="Arial" w:cs="Arial"/>
              </w:rPr>
              <w:t xml:space="preserve"> </w:t>
            </w:r>
            <w:r w:rsidR="088BA8D1" w:rsidRPr="041F4919">
              <w:rPr>
                <w:rFonts w:eastAsia="Arial" w:cs="Arial"/>
              </w:rPr>
              <w:t xml:space="preserve">4 and 5 </w:t>
            </w:r>
            <w:r w:rsidR="0014734B">
              <w:rPr>
                <w:rFonts w:eastAsia="Arial" w:cs="Arial"/>
              </w:rPr>
              <w:t xml:space="preserve">are </w:t>
            </w:r>
            <w:r w:rsidR="009F743A">
              <w:rPr>
                <w:rFonts w:eastAsia="Arial" w:cs="Arial"/>
              </w:rPr>
              <w:t>‘p</w:t>
            </w:r>
            <w:r w:rsidR="088BA8D1" w:rsidRPr="041F4919">
              <w:rPr>
                <w:rFonts w:eastAsia="Arial" w:cs="Arial"/>
              </w:rPr>
              <w:t>ositive</w:t>
            </w:r>
            <w:r w:rsidR="009F743A">
              <w:rPr>
                <w:rFonts w:eastAsia="Arial" w:cs="Arial"/>
              </w:rPr>
              <w:t>’</w:t>
            </w:r>
            <w:r w:rsidR="004A6A74">
              <w:rPr>
                <w:rFonts w:eastAsia="Arial" w:cs="Arial"/>
              </w:rPr>
              <w:t>)</w:t>
            </w:r>
            <w:r w:rsidR="088BA8D1" w:rsidRPr="041F4919">
              <w:rPr>
                <w:rFonts w:eastAsia="Arial" w:cs="Arial"/>
              </w:rPr>
              <w:t>.</w:t>
            </w:r>
            <w:r w:rsidR="088BA8D1" w:rsidRPr="27E30DD6">
              <w:rPr>
                <w:rFonts w:eastAsia="Arial" w:cs="Arial"/>
              </w:rPr>
              <w:t xml:space="preserve"> </w:t>
            </w:r>
            <w:r w:rsidR="088BA8D1" w:rsidRPr="758E3C89">
              <w:rPr>
                <w:rFonts w:eastAsia="Arial" w:cs="Arial"/>
              </w:rPr>
              <w:t xml:space="preserve">A respondent </w:t>
            </w:r>
            <w:r w:rsidR="00BE0F46">
              <w:rPr>
                <w:rFonts w:eastAsia="Arial" w:cs="Arial"/>
              </w:rPr>
              <w:t xml:space="preserve">with an </w:t>
            </w:r>
            <w:r w:rsidR="00BE0F46" w:rsidRPr="758E3C89">
              <w:rPr>
                <w:rFonts w:eastAsia="Arial" w:cs="Arial"/>
              </w:rPr>
              <w:t>average score greater than or equal to 4</w:t>
            </w:r>
            <w:r w:rsidR="00BE0F46">
              <w:rPr>
                <w:rFonts w:eastAsia="Arial" w:cs="Arial"/>
              </w:rPr>
              <w:t xml:space="preserve"> </w:t>
            </w:r>
            <w:r w:rsidR="088BA8D1" w:rsidRPr="758E3C89">
              <w:rPr>
                <w:rFonts w:eastAsia="Arial" w:cs="Arial"/>
              </w:rPr>
              <w:t xml:space="preserve">is </w:t>
            </w:r>
            <w:r w:rsidR="00BE0F46">
              <w:rPr>
                <w:rFonts w:eastAsia="Arial" w:cs="Arial"/>
              </w:rPr>
              <w:t xml:space="preserve">considered to have reported a positive </w:t>
            </w:r>
            <w:r w:rsidR="000D1BDA">
              <w:rPr>
                <w:rFonts w:eastAsia="Arial" w:cs="Arial"/>
              </w:rPr>
              <w:t xml:space="preserve">rating of </w:t>
            </w:r>
            <w:r w:rsidR="22990F84" w:rsidRPr="758E3C89">
              <w:rPr>
                <w:rFonts w:eastAsia="Arial" w:cs="Arial"/>
              </w:rPr>
              <w:t>their overall experience of care in the last three months.</w:t>
            </w:r>
          </w:p>
          <w:p w14:paraId="49F4714A" w14:textId="1BAEAB4A" w:rsidR="00195812" w:rsidRDefault="0AA87167" w:rsidP="534FDDBC">
            <w:pPr>
              <w:pStyle w:val="Tabletext"/>
              <w:spacing w:line="279" w:lineRule="auto"/>
              <w:rPr>
                <w:rFonts w:eastAsia="Arial" w:cs="Arial"/>
              </w:rPr>
            </w:pPr>
            <w:r w:rsidRPr="4558EAF0">
              <w:rPr>
                <w:rFonts w:eastAsia="Arial" w:cs="Arial"/>
              </w:rPr>
              <w:t xml:space="preserve">Only valid responses are used </w:t>
            </w:r>
            <w:r w:rsidR="009F743A">
              <w:rPr>
                <w:rFonts w:eastAsia="Arial" w:cs="Arial"/>
              </w:rPr>
              <w:t>to calculate</w:t>
            </w:r>
            <w:r w:rsidRPr="4558EAF0">
              <w:rPr>
                <w:rFonts w:eastAsia="Arial" w:cs="Arial"/>
              </w:rPr>
              <w:t xml:space="preserve"> an average score</w:t>
            </w:r>
            <w:r w:rsidRPr="4E6AF631">
              <w:rPr>
                <w:rFonts w:eastAsia="Arial" w:cs="Arial"/>
              </w:rPr>
              <w:t xml:space="preserve"> and only respon</w:t>
            </w:r>
            <w:r w:rsidR="78E9BD19" w:rsidRPr="4E6AF631">
              <w:rPr>
                <w:rFonts w:eastAsia="Arial" w:cs="Arial"/>
              </w:rPr>
              <w:t xml:space="preserve">dents </w:t>
            </w:r>
            <w:r w:rsidR="740B01B3" w:rsidRPr="122294CF">
              <w:rPr>
                <w:rFonts w:eastAsia="Arial" w:cs="Arial"/>
              </w:rPr>
              <w:t>w</w:t>
            </w:r>
            <w:r w:rsidR="6D3870D1" w:rsidRPr="122294CF">
              <w:rPr>
                <w:rFonts w:eastAsia="Arial" w:cs="Arial"/>
              </w:rPr>
              <w:t>ith valid responses to</w:t>
            </w:r>
            <w:r w:rsidR="78E9BD19" w:rsidRPr="51BFE088">
              <w:rPr>
                <w:rFonts w:eastAsia="Arial" w:cs="Arial"/>
              </w:rPr>
              <w:t xml:space="preserve"> at least 12 of questions 1-</w:t>
            </w:r>
            <w:r w:rsidR="78E9BD19" w:rsidRPr="24CD30FB">
              <w:rPr>
                <w:rFonts w:eastAsia="Arial" w:cs="Arial"/>
              </w:rPr>
              <w:t>22 are included.</w:t>
            </w:r>
          </w:p>
          <w:p w14:paraId="5AA0CF9A" w14:textId="2E7C7008" w:rsidR="00195812" w:rsidRDefault="78E9BD19">
            <w:pPr>
              <w:pStyle w:val="Tabletext"/>
              <w:spacing w:line="279" w:lineRule="auto"/>
              <w:rPr>
                <w:rFonts w:eastAsia="Arial" w:cs="Arial"/>
              </w:rPr>
            </w:pPr>
            <w:r w:rsidRPr="31B596C2">
              <w:rPr>
                <w:rFonts w:eastAsia="Arial" w:cs="Arial"/>
              </w:rPr>
              <w:t xml:space="preserve">Health services with less than </w:t>
            </w:r>
            <w:r w:rsidR="00846658">
              <w:rPr>
                <w:rFonts w:eastAsia="Arial" w:cs="Arial"/>
              </w:rPr>
              <w:t>3</w:t>
            </w:r>
            <w:r w:rsidRPr="31B596C2">
              <w:rPr>
                <w:rFonts w:eastAsia="Arial" w:cs="Arial"/>
              </w:rPr>
              <w:t>0 valid respondents (</w:t>
            </w:r>
            <w:r w:rsidRPr="3949D782">
              <w:rPr>
                <w:rFonts w:eastAsia="Arial" w:cs="Arial"/>
              </w:rPr>
              <w:t xml:space="preserve">i.e. </w:t>
            </w:r>
            <w:r w:rsidR="6C891DB6" w:rsidRPr="618850D9">
              <w:rPr>
                <w:rFonts w:eastAsia="Arial" w:cs="Arial"/>
              </w:rPr>
              <w:t xml:space="preserve">where a valid respondent is one who had </w:t>
            </w:r>
            <w:r w:rsidR="6C891DB6" w:rsidRPr="6A30A5DD">
              <w:rPr>
                <w:rFonts w:eastAsia="Arial" w:cs="Arial"/>
              </w:rPr>
              <w:t xml:space="preserve">a valid answer to </w:t>
            </w:r>
            <w:r w:rsidR="6C891DB6" w:rsidRPr="618850D9">
              <w:rPr>
                <w:rFonts w:eastAsia="Arial" w:cs="Arial"/>
              </w:rPr>
              <w:t xml:space="preserve">at </w:t>
            </w:r>
            <w:r w:rsidRPr="74D76087">
              <w:rPr>
                <w:rFonts w:eastAsia="Arial" w:cs="Arial"/>
              </w:rPr>
              <w:t>least 12 of questions 1-22)</w:t>
            </w:r>
            <w:r w:rsidRPr="3AD9D32E">
              <w:rPr>
                <w:rFonts w:eastAsia="Arial" w:cs="Arial"/>
              </w:rPr>
              <w:t xml:space="preserve"> are not reported separately but </w:t>
            </w:r>
            <w:r w:rsidRPr="597EA635">
              <w:rPr>
                <w:rFonts w:eastAsia="Arial" w:cs="Arial"/>
              </w:rPr>
              <w:t xml:space="preserve">contribute to the </w:t>
            </w:r>
            <w:r w:rsidRPr="1094E3D6">
              <w:rPr>
                <w:rFonts w:eastAsia="Arial" w:cs="Arial"/>
              </w:rPr>
              <w:t>statewi</w:t>
            </w:r>
            <w:r w:rsidR="027C9F74" w:rsidRPr="1094E3D6">
              <w:rPr>
                <w:rFonts w:eastAsia="Arial" w:cs="Arial"/>
              </w:rPr>
              <w:t>de results.</w:t>
            </w:r>
          </w:p>
        </w:tc>
      </w:tr>
      <w:tr w:rsidR="00195812" w14:paraId="1D58C15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2C59F4A" w14:textId="77777777" w:rsidR="00195812" w:rsidRDefault="00195812">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47DA50C0" w14:textId="2894AB47" w:rsidR="00195812" w:rsidRDefault="2531C41C" w:rsidP="000B3C91">
            <w:pPr>
              <w:pStyle w:val="Tabletext"/>
              <w:spacing w:line="279" w:lineRule="auto"/>
              <w:rPr>
                <w:rFonts w:eastAsia="Arial"/>
              </w:rPr>
            </w:pPr>
            <w:r w:rsidRPr="758E3C89">
              <w:rPr>
                <w:rFonts w:eastAsia="Arial" w:cs="Arial"/>
              </w:rPr>
              <w:t xml:space="preserve">Number of </w:t>
            </w:r>
            <w:r w:rsidRPr="4558EAF0">
              <w:rPr>
                <w:rFonts w:eastAsia="Arial" w:cs="Arial"/>
              </w:rPr>
              <w:t>respondents w</w:t>
            </w:r>
            <w:r w:rsidR="21848B59" w:rsidRPr="4558EAF0">
              <w:rPr>
                <w:rFonts w:eastAsia="Arial" w:cs="Arial"/>
              </w:rPr>
              <w:t>hose</w:t>
            </w:r>
            <w:r w:rsidRPr="4558EAF0">
              <w:rPr>
                <w:rFonts w:eastAsia="Arial" w:cs="Arial"/>
              </w:rPr>
              <w:t xml:space="preserve"> average score</w:t>
            </w:r>
            <w:r w:rsidR="00AA2138" w:rsidRPr="758E3C89">
              <w:rPr>
                <w:rFonts w:eastAsia="Arial" w:cs="Arial"/>
              </w:rPr>
              <w:t xml:space="preserve"> to questions 1-22</w:t>
            </w:r>
            <w:r w:rsidR="40B865D5" w:rsidRPr="4558EAF0">
              <w:rPr>
                <w:rFonts w:eastAsia="Arial" w:cs="Arial"/>
              </w:rPr>
              <w:t xml:space="preserve"> </w:t>
            </w:r>
            <w:r w:rsidR="530BAC64" w:rsidRPr="4558EAF0">
              <w:rPr>
                <w:rFonts w:eastAsia="Arial" w:cs="Arial"/>
              </w:rPr>
              <w:t>is</w:t>
            </w:r>
            <w:r w:rsidR="40B865D5" w:rsidRPr="4558EAF0">
              <w:rPr>
                <w:rFonts w:eastAsia="Arial" w:cs="Arial"/>
              </w:rPr>
              <w:t xml:space="preserve"> </w:t>
            </w:r>
            <w:r w:rsidR="530BAC64" w:rsidRPr="4558EAF0">
              <w:rPr>
                <w:rFonts w:eastAsia="Arial" w:cs="Arial"/>
              </w:rPr>
              <w:t>greater than or equal to 4</w:t>
            </w:r>
            <w:r w:rsidR="00AA2138" w:rsidRPr="758E3C89">
              <w:rPr>
                <w:rFonts w:eastAsia="Arial" w:cs="Arial"/>
              </w:rPr>
              <w:t xml:space="preserve">. </w:t>
            </w:r>
          </w:p>
        </w:tc>
      </w:tr>
      <w:tr w:rsidR="00195812" w14:paraId="2A44DE4A"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0FE46E0" w14:textId="77777777" w:rsidR="00195812" w:rsidRDefault="00195812">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25AAF34F" w14:textId="0496EC68" w:rsidR="00195812" w:rsidRPr="00C843A7" w:rsidRDefault="000C226B" w:rsidP="00194696">
            <w:pPr>
              <w:pStyle w:val="Tabletext"/>
              <w:spacing w:line="279" w:lineRule="auto"/>
              <w:rPr>
                <w:rFonts w:eastAsia="Arial"/>
              </w:rPr>
            </w:pPr>
            <w:r w:rsidRPr="0412F083">
              <w:rPr>
                <w:rFonts w:eastAsia="Arial" w:cs="Arial"/>
              </w:rPr>
              <w:t xml:space="preserve">Number of </w:t>
            </w:r>
            <w:r w:rsidR="443143D4" w:rsidRPr="0412F083">
              <w:rPr>
                <w:rFonts w:eastAsia="Arial" w:cs="Arial"/>
              </w:rPr>
              <w:t xml:space="preserve">survey respondents who had a </w:t>
            </w:r>
            <w:r w:rsidRPr="0412F083">
              <w:rPr>
                <w:rFonts w:eastAsia="Arial" w:cs="Arial"/>
              </w:rPr>
              <w:t xml:space="preserve">valid </w:t>
            </w:r>
            <w:r w:rsidR="53F26B83" w:rsidRPr="5AA63926">
              <w:rPr>
                <w:rFonts w:eastAsia="Arial" w:cs="Arial"/>
              </w:rPr>
              <w:t xml:space="preserve">answer to at least 12 </w:t>
            </w:r>
            <w:r w:rsidR="53F26B83" w:rsidRPr="1175FF44">
              <w:rPr>
                <w:rFonts w:eastAsia="Arial" w:cs="Arial"/>
              </w:rPr>
              <w:t>of</w:t>
            </w:r>
            <w:r w:rsidRPr="0412F083">
              <w:rPr>
                <w:rFonts w:eastAsia="Arial" w:cs="Arial"/>
              </w:rPr>
              <w:t xml:space="preserve"> questions 1-22 of the YES survey.</w:t>
            </w:r>
          </w:p>
        </w:tc>
      </w:tr>
      <w:tr w:rsidR="00195812" w14:paraId="32324CF7"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F108664" w14:textId="77777777" w:rsidR="00195812" w:rsidRDefault="00195812">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vAlign w:val="center"/>
          </w:tcPr>
          <w:p w14:paraId="28006513" w14:textId="77777777" w:rsidR="00195812" w:rsidRDefault="00195812">
            <w:pPr>
              <w:pStyle w:val="Tabletext"/>
              <w:spacing w:line="279" w:lineRule="auto"/>
              <w:rPr>
                <w:rFonts w:eastAsia="Arial" w:cs="Arial"/>
                <w:szCs w:val="21"/>
              </w:rPr>
            </w:pPr>
            <w:r w:rsidRPr="2ECFC544">
              <w:rPr>
                <w:rFonts w:eastAsia="Arial" w:cs="Arial"/>
                <w:szCs w:val="21"/>
              </w:rPr>
              <w:t>80 per cent</w:t>
            </w:r>
          </w:p>
        </w:tc>
      </w:tr>
      <w:tr w:rsidR="00195812" w14:paraId="621060AB"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EBF6903" w14:textId="77777777" w:rsidR="00195812" w:rsidRDefault="00195812">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202C644B" w14:textId="5DAAEFEA" w:rsidR="00195812" w:rsidRDefault="00653331">
            <w:pPr>
              <w:pStyle w:val="Tabletext"/>
              <w:spacing w:line="279" w:lineRule="auto"/>
              <w:rPr>
                <w:rFonts w:eastAsia="Arial" w:cs="Arial"/>
                <w:szCs w:val="21"/>
              </w:rPr>
            </w:pPr>
            <w:r>
              <w:rPr>
                <w:rFonts w:eastAsia="Arial" w:cs="Arial"/>
                <w:szCs w:val="21"/>
              </w:rPr>
              <w:t>Greater than or e</w:t>
            </w:r>
            <w:r w:rsidR="00195812" w:rsidRPr="2ECFC544">
              <w:rPr>
                <w:rFonts w:eastAsia="Arial" w:cs="Arial"/>
                <w:szCs w:val="21"/>
              </w:rPr>
              <w:t>qual to 80 per cent</w:t>
            </w:r>
          </w:p>
        </w:tc>
      </w:tr>
      <w:tr w:rsidR="00195812" w14:paraId="14DAF6D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9596EA4" w14:textId="77777777" w:rsidR="00195812" w:rsidRDefault="00195812">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66F66058" w14:textId="4AEFC76A" w:rsidR="00195812" w:rsidRDefault="00653331">
            <w:pPr>
              <w:pStyle w:val="Tabletext"/>
              <w:spacing w:line="279" w:lineRule="auto"/>
              <w:rPr>
                <w:rFonts w:eastAsia="Arial" w:cs="Arial"/>
                <w:szCs w:val="21"/>
              </w:rPr>
            </w:pPr>
            <w:r>
              <w:rPr>
                <w:rFonts w:eastAsia="Arial" w:cs="Arial"/>
                <w:szCs w:val="21"/>
              </w:rPr>
              <w:t>Less than</w:t>
            </w:r>
            <w:r w:rsidR="00195812" w:rsidRPr="2ECFC544">
              <w:rPr>
                <w:rFonts w:eastAsia="Arial" w:cs="Arial"/>
                <w:szCs w:val="21"/>
              </w:rPr>
              <w:t xml:space="preserve"> 80 per cent</w:t>
            </w:r>
          </w:p>
        </w:tc>
      </w:tr>
      <w:tr w:rsidR="00195812" w14:paraId="6C9907EC"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F3CA55F" w14:textId="77777777" w:rsidR="00195812" w:rsidRDefault="00195812">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44A0EC60" w14:textId="77777777" w:rsidR="00195812" w:rsidRDefault="00195812">
            <w:pPr>
              <w:pStyle w:val="Tabletext"/>
              <w:spacing w:line="279" w:lineRule="auto"/>
              <w:rPr>
                <w:rFonts w:eastAsia="Arial" w:cs="Arial"/>
                <w:szCs w:val="21"/>
              </w:rPr>
            </w:pPr>
            <w:proofErr w:type="gramStart"/>
            <w:r w:rsidRPr="2ECFC544">
              <w:rPr>
                <w:rFonts w:eastAsia="Arial" w:cs="Arial"/>
                <w:szCs w:val="21"/>
              </w:rPr>
              <w:t>For the purpose of</w:t>
            </w:r>
            <w:proofErr w:type="gramEnd"/>
            <w:r w:rsidRPr="2ECFC544">
              <w:rPr>
                <w:rFonts w:eastAsia="Arial" w:cs="Arial"/>
                <w:szCs w:val="21"/>
              </w:rPr>
              <w:t xml:space="preserve"> the performance risk assessment, improvement is compared to previous period performance.</w:t>
            </w:r>
          </w:p>
        </w:tc>
      </w:tr>
      <w:tr w:rsidR="00195812" w14:paraId="2D65F8A2"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45D1DBE6" w14:textId="77777777" w:rsidR="00195812" w:rsidRDefault="00195812">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1EEDE770" w14:textId="77777777" w:rsidR="00195812" w:rsidRDefault="00195812">
            <w:pPr>
              <w:pStyle w:val="Tabletext"/>
              <w:spacing w:line="279" w:lineRule="auto"/>
              <w:rPr>
                <w:rFonts w:eastAsia="Arial" w:cs="Arial"/>
                <w:szCs w:val="21"/>
              </w:rPr>
            </w:pPr>
            <w:r w:rsidRPr="2ECFC544">
              <w:rPr>
                <w:rFonts w:eastAsia="Arial" w:cs="Arial"/>
                <w:szCs w:val="21"/>
              </w:rPr>
              <w:t xml:space="preserve">Performance is reported annually by </w:t>
            </w:r>
            <w:r>
              <w:rPr>
                <w:rFonts w:eastAsia="Arial" w:cs="Arial"/>
                <w:szCs w:val="21"/>
              </w:rPr>
              <w:t>health service</w:t>
            </w:r>
            <w:r w:rsidRPr="2ECFC544">
              <w:rPr>
                <w:rFonts w:eastAsia="Arial" w:cs="Arial"/>
                <w:szCs w:val="21"/>
              </w:rPr>
              <w:t>.</w:t>
            </w:r>
          </w:p>
          <w:p w14:paraId="1F7A2EE6" w14:textId="4F5E89EC" w:rsidR="00195812" w:rsidRDefault="00195812" w:rsidP="00A77268">
            <w:pPr>
              <w:pStyle w:val="Tabletext"/>
              <w:spacing w:line="279" w:lineRule="auto"/>
              <w:rPr>
                <w:rFonts w:eastAsia="Arial" w:cs="Arial"/>
              </w:rPr>
            </w:pPr>
            <w:r w:rsidRPr="2ECFC544">
              <w:rPr>
                <w:rFonts w:eastAsia="Arial" w:cs="Arial"/>
                <w:szCs w:val="21"/>
              </w:rPr>
              <w:t>Data are sourced from the YES survey (clinical services)</w:t>
            </w:r>
            <w:r w:rsidR="00A62C0E">
              <w:rPr>
                <w:rFonts w:eastAsia="Arial" w:cs="Arial"/>
                <w:szCs w:val="21"/>
              </w:rPr>
              <w:t>.</w:t>
            </w:r>
            <w:r w:rsidRPr="2ECFC544">
              <w:rPr>
                <w:rFonts w:eastAsia="Arial" w:cs="Arial"/>
                <w:szCs w:val="21"/>
              </w:rPr>
              <w:t xml:space="preserve"> The YES survey </w:t>
            </w:r>
            <w:r w:rsidR="00C843A7">
              <w:rPr>
                <w:rFonts w:eastAsia="Arial" w:cs="Arial"/>
                <w:szCs w:val="21"/>
              </w:rPr>
              <w:t>is</w:t>
            </w:r>
            <w:r w:rsidRPr="2ECFC544">
              <w:rPr>
                <w:rFonts w:eastAsia="Arial" w:cs="Arial"/>
                <w:szCs w:val="21"/>
              </w:rPr>
              <w:t xml:space="preserve"> generally collected during a defined census period each year. </w:t>
            </w:r>
            <w:r w:rsidRPr="46BECCC4">
              <w:rPr>
                <w:rFonts w:eastAsia="Arial" w:cs="Arial"/>
              </w:rPr>
              <w:t>Participation is based on health services providing the questionnaire to recipients</w:t>
            </w:r>
            <w:r w:rsidR="00A77268">
              <w:rPr>
                <w:rFonts w:eastAsia="Arial" w:cs="Arial"/>
              </w:rPr>
              <w:t xml:space="preserve">. </w:t>
            </w:r>
            <w:r w:rsidR="00A77268">
              <w:rPr>
                <w:rFonts w:eastAsia="Arial" w:cs="Arial"/>
                <w:szCs w:val="21"/>
              </w:rPr>
              <w:t>A</w:t>
            </w:r>
            <w:r w:rsidR="00A77268" w:rsidRPr="2ECFC544">
              <w:rPr>
                <w:rFonts w:eastAsia="Arial" w:cs="Arial"/>
                <w:szCs w:val="21"/>
              </w:rPr>
              <w:t xml:space="preserve">t least 30 responses </w:t>
            </w:r>
            <w:r w:rsidR="00A77268">
              <w:rPr>
                <w:rFonts w:eastAsia="Arial" w:cs="Arial"/>
                <w:szCs w:val="21"/>
              </w:rPr>
              <w:t>are required</w:t>
            </w:r>
            <w:r w:rsidR="00A77268" w:rsidRPr="2ECFC544">
              <w:rPr>
                <w:rFonts w:eastAsia="Arial" w:cs="Arial"/>
                <w:szCs w:val="21"/>
              </w:rPr>
              <w:t xml:space="preserve"> to enable statistically significant analysis</w:t>
            </w:r>
            <w:r w:rsidRPr="46BECCC4">
              <w:rPr>
                <w:rFonts w:eastAsia="Arial" w:cs="Arial"/>
              </w:rPr>
              <w:t>.</w:t>
            </w:r>
          </w:p>
        </w:tc>
      </w:tr>
    </w:tbl>
    <w:p w14:paraId="40A06D63" w14:textId="6B145A62" w:rsidR="00140581" w:rsidRPr="00ED67A5" w:rsidRDefault="7ED0BF37" w:rsidP="008E7F78">
      <w:pPr>
        <w:pStyle w:val="Heading4"/>
        <w:rPr>
          <w:i/>
          <w:iCs/>
        </w:rPr>
      </w:pPr>
      <w:r w:rsidRPr="00ED67A5">
        <w:t>Percentage of families/carers reporting a ‘very good’ or ‘excellent’ overall experience of service</w:t>
      </w:r>
      <w:bookmarkEnd w:id="53"/>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60CA6111"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373477F5" w14:textId="0F8F8D0C" w:rsidR="2ECFC544" w:rsidRDefault="2ECFC544" w:rsidP="008111B9">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tcPr>
          <w:p w14:paraId="7567D8A9" w14:textId="6C607683" w:rsidR="2ECFC544" w:rsidRDefault="2ECFC544" w:rsidP="008111B9">
            <w:pPr>
              <w:pStyle w:val="Tabletext"/>
              <w:spacing w:line="279" w:lineRule="auto"/>
              <w:rPr>
                <w:rFonts w:eastAsia="Arial" w:cs="Arial"/>
                <w:szCs w:val="21"/>
              </w:rPr>
            </w:pPr>
            <w:r w:rsidRPr="2ECFC544">
              <w:rPr>
                <w:rFonts w:eastAsia="Arial" w:cs="Arial"/>
                <w:szCs w:val="21"/>
              </w:rPr>
              <w:t>Percentage of families/carers reporting a ‘very good’ or ‘excellent’ overall experience of service</w:t>
            </w:r>
            <w:r w:rsidR="00C55676">
              <w:rPr>
                <w:rFonts w:eastAsia="Arial" w:cs="Arial"/>
                <w:szCs w:val="21"/>
              </w:rPr>
              <w:t xml:space="preserve"> </w:t>
            </w:r>
            <w:r w:rsidR="00F86086">
              <w:rPr>
                <w:rFonts w:eastAsia="Arial"/>
              </w:rPr>
              <w:fldChar w:fldCharType="begin"/>
            </w:r>
            <w:r w:rsidR="00F86086">
              <w:rPr>
                <w:rFonts w:eastAsia="Arial" w:cs="Arial"/>
                <w:szCs w:val="21"/>
              </w:rPr>
              <w:instrText xml:space="preserve"> NOTEREF _Ref201832379 \f \h </w:instrText>
            </w:r>
            <w:r w:rsidR="0094255B">
              <w:rPr>
                <w:rFonts w:eastAsia="Arial"/>
              </w:rPr>
              <w:instrText xml:space="preserve"> \* MERGEFORMAT </w:instrText>
            </w:r>
            <w:r w:rsidR="00F86086">
              <w:rPr>
                <w:rFonts w:eastAsia="Arial"/>
              </w:rPr>
            </w:r>
            <w:r w:rsidR="00F86086">
              <w:rPr>
                <w:rFonts w:eastAsia="Arial"/>
              </w:rPr>
              <w:fldChar w:fldCharType="separate"/>
            </w:r>
            <w:r w:rsidR="00F86086" w:rsidRPr="00F86086">
              <w:rPr>
                <w:rStyle w:val="EndnoteReference"/>
                <w:rFonts w:eastAsia="Arial"/>
              </w:rPr>
              <w:t>iv</w:t>
            </w:r>
            <w:r w:rsidR="00F86086">
              <w:rPr>
                <w:rFonts w:eastAsia="Arial"/>
              </w:rPr>
              <w:fldChar w:fldCharType="end"/>
            </w:r>
          </w:p>
        </w:tc>
      </w:tr>
      <w:tr w:rsidR="2ECFC544" w14:paraId="0C3B3B64"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12F7FE0" w14:textId="6E265804" w:rsidR="2ECFC544" w:rsidRDefault="2ECFC544" w:rsidP="008111B9">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4B892A15" w14:textId="41B29037" w:rsidR="2ECFC544" w:rsidRDefault="2ECFC544" w:rsidP="008111B9">
            <w:pPr>
              <w:pStyle w:val="Tabletext"/>
              <w:spacing w:line="279" w:lineRule="auto"/>
              <w:rPr>
                <w:rFonts w:eastAsia="Arial" w:cs="Arial"/>
                <w:szCs w:val="21"/>
              </w:rPr>
            </w:pPr>
            <w:r w:rsidRPr="2ECFC544">
              <w:rPr>
                <w:rFonts w:eastAsia="Arial" w:cs="Arial"/>
                <w:szCs w:val="21"/>
              </w:rPr>
              <w:t xml:space="preserve">Personalised care and support </w:t>
            </w:r>
            <w:proofErr w:type="gramStart"/>
            <w:r w:rsidRPr="2ECFC544">
              <w:rPr>
                <w:rFonts w:eastAsia="Arial" w:cs="Arial"/>
                <w:szCs w:val="21"/>
              </w:rPr>
              <w:t>is</w:t>
            </w:r>
            <w:proofErr w:type="gramEnd"/>
            <w:r w:rsidRPr="2ECFC544">
              <w:rPr>
                <w:rFonts w:eastAsia="Arial" w:cs="Arial"/>
                <w:szCs w:val="21"/>
              </w:rPr>
              <w:t xml:space="preserve"> one of three national mental health and suicide prevention information priorities. It includes collecting and publishing consumer experience data at a range of levels to embed consumer experience of care at the heart of discussions about mental health services. </w:t>
            </w:r>
            <w:r w:rsidR="0087509A">
              <w:rPr>
                <w:rFonts w:eastAsia="Arial" w:cs="Arial"/>
                <w:szCs w:val="21"/>
              </w:rPr>
              <w:t>C</w:t>
            </w:r>
            <w:r w:rsidRPr="2ECFC544">
              <w:rPr>
                <w:rFonts w:eastAsia="Arial" w:cs="Arial"/>
                <w:szCs w:val="21"/>
              </w:rPr>
              <w:t>arer experience surveys are a key part of efforts to embed and amplify the voices of mental health carers in service improvement.</w:t>
            </w:r>
          </w:p>
          <w:p w14:paraId="33060B87" w14:textId="45C44D6E" w:rsidR="2ECFC544" w:rsidRDefault="2ECFC544" w:rsidP="008111B9">
            <w:pPr>
              <w:pStyle w:val="Tabletext"/>
              <w:spacing w:line="279" w:lineRule="auto"/>
              <w:rPr>
                <w:rFonts w:eastAsia="Arial" w:cs="Arial"/>
                <w:szCs w:val="21"/>
              </w:rPr>
            </w:pPr>
            <w:r w:rsidRPr="2ECFC544">
              <w:rPr>
                <w:rFonts w:eastAsia="Arial" w:cs="Arial"/>
                <w:szCs w:val="21"/>
              </w:rPr>
              <w:t xml:space="preserve">Additionally, the principles of the </w:t>
            </w:r>
            <w:r w:rsidRPr="2ECFC544">
              <w:rPr>
                <w:rFonts w:eastAsia="Arial" w:cs="Arial"/>
                <w:i/>
                <w:iCs/>
                <w:szCs w:val="21"/>
              </w:rPr>
              <w:t>Mental Health and Wellbeing Act 2022</w:t>
            </w:r>
            <w:r w:rsidRPr="2ECFC544">
              <w:rPr>
                <w:rFonts w:eastAsia="Arial" w:cs="Arial"/>
                <w:szCs w:val="21"/>
              </w:rPr>
              <w:t xml:space="preserve"> require mental health and wellbeing service providers to:</w:t>
            </w:r>
          </w:p>
          <w:p w14:paraId="281F6D26" w14:textId="36770519" w:rsidR="2ECFC544" w:rsidRDefault="2ECFC544" w:rsidP="008111B9">
            <w:pPr>
              <w:pStyle w:val="Tablebullet1"/>
              <w:spacing w:line="279" w:lineRule="auto"/>
              <w:rPr>
                <w:rFonts w:eastAsia="Arial" w:cs="Arial"/>
                <w:szCs w:val="21"/>
              </w:rPr>
            </w:pPr>
            <w:r w:rsidRPr="2ECFC544">
              <w:rPr>
                <w:rFonts w:eastAsia="Arial" w:cs="Arial"/>
                <w:szCs w:val="21"/>
              </w:rPr>
              <w:t>support the dignity and autonomy of people living with mental illness or psychological distress</w:t>
            </w:r>
          </w:p>
          <w:p w14:paraId="0B2F2F92" w14:textId="0D010940" w:rsidR="2ECFC544" w:rsidRDefault="2ECFC544" w:rsidP="008111B9">
            <w:pPr>
              <w:pStyle w:val="Tablebullet1"/>
              <w:spacing w:line="279" w:lineRule="auto"/>
              <w:rPr>
                <w:rFonts w:eastAsia="Arial" w:cs="Arial"/>
                <w:szCs w:val="21"/>
              </w:rPr>
            </w:pPr>
            <w:r w:rsidRPr="2ECFC544">
              <w:rPr>
                <w:rFonts w:eastAsia="Arial" w:cs="Arial"/>
                <w:szCs w:val="21"/>
              </w:rPr>
              <w:t>ensure people are involved in decisions about their treatment, care and support</w:t>
            </w:r>
          </w:p>
          <w:p w14:paraId="2A589027" w14:textId="60B736D3" w:rsidR="2ECFC544" w:rsidRDefault="2ECFC544" w:rsidP="008111B9">
            <w:pPr>
              <w:pStyle w:val="Tablebullet1"/>
              <w:spacing w:line="279" w:lineRule="auto"/>
              <w:rPr>
                <w:rFonts w:eastAsia="Arial" w:cs="Arial"/>
                <w:szCs w:val="21"/>
              </w:rPr>
            </w:pPr>
            <w:r w:rsidRPr="2ECFC544">
              <w:rPr>
                <w:rFonts w:eastAsia="Arial" w:cs="Arial"/>
                <w:szCs w:val="21"/>
              </w:rPr>
              <w:t>recognise the role of families, carers and supporters</w:t>
            </w:r>
          </w:p>
          <w:p w14:paraId="4A3D6E26" w14:textId="03FDA865" w:rsidR="2ECFC544" w:rsidRDefault="2ECFC544" w:rsidP="008111B9">
            <w:pPr>
              <w:pStyle w:val="Tablebullet1"/>
              <w:spacing w:line="279" w:lineRule="auto"/>
              <w:rPr>
                <w:rFonts w:eastAsia="Arial" w:cs="Arial"/>
                <w:szCs w:val="21"/>
              </w:rPr>
            </w:pPr>
            <w:r w:rsidRPr="2ECFC544">
              <w:rPr>
                <w:rFonts w:eastAsia="Arial" w:cs="Arial"/>
                <w:szCs w:val="21"/>
              </w:rPr>
              <w:t>ensure the service system responds to the diverse needs and preferences of Victorians.</w:t>
            </w:r>
          </w:p>
          <w:p w14:paraId="4D2C5785" w14:textId="14D819C7" w:rsidR="2ECFC544" w:rsidRDefault="2ECFC544" w:rsidP="008111B9">
            <w:pPr>
              <w:pStyle w:val="Tabletext"/>
              <w:spacing w:line="279" w:lineRule="auto"/>
              <w:rPr>
                <w:rFonts w:eastAsia="Arial" w:cs="Arial"/>
                <w:szCs w:val="21"/>
              </w:rPr>
            </w:pPr>
            <w:r w:rsidRPr="2ECFC544">
              <w:rPr>
                <w:rFonts w:eastAsia="Arial" w:cs="Arial"/>
                <w:szCs w:val="21"/>
              </w:rPr>
              <w:t xml:space="preserve">These principles apply to all mental health </w:t>
            </w:r>
            <w:r w:rsidR="00620E4C">
              <w:rPr>
                <w:rFonts w:eastAsia="Arial" w:cs="Arial"/>
                <w:szCs w:val="21"/>
              </w:rPr>
              <w:t xml:space="preserve">and </w:t>
            </w:r>
            <w:r w:rsidRPr="2ECFC544">
              <w:rPr>
                <w:rFonts w:eastAsia="Arial" w:cs="Arial"/>
                <w:szCs w:val="21"/>
              </w:rPr>
              <w:t>wellbeing service providers.</w:t>
            </w:r>
          </w:p>
          <w:p w14:paraId="0C161D99" w14:textId="4F855CB0" w:rsidR="2ECFC544" w:rsidRDefault="2ECFC544" w:rsidP="008111B9">
            <w:pPr>
              <w:pStyle w:val="Tabletext"/>
              <w:spacing w:line="279" w:lineRule="auto"/>
              <w:rPr>
                <w:rFonts w:eastAsia="Arial" w:cs="Arial"/>
                <w:szCs w:val="21"/>
              </w:rPr>
            </w:pPr>
            <w:r w:rsidRPr="2ECFC544">
              <w:rPr>
                <w:rFonts w:eastAsia="Arial" w:cs="Arial"/>
                <w:szCs w:val="21"/>
              </w:rPr>
              <w:t xml:space="preserve">Clinical best practice requires identification, recognition, and involvement of families and carers, including children, across the service continuum. Clinicians </w:t>
            </w:r>
            <w:r w:rsidR="00666AFA">
              <w:rPr>
                <w:rFonts w:eastAsia="Arial" w:cs="Arial"/>
                <w:szCs w:val="21"/>
              </w:rPr>
              <w:t>should</w:t>
            </w:r>
            <w:r w:rsidRPr="2ECFC544">
              <w:rPr>
                <w:rFonts w:eastAsia="Arial" w:cs="Arial"/>
                <w:szCs w:val="21"/>
              </w:rPr>
              <w:t xml:space="preserve"> actively engage with families and carers as an essential part of mental health service delivery and acknowledge that some consumers may not want their families involved </w:t>
            </w:r>
            <w:r w:rsidR="00C67C44">
              <w:rPr>
                <w:rFonts w:eastAsia="Arial" w:cs="Arial"/>
                <w:szCs w:val="21"/>
              </w:rPr>
              <w:t>or</w:t>
            </w:r>
            <w:r w:rsidRPr="2ECFC544">
              <w:rPr>
                <w:rFonts w:eastAsia="Arial" w:cs="Arial"/>
                <w:szCs w:val="21"/>
              </w:rPr>
              <w:t xml:space="preserve"> some families may not want to be involved.</w:t>
            </w:r>
          </w:p>
        </w:tc>
      </w:tr>
      <w:tr w:rsidR="2ECFC544" w14:paraId="207B359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C0D947A" w14:textId="7F60E341" w:rsidR="2ECFC544" w:rsidRDefault="2ECFC544" w:rsidP="008111B9">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1115915A" w14:textId="4261AC00" w:rsidR="2ECFC544" w:rsidRDefault="2ECFC544" w:rsidP="008111B9">
            <w:pPr>
              <w:pStyle w:val="Tabletext"/>
              <w:spacing w:line="279" w:lineRule="auto"/>
              <w:rPr>
                <w:rFonts w:eastAsia="Arial" w:cs="Arial"/>
                <w:szCs w:val="21"/>
              </w:rPr>
            </w:pPr>
            <w:r w:rsidRPr="2ECFC544">
              <w:rPr>
                <w:rFonts w:eastAsia="Arial" w:cs="Arial"/>
                <w:szCs w:val="21"/>
              </w:rPr>
              <w:t xml:space="preserve">The percentage of valid responses to </w:t>
            </w:r>
            <w:r w:rsidR="00A66196">
              <w:rPr>
                <w:rFonts w:eastAsia="Arial" w:cs="Arial"/>
                <w:szCs w:val="21"/>
              </w:rPr>
              <w:t xml:space="preserve">the </w:t>
            </w:r>
            <w:r w:rsidRPr="2ECFC544">
              <w:rPr>
                <w:rFonts w:eastAsia="Arial" w:cs="Arial"/>
                <w:szCs w:val="21"/>
              </w:rPr>
              <w:t>Carer Experience of Service (CES) survey responding with 'Very good' or 'Excellent' to the overall experience question on each survey.</w:t>
            </w:r>
          </w:p>
        </w:tc>
      </w:tr>
      <w:tr w:rsidR="2ECFC544" w14:paraId="481E7EC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A0191B5" w14:textId="3FFCB607" w:rsidR="2ECFC544" w:rsidRDefault="2ECFC544" w:rsidP="008111B9">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03A2C1F7" w14:textId="57E0F61E" w:rsidR="2ECFC544" w:rsidRDefault="5CCBE381" w:rsidP="55528ABA">
            <w:pPr>
              <w:pStyle w:val="Tabletext"/>
              <w:spacing w:line="279" w:lineRule="auto"/>
              <w:rPr>
                <w:rFonts w:eastAsia="Arial" w:cs="Arial"/>
              </w:rPr>
            </w:pPr>
            <w:r w:rsidRPr="55528ABA">
              <w:rPr>
                <w:rFonts w:eastAsia="Arial" w:cs="Arial"/>
              </w:rPr>
              <w:t xml:space="preserve">Number of </w:t>
            </w:r>
            <w:r w:rsidR="0FB9A424" w:rsidRPr="55528ABA">
              <w:rPr>
                <w:rFonts w:eastAsia="Arial" w:cs="Arial"/>
              </w:rPr>
              <w:t xml:space="preserve">‘Very good’ or </w:t>
            </w:r>
            <w:r w:rsidRPr="55528ABA">
              <w:rPr>
                <w:rFonts w:eastAsia="Arial" w:cs="Arial"/>
              </w:rPr>
              <w:t>‘Excellent’ or responses to question</w:t>
            </w:r>
            <w:r w:rsidR="0ECFF587" w:rsidRPr="55528ABA">
              <w:rPr>
                <w:rFonts w:eastAsia="Arial" w:cs="Arial"/>
              </w:rPr>
              <w:t xml:space="preserve"> 26</w:t>
            </w:r>
            <w:r w:rsidR="25B51887" w:rsidRPr="55528ABA">
              <w:rPr>
                <w:rFonts w:eastAsia="Arial" w:cs="Arial"/>
              </w:rPr>
              <w:t>,</w:t>
            </w:r>
            <w:r w:rsidR="0ECFF587" w:rsidRPr="55528ABA">
              <w:rPr>
                <w:rFonts w:eastAsia="Arial" w:cs="Arial"/>
              </w:rPr>
              <w:t xml:space="preserve"> </w:t>
            </w:r>
            <w:r w:rsidR="7F3699B8" w:rsidRPr="55528ABA">
              <w:rPr>
                <w:rFonts w:eastAsia="Arial" w:cs="Arial"/>
              </w:rPr>
              <w:t>‘</w:t>
            </w:r>
            <w:r w:rsidR="7F3699B8" w:rsidRPr="55528ABA">
              <w:rPr>
                <w:rFonts w:eastAsia="Arial" w:cs="Arial"/>
                <w:i/>
                <w:iCs/>
              </w:rPr>
              <w:t xml:space="preserve">Overall, how would you rate your experience as a </w:t>
            </w:r>
            <w:bookmarkStart w:id="55" w:name="_Int_1dTQbPM5"/>
            <w:r w:rsidR="7F3699B8" w:rsidRPr="55528ABA">
              <w:rPr>
                <w:rFonts w:eastAsia="Arial" w:cs="Arial"/>
                <w:i/>
                <w:iCs/>
              </w:rPr>
              <w:t>carer</w:t>
            </w:r>
            <w:bookmarkEnd w:id="55"/>
            <w:r w:rsidR="7F3699B8" w:rsidRPr="55528ABA">
              <w:rPr>
                <w:rFonts w:eastAsia="Arial" w:cs="Arial"/>
                <w:i/>
                <w:iCs/>
              </w:rPr>
              <w:t xml:space="preserve"> with this mental health service over the last six months?’</w:t>
            </w:r>
            <w:r w:rsidR="7E41AF90" w:rsidRPr="55528ABA">
              <w:rPr>
                <w:rFonts w:eastAsia="Arial" w:cs="Arial"/>
              </w:rPr>
              <w:t>.</w:t>
            </w:r>
            <w:r w:rsidR="0ECFF587" w:rsidRPr="55528ABA">
              <w:rPr>
                <w:rFonts w:eastAsia="Arial" w:cs="Arial"/>
              </w:rPr>
              <w:t xml:space="preserve"> </w:t>
            </w:r>
          </w:p>
        </w:tc>
      </w:tr>
      <w:tr w:rsidR="2ECFC544" w14:paraId="5B539366"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AAEE600" w14:textId="6980A1C0" w:rsidR="2ECFC544" w:rsidRDefault="2ECFC544" w:rsidP="008111B9">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52DF2538" w14:textId="26659B85" w:rsidR="0099297A" w:rsidRDefault="5CCBE381" w:rsidP="55528ABA">
            <w:pPr>
              <w:pStyle w:val="Tabletext"/>
              <w:spacing w:line="279" w:lineRule="auto"/>
              <w:rPr>
                <w:rFonts w:eastAsia="Arial" w:cs="Arial"/>
              </w:rPr>
            </w:pPr>
            <w:r w:rsidRPr="55528ABA">
              <w:rPr>
                <w:rFonts w:eastAsia="Arial" w:cs="Arial"/>
              </w:rPr>
              <w:t xml:space="preserve">Number of valid responses to </w:t>
            </w:r>
            <w:r w:rsidR="689C3973" w:rsidRPr="55528ABA">
              <w:rPr>
                <w:rFonts w:eastAsia="Arial" w:cs="Arial"/>
              </w:rPr>
              <w:t>question 26 ‘</w:t>
            </w:r>
            <w:r w:rsidR="689C3973" w:rsidRPr="55528ABA">
              <w:rPr>
                <w:rFonts w:eastAsia="Arial" w:cs="Arial"/>
                <w:i/>
                <w:iCs/>
              </w:rPr>
              <w:t xml:space="preserve">Overall, how would you rate your experience as a </w:t>
            </w:r>
            <w:bookmarkStart w:id="56" w:name="_Int_E4XDwf12"/>
            <w:r w:rsidR="689C3973" w:rsidRPr="55528ABA">
              <w:rPr>
                <w:rFonts w:eastAsia="Arial" w:cs="Arial"/>
                <w:i/>
                <w:iCs/>
              </w:rPr>
              <w:t>carer</w:t>
            </w:r>
            <w:bookmarkEnd w:id="56"/>
            <w:r w:rsidR="689C3973" w:rsidRPr="55528ABA">
              <w:rPr>
                <w:rFonts w:eastAsia="Arial" w:cs="Arial"/>
                <w:i/>
                <w:iCs/>
              </w:rPr>
              <w:t xml:space="preserve"> with this mental health service over the last six months?’</w:t>
            </w:r>
            <w:r w:rsidR="7E41AF90" w:rsidRPr="55528ABA">
              <w:rPr>
                <w:rFonts w:eastAsia="Arial" w:cs="Arial"/>
                <w:i/>
                <w:iCs/>
              </w:rPr>
              <w:t>.</w:t>
            </w:r>
          </w:p>
          <w:p w14:paraId="1A4BC92B" w14:textId="509A41A5" w:rsidR="2ECFC544" w:rsidRPr="00A6731D" w:rsidRDefault="2ECFC544" w:rsidP="00D705DE">
            <w:pPr>
              <w:pStyle w:val="Tabletext"/>
              <w:rPr>
                <w:rFonts w:eastAsia="Arial" w:cs="Arial"/>
                <w:szCs w:val="21"/>
              </w:rPr>
            </w:pPr>
            <w:r w:rsidRPr="2ECFC544">
              <w:rPr>
                <w:rFonts w:eastAsia="Arial" w:cs="Arial"/>
                <w:szCs w:val="21"/>
              </w:rPr>
              <w:t>The denominator excludes</w:t>
            </w:r>
            <w:r w:rsidR="00A9167A">
              <w:rPr>
                <w:rFonts w:eastAsia="Arial" w:cs="Arial"/>
                <w:szCs w:val="21"/>
              </w:rPr>
              <w:t xml:space="preserve"> </w:t>
            </w:r>
            <w:r w:rsidRPr="00A6731D">
              <w:rPr>
                <w:rFonts w:eastAsia="Arial" w:cs="Arial"/>
                <w:szCs w:val="21"/>
              </w:rPr>
              <w:t xml:space="preserve">‘don’t know’ </w:t>
            </w:r>
            <w:r w:rsidR="00A9167A">
              <w:rPr>
                <w:rFonts w:eastAsia="Arial" w:cs="Arial"/>
                <w:szCs w:val="21"/>
              </w:rPr>
              <w:t xml:space="preserve">or </w:t>
            </w:r>
            <w:r w:rsidR="002D4110">
              <w:rPr>
                <w:rFonts w:eastAsia="Arial" w:cs="Arial"/>
                <w:szCs w:val="21"/>
              </w:rPr>
              <w:t xml:space="preserve">missing </w:t>
            </w:r>
            <w:r w:rsidRPr="00A6731D">
              <w:rPr>
                <w:rFonts w:eastAsia="Arial" w:cs="Arial"/>
                <w:szCs w:val="21"/>
              </w:rPr>
              <w:t>response</w:t>
            </w:r>
            <w:r w:rsidR="003F47DA">
              <w:rPr>
                <w:rFonts w:eastAsia="Arial" w:cs="Arial"/>
                <w:szCs w:val="21"/>
              </w:rPr>
              <w:t>s</w:t>
            </w:r>
            <w:r w:rsidR="002D4110">
              <w:rPr>
                <w:rFonts w:eastAsia="Arial" w:cs="Arial"/>
                <w:szCs w:val="21"/>
              </w:rPr>
              <w:t>.</w:t>
            </w:r>
          </w:p>
        </w:tc>
      </w:tr>
      <w:tr w:rsidR="2ECFC544" w14:paraId="7277DBC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7756A67" w14:textId="753B989D" w:rsidR="2ECFC544" w:rsidRDefault="2ECFC544" w:rsidP="008111B9">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vAlign w:val="center"/>
          </w:tcPr>
          <w:p w14:paraId="0C4C2759" w14:textId="056A38C8" w:rsidR="2ECFC544" w:rsidRDefault="2ECFC544" w:rsidP="008111B9">
            <w:pPr>
              <w:pStyle w:val="Tabletext"/>
              <w:spacing w:line="279" w:lineRule="auto"/>
              <w:rPr>
                <w:rFonts w:eastAsia="Arial" w:cs="Arial"/>
                <w:szCs w:val="21"/>
              </w:rPr>
            </w:pPr>
            <w:r w:rsidRPr="2ECFC544">
              <w:rPr>
                <w:rFonts w:eastAsia="Arial" w:cs="Arial"/>
                <w:szCs w:val="21"/>
              </w:rPr>
              <w:t>80 per cent</w:t>
            </w:r>
          </w:p>
        </w:tc>
      </w:tr>
      <w:tr w:rsidR="2ECFC544" w14:paraId="30E1BE34"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1706C9A" w14:textId="2F0F2EAF" w:rsidR="2ECFC544" w:rsidRDefault="2ECFC544" w:rsidP="008111B9">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62CF9F9C" w14:textId="468F30B2" w:rsidR="2ECFC544" w:rsidRDefault="00653331" w:rsidP="008111B9">
            <w:pPr>
              <w:pStyle w:val="Tabletext"/>
              <w:spacing w:line="279" w:lineRule="auto"/>
              <w:rPr>
                <w:rFonts w:eastAsia="Arial" w:cs="Arial"/>
                <w:szCs w:val="21"/>
              </w:rPr>
            </w:pPr>
            <w:r>
              <w:rPr>
                <w:rFonts w:eastAsia="Arial" w:cs="Arial"/>
                <w:szCs w:val="21"/>
              </w:rPr>
              <w:t>Greater than or e</w:t>
            </w:r>
            <w:r w:rsidR="2ECFC544" w:rsidRPr="2ECFC544">
              <w:rPr>
                <w:rFonts w:eastAsia="Arial" w:cs="Arial"/>
                <w:szCs w:val="21"/>
              </w:rPr>
              <w:t>qual to 80 per cent</w:t>
            </w:r>
          </w:p>
        </w:tc>
      </w:tr>
      <w:tr w:rsidR="2ECFC544" w14:paraId="44BCC30C"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9CFF670" w14:textId="7C88F3B7" w:rsidR="2ECFC544" w:rsidRDefault="2ECFC544" w:rsidP="008111B9">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090DB7DB" w14:textId="66461DE8" w:rsidR="2ECFC544" w:rsidRDefault="00653331" w:rsidP="008111B9">
            <w:pPr>
              <w:pStyle w:val="Tabletext"/>
              <w:spacing w:line="279" w:lineRule="auto"/>
              <w:rPr>
                <w:rFonts w:eastAsia="Arial" w:cs="Arial"/>
                <w:szCs w:val="21"/>
              </w:rPr>
            </w:pPr>
            <w:r>
              <w:rPr>
                <w:rFonts w:eastAsia="Arial" w:cs="Arial"/>
                <w:szCs w:val="21"/>
              </w:rPr>
              <w:t>Less than</w:t>
            </w:r>
            <w:r w:rsidR="2ECFC544" w:rsidRPr="2ECFC544">
              <w:rPr>
                <w:rFonts w:eastAsia="Arial" w:cs="Arial"/>
                <w:szCs w:val="21"/>
              </w:rPr>
              <w:t xml:space="preserve"> 80 per cent</w:t>
            </w:r>
          </w:p>
        </w:tc>
      </w:tr>
      <w:tr w:rsidR="2ECFC544" w14:paraId="1F36DAD7"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2360024" w14:textId="7BE87E61" w:rsidR="2ECFC544" w:rsidRDefault="2ECFC544" w:rsidP="008111B9">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0E7941E7" w14:textId="709B032D" w:rsidR="2ECFC544" w:rsidRDefault="2ECFC544" w:rsidP="008111B9">
            <w:pPr>
              <w:pStyle w:val="Tabletext"/>
              <w:spacing w:line="279" w:lineRule="auto"/>
              <w:rPr>
                <w:rFonts w:eastAsia="Arial" w:cs="Arial"/>
                <w:szCs w:val="21"/>
              </w:rPr>
            </w:pPr>
            <w:proofErr w:type="gramStart"/>
            <w:r w:rsidRPr="2ECFC544">
              <w:rPr>
                <w:rFonts w:eastAsia="Arial" w:cs="Arial"/>
                <w:szCs w:val="21"/>
              </w:rPr>
              <w:t>For the purpose of</w:t>
            </w:r>
            <w:proofErr w:type="gramEnd"/>
            <w:r w:rsidRPr="2ECFC544">
              <w:rPr>
                <w:rFonts w:eastAsia="Arial" w:cs="Arial"/>
                <w:szCs w:val="21"/>
              </w:rPr>
              <w:t xml:space="preserve"> the performance risk assessment, improvement is compared to previous period performance.</w:t>
            </w:r>
          </w:p>
        </w:tc>
      </w:tr>
      <w:tr w:rsidR="2ECFC544" w14:paraId="4666B33C"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4D7885B7" w14:textId="7B684436" w:rsidR="2ECFC544" w:rsidRDefault="2ECFC544" w:rsidP="008111B9">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32607145" w14:textId="0A2F6933" w:rsidR="2ECFC544" w:rsidRDefault="2ECFC544" w:rsidP="008111B9">
            <w:pPr>
              <w:pStyle w:val="Tabletext"/>
              <w:spacing w:line="279" w:lineRule="auto"/>
              <w:rPr>
                <w:rFonts w:eastAsia="Arial" w:cs="Arial"/>
                <w:szCs w:val="21"/>
              </w:rPr>
            </w:pPr>
            <w:r w:rsidRPr="2ECFC544">
              <w:rPr>
                <w:rFonts w:eastAsia="Arial" w:cs="Arial"/>
                <w:szCs w:val="21"/>
              </w:rPr>
              <w:t xml:space="preserve">Performance is reported annually by </w:t>
            </w:r>
            <w:r w:rsidR="00762B5A">
              <w:rPr>
                <w:rFonts w:eastAsia="Arial" w:cs="Arial"/>
                <w:szCs w:val="21"/>
              </w:rPr>
              <w:t>health service</w:t>
            </w:r>
            <w:r w:rsidRPr="2ECFC544">
              <w:rPr>
                <w:rFonts w:eastAsia="Arial" w:cs="Arial"/>
                <w:szCs w:val="21"/>
              </w:rPr>
              <w:t>.</w:t>
            </w:r>
          </w:p>
          <w:p w14:paraId="70B5BE47" w14:textId="75226190" w:rsidR="2ECFC544" w:rsidRDefault="2ECFC544" w:rsidP="008111B9">
            <w:pPr>
              <w:pStyle w:val="Tabletext"/>
              <w:spacing w:line="279" w:lineRule="auto"/>
              <w:rPr>
                <w:rFonts w:eastAsia="Arial" w:cs="Arial"/>
                <w:szCs w:val="21"/>
              </w:rPr>
            </w:pPr>
            <w:r w:rsidRPr="2ECFC544">
              <w:rPr>
                <w:rFonts w:eastAsia="Arial" w:cs="Arial"/>
                <w:szCs w:val="21"/>
              </w:rPr>
              <w:t xml:space="preserve">Data are sourced from the CES survey. The CES survey </w:t>
            </w:r>
            <w:r w:rsidR="00712BE0">
              <w:rPr>
                <w:rFonts w:eastAsia="Arial" w:cs="Arial"/>
                <w:szCs w:val="21"/>
              </w:rPr>
              <w:t>is</w:t>
            </w:r>
            <w:r w:rsidRPr="2ECFC544">
              <w:rPr>
                <w:rFonts w:eastAsia="Arial" w:cs="Arial"/>
                <w:szCs w:val="21"/>
              </w:rPr>
              <w:t xml:space="preserve"> generally collected during a defined census period each year. Participation is based on health services providing the questionnaire to recipients</w:t>
            </w:r>
            <w:r w:rsidR="00937C20">
              <w:rPr>
                <w:rFonts w:eastAsia="Arial" w:cs="Arial"/>
                <w:szCs w:val="21"/>
              </w:rPr>
              <w:t xml:space="preserve">. </w:t>
            </w:r>
            <w:r w:rsidR="007409B4">
              <w:rPr>
                <w:rFonts w:eastAsia="Arial" w:cs="Arial"/>
                <w:szCs w:val="21"/>
              </w:rPr>
              <w:t>A</w:t>
            </w:r>
            <w:r w:rsidR="007409B4" w:rsidRPr="2ECFC544">
              <w:rPr>
                <w:rFonts w:eastAsia="Arial" w:cs="Arial"/>
                <w:szCs w:val="21"/>
              </w:rPr>
              <w:t xml:space="preserve">t least 30 responses </w:t>
            </w:r>
            <w:r w:rsidR="007409B4">
              <w:rPr>
                <w:rFonts w:eastAsia="Arial" w:cs="Arial"/>
                <w:szCs w:val="21"/>
              </w:rPr>
              <w:t>are required</w:t>
            </w:r>
            <w:r w:rsidR="007409B4" w:rsidRPr="2ECFC544">
              <w:rPr>
                <w:rFonts w:eastAsia="Arial" w:cs="Arial"/>
                <w:szCs w:val="21"/>
              </w:rPr>
              <w:t xml:space="preserve"> to enable statistically significant analysis</w:t>
            </w:r>
            <w:r w:rsidR="007409B4">
              <w:rPr>
                <w:rFonts w:eastAsia="Arial" w:cs="Arial"/>
                <w:szCs w:val="21"/>
              </w:rPr>
              <w:t>.</w:t>
            </w:r>
          </w:p>
        </w:tc>
      </w:tr>
    </w:tbl>
    <w:p w14:paraId="523C1C6F" w14:textId="0A9A9366" w:rsidR="1561B477" w:rsidRDefault="1561B477" w:rsidP="008E7F78">
      <w:pPr>
        <w:pStyle w:val="Heading4"/>
        <w:rPr>
          <w:i/>
        </w:rPr>
      </w:pPr>
      <w:bookmarkStart w:id="57" w:name="_Toc2052012771"/>
      <w:r w:rsidRPr="7666B50E">
        <w:rPr>
          <w:rFonts w:eastAsia="Arial" w:cs="Arial"/>
        </w:rPr>
        <w:t xml:space="preserve">Percentage of families/carers who </w:t>
      </w:r>
      <w:r w:rsidRPr="60A73C79">
        <w:rPr>
          <w:rFonts w:eastAsia="Arial" w:cs="Arial"/>
        </w:rPr>
        <w:t>report</w:t>
      </w:r>
      <w:r w:rsidRPr="7666B50E">
        <w:rPr>
          <w:rFonts w:eastAsia="Arial" w:cs="Arial"/>
        </w:rPr>
        <w:t xml:space="preserve"> they ‘always’ or ‘usually’ felt their opinions as a carer were respected</w:t>
      </w:r>
      <w:bookmarkEnd w:id="57"/>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5832CFA4"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235F66E" w14:textId="4B2C0802" w:rsidR="2ECFC544" w:rsidRDefault="2ECFC544" w:rsidP="008111B9">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tcPr>
          <w:p w14:paraId="2FB93427" w14:textId="6E1F6AA0" w:rsidR="2ECFC544" w:rsidRDefault="2ECFC544" w:rsidP="008111B9">
            <w:pPr>
              <w:pStyle w:val="Tabletext"/>
              <w:spacing w:line="279" w:lineRule="auto"/>
              <w:rPr>
                <w:rFonts w:eastAsia="Arial" w:cs="Arial"/>
                <w:szCs w:val="21"/>
              </w:rPr>
            </w:pPr>
            <w:r w:rsidRPr="2ECFC544">
              <w:rPr>
                <w:rFonts w:eastAsia="Arial" w:cs="Arial"/>
                <w:szCs w:val="21"/>
              </w:rPr>
              <w:t>Percentage of families/carers reporting they ‘usually’ or ‘always’ felt their opinions as a carer were respected</w:t>
            </w:r>
            <w:r w:rsidR="00D14BA0">
              <w:rPr>
                <w:rFonts w:eastAsia="Arial" w:cs="Arial"/>
                <w:szCs w:val="21"/>
              </w:rPr>
              <w:t xml:space="preserve"> </w:t>
            </w:r>
            <w:r w:rsidR="00F86086">
              <w:rPr>
                <w:rFonts w:eastAsia="Arial" w:cs="Arial"/>
                <w:szCs w:val="21"/>
              </w:rPr>
              <w:fldChar w:fldCharType="begin"/>
            </w:r>
            <w:r w:rsidR="00F86086">
              <w:rPr>
                <w:rFonts w:eastAsia="Arial" w:cs="Arial"/>
                <w:szCs w:val="21"/>
              </w:rPr>
              <w:instrText xml:space="preserve"> NOTEREF _Ref201832379 \f \h </w:instrText>
            </w:r>
            <w:r w:rsidR="0094255B">
              <w:rPr>
                <w:rFonts w:eastAsia="Arial" w:cs="Arial"/>
                <w:szCs w:val="21"/>
              </w:rPr>
              <w:instrText xml:space="preserve"> \* MERGEFORMAT </w:instrText>
            </w:r>
            <w:r w:rsidR="00F86086">
              <w:rPr>
                <w:rFonts w:eastAsia="Arial" w:cs="Arial"/>
                <w:szCs w:val="21"/>
              </w:rPr>
            </w:r>
            <w:r w:rsidR="00F86086">
              <w:rPr>
                <w:rFonts w:eastAsia="Arial" w:cs="Arial"/>
                <w:szCs w:val="21"/>
              </w:rPr>
              <w:fldChar w:fldCharType="separate"/>
            </w:r>
            <w:r w:rsidR="00F86086" w:rsidRPr="00F86086">
              <w:rPr>
                <w:rStyle w:val="EndnoteReference"/>
                <w:rFonts w:eastAsia="Arial"/>
              </w:rPr>
              <w:t>iv</w:t>
            </w:r>
            <w:r w:rsidR="00F86086">
              <w:rPr>
                <w:rFonts w:eastAsia="Arial" w:cs="Arial"/>
                <w:szCs w:val="21"/>
              </w:rPr>
              <w:fldChar w:fldCharType="end"/>
            </w:r>
          </w:p>
        </w:tc>
      </w:tr>
      <w:tr w:rsidR="2ECFC544" w14:paraId="22DA6D0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92BB644" w14:textId="5438D33C" w:rsidR="2ECFC544" w:rsidRDefault="2ECFC544" w:rsidP="008111B9">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788060B2" w14:textId="71DD6241" w:rsidR="2ECFC544" w:rsidRDefault="2ECFC544" w:rsidP="008111B9">
            <w:pPr>
              <w:pStyle w:val="Tabletext"/>
              <w:spacing w:line="279" w:lineRule="auto"/>
              <w:rPr>
                <w:rFonts w:eastAsia="Arial" w:cs="Arial"/>
                <w:szCs w:val="21"/>
              </w:rPr>
            </w:pPr>
            <w:r w:rsidRPr="2ECFC544">
              <w:rPr>
                <w:rFonts w:eastAsia="Arial" w:cs="Arial"/>
                <w:szCs w:val="21"/>
              </w:rPr>
              <w:t xml:space="preserve">A key principle under the department’s </w:t>
            </w:r>
            <w:r w:rsidRPr="2ECFC544">
              <w:rPr>
                <w:rFonts w:eastAsia="Arial" w:cs="Arial"/>
                <w:i/>
                <w:iCs/>
                <w:szCs w:val="21"/>
              </w:rPr>
              <w:t xml:space="preserve">Mental Health Lived Experience Framework </w:t>
            </w:r>
            <w:r w:rsidRPr="2ECFC544">
              <w:rPr>
                <w:rFonts w:eastAsia="Arial" w:cs="Arial"/>
                <w:szCs w:val="21"/>
              </w:rPr>
              <w:t xml:space="preserve">includes valuing the experience and opinions of all those involved by providing meaningful opportunities and support to enable participation of families/carers. </w:t>
            </w:r>
          </w:p>
        </w:tc>
      </w:tr>
      <w:tr w:rsidR="2ECFC544" w14:paraId="490FE668"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5CF0138" w14:textId="1A36CC2F" w:rsidR="2ECFC544" w:rsidRDefault="2ECFC544" w:rsidP="008111B9">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3B2CD3FE" w14:textId="73D5E382" w:rsidR="2ECFC544" w:rsidRDefault="5CCBE381" w:rsidP="55528ABA">
            <w:pPr>
              <w:pStyle w:val="Tabletext"/>
              <w:rPr>
                <w:rFonts w:eastAsia="Arial" w:cs="Arial"/>
              </w:rPr>
            </w:pPr>
            <w:r w:rsidRPr="55528ABA">
              <w:rPr>
                <w:rFonts w:eastAsia="Arial" w:cs="Arial"/>
              </w:rPr>
              <w:t>The percentage of carers who responded with ‘Usually’ or 'Always' to the question, ‘</w:t>
            </w:r>
            <w:r w:rsidRPr="55528ABA">
              <w:rPr>
                <w:rFonts w:eastAsia="Arial" w:cs="Arial"/>
                <w:i/>
                <w:iCs/>
              </w:rPr>
              <w:t xml:space="preserve">Your opinion as a </w:t>
            </w:r>
            <w:bookmarkStart w:id="58" w:name="_Int_hFQmYJhG"/>
            <w:r w:rsidRPr="55528ABA">
              <w:rPr>
                <w:rFonts w:eastAsia="Arial" w:cs="Arial"/>
                <w:i/>
                <w:iCs/>
              </w:rPr>
              <w:t>carer</w:t>
            </w:r>
            <w:bookmarkEnd w:id="58"/>
            <w:r w:rsidRPr="55528ABA">
              <w:rPr>
                <w:rFonts w:eastAsia="Arial" w:cs="Arial"/>
                <w:i/>
                <w:iCs/>
              </w:rPr>
              <w:t xml:space="preserve"> was respected’</w:t>
            </w:r>
            <w:r w:rsidRPr="55528ABA">
              <w:rPr>
                <w:rFonts w:eastAsia="Arial" w:cs="Arial"/>
              </w:rPr>
              <w:t>.</w:t>
            </w:r>
          </w:p>
        </w:tc>
      </w:tr>
      <w:tr w:rsidR="2ECFC544" w14:paraId="71979F34"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1D01FD42" w14:textId="5B13F0F7" w:rsidR="2ECFC544" w:rsidRDefault="2ECFC544" w:rsidP="008111B9">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3303B0F9" w14:textId="1612C60A" w:rsidR="2ECFC544" w:rsidRDefault="5CCBE381" w:rsidP="55528ABA">
            <w:pPr>
              <w:pStyle w:val="Tabletext"/>
              <w:spacing w:line="279" w:lineRule="auto"/>
              <w:rPr>
                <w:rFonts w:eastAsia="Arial" w:cs="Arial"/>
              </w:rPr>
            </w:pPr>
            <w:r w:rsidRPr="55528ABA">
              <w:rPr>
                <w:rFonts w:eastAsia="Arial" w:cs="Arial"/>
              </w:rPr>
              <w:t>Number of ‘Usually’ or ‘Always’ responses to the question: ‘</w:t>
            </w:r>
            <w:r w:rsidRPr="55528ABA">
              <w:rPr>
                <w:rFonts w:eastAsia="Arial" w:cs="Arial"/>
                <w:i/>
                <w:iCs/>
              </w:rPr>
              <w:t xml:space="preserve">Your opinion as a </w:t>
            </w:r>
            <w:bookmarkStart w:id="59" w:name="_Int_CSzk8ew1"/>
            <w:r w:rsidRPr="55528ABA">
              <w:rPr>
                <w:rFonts w:eastAsia="Arial" w:cs="Arial"/>
                <w:i/>
                <w:iCs/>
              </w:rPr>
              <w:t>carer</w:t>
            </w:r>
            <w:bookmarkEnd w:id="59"/>
            <w:r w:rsidRPr="55528ABA">
              <w:rPr>
                <w:rFonts w:eastAsia="Arial" w:cs="Arial"/>
                <w:i/>
                <w:iCs/>
              </w:rPr>
              <w:t xml:space="preserve"> was respected’.</w:t>
            </w:r>
            <w:r w:rsidRPr="55528ABA">
              <w:rPr>
                <w:rFonts w:eastAsia="Arial" w:cs="Arial"/>
              </w:rPr>
              <w:t xml:space="preserve"> </w:t>
            </w:r>
          </w:p>
        </w:tc>
      </w:tr>
      <w:tr w:rsidR="2ECFC544" w14:paraId="207E4E3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B536314" w14:textId="71631E47" w:rsidR="2ECFC544" w:rsidRDefault="2ECFC544" w:rsidP="008111B9">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462C4553" w14:textId="77777777" w:rsidR="2ECFC544" w:rsidRDefault="2ECFC544" w:rsidP="008111B9">
            <w:pPr>
              <w:pStyle w:val="Tabletext"/>
              <w:spacing w:line="279" w:lineRule="auto"/>
              <w:rPr>
                <w:rFonts w:eastAsia="Arial" w:cs="Arial"/>
                <w:i/>
                <w:szCs w:val="21"/>
              </w:rPr>
            </w:pPr>
            <w:r w:rsidRPr="2ECFC544">
              <w:rPr>
                <w:rFonts w:eastAsia="Arial" w:cs="Arial"/>
                <w:szCs w:val="21"/>
              </w:rPr>
              <w:t>Number of valid responses to the question: ‘</w:t>
            </w:r>
            <w:r w:rsidRPr="00D97498">
              <w:rPr>
                <w:rFonts w:eastAsia="Arial" w:cs="Arial"/>
                <w:i/>
                <w:szCs w:val="21"/>
              </w:rPr>
              <w:t xml:space="preserve">Your opinion as a </w:t>
            </w:r>
            <w:proofErr w:type="spellStart"/>
            <w:r w:rsidRPr="00D97498">
              <w:rPr>
                <w:rFonts w:eastAsia="Arial" w:cs="Arial"/>
                <w:i/>
                <w:szCs w:val="21"/>
              </w:rPr>
              <w:t>carer</w:t>
            </w:r>
            <w:proofErr w:type="spellEnd"/>
            <w:r w:rsidRPr="00D97498">
              <w:rPr>
                <w:rFonts w:eastAsia="Arial" w:cs="Arial"/>
                <w:i/>
                <w:szCs w:val="21"/>
              </w:rPr>
              <w:t xml:space="preserve"> was respected’.</w:t>
            </w:r>
          </w:p>
          <w:p w14:paraId="2E398488" w14:textId="3966A14B" w:rsidR="2ECFC544" w:rsidRDefault="00292AE7" w:rsidP="00164B12">
            <w:pPr>
              <w:pStyle w:val="Tabletext"/>
              <w:rPr>
                <w:rFonts w:eastAsia="Arial" w:cs="Arial"/>
                <w:szCs w:val="21"/>
              </w:rPr>
            </w:pPr>
            <w:r w:rsidRPr="2ECFC544">
              <w:rPr>
                <w:rFonts w:eastAsia="Arial" w:cs="Arial"/>
                <w:szCs w:val="21"/>
              </w:rPr>
              <w:t xml:space="preserve">The denominator </w:t>
            </w:r>
            <w:r w:rsidR="00774841" w:rsidRPr="2ECFC544">
              <w:rPr>
                <w:rFonts w:eastAsia="Arial" w:cs="Arial"/>
                <w:szCs w:val="21"/>
              </w:rPr>
              <w:t>excludes</w:t>
            </w:r>
            <w:r w:rsidR="00774841">
              <w:rPr>
                <w:rFonts w:eastAsia="Arial" w:cs="Arial"/>
                <w:szCs w:val="21"/>
              </w:rPr>
              <w:t xml:space="preserve"> </w:t>
            </w:r>
            <w:r w:rsidR="00774841" w:rsidRPr="00A6731D">
              <w:rPr>
                <w:rFonts w:eastAsia="Arial" w:cs="Arial"/>
                <w:szCs w:val="21"/>
              </w:rPr>
              <w:t xml:space="preserve">‘don’t know’ </w:t>
            </w:r>
            <w:r w:rsidR="00774841">
              <w:rPr>
                <w:rFonts w:eastAsia="Arial" w:cs="Arial"/>
                <w:szCs w:val="21"/>
              </w:rPr>
              <w:t xml:space="preserve">or missing </w:t>
            </w:r>
            <w:r w:rsidR="00774841" w:rsidRPr="00A6731D">
              <w:rPr>
                <w:rFonts w:eastAsia="Arial" w:cs="Arial"/>
                <w:szCs w:val="21"/>
              </w:rPr>
              <w:t>response</w:t>
            </w:r>
            <w:r w:rsidR="00774841">
              <w:rPr>
                <w:rFonts w:eastAsia="Arial" w:cs="Arial"/>
                <w:szCs w:val="21"/>
              </w:rPr>
              <w:t>s.</w:t>
            </w:r>
          </w:p>
        </w:tc>
      </w:tr>
      <w:tr w:rsidR="2ECFC544" w14:paraId="36D2A4CF"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4438FFB" w14:textId="03986885" w:rsidR="2ECFC544" w:rsidRDefault="2ECFC544" w:rsidP="008111B9">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vAlign w:val="center"/>
          </w:tcPr>
          <w:p w14:paraId="300DCB5D" w14:textId="5E003B86" w:rsidR="2ECFC544" w:rsidRDefault="2ECFC544" w:rsidP="008111B9">
            <w:pPr>
              <w:pStyle w:val="Tabletext"/>
              <w:spacing w:line="279" w:lineRule="auto"/>
              <w:rPr>
                <w:rFonts w:eastAsia="Arial" w:cs="Arial"/>
                <w:szCs w:val="21"/>
              </w:rPr>
            </w:pPr>
            <w:r w:rsidRPr="2ECFC544">
              <w:rPr>
                <w:rFonts w:eastAsia="Arial" w:cs="Arial"/>
                <w:szCs w:val="21"/>
              </w:rPr>
              <w:t>90 per cent</w:t>
            </w:r>
          </w:p>
        </w:tc>
      </w:tr>
      <w:tr w:rsidR="2ECFC544" w14:paraId="05200A28"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5EC7ED3" w14:textId="0C4E14E8" w:rsidR="2ECFC544" w:rsidRDefault="2ECFC544" w:rsidP="008111B9">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vAlign w:val="center"/>
          </w:tcPr>
          <w:p w14:paraId="4975E798" w14:textId="6AF8640A" w:rsidR="2ECFC544" w:rsidRDefault="00C70DB9" w:rsidP="008111B9">
            <w:pPr>
              <w:pStyle w:val="Tabletext"/>
              <w:spacing w:line="279" w:lineRule="auto"/>
              <w:rPr>
                <w:rFonts w:eastAsia="Arial" w:cs="Arial"/>
                <w:szCs w:val="21"/>
              </w:rPr>
            </w:pPr>
            <w:r>
              <w:rPr>
                <w:rFonts w:eastAsia="Arial" w:cs="Arial"/>
                <w:szCs w:val="21"/>
              </w:rPr>
              <w:t>Greater than or e</w:t>
            </w:r>
            <w:r w:rsidR="2ECFC544" w:rsidRPr="2ECFC544">
              <w:rPr>
                <w:rFonts w:eastAsia="Arial" w:cs="Arial"/>
                <w:szCs w:val="21"/>
              </w:rPr>
              <w:t>qual to 90 per cent</w:t>
            </w:r>
          </w:p>
        </w:tc>
      </w:tr>
      <w:tr w:rsidR="2ECFC544" w14:paraId="6CFCE4BE"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7D294A9" w14:textId="104CBE90" w:rsidR="2ECFC544" w:rsidRDefault="2ECFC544" w:rsidP="008111B9">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vAlign w:val="center"/>
          </w:tcPr>
          <w:p w14:paraId="229A841F" w14:textId="302BD901" w:rsidR="2ECFC544" w:rsidRDefault="00C70DB9" w:rsidP="008111B9">
            <w:pPr>
              <w:pStyle w:val="Tabletext"/>
              <w:spacing w:line="279" w:lineRule="auto"/>
              <w:rPr>
                <w:rFonts w:eastAsia="Arial" w:cs="Arial"/>
                <w:szCs w:val="21"/>
              </w:rPr>
            </w:pPr>
            <w:r>
              <w:rPr>
                <w:rFonts w:eastAsia="Arial" w:cs="Arial"/>
                <w:szCs w:val="21"/>
              </w:rPr>
              <w:t xml:space="preserve">Less than </w:t>
            </w:r>
            <w:r w:rsidR="2ECFC544" w:rsidRPr="2ECFC544">
              <w:rPr>
                <w:rFonts w:eastAsia="Arial" w:cs="Arial"/>
                <w:szCs w:val="21"/>
              </w:rPr>
              <w:t>90 per cent</w:t>
            </w:r>
          </w:p>
        </w:tc>
      </w:tr>
      <w:tr w:rsidR="2ECFC544" w14:paraId="08FAC5C3"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1AB2F23" w14:textId="54199341" w:rsidR="2ECFC544" w:rsidRDefault="2ECFC544" w:rsidP="008111B9">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vAlign w:val="center"/>
          </w:tcPr>
          <w:p w14:paraId="3D1C0E16" w14:textId="6CD7D4CE" w:rsidR="2ECFC544" w:rsidRDefault="2ECFC544" w:rsidP="008111B9">
            <w:pPr>
              <w:pStyle w:val="Tabletext"/>
              <w:spacing w:line="279" w:lineRule="auto"/>
              <w:rPr>
                <w:rFonts w:eastAsia="Arial" w:cs="Arial"/>
                <w:szCs w:val="21"/>
              </w:rPr>
            </w:pPr>
            <w:proofErr w:type="gramStart"/>
            <w:r w:rsidRPr="2ECFC544">
              <w:rPr>
                <w:rFonts w:eastAsia="Arial" w:cs="Arial"/>
                <w:szCs w:val="21"/>
              </w:rPr>
              <w:t>For the purpose of</w:t>
            </w:r>
            <w:proofErr w:type="gramEnd"/>
            <w:r w:rsidRPr="2ECFC544">
              <w:rPr>
                <w:rFonts w:eastAsia="Arial" w:cs="Arial"/>
                <w:szCs w:val="21"/>
              </w:rPr>
              <w:t xml:space="preserve"> the performance risk assessment, improvement is compared to previous period performance</w:t>
            </w:r>
          </w:p>
        </w:tc>
      </w:tr>
      <w:tr w:rsidR="2ECFC544" w14:paraId="2ADE789E"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0D3B2B42" w14:textId="33EBB591" w:rsidR="2ECFC544" w:rsidRDefault="2ECFC544" w:rsidP="008111B9">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5FEC5CBF" w14:textId="0E105810" w:rsidR="2ECFC544" w:rsidRDefault="2ECFC544" w:rsidP="4A3EC911">
            <w:pPr>
              <w:pStyle w:val="Tabletext"/>
              <w:spacing w:line="279" w:lineRule="auto"/>
              <w:rPr>
                <w:rFonts w:eastAsia="Arial" w:cs="Arial"/>
              </w:rPr>
            </w:pPr>
            <w:r w:rsidRPr="4A3EC911">
              <w:rPr>
                <w:rFonts w:eastAsia="Arial" w:cs="Arial"/>
              </w:rPr>
              <w:t>Performance is reported annually by Designated Mental Health Service.</w:t>
            </w:r>
          </w:p>
          <w:p w14:paraId="44B59E26" w14:textId="789285E8" w:rsidR="2ECFC544" w:rsidRDefault="2ECFC544" w:rsidP="008111B9">
            <w:pPr>
              <w:pStyle w:val="Tabletext"/>
              <w:spacing w:line="279" w:lineRule="auto"/>
              <w:rPr>
                <w:rFonts w:eastAsia="Arial" w:cs="Arial"/>
                <w:szCs w:val="21"/>
              </w:rPr>
            </w:pPr>
            <w:r w:rsidRPr="2ECFC544">
              <w:rPr>
                <w:rFonts w:eastAsia="Arial" w:cs="Arial"/>
                <w:szCs w:val="21"/>
              </w:rPr>
              <w:t>Data are sourced from the CES.</w:t>
            </w:r>
          </w:p>
          <w:p w14:paraId="29046052" w14:textId="36D3AC32" w:rsidR="2ECFC544" w:rsidRDefault="2ECFC544" w:rsidP="008111B9">
            <w:pPr>
              <w:pStyle w:val="Tabletext"/>
              <w:spacing w:line="279" w:lineRule="auto"/>
              <w:rPr>
                <w:rFonts w:eastAsia="Arial" w:cs="Arial"/>
                <w:szCs w:val="21"/>
              </w:rPr>
            </w:pPr>
            <w:r w:rsidRPr="2ECFC544">
              <w:rPr>
                <w:rFonts w:eastAsia="Arial" w:cs="Arial"/>
                <w:szCs w:val="21"/>
              </w:rPr>
              <w:t>Participation is based on health services providing the questionnaire to in-scope consumers</w:t>
            </w:r>
            <w:r w:rsidR="00774841">
              <w:rPr>
                <w:rFonts w:eastAsia="Arial" w:cs="Arial"/>
                <w:szCs w:val="21"/>
              </w:rPr>
              <w:t>. A</w:t>
            </w:r>
            <w:r w:rsidRPr="2ECFC544">
              <w:rPr>
                <w:rFonts w:eastAsia="Arial" w:cs="Arial"/>
                <w:szCs w:val="21"/>
              </w:rPr>
              <w:t xml:space="preserve">t least 30 responses </w:t>
            </w:r>
            <w:r w:rsidR="00774841">
              <w:rPr>
                <w:rFonts w:eastAsia="Arial" w:cs="Arial"/>
                <w:szCs w:val="21"/>
              </w:rPr>
              <w:t>are required</w:t>
            </w:r>
            <w:r w:rsidR="00F50737" w:rsidRPr="2ECFC544">
              <w:rPr>
                <w:rFonts w:eastAsia="Arial" w:cs="Arial"/>
                <w:szCs w:val="21"/>
              </w:rPr>
              <w:t xml:space="preserve"> </w:t>
            </w:r>
            <w:r w:rsidRPr="2ECFC544">
              <w:rPr>
                <w:rFonts w:eastAsia="Arial" w:cs="Arial"/>
                <w:szCs w:val="21"/>
              </w:rPr>
              <w:t>to enable statistically significant analysis.</w:t>
            </w:r>
          </w:p>
        </w:tc>
      </w:tr>
    </w:tbl>
    <w:p w14:paraId="482AF4AD" w14:textId="002500F0" w:rsidR="5A8F82E6" w:rsidRDefault="5A8F82E6" w:rsidP="008E7F78">
      <w:pPr>
        <w:pStyle w:val="Heading4"/>
        <w:rPr>
          <w:i/>
        </w:rPr>
      </w:pPr>
      <w:bookmarkStart w:id="60" w:name="_Toc1301199807"/>
      <w:r w:rsidRPr="2ECFC544">
        <w:rPr>
          <w:rFonts w:eastAsia="Arial" w:cs="Arial"/>
          <w:szCs w:val="24"/>
        </w:rPr>
        <w:t>Percentage of mental health consumers reporting they ‘usually’ or ‘always’ felt safe using this service</w:t>
      </w:r>
      <w:bookmarkEnd w:id="60"/>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6FA5FFA2"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980B0CB" w14:textId="31536A82" w:rsidR="2ECFC544" w:rsidRDefault="2ECFC544" w:rsidP="008111B9">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tcPr>
          <w:p w14:paraId="63377DBE" w14:textId="58E1C4CF" w:rsidR="2ECFC544" w:rsidRDefault="2ECFC544" w:rsidP="008111B9">
            <w:pPr>
              <w:pStyle w:val="Tabletext"/>
              <w:spacing w:line="279" w:lineRule="auto"/>
              <w:rPr>
                <w:rFonts w:eastAsia="Arial" w:cs="Arial"/>
                <w:szCs w:val="21"/>
              </w:rPr>
            </w:pPr>
            <w:r w:rsidRPr="2ECFC544">
              <w:rPr>
                <w:rFonts w:eastAsia="Arial" w:cs="Arial"/>
                <w:szCs w:val="21"/>
              </w:rPr>
              <w:t>Percentage of consumers who reporting they ‘usually’ or ‘always’ felt safe using this service</w:t>
            </w:r>
            <w:r w:rsidR="00C55676">
              <w:rPr>
                <w:rFonts w:eastAsia="Arial" w:cs="Arial"/>
                <w:szCs w:val="21"/>
              </w:rPr>
              <w:t xml:space="preserve"> </w:t>
            </w:r>
            <w:r w:rsidR="00F86086">
              <w:rPr>
                <w:rFonts w:eastAsia="Arial"/>
              </w:rPr>
              <w:fldChar w:fldCharType="begin"/>
            </w:r>
            <w:r w:rsidR="00F86086">
              <w:rPr>
                <w:rFonts w:eastAsia="Arial" w:cs="Arial"/>
                <w:szCs w:val="21"/>
              </w:rPr>
              <w:instrText xml:space="preserve"> NOTEREF _Ref201832379 \f \h </w:instrText>
            </w:r>
            <w:r w:rsidR="0094255B">
              <w:rPr>
                <w:rFonts w:eastAsia="Arial"/>
              </w:rPr>
              <w:instrText xml:space="preserve"> \* MERGEFORMAT </w:instrText>
            </w:r>
            <w:r w:rsidR="00F86086">
              <w:rPr>
                <w:rFonts w:eastAsia="Arial"/>
              </w:rPr>
            </w:r>
            <w:r w:rsidR="00F86086">
              <w:rPr>
                <w:rFonts w:eastAsia="Arial"/>
              </w:rPr>
              <w:fldChar w:fldCharType="separate"/>
            </w:r>
            <w:r w:rsidR="00F86086" w:rsidRPr="00F86086">
              <w:rPr>
                <w:rStyle w:val="EndnoteReference"/>
                <w:rFonts w:eastAsia="Arial"/>
              </w:rPr>
              <w:t>iv</w:t>
            </w:r>
            <w:r w:rsidR="00F86086">
              <w:rPr>
                <w:rFonts w:eastAsia="Arial"/>
              </w:rPr>
              <w:fldChar w:fldCharType="end"/>
            </w:r>
            <w:r w:rsidRPr="2ECFC544">
              <w:rPr>
                <w:rFonts w:eastAsia="Arial" w:cs="Arial"/>
                <w:szCs w:val="21"/>
              </w:rPr>
              <w:t xml:space="preserve"> </w:t>
            </w:r>
          </w:p>
        </w:tc>
      </w:tr>
      <w:tr w:rsidR="2ECFC544" w14:paraId="0BF438DC"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23BBA3E" w14:textId="4495FE29" w:rsidR="2ECFC544" w:rsidRDefault="2ECFC544" w:rsidP="008111B9">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0B55F16C" w14:textId="2C0F4C93" w:rsidR="2ECFC544" w:rsidRDefault="2ECFC544" w:rsidP="008111B9">
            <w:pPr>
              <w:pStyle w:val="Tabletext"/>
              <w:spacing w:line="279" w:lineRule="auto"/>
              <w:rPr>
                <w:rFonts w:eastAsia="Arial" w:cs="Arial"/>
                <w:szCs w:val="21"/>
              </w:rPr>
            </w:pPr>
            <w:r w:rsidRPr="2ECFC544">
              <w:rPr>
                <w:rFonts w:eastAsia="Arial" w:cs="Arial"/>
                <w:szCs w:val="21"/>
              </w:rPr>
              <w:t>Patient safety is the prevention of harm to patients from the care that is intended to help them. Safety is an essential part of delivering quality care and a fundamental principle of person-centred care. Patients may be the most reliable reporters of some aspects of healthcare processes; their perspectives should be considered when pursuing changes to improve patient safety.</w:t>
            </w:r>
          </w:p>
        </w:tc>
      </w:tr>
      <w:tr w:rsidR="2ECFC544" w14:paraId="6E967515"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07A8894" w14:textId="42D2E4E3" w:rsidR="2ECFC544" w:rsidRDefault="2ECFC544" w:rsidP="008111B9">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1DF1898D" w14:textId="0F6F5AE4" w:rsidR="2ECFC544" w:rsidRDefault="2ECFC544" w:rsidP="008111B9">
            <w:pPr>
              <w:pStyle w:val="Tabletext"/>
              <w:spacing w:line="279" w:lineRule="auto"/>
              <w:rPr>
                <w:rFonts w:eastAsia="Arial" w:cs="Arial"/>
                <w:szCs w:val="21"/>
              </w:rPr>
            </w:pPr>
            <w:r w:rsidRPr="2ECFC544">
              <w:rPr>
                <w:rFonts w:eastAsia="Arial" w:cs="Arial"/>
                <w:szCs w:val="21"/>
              </w:rPr>
              <w:t xml:space="preserve">Percentage of YES survey respondents reporting that in the last 3 months they ‘usually’ or ‘always’ felt safe using this service. </w:t>
            </w:r>
          </w:p>
          <w:p w14:paraId="13D4E833" w14:textId="38844713" w:rsidR="2ECFC544" w:rsidRDefault="2ECFC544" w:rsidP="008111B9">
            <w:pPr>
              <w:pStyle w:val="Tabletext"/>
              <w:spacing w:line="279" w:lineRule="auto"/>
              <w:rPr>
                <w:rFonts w:eastAsia="Arial" w:cs="Arial"/>
                <w:szCs w:val="21"/>
              </w:rPr>
            </w:pPr>
            <w:r w:rsidRPr="2ECFC544">
              <w:rPr>
                <w:rFonts w:eastAsia="Arial" w:cs="Arial"/>
                <w:szCs w:val="21"/>
              </w:rPr>
              <w:t>The denominator excludes:</w:t>
            </w:r>
          </w:p>
          <w:p w14:paraId="4CC5120B" w14:textId="60E645E6" w:rsidR="2ECFC544" w:rsidRDefault="00774841" w:rsidP="008111B9">
            <w:pPr>
              <w:pStyle w:val="Tablebullet1"/>
              <w:spacing w:line="279" w:lineRule="auto"/>
              <w:rPr>
                <w:rFonts w:eastAsia="Arial" w:cs="Arial"/>
                <w:szCs w:val="21"/>
              </w:rPr>
            </w:pPr>
            <w:r>
              <w:rPr>
                <w:rFonts w:eastAsia="Arial" w:cs="Arial"/>
                <w:szCs w:val="21"/>
              </w:rPr>
              <w:t>i</w:t>
            </w:r>
            <w:r w:rsidR="2ECFC544" w:rsidRPr="2ECFC544">
              <w:rPr>
                <w:rFonts w:eastAsia="Arial" w:cs="Arial"/>
                <w:szCs w:val="21"/>
              </w:rPr>
              <w:t xml:space="preserve">nvalid responses to any question, </w:t>
            </w:r>
          </w:p>
          <w:p w14:paraId="42AE2911" w14:textId="602A9D6B" w:rsidR="2ECFC544" w:rsidRPr="00760F38" w:rsidRDefault="5CCBE381" w:rsidP="55528ABA">
            <w:pPr>
              <w:pStyle w:val="Tablebullet1"/>
              <w:spacing w:line="279" w:lineRule="auto"/>
              <w:rPr>
                <w:rFonts w:eastAsia="Arial" w:cs="Arial"/>
              </w:rPr>
            </w:pPr>
            <w:r w:rsidRPr="55528ABA">
              <w:rPr>
                <w:rFonts w:eastAsia="Arial" w:cs="Arial"/>
              </w:rPr>
              <w:t>‘</w:t>
            </w:r>
            <w:bookmarkStart w:id="61" w:name="_Int_sjbpFyDA"/>
            <w:proofErr w:type="gramStart"/>
            <w:r w:rsidRPr="55528ABA">
              <w:rPr>
                <w:rFonts w:eastAsia="Arial" w:cs="Arial"/>
              </w:rPr>
              <w:t>not</w:t>
            </w:r>
            <w:bookmarkEnd w:id="61"/>
            <w:proofErr w:type="gramEnd"/>
            <w:r w:rsidRPr="55528ABA">
              <w:rPr>
                <w:rFonts w:eastAsia="Arial" w:cs="Arial"/>
              </w:rPr>
              <w:t xml:space="preserve"> completed’ and ‘not needed’ responses.</w:t>
            </w:r>
          </w:p>
        </w:tc>
      </w:tr>
      <w:tr w:rsidR="2ECFC544" w14:paraId="46C9A947"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1D344AC8" w14:textId="7D269976" w:rsidR="2ECFC544" w:rsidRDefault="2ECFC544" w:rsidP="008111B9">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20447319" w14:textId="2E9B1150" w:rsidR="2ECFC544" w:rsidRDefault="2ECFC544" w:rsidP="008111B9">
            <w:pPr>
              <w:pStyle w:val="Tabletext"/>
              <w:spacing w:line="279" w:lineRule="auto"/>
              <w:rPr>
                <w:rFonts w:eastAsia="Arial" w:cs="Arial"/>
                <w:szCs w:val="21"/>
              </w:rPr>
            </w:pPr>
            <w:r w:rsidRPr="2ECFC544">
              <w:rPr>
                <w:rFonts w:eastAsia="Arial" w:cs="Arial"/>
                <w:szCs w:val="21"/>
              </w:rPr>
              <w:t>Number of consumers responding ‘Always’ or ‘Usually’ to the prompt (3): ‘</w:t>
            </w:r>
            <w:r w:rsidRPr="001B251E">
              <w:rPr>
                <w:rFonts w:eastAsia="Arial" w:cs="Arial"/>
                <w:i/>
                <w:szCs w:val="21"/>
              </w:rPr>
              <w:t>You felt safe using the service’</w:t>
            </w:r>
            <w:r w:rsidRPr="2ECFC544">
              <w:rPr>
                <w:rFonts w:eastAsia="Arial" w:cs="Arial"/>
                <w:szCs w:val="21"/>
              </w:rPr>
              <w:t xml:space="preserve"> </w:t>
            </w:r>
          </w:p>
        </w:tc>
      </w:tr>
      <w:tr w:rsidR="2ECFC544" w14:paraId="29183003"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7A87C73" w14:textId="0FBA84E8" w:rsidR="2ECFC544" w:rsidRDefault="2ECFC544" w:rsidP="008111B9">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6557F91B" w14:textId="6708F2AE" w:rsidR="2ECFC544" w:rsidRDefault="2ECFC544" w:rsidP="008111B9">
            <w:pPr>
              <w:pStyle w:val="Tabletext"/>
              <w:spacing w:line="279" w:lineRule="auto"/>
              <w:rPr>
                <w:rFonts w:eastAsia="Arial" w:cs="Arial"/>
                <w:szCs w:val="21"/>
              </w:rPr>
            </w:pPr>
            <w:r w:rsidRPr="2ECFC544">
              <w:rPr>
                <w:rFonts w:eastAsia="Arial" w:cs="Arial"/>
                <w:szCs w:val="21"/>
              </w:rPr>
              <w:t>Number of consumers completing YES surveys with a valid response.</w:t>
            </w:r>
          </w:p>
        </w:tc>
      </w:tr>
      <w:tr w:rsidR="2ECFC544" w14:paraId="73ECCF38"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11A8D58A" w14:textId="552DB515" w:rsidR="2ECFC544" w:rsidRDefault="2ECFC544" w:rsidP="008111B9">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tcPr>
          <w:p w14:paraId="42F946F8" w14:textId="218A36BB" w:rsidR="2ECFC544" w:rsidRDefault="2ECFC544" w:rsidP="008111B9">
            <w:pPr>
              <w:pStyle w:val="Tabletext"/>
              <w:spacing w:line="279" w:lineRule="auto"/>
              <w:rPr>
                <w:rFonts w:eastAsia="Arial" w:cs="Arial"/>
                <w:szCs w:val="21"/>
              </w:rPr>
            </w:pPr>
            <w:r w:rsidRPr="2ECFC544">
              <w:rPr>
                <w:rFonts w:eastAsia="Arial" w:cs="Arial"/>
                <w:szCs w:val="21"/>
              </w:rPr>
              <w:t>90 per cent</w:t>
            </w:r>
          </w:p>
        </w:tc>
      </w:tr>
      <w:tr w:rsidR="2ECFC544" w14:paraId="46FE580A"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34D113D" w14:textId="2B4F8AD9" w:rsidR="2ECFC544" w:rsidRDefault="2ECFC544" w:rsidP="008111B9">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09A199AD" w14:textId="674635EB" w:rsidR="2ECFC544" w:rsidRDefault="00C70DB9" w:rsidP="008111B9">
            <w:pPr>
              <w:pStyle w:val="Tabletext"/>
              <w:spacing w:line="279" w:lineRule="auto"/>
              <w:rPr>
                <w:rFonts w:eastAsia="Arial" w:cs="Arial"/>
                <w:szCs w:val="21"/>
              </w:rPr>
            </w:pPr>
            <w:r>
              <w:rPr>
                <w:rFonts w:eastAsia="Arial" w:cs="Arial"/>
                <w:szCs w:val="21"/>
              </w:rPr>
              <w:t>Greater than or e</w:t>
            </w:r>
            <w:r w:rsidR="2ECFC544" w:rsidRPr="2ECFC544">
              <w:rPr>
                <w:rFonts w:eastAsia="Arial" w:cs="Arial"/>
                <w:szCs w:val="21"/>
              </w:rPr>
              <w:t>qual to 90 per cent</w:t>
            </w:r>
          </w:p>
        </w:tc>
      </w:tr>
      <w:tr w:rsidR="2ECFC544" w14:paraId="6445985A"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C613BCE" w14:textId="4AF1ED8B" w:rsidR="2ECFC544" w:rsidRDefault="2ECFC544" w:rsidP="008111B9">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632ED4B9" w14:textId="1FF755EB" w:rsidR="2ECFC544" w:rsidRDefault="00C70DB9" w:rsidP="008111B9">
            <w:pPr>
              <w:pStyle w:val="Tabletext"/>
              <w:spacing w:line="279" w:lineRule="auto"/>
              <w:rPr>
                <w:rFonts w:eastAsia="Arial" w:cs="Arial"/>
                <w:szCs w:val="21"/>
              </w:rPr>
            </w:pPr>
            <w:r>
              <w:rPr>
                <w:rFonts w:eastAsia="Arial" w:cs="Arial"/>
                <w:szCs w:val="21"/>
              </w:rPr>
              <w:t>Less than</w:t>
            </w:r>
            <w:r w:rsidR="2ECFC544" w:rsidRPr="2ECFC544">
              <w:rPr>
                <w:rFonts w:eastAsia="Arial" w:cs="Arial"/>
                <w:szCs w:val="21"/>
              </w:rPr>
              <w:t xml:space="preserve"> 90 per cent</w:t>
            </w:r>
          </w:p>
        </w:tc>
      </w:tr>
      <w:tr w:rsidR="2ECFC544" w14:paraId="0219B04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F58F87E" w14:textId="6091A543" w:rsidR="2ECFC544" w:rsidRDefault="2ECFC544" w:rsidP="008111B9">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678640C2" w14:textId="2B3C383B" w:rsidR="2ECFC544" w:rsidRDefault="2ECFC544" w:rsidP="008111B9">
            <w:pPr>
              <w:pStyle w:val="Tabletext"/>
              <w:spacing w:line="279" w:lineRule="auto"/>
              <w:rPr>
                <w:rFonts w:eastAsia="Arial" w:cs="Arial"/>
                <w:szCs w:val="21"/>
              </w:rPr>
            </w:pPr>
            <w:proofErr w:type="gramStart"/>
            <w:r w:rsidRPr="2ECFC544">
              <w:rPr>
                <w:rFonts w:eastAsia="Arial" w:cs="Arial"/>
                <w:szCs w:val="21"/>
              </w:rPr>
              <w:t>For the purpose of</w:t>
            </w:r>
            <w:proofErr w:type="gramEnd"/>
            <w:r w:rsidRPr="2ECFC544">
              <w:rPr>
                <w:rFonts w:eastAsia="Arial" w:cs="Arial"/>
                <w:szCs w:val="21"/>
              </w:rPr>
              <w:t xml:space="preserve"> the performance risk assessment, improvement is compared to previous period performance</w:t>
            </w:r>
          </w:p>
        </w:tc>
      </w:tr>
      <w:tr w:rsidR="2ECFC544" w14:paraId="6E27E111"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175267BC" w14:textId="25CAFC12" w:rsidR="2ECFC544" w:rsidRDefault="2ECFC544" w:rsidP="008111B9">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70D4EB0A" w14:textId="75DAC8EF" w:rsidR="2ECFC544" w:rsidRDefault="2ECFC544" w:rsidP="4A3EC911">
            <w:pPr>
              <w:pStyle w:val="Tabletext"/>
              <w:spacing w:line="279" w:lineRule="auto"/>
              <w:rPr>
                <w:rFonts w:eastAsia="Arial" w:cs="Arial"/>
              </w:rPr>
            </w:pPr>
            <w:r w:rsidRPr="4A3EC911">
              <w:rPr>
                <w:rFonts w:eastAsia="Arial" w:cs="Arial"/>
              </w:rPr>
              <w:t>Performance is reported annually by Designated Mental Health Service.</w:t>
            </w:r>
          </w:p>
          <w:p w14:paraId="545D6989" w14:textId="2EFA0D1F" w:rsidR="2ECFC544" w:rsidRDefault="2ECFC544" w:rsidP="008111B9">
            <w:pPr>
              <w:pStyle w:val="Tabletext"/>
              <w:spacing w:line="279" w:lineRule="auto"/>
              <w:rPr>
                <w:rFonts w:eastAsia="Arial" w:cs="Arial"/>
                <w:szCs w:val="21"/>
              </w:rPr>
            </w:pPr>
            <w:r w:rsidRPr="2ECFC544">
              <w:rPr>
                <w:rFonts w:eastAsia="Arial" w:cs="Arial"/>
                <w:szCs w:val="21"/>
              </w:rPr>
              <w:t>Data are sourced from the YES survey.</w:t>
            </w:r>
          </w:p>
          <w:p w14:paraId="423D2B15" w14:textId="6C39C31D" w:rsidR="2ECFC544" w:rsidRDefault="2ECFC544" w:rsidP="008111B9">
            <w:pPr>
              <w:pStyle w:val="Tabletext"/>
              <w:spacing w:line="279" w:lineRule="auto"/>
              <w:rPr>
                <w:rFonts w:eastAsia="Arial" w:cs="Arial"/>
                <w:szCs w:val="21"/>
              </w:rPr>
            </w:pPr>
            <w:r w:rsidRPr="2ECFC544">
              <w:rPr>
                <w:rFonts w:eastAsia="Arial" w:cs="Arial"/>
                <w:szCs w:val="21"/>
              </w:rPr>
              <w:t>Participation is based on health services providing the questionnaire to in-scope consumers</w:t>
            </w:r>
            <w:r w:rsidR="00B65FA9">
              <w:rPr>
                <w:rFonts w:eastAsia="Arial" w:cs="Arial"/>
                <w:szCs w:val="21"/>
              </w:rPr>
              <w:t>. A</w:t>
            </w:r>
            <w:r w:rsidRPr="2ECFC544">
              <w:rPr>
                <w:rFonts w:eastAsia="Arial" w:cs="Arial"/>
                <w:szCs w:val="21"/>
              </w:rPr>
              <w:t xml:space="preserve">t least 30 responses </w:t>
            </w:r>
            <w:r w:rsidR="00B65FA9">
              <w:rPr>
                <w:rFonts w:eastAsia="Arial" w:cs="Arial"/>
                <w:szCs w:val="21"/>
              </w:rPr>
              <w:t>are required</w:t>
            </w:r>
            <w:r w:rsidR="006B75F3" w:rsidRPr="2ECFC544">
              <w:rPr>
                <w:rFonts w:eastAsia="Arial" w:cs="Arial"/>
                <w:szCs w:val="21"/>
              </w:rPr>
              <w:t xml:space="preserve"> </w:t>
            </w:r>
            <w:r w:rsidRPr="2ECFC544">
              <w:rPr>
                <w:rFonts w:eastAsia="Arial" w:cs="Arial"/>
                <w:szCs w:val="21"/>
              </w:rPr>
              <w:t>to enable statistically significant analysis.</w:t>
            </w:r>
          </w:p>
        </w:tc>
      </w:tr>
    </w:tbl>
    <w:p w14:paraId="7148040D" w14:textId="52969802" w:rsidR="00140581" w:rsidRPr="00315936" w:rsidRDefault="00140581" w:rsidP="00140581">
      <w:pPr>
        <w:pStyle w:val="Heading3"/>
      </w:pPr>
      <w:bookmarkStart w:id="62" w:name="_Toc245325847"/>
      <w:r w:rsidRPr="00315936">
        <w:t>Mental health readmissions and seclusions</w:t>
      </w:r>
      <w:r w:rsidR="00CD2A35" w:rsidRPr="00315936">
        <w:t xml:space="preserve"> and follow-up</w:t>
      </w:r>
      <w:bookmarkEnd w:id="62"/>
    </w:p>
    <w:p w14:paraId="65C18A33" w14:textId="5AE259D7" w:rsidR="5463EECD" w:rsidRDefault="5463EECD" w:rsidP="008E7F78">
      <w:pPr>
        <w:pStyle w:val="Heading4"/>
        <w:rPr>
          <w:i/>
        </w:rPr>
      </w:pPr>
      <w:bookmarkStart w:id="63" w:name="_Toc917807681"/>
      <w:r w:rsidRPr="2ECFC544">
        <w:rPr>
          <w:rFonts w:eastAsia="Arial" w:cs="Arial"/>
          <w:szCs w:val="24"/>
        </w:rPr>
        <w:t>Rate of seclusion episodes per 1,000 occupied bed days – Inpatient</w:t>
      </w:r>
      <w:bookmarkEnd w:id="63"/>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698E508F"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698870E" w14:textId="2D6A35D6" w:rsidR="2ECFC544" w:rsidRDefault="2ECFC544" w:rsidP="2ECFC544">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vAlign w:val="bottom"/>
          </w:tcPr>
          <w:p w14:paraId="04BC93D5" w14:textId="0FACEF3A" w:rsidR="2ECFC544" w:rsidRDefault="2ECFC544" w:rsidP="2ECFC544">
            <w:pPr>
              <w:pStyle w:val="Tabletext"/>
              <w:spacing w:line="279" w:lineRule="auto"/>
              <w:rPr>
                <w:rFonts w:eastAsia="Arial" w:cs="Arial"/>
                <w:szCs w:val="21"/>
              </w:rPr>
            </w:pPr>
            <w:r w:rsidRPr="2ECFC544">
              <w:rPr>
                <w:rFonts w:eastAsia="Arial" w:cs="Arial"/>
                <w:szCs w:val="21"/>
              </w:rPr>
              <w:t xml:space="preserve">Rate of seclusion episodes per 1,000 occupied bed days </w:t>
            </w:r>
            <w:r w:rsidR="006B75F3">
              <w:rPr>
                <w:rFonts w:eastAsia="Arial" w:cs="Arial"/>
                <w:szCs w:val="21"/>
              </w:rPr>
              <w:t>‒</w:t>
            </w:r>
            <w:r w:rsidRPr="2ECFC544">
              <w:rPr>
                <w:rFonts w:eastAsia="Arial" w:cs="Arial"/>
                <w:szCs w:val="21"/>
              </w:rPr>
              <w:t xml:space="preserve"> Inpatient</w:t>
            </w:r>
            <w:r w:rsidR="00C55676">
              <w:rPr>
                <w:rFonts w:eastAsia="Arial" w:cs="Arial"/>
                <w:szCs w:val="21"/>
              </w:rPr>
              <w:t xml:space="preserve"> </w:t>
            </w:r>
            <w:r w:rsidR="00F86086">
              <w:rPr>
                <w:rFonts w:eastAsia="Arial"/>
              </w:rPr>
              <w:fldChar w:fldCharType="begin"/>
            </w:r>
            <w:r w:rsidR="00F86086">
              <w:rPr>
                <w:rFonts w:eastAsia="Arial" w:cs="Arial"/>
                <w:szCs w:val="21"/>
              </w:rPr>
              <w:instrText xml:space="preserve"> NOTEREF _Ref201832379 \f \h </w:instrText>
            </w:r>
            <w:r w:rsidR="00F86086">
              <w:rPr>
                <w:rFonts w:eastAsia="Arial"/>
              </w:rPr>
            </w:r>
            <w:r w:rsidR="00F86086">
              <w:rPr>
                <w:rFonts w:eastAsia="Arial"/>
              </w:rPr>
              <w:fldChar w:fldCharType="separate"/>
            </w:r>
            <w:r w:rsidR="00F86086" w:rsidRPr="00F86086">
              <w:rPr>
                <w:rStyle w:val="EndnoteReference"/>
                <w:rFonts w:eastAsia="Arial"/>
              </w:rPr>
              <w:t>iv</w:t>
            </w:r>
            <w:r w:rsidR="00F86086">
              <w:rPr>
                <w:rFonts w:eastAsia="Arial"/>
              </w:rPr>
              <w:fldChar w:fldCharType="end"/>
            </w:r>
            <w:r w:rsidRPr="2ECFC544">
              <w:rPr>
                <w:rFonts w:eastAsia="Arial" w:cs="Arial"/>
                <w:szCs w:val="21"/>
              </w:rPr>
              <w:t xml:space="preserve"> </w:t>
            </w:r>
          </w:p>
        </w:tc>
      </w:tr>
      <w:tr w:rsidR="2ECFC544" w14:paraId="3A768A11"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64C5532" w14:textId="4EC9A0D2" w:rsidR="2ECFC544" w:rsidRDefault="2ECFC544" w:rsidP="2ECFC544">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297F0119" w14:textId="6CD495B1" w:rsidR="2ECFC544" w:rsidRDefault="2ECFC544" w:rsidP="2ECFC544">
            <w:pPr>
              <w:pStyle w:val="Tabletext"/>
              <w:spacing w:line="279" w:lineRule="auto"/>
              <w:rPr>
                <w:rFonts w:eastAsia="Arial" w:cs="Arial"/>
                <w:szCs w:val="21"/>
              </w:rPr>
            </w:pPr>
            <w:r w:rsidRPr="2ECFC544">
              <w:rPr>
                <w:rFonts w:eastAsia="Arial" w:cs="Arial"/>
                <w:szCs w:val="21"/>
              </w:rPr>
              <w:t>Reducing restraint and seclusion is a priority and incorporating this measure ensures appropriate monitoring of seclusion use in mental health inpatient units in Victoria.</w:t>
            </w:r>
          </w:p>
        </w:tc>
      </w:tr>
      <w:tr w:rsidR="2ECFC544" w14:paraId="3F550BD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F78A944" w14:textId="0DBE069C" w:rsidR="2ECFC544" w:rsidRDefault="2ECFC544" w:rsidP="2ECFC544">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6D8C819E" w14:textId="2D1D11F5" w:rsidR="2ECFC544" w:rsidRDefault="2ECFC544" w:rsidP="2ECFC544">
            <w:pPr>
              <w:pStyle w:val="Tabletext"/>
              <w:spacing w:line="279" w:lineRule="auto"/>
              <w:rPr>
                <w:rFonts w:eastAsia="Arial" w:cs="Arial"/>
                <w:szCs w:val="21"/>
              </w:rPr>
            </w:pPr>
            <w:r w:rsidRPr="2ECFC544">
              <w:rPr>
                <w:rFonts w:eastAsia="Arial" w:cs="Arial"/>
                <w:szCs w:val="21"/>
              </w:rPr>
              <w:t>This measure calculates the rate of ended seclusion episodes within mental health inpatient units per 1,000 occupied bed days. Seclusion episodes ending within a mental health inpatient unit are counted. The number of seclusion episodes is divided by the number of occupied bed days. The quotient is then multiplied by 1,000.</w:t>
            </w:r>
          </w:p>
          <w:p w14:paraId="14AC31F6" w14:textId="77777777" w:rsidR="00165594" w:rsidRDefault="00165594" w:rsidP="00566407">
            <w:pPr>
              <w:pStyle w:val="Tabletext"/>
              <w:spacing w:line="279" w:lineRule="auto"/>
              <w:rPr>
                <w:rFonts w:eastAsia="Arial" w:cs="Arial"/>
                <w:szCs w:val="21"/>
              </w:rPr>
            </w:pPr>
            <w:r w:rsidRPr="2ECFC544">
              <w:rPr>
                <w:rFonts w:eastAsia="Arial" w:cs="Arial"/>
                <w:szCs w:val="21"/>
              </w:rPr>
              <w:t xml:space="preserve">Includes admission events that were open during the reference period and have an Admission Event Type in 'SA','R','A','T'. </w:t>
            </w:r>
          </w:p>
          <w:p w14:paraId="7B0DAB04" w14:textId="5293235C" w:rsidR="00566407" w:rsidRDefault="00566407" w:rsidP="00566407">
            <w:pPr>
              <w:pStyle w:val="Tabletext"/>
              <w:spacing w:line="279" w:lineRule="auto"/>
              <w:rPr>
                <w:rFonts w:eastAsia="Arial" w:cs="Arial"/>
                <w:szCs w:val="21"/>
              </w:rPr>
            </w:pPr>
            <w:r w:rsidRPr="2ECFC544">
              <w:rPr>
                <w:rFonts w:eastAsia="Arial" w:cs="Arial"/>
                <w:szCs w:val="21"/>
              </w:rPr>
              <w:t>Occupied bed days per admission event are calculated by taking the difference in minutes between the start date and time and end date and time, then converting the time difference into days.</w:t>
            </w:r>
            <w:r w:rsidR="00565C0B">
              <w:rPr>
                <w:rFonts w:eastAsia="Arial" w:cs="Arial"/>
                <w:szCs w:val="21"/>
              </w:rPr>
              <w:t xml:space="preserve"> E</w:t>
            </w:r>
            <w:r w:rsidR="00565C0B" w:rsidRPr="2ECFC544">
              <w:rPr>
                <w:rFonts w:eastAsia="Arial" w:cs="Arial"/>
                <w:szCs w:val="21"/>
              </w:rPr>
              <w:t>xclude leave days, virtual wards, and units without a seclusion room.</w:t>
            </w:r>
          </w:p>
          <w:p w14:paraId="7958C16E" w14:textId="77777777" w:rsidR="00165594" w:rsidRDefault="00165594" w:rsidP="00165594">
            <w:pPr>
              <w:pStyle w:val="Tabletext"/>
              <w:spacing w:line="279" w:lineRule="auto"/>
              <w:rPr>
                <w:rFonts w:eastAsia="Arial" w:cs="Arial"/>
                <w:szCs w:val="21"/>
              </w:rPr>
            </w:pPr>
            <w:r w:rsidRPr="2ECFC544">
              <w:rPr>
                <w:rFonts w:eastAsia="Arial" w:cs="Arial"/>
                <w:szCs w:val="21"/>
              </w:rPr>
              <w:t>When a seclusion episode is not recorded against an admitted episode as required (i.e., the admission ID is not recorded, or where the service location code is '3', '12' or '13'), the seclusion episode is recorded against the mental health inpatient unit where the consumer had an open admitted episode at the start of the seclusion episode.</w:t>
            </w:r>
          </w:p>
          <w:p w14:paraId="7A1B426B" w14:textId="36326861" w:rsidR="2ECFC544" w:rsidRDefault="2ECFC544" w:rsidP="2ECFC544">
            <w:pPr>
              <w:pStyle w:val="Tabletext"/>
              <w:spacing w:line="279" w:lineRule="auto"/>
              <w:rPr>
                <w:rFonts w:eastAsia="Arial" w:cs="Arial"/>
                <w:szCs w:val="21"/>
              </w:rPr>
            </w:pPr>
            <w:r w:rsidRPr="2ECFC544">
              <w:rPr>
                <w:rFonts w:eastAsia="Arial" w:cs="Arial"/>
                <w:szCs w:val="21"/>
              </w:rPr>
              <w:t>Mental health inpatient units are determined at the CMI/ODS subcentre level.</w:t>
            </w:r>
          </w:p>
        </w:tc>
      </w:tr>
      <w:tr w:rsidR="2ECFC544" w14:paraId="3AA3AD7F"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30B21E7" w14:textId="2FAF1598" w:rsidR="2ECFC544" w:rsidRDefault="2ECFC544" w:rsidP="2ECFC544">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37DACD55" w14:textId="4C875EDD" w:rsidR="2ECFC544" w:rsidRDefault="2ECFC544" w:rsidP="00FB0A5B">
            <w:pPr>
              <w:pStyle w:val="Tabletext"/>
              <w:spacing w:line="279" w:lineRule="auto"/>
              <w:rPr>
                <w:rFonts w:eastAsia="Arial" w:cs="Arial"/>
                <w:szCs w:val="21"/>
              </w:rPr>
            </w:pPr>
            <w:r w:rsidRPr="2ECFC544">
              <w:rPr>
                <w:rFonts w:eastAsia="Arial" w:cs="Arial"/>
                <w:szCs w:val="21"/>
              </w:rPr>
              <w:t>The number of seclusion episodes ended within a mental health inpatient unit.</w:t>
            </w:r>
          </w:p>
        </w:tc>
      </w:tr>
      <w:tr w:rsidR="2ECFC544" w14:paraId="4198738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6FE4C34" w14:textId="635AD954" w:rsidR="2ECFC544" w:rsidRDefault="2ECFC544" w:rsidP="2ECFC544">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2C10D117" w14:textId="2C0821F0" w:rsidR="2ECFC544" w:rsidRDefault="2ECFC544" w:rsidP="00566407">
            <w:pPr>
              <w:pStyle w:val="Tabletext"/>
              <w:spacing w:line="279" w:lineRule="auto"/>
              <w:rPr>
                <w:rFonts w:eastAsia="Arial" w:cs="Arial"/>
                <w:szCs w:val="21"/>
              </w:rPr>
            </w:pPr>
            <w:r w:rsidRPr="2ECFC544">
              <w:rPr>
                <w:rFonts w:eastAsia="Arial" w:cs="Arial"/>
                <w:szCs w:val="21"/>
              </w:rPr>
              <w:t xml:space="preserve">The number of occupied bed days within a mental health inpatient unit.  </w:t>
            </w:r>
          </w:p>
        </w:tc>
      </w:tr>
      <w:tr w:rsidR="2ECFC544" w14:paraId="4E3A6A6A"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CB32B12" w14:textId="10C42381" w:rsidR="2ECFC544" w:rsidRDefault="2ECFC544" w:rsidP="2ECFC544">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tcPr>
          <w:p w14:paraId="4CC8A9F1" w14:textId="77777777" w:rsidR="00BD1418" w:rsidRDefault="2ECFC544" w:rsidP="2ECFC544">
            <w:pPr>
              <w:pStyle w:val="Tabletext"/>
              <w:spacing w:line="279" w:lineRule="auto"/>
              <w:rPr>
                <w:rFonts w:eastAsia="Arial" w:cs="Arial"/>
                <w:szCs w:val="21"/>
              </w:rPr>
            </w:pPr>
            <w:r w:rsidRPr="2ECFC544">
              <w:rPr>
                <w:rFonts w:eastAsia="Arial" w:cs="Arial"/>
                <w:szCs w:val="21"/>
              </w:rPr>
              <w:t xml:space="preserve">Less than or equal to 6 seclusion episodes per 1,000 bed days </w:t>
            </w:r>
          </w:p>
          <w:p w14:paraId="3C5B26BB" w14:textId="1FB45271" w:rsidR="2ECFC544" w:rsidRDefault="000C0107" w:rsidP="00722AE2">
            <w:pPr>
              <w:pStyle w:val="Tabletext"/>
              <w:spacing w:line="279" w:lineRule="auto"/>
              <w:rPr>
                <w:rFonts w:eastAsia="Arial" w:cs="Arial"/>
                <w:szCs w:val="21"/>
              </w:rPr>
            </w:pPr>
            <w:proofErr w:type="spellStart"/>
            <w:r w:rsidRPr="00337850">
              <w:rPr>
                <w:rFonts w:eastAsia="Arial" w:cs="Arial"/>
                <w:b/>
                <w:bCs/>
                <w:szCs w:val="21"/>
              </w:rPr>
              <w:t>Forensicare</w:t>
            </w:r>
            <w:proofErr w:type="spellEnd"/>
            <w:r w:rsidR="00455763">
              <w:rPr>
                <w:rFonts w:eastAsia="Arial" w:cs="Arial"/>
                <w:szCs w:val="21"/>
              </w:rPr>
              <w:t>:</w:t>
            </w:r>
            <w:r w:rsidR="00722AE2">
              <w:rPr>
                <w:rFonts w:eastAsia="Arial" w:cs="Arial"/>
                <w:szCs w:val="21"/>
              </w:rPr>
              <w:t xml:space="preserve"> </w:t>
            </w:r>
            <w:r w:rsidR="00BD1418" w:rsidRPr="2ECFC544">
              <w:rPr>
                <w:rFonts w:eastAsia="Arial" w:cs="Arial"/>
                <w:szCs w:val="21"/>
              </w:rPr>
              <w:t xml:space="preserve">Less than or equal to 6 seclusion episodes per 1,000 bed days </w:t>
            </w:r>
            <w:r w:rsidR="004D2144">
              <w:rPr>
                <w:rFonts w:eastAsia="Arial" w:cs="Arial"/>
                <w:szCs w:val="21"/>
              </w:rPr>
              <w:t xml:space="preserve">or </w:t>
            </w:r>
            <w:r w:rsidR="00C24812">
              <w:rPr>
                <w:rFonts w:eastAsia="Arial" w:cs="Arial"/>
                <w:szCs w:val="21"/>
              </w:rPr>
              <w:t xml:space="preserve">at least </w:t>
            </w:r>
            <w:r w:rsidR="004D2144">
              <w:rPr>
                <w:rFonts w:eastAsia="Arial" w:cs="Arial"/>
                <w:szCs w:val="21"/>
              </w:rPr>
              <w:t xml:space="preserve">5 per cent improvement </w:t>
            </w:r>
          </w:p>
        </w:tc>
      </w:tr>
      <w:tr w:rsidR="2ECFC544" w14:paraId="575185B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1A6B8F08" w14:textId="6BEDE66B" w:rsidR="2ECFC544" w:rsidRDefault="2ECFC544" w:rsidP="2ECFC544">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6E7DC68F" w14:textId="77777777" w:rsidR="2ECFC544" w:rsidRDefault="2ECFC544" w:rsidP="2ECFC544">
            <w:pPr>
              <w:pStyle w:val="Tabletext"/>
              <w:spacing w:line="279" w:lineRule="auto"/>
              <w:rPr>
                <w:rFonts w:eastAsia="Arial" w:cs="Arial"/>
                <w:szCs w:val="21"/>
              </w:rPr>
            </w:pPr>
            <w:r w:rsidRPr="2ECFC544">
              <w:rPr>
                <w:rFonts w:eastAsia="Arial" w:cs="Arial"/>
                <w:szCs w:val="21"/>
              </w:rPr>
              <w:t>Less than or equal to 6 seclusion episodes per 1,000 bed days</w:t>
            </w:r>
            <w:r w:rsidR="00105D4D">
              <w:rPr>
                <w:rFonts w:eastAsia="Arial" w:cs="Arial"/>
                <w:szCs w:val="21"/>
              </w:rPr>
              <w:t xml:space="preserve"> </w:t>
            </w:r>
          </w:p>
          <w:p w14:paraId="4E8A9960" w14:textId="4EAAF199" w:rsidR="00FA7B34" w:rsidRDefault="00AD7112" w:rsidP="00722AE2">
            <w:pPr>
              <w:pStyle w:val="Tabletext"/>
              <w:spacing w:line="279" w:lineRule="auto"/>
              <w:rPr>
                <w:rFonts w:eastAsia="Arial" w:cs="Arial"/>
                <w:szCs w:val="21"/>
              </w:rPr>
            </w:pPr>
            <w:proofErr w:type="spellStart"/>
            <w:r w:rsidRPr="00337850">
              <w:rPr>
                <w:rFonts w:eastAsia="Arial" w:cs="Arial"/>
                <w:b/>
                <w:bCs/>
                <w:szCs w:val="21"/>
              </w:rPr>
              <w:t>Forensicare</w:t>
            </w:r>
            <w:proofErr w:type="spellEnd"/>
            <w:r>
              <w:rPr>
                <w:rFonts w:eastAsia="Arial" w:cs="Arial"/>
                <w:szCs w:val="21"/>
              </w:rPr>
              <w:t>:</w:t>
            </w:r>
            <w:r w:rsidR="00722AE2">
              <w:rPr>
                <w:rFonts w:eastAsia="Arial" w:cs="Arial"/>
                <w:szCs w:val="21"/>
              </w:rPr>
              <w:t xml:space="preserve"> </w:t>
            </w:r>
            <w:r w:rsidR="00FA7B34" w:rsidRPr="2ECFC544">
              <w:rPr>
                <w:rFonts w:eastAsia="Arial" w:cs="Arial"/>
                <w:szCs w:val="21"/>
              </w:rPr>
              <w:t xml:space="preserve">Less than or equal to 6 seclusion episodes per 1,000 bed days </w:t>
            </w:r>
            <w:r w:rsidR="00FA7B34">
              <w:rPr>
                <w:rFonts w:eastAsia="Arial" w:cs="Arial"/>
                <w:szCs w:val="21"/>
              </w:rPr>
              <w:t>or</w:t>
            </w:r>
            <w:r w:rsidR="00C24812">
              <w:rPr>
                <w:rFonts w:eastAsia="Arial" w:cs="Arial"/>
                <w:szCs w:val="21"/>
              </w:rPr>
              <w:t xml:space="preserve"> at least </w:t>
            </w:r>
            <w:r w:rsidR="00FA7B34">
              <w:rPr>
                <w:rFonts w:eastAsia="Arial" w:cs="Arial"/>
                <w:szCs w:val="21"/>
              </w:rPr>
              <w:t xml:space="preserve">5 per cent improvement </w:t>
            </w:r>
          </w:p>
        </w:tc>
      </w:tr>
      <w:tr w:rsidR="2ECFC544" w14:paraId="4752FFBC"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51A2C1F" w14:textId="7ECACDFF" w:rsidR="2ECFC544" w:rsidRDefault="2ECFC544" w:rsidP="2ECFC544">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2F13C1A2" w14:textId="77777777" w:rsidR="2ECFC544" w:rsidRDefault="2ECFC544" w:rsidP="2ECFC544">
            <w:pPr>
              <w:pStyle w:val="Tabletext"/>
              <w:spacing w:line="279" w:lineRule="auto"/>
              <w:rPr>
                <w:rFonts w:eastAsia="Arial" w:cs="Arial"/>
                <w:szCs w:val="21"/>
              </w:rPr>
            </w:pPr>
            <w:r w:rsidRPr="2ECFC544">
              <w:rPr>
                <w:rFonts w:eastAsia="Arial" w:cs="Arial"/>
                <w:szCs w:val="21"/>
              </w:rPr>
              <w:t>Greater than 6 seclusion episodes per 1,000 bed days</w:t>
            </w:r>
          </w:p>
          <w:p w14:paraId="125B288B" w14:textId="6299DA88" w:rsidR="00FA7B34" w:rsidRDefault="00AD7112" w:rsidP="00722AE2">
            <w:pPr>
              <w:pStyle w:val="Tabletext"/>
              <w:spacing w:line="279" w:lineRule="auto"/>
              <w:rPr>
                <w:rFonts w:eastAsia="Arial" w:cs="Arial"/>
                <w:szCs w:val="21"/>
              </w:rPr>
            </w:pPr>
            <w:proofErr w:type="spellStart"/>
            <w:r w:rsidRPr="00337850">
              <w:rPr>
                <w:rFonts w:eastAsia="Arial" w:cs="Arial"/>
                <w:b/>
                <w:bCs/>
                <w:szCs w:val="21"/>
              </w:rPr>
              <w:t>Forensicare</w:t>
            </w:r>
            <w:proofErr w:type="spellEnd"/>
            <w:r>
              <w:rPr>
                <w:rFonts w:eastAsia="Arial" w:cs="Arial"/>
                <w:szCs w:val="21"/>
              </w:rPr>
              <w:t>:</w:t>
            </w:r>
            <w:r w:rsidR="00722AE2">
              <w:rPr>
                <w:rFonts w:eastAsia="Arial" w:cs="Arial"/>
                <w:szCs w:val="21"/>
              </w:rPr>
              <w:t xml:space="preserve"> </w:t>
            </w:r>
            <w:r w:rsidR="00FA7B34">
              <w:rPr>
                <w:rFonts w:eastAsia="Arial" w:cs="Arial"/>
                <w:szCs w:val="21"/>
              </w:rPr>
              <w:t>Greater than</w:t>
            </w:r>
            <w:r w:rsidR="00FA7B34" w:rsidRPr="2ECFC544">
              <w:rPr>
                <w:rFonts w:eastAsia="Arial" w:cs="Arial"/>
                <w:szCs w:val="21"/>
              </w:rPr>
              <w:t xml:space="preserve"> 6 seclusion episodes per 1,000 bed days </w:t>
            </w:r>
            <w:r w:rsidR="00C862DA">
              <w:rPr>
                <w:rFonts w:eastAsia="Arial" w:cs="Arial"/>
                <w:szCs w:val="21"/>
              </w:rPr>
              <w:t>and</w:t>
            </w:r>
            <w:r w:rsidR="00FA7B34">
              <w:rPr>
                <w:rFonts w:eastAsia="Arial" w:cs="Arial"/>
                <w:szCs w:val="21"/>
              </w:rPr>
              <w:t xml:space="preserve"> </w:t>
            </w:r>
            <w:r>
              <w:rPr>
                <w:rFonts w:eastAsia="Arial" w:cs="Arial"/>
                <w:szCs w:val="21"/>
              </w:rPr>
              <w:t xml:space="preserve">less than </w:t>
            </w:r>
            <w:r w:rsidR="00FA7B34">
              <w:rPr>
                <w:rFonts w:eastAsia="Arial" w:cs="Arial"/>
                <w:szCs w:val="21"/>
              </w:rPr>
              <w:t xml:space="preserve">5 per cent improvement </w:t>
            </w:r>
          </w:p>
        </w:tc>
      </w:tr>
      <w:tr w:rsidR="2ECFC544" w14:paraId="712A0DC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6B566213" w14:textId="73CE239F" w:rsidR="2ECFC544" w:rsidRDefault="2ECFC544" w:rsidP="2ECFC544">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1DE45358" w14:textId="1D9E5998" w:rsidR="2ECFC544" w:rsidRDefault="5CCBE381" w:rsidP="55528ABA">
            <w:pPr>
              <w:pStyle w:val="Tabletext"/>
              <w:spacing w:line="279" w:lineRule="auto"/>
              <w:rPr>
                <w:rFonts w:eastAsia="Arial" w:cs="Arial"/>
              </w:rPr>
            </w:pPr>
            <w:bookmarkStart w:id="64" w:name="_Int_JMPZdX0h"/>
            <w:proofErr w:type="gramStart"/>
            <w:r w:rsidRPr="55528ABA">
              <w:rPr>
                <w:rFonts w:eastAsia="Arial" w:cs="Arial"/>
              </w:rPr>
              <w:t>For the purpose of</w:t>
            </w:r>
            <w:bookmarkEnd w:id="64"/>
            <w:proofErr w:type="gramEnd"/>
            <w:r w:rsidRPr="55528ABA">
              <w:rPr>
                <w:rFonts w:eastAsia="Arial" w:cs="Arial"/>
              </w:rPr>
              <w:t xml:space="preserve"> the performance risk assessment, improvement is compared to previous quarter performance </w:t>
            </w:r>
          </w:p>
        </w:tc>
      </w:tr>
      <w:tr w:rsidR="2ECFC544" w14:paraId="0A833C7A"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3701E5FB" w14:textId="026D3818" w:rsidR="2ECFC544" w:rsidRDefault="2ECFC544" w:rsidP="2ECFC544">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36C88536" w14:textId="5ADEB5F9" w:rsidR="2ECFC544" w:rsidRDefault="2ECFC544" w:rsidP="2ECFC544">
            <w:pPr>
              <w:pStyle w:val="Tabletext"/>
              <w:spacing w:line="279" w:lineRule="auto"/>
              <w:rPr>
                <w:rFonts w:eastAsia="Arial" w:cs="Arial"/>
                <w:szCs w:val="21"/>
              </w:rPr>
            </w:pPr>
            <w:r w:rsidRPr="2ECFC544">
              <w:rPr>
                <w:rFonts w:eastAsia="Arial" w:cs="Arial"/>
                <w:szCs w:val="21"/>
              </w:rPr>
              <w:t xml:space="preserve">Performance is reported quarterly and annually by </w:t>
            </w:r>
            <w:r w:rsidR="00762B5A">
              <w:rPr>
                <w:rFonts w:eastAsia="Arial" w:cs="Arial"/>
                <w:szCs w:val="21"/>
              </w:rPr>
              <w:t>health service.</w:t>
            </w:r>
            <w:r w:rsidRPr="2ECFC544">
              <w:rPr>
                <w:rFonts w:eastAsia="Arial" w:cs="Arial"/>
                <w:szCs w:val="21"/>
              </w:rPr>
              <w:t xml:space="preserve"> </w:t>
            </w:r>
          </w:p>
          <w:p w14:paraId="3630D40A" w14:textId="1EF8D454" w:rsidR="2ECFC544" w:rsidRDefault="2ECFC544" w:rsidP="2ECFC544">
            <w:pPr>
              <w:pStyle w:val="Tabletext"/>
              <w:spacing w:line="279" w:lineRule="auto"/>
              <w:rPr>
                <w:rFonts w:eastAsia="Arial" w:cs="Arial"/>
                <w:szCs w:val="21"/>
              </w:rPr>
            </w:pPr>
            <w:r w:rsidRPr="2ECFC544">
              <w:rPr>
                <w:rFonts w:eastAsia="Arial" w:cs="Arial"/>
                <w:szCs w:val="21"/>
              </w:rPr>
              <w:t>Data are sourced from the Client Management Interface (CMI) / Operational Data Store (ODS).</w:t>
            </w:r>
          </w:p>
        </w:tc>
      </w:tr>
    </w:tbl>
    <w:p w14:paraId="1F98F34B" w14:textId="21F24C44" w:rsidR="5463EECD" w:rsidRDefault="5463EECD" w:rsidP="008E7F78">
      <w:pPr>
        <w:pStyle w:val="Heading4"/>
        <w:rPr>
          <w:i/>
        </w:rPr>
      </w:pPr>
      <w:bookmarkStart w:id="65" w:name="_Toc86932737"/>
      <w:r w:rsidRPr="2ECFC544">
        <w:rPr>
          <w:rFonts w:eastAsia="Arial" w:cs="Arial"/>
          <w:szCs w:val="24"/>
        </w:rPr>
        <w:t>Percentage of consumers re-admitted within 28 days of separation – Inpatient</w:t>
      </w:r>
      <w:bookmarkEnd w:id="65"/>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0FFB83DE"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E82E64B" w14:textId="6E474169" w:rsidR="2ECFC544" w:rsidRDefault="2ECFC544" w:rsidP="2ECFC544">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vAlign w:val="bottom"/>
          </w:tcPr>
          <w:p w14:paraId="2008794A" w14:textId="2B37190B" w:rsidR="2ECFC544" w:rsidRDefault="2ECFC544" w:rsidP="2ECFC544">
            <w:pPr>
              <w:pStyle w:val="Tabletext"/>
              <w:spacing w:line="279" w:lineRule="auto"/>
              <w:rPr>
                <w:rFonts w:eastAsia="Arial" w:cs="Arial"/>
                <w:szCs w:val="21"/>
              </w:rPr>
            </w:pPr>
            <w:r w:rsidRPr="2ECFC544">
              <w:rPr>
                <w:rFonts w:eastAsia="Arial" w:cs="Arial"/>
                <w:szCs w:val="21"/>
              </w:rPr>
              <w:t xml:space="preserve">Percentage of consumers re-admitted within 28 days of separation </w:t>
            </w:r>
            <w:r w:rsidR="002A5841">
              <w:rPr>
                <w:rFonts w:eastAsia="Arial" w:cs="Arial"/>
                <w:szCs w:val="21"/>
              </w:rPr>
              <w:t>‒</w:t>
            </w:r>
            <w:r w:rsidRPr="2ECFC544">
              <w:rPr>
                <w:rFonts w:eastAsia="Arial" w:cs="Arial"/>
                <w:szCs w:val="21"/>
              </w:rPr>
              <w:t xml:space="preserve"> Inpatient </w:t>
            </w:r>
          </w:p>
        </w:tc>
      </w:tr>
      <w:tr w:rsidR="2ECFC544" w14:paraId="2AEF6E43"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20976088" w14:textId="5D42E36F" w:rsidR="2ECFC544" w:rsidRDefault="2ECFC544" w:rsidP="2ECFC544">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5E430454" w14:textId="7AA79E3A" w:rsidR="2ECFC544" w:rsidRDefault="2ECFC544" w:rsidP="2ECFC544">
            <w:pPr>
              <w:pStyle w:val="Tabletext"/>
              <w:spacing w:line="279" w:lineRule="auto"/>
              <w:rPr>
                <w:rFonts w:eastAsia="Arial" w:cs="Arial"/>
                <w:szCs w:val="21"/>
              </w:rPr>
            </w:pPr>
            <w:r w:rsidRPr="2ECFC544">
              <w:rPr>
                <w:rFonts w:eastAsia="Arial" w:cs="Arial"/>
                <w:szCs w:val="21"/>
              </w:rPr>
              <w:t>Specialist mental health services are aimed primarily at people with a serious mental illness or mental disorder who have associated significant levels of disturbance and psychosocial disability due to their illness or disorder. Readmission rates for mental health consumers can reflect the quality of care, effectiveness of discharge planning and level of support provided to patients after discharge, as well as other factors.</w:t>
            </w:r>
          </w:p>
        </w:tc>
      </w:tr>
      <w:tr w:rsidR="2ECFC544" w14:paraId="3B74713D"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93737A7" w14:textId="43523442" w:rsidR="2ECFC544" w:rsidRDefault="2ECFC544" w:rsidP="2ECFC544">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1AFB37A2" w14:textId="7527A55D" w:rsidR="2ECFC544" w:rsidRDefault="2ECFC544" w:rsidP="2ECFC544">
            <w:pPr>
              <w:pStyle w:val="Tabletext"/>
              <w:spacing w:line="279" w:lineRule="auto"/>
              <w:rPr>
                <w:rFonts w:eastAsia="Arial" w:cs="Arial"/>
                <w:szCs w:val="21"/>
              </w:rPr>
            </w:pPr>
            <w:r w:rsidRPr="2ECFC544">
              <w:rPr>
                <w:rFonts w:eastAsia="Arial" w:cs="Arial"/>
                <w:szCs w:val="21"/>
              </w:rPr>
              <w:t xml:space="preserve">This measure calculates the percentage of non-same day separations from mental health inpatient units where the consumer was re-admitted (planned or unplanned) to any mental health inpatient unit within 28 days of separation.  </w:t>
            </w:r>
          </w:p>
          <w:p w14:paraId="133C29F4" w14:textId="453140FC" w:rsidR="00CB4EED" w:rsidRDefault="003A5EE2" w:rsidP="2ECFC544">
            <w:pPr>
              <w:pStyle w:val="Tabletext"/>
              <w:spacing w:line="279" w:lineRule="auto"/>
              <w:rPr>
                <w:rFonts w:eastAsia="Arial" w:cs="Arial"/>
                <w:szCs w:val="21"/>
              </w:rPr>
            </w:pPr>
            <w:r w:rsidRPr="2ECFC544">
              <w:rPr>
                <w:rFonts w:eastAsia="Arial" w:cs="Arial"/>
                <w:szCs w:val="21"/>
              </w:rPr>
              <w:t>Excludes</w:t>
            </w:r>
            <w:r w:rsidR="00CB4EED">
              <w:rPr>
                <w:rFonts w:eastAsia="Arial" w:cs="Arial"/>
                <w:szCs w:val="21"/>
              </w:rPr>
              <w:t>:</w:t>
            </w:r>
            <w:r w:rsidR="005C78FD">
              <w:rPr>
                <w:rFonts w:eastAsia="Arial" w:cs="Arial"/>
                <w:szCs w:val="21"/>
              </w:rPr>
              <w:t xml:space="preserve"> s</w:t>
            </w:r>
            <w:r w:rsidRPr="2ECFC544">
              <w:rPr>
                <w:rFonts w:eastAsia="Arial" w:cs="Arial"/>
                <w:szCs w:val="21"/>
              </w:rPr>
              <w:t>ame day admissions</w:t>
            </w:r>
            <w:r w:rsidR="005C78FD">
              <w:rPr>
                <w:rFonts w:eastAsia="Arial" w:cs="Arial"/>
                <w:szCs w:val="21"/>
              </w:rPr>
              <w:t xml:space="preserve">; </w:t>
            </w:r>
            <w:r w:rsidRPr="2ECFC544">
              <w:rPr>
                <w:rFonts w:eastAsia="Arial" w:cs="Arial"/>
                <w:szCs w:val="21"/>
              </w:rPr>
              <w:t>consumers that were originally separated because they were transferred to another inpatient unit or absconded</w:t>
            </w:r>
            <w:r w:rsidR="005C78FD">
              <w:rPr>
                <w:rFonts w:eastAsia="Arial" w:cs="Arial"/>
                <w:szCs w:val="21"/>
              </w:rPr>
              <w:t xml:space="preserve">; </w:t>
            </w:r>
            <w:r w:rsidRPr="2ECFC544">
              <w:rPr>
                <w:rFonts w:eastAsia="Arial" w:cs="Arial"/>
                <w:szCs w:val="21"/>
              </w:rPr>
              <w:t>overnight ECT admissions (where ECT occurred on the day of separation)</w:t>
            </w:r>
            <w:r w:rsidR="00CB4EED">
              <w:rPr>
                <w:rFonts w:eastAsia="Arial" w:cs="Arial"/>
                <w:szCs w:val="21"/>
              </w:rPr>
              <w:t>.</w:t>
            </w:r>
          </w:p>
          <w:p w14:paraId="5FAFD385" w14:textId="0192AB79" w:rsidR="003A5EE2" w:rsidRDefault="00F97732" w:rsidP="2ECFC544">
            <w:pPr>
              <w:pStyle w:val="Tabletext"/>
              <w:spacing w:line="279" w:lineRule="auto"/>
              <w:rPr>
                <w:rFonts w:eastAsia="Arial" w:cs="Arial"/>
                <w:szCs w:val="21"/>
              </w:rPr>
            </w:pPr>
            <w:r>
              <w:rPr>
                <w:rFonts w:eastAsia="Arial" w:cs="Arial"/>
                <w:szCs w:val="21"/>
              </w:rPr>
              <w:t xml:space="preserve">Re-admissions exclude </w:t>
            </w:r>
            <w:r w:rsidR="00D54E4B">
              <w:rPr>
                <w:rFonts w:eastAsia="Arial" w:cs="Arial"/>
                <w:szCs w:val="21"/>
              </w:rPr>
              <w:t xml:space="preserve">admissions </w:t>
            </w:r>
            <w:r w:rsidR="003A5EE2" w:rsidRPr="2ECFC544">
              <w:rPr>
                <w:rFonts w:eastAsia="Arial" w:cs="Arial"/>
                <w:szCs w:val="21"/>
              </w:rPr>
              <w:t>to the following specialty inpatient units: Mother/Baby, Eating Disorder, PICU and Neuropsychiatry.</w:t>
            </w:r>
          </w:p>
          <w:p w14:paraId="126D6C00" w14:textId="1C79AAB6" w:rsidR="2ECFC544" w:rsidRDefault="2ECFC544" w:rsidP="2ECFC544">
            <w:pPr>
              <w:pStyle w:val="Tabletext"/>
              <w:spacing w:line="279" w:lineRule="auto"/>
              <w:rPr>
                <w:rFonts w:eastAsia="Arial" w:cs="Arial"/>
                <w:szCs w:val="21"/>
              </w:rPr>
            </w:pPr>
            <w:r w:rsidRPr="2ECFC544">
              <w:rPr>
                <w:rFonts w:eastAsia="Arial" w:cs="Arial"/>
                <w:szCs w:val="21"/>
              </w:rPr>
              <w:t>Mental health inpatient units are determined at the CMI/ODS subcentre level.</w:t>
            </w:r>
          </w:p>
        </w:tc>
      </w:tr>
      <w:tr w:rsidR="2ECFC544" w14:paraId="580A2E93"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47CBB11" w14:textId="728EFB06" w:rsidR="2ECFC544" w:rsidRDefault="2ECFC544" w:rsidP="2ECFC544">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37123E3D" w14:textId="6DFDE7CC" w:rsidR="2ECFC544" w:rsidRDefault="2ECFC544" w:rsidP="2ECFC544">
            <w:pPr>
              <w:pStyle w:val="Tabletext"/>
              <w:spacing w:line="279" w:lineRule="auto"/>
              <w:rPr>
                <w:rFonts w:eastAsia="Arial" w:cs="Arial"/>
                <w:szCs w:val="21"/>
              </w:rPr>
            </w:pPr>
            <w:r w:rsidRPr="2ECFC544">
              <w:rPr>
                <w:rFonts w:eastAsia="Arial" w:cs="Arial"/>
                <w:szCs w:val="21"/>
              </w:rPr>
              <w:t xml:space="preserve">Number of readmissions (planned or unplanned) to any mental health inpatient unit within 28 days of separation from a mental health inpatient unit. </w:t>
            </w:r>
          </w:p>
        </w:tc>
      </w:tr>
      <w:tr w:rsidR="2ECFC544" w14:paraId="54AD1D6F"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F68ACDF" w14:textId="2764D12B" w:rsidR="2ECFC544" w:rsidRDefault="2ECFC544" w:rsidP="2ECFC544">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2D4E65FC" w14:textId="4B42CD6E" w:rsidR="2ECFC544" w:rsidRDefault="2ECFC544" w:rsidP="2ECFC544">
            <w:pPr>
              <w:pStyle w:val="Tabletext"/>
              <w:spacing w:line="279" w:lineRule="auto"/>
              <w:rPr>
                <w:rFonts w:eastAsia="Arial" w:cs="Arial"/>
                <w:szCs w:val="21"/>
              </w:rPr>
            </w:pPr>
            <w:r w:rsidRPr="2ECFC544">
              <w:rPr>
                <w:rFonts w:eastAsia="Arial" w:cs="Arial"/>
                <w:szCs w:val="21"/>
              </w:rPr>
              <w:t xml:space="preserve">Total number of separations from a mental health inpatient unit, where the consumer was discharged home or to a residential service. </w:t>
            </w:r>
          </w:p>
        </w:tc>
      </w:tr>
      <w:tr w:rsidR="2ECFC544" w14:paraId="623452DD"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1646EB40" w14:textId="164CD121" w:rsidR="2ECFC544" w:rsidRDefault="2ECFC544" w:rsidP="2ECFC544">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tcPr>
          <w:p w14:paraId="11212836" w14:textId="56A8493A" w:rsidR="2ECFC544" w:rsidRDefault="00C43DBB" w:rsidP="2ECFC544">
            <w:pPr>
              <w:pStyle w:val="Tabletext"/>
              <w:spacing w:line="279" w:lineRule="auto"/>
              <w:rPr>
                <w:rFonts w:eastAsia="Arial" w:cs="Arial"/>
                <w:szCs w:val="21"/>
              </w:rPr>
            </w:pPr>
            <w:r>
              <w:rPr>
                <w:rFonts w:eastAsia="Arial" w:cs="Arial"/>
                <w:szCs w:val="21"/>
              </w:rPr>
              <w:t xml:space="preserve">Less than </w:t>
            </w:r>
            <w:r w:rsidR="2ECFC544" w:rsidRPr="2ECFC544">
              <w:rPr>
                <w:rFonts w:eastAsia="Arial" w:cs="Arial"/>
                <w:szCs w:val="21"/>
              </w:rPr>
              <w:t>14 per cent</w:t>
            </w:r>
          </w:p>
        </w:tc>
      </w:tr>
      <w:tr w:rsidR="2ECFC544" w14:paraId="3BC0931B"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36187371" w14:textId="502ABFFB" w:rsidR="2ECFC544" w:rsidRDefault="2ECFC544" w:rsidP="2ECFC544">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38FD0EB8" w14:textId="5F15ADD5" w:rsidR="2ECFC544" w:rsidRDefault="2ECFC544" w:rsidP="2ECFC544">
            <w:pPr>
              <w:pStyle w:val="Tabletext"/>
              <w:spacing w:line="279" w:lineRule="auto"/>
              <w:rPr>
                <w:rFonts w:eastAsia="Arial" w:cs="Arial"/>
                <w:szCs w:val="21"/>
              </w:rPr>
            </w:pPr>
            <w:r w:rsidRPr="2ECFC544">
              <w:rPr>
                <w:rFonts w:eastAsia="Arial" w:cs="Arial"/>
                <w:szCs w:val="21"/>
              </w:rPr>
              <w:t>Less than 14 per cent</w:t>
            </w:r>
          </w:p>
        </w:tc>
      </w:tr>
      <w:tr w:rsidR="2ECFC544" w14:paraId="5E2A3310"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831DA26" w14:textId="0D08015E" w:rsidR="2ECFC544" w:rsidRDefault="2ECFC544" w:rsidP="2ECFC544">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48123893" w14:textId="5EC68997" w:rsidR="2ECFC544" w:rsidRDefault="2ECFC544" w:rsidP="2ECFC544">
            <w:pPr>
              <w:pStyle w:val="Tabletext"/>
              <w:spacing w:line="279" w:lineRule="auto"/>
              <w:rPr>
                <w:rFonts w:eastAsia="Arial" w:cs="Arial"/>
                <w:szCs w:val="21"/>
              </w:rPr>
            </w:pPr>
            <w:r w:rsidRPr="2ECFC544">
              <w:rPr>
                <w:rFonts w:eastAsia="Arial" w:cs="Arial"/>
                <w:szCs w:val="21"/>
              </w:rPr>
              <w:t xml:space="preserve">Greater than </w:t>
            </w:r>
            <w:r w:rsidR="00C43DBB">
              <w:rPr>
                <w:rFonts w:eastAsia="Arial" w:cs="Arial"/>
                <w:szCs w:val="21"/>
              </w:rPr>
              <w:t>or equal to</w:t>
            </w:r>
            <w:r w:rsidRPr="2ECFC544">
              <w:rPr>
                <w:rFonts w:eastAsia="Arial" w:cs="Arial"/>
                <w:szCs w:val="21"/>
              </w:rPr>
              <w:t xml:space="preserve"> 14 per cent</w:t>
            </w:r>
          </w:p>
        </w:tc>
      </w:tr>
      <w:tr w:rsidR="2ECFC544" w14:paraId="371270A6"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3C2CA46" w14:textId="291C28DB" w:rsidR="2ECFC544" w:rsidRDefault="2ECFC544" w:rsidP="2ECFC544">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352789E4" w14:textId="17C68E11" w:rsidR="2ECFC544" w:rsidRDefault="5CCBE381" w:rsidP="55528ABA">
            <w:pPr>
              <w:pStyle w:val="Tabletext"/>
              <w:spacing w:line="279" w:lineRule="auto"/>
              <w:rPr>
                <w:rFonts w:eastAsia="Arial" w:cs="Arial"/>
              </w:rPr>
            </w:pPr>
            <w:bookmarkStart w:id="66" w:name="_Int_x0c7ZRhs"/>
            <w:proofErr w:type="gramStart"/>
            <w:r w:rsidRPr="55528ABA">
              <w:rPr>
                <w:rFonts w:eastAsia="Arial" w:cs="Arial"/>
              </w:rPr>
              <w:t>For the purpose of</w:t>
            </w:r>
            <w:bookmarkEnd w:id="66"/>
            <w:proofErr w:type="gramEnd"/>
            <w:r w:rsidRPr="55528ABA">
              <w:rPr>
                <w:rFonts w:eastAsia="Arial" w:cs="Arial"/>
              </w:rPr>
              <w:t xml:space="preserve"> the performance risk assessment, improvement is compared to previous quarter performance </w:t>
            </w:r>
          </w:p>
        </w:tc>
      </w:tr>
      <w:tr w:rsidR="2ECFC544" w14:paraId="3F98CBAD"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55C43A01" w14:textId="4A56C052" w:rsidR="2ECFC544" w:rsidRDefault="2ECFC544" w:rsidP="2ECFC544">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5297E391" w14:textId="38081239" w:rsidR="2ECFC544" w:rsidRDefault="2ECFC544" w:rsidP="2ECFC544">
            <w:pPr>
              <w:pStyle w:val="Tabletext"/>
              <w:spacing w:line="279" w:lineRule="auto"/>
              <w:rPr>
                <w:rFonts w:eastAsia="Arial" w:cs="Arial"/>
                <w:szCs w:val="21"/>
              </w:rPr>
            </w:pPr>
            <w:r w:rsidRPr="2ECFC544">
              <w:rPr>
                <w:rFonts w:eastAsia="Arial" w:cs="Arial"/>
                <w:szCs w:val="21"/>
              </w:rPr>
              <w:t xml:space="preserve">Performance is reported annually and quarterly by Designated Mental Health Service. </w:t>
            </w:r>
            <w:r w:rsidR="00E16074">
              <w:rPr>
                <w:rFonts w:eastAsia="Arial" w:cs="Arial"/>
                <w:szCs w:val="21"/>
              </w:rPr>
              <w:t>Data are lagged by one month.</w:t>
            </w:r>
          </w:p>
          <w:p w14:paraId="3C643DD9" w14:textId="25DA8318" w:rsidR="2ECFC544" w:rsidRDefault="2ECFC544" w:rsidP="2ECFC544">
            <w:pPr>
              <w:pStyle w:val="Tabletext"/>
              <w:spacing w:line="279" w:lineRule="auto"/>
              <w:rPr>
                <w:rFonts w:eastAsia="Arial" w:cs="Arial"/>
                <w:szCs w:val="21"/>
              </w:rPr>
            </w:pPr>
            <w:r w:rsidRPr="2ECFC544">
              <w:rPr>
                <w:rFonts w:eastAsia="Arial" w:cs="Arial"/>
                <w:szCs w:val="21"/>
              </w:rPr>
              <w:t>Data are sourced from the Client Management Interface (CMI) / Operational Data Store (ODS)</w:t>
            </w:r>
            <w:r w:rsidRPr="2ECFC544" w:rsidDel="00575697">
              <w:rPr>
                <w:rFonts w:eastAsia="Arial" w:cs="Arial"/>
                <w:szCs w:val="21"/>
              </w:rPr>
              <w:t>.</w:t>
            </w:r>
            <w:r w:rsidR="00575697">
              <w:rPr>
                <w:rFonts w:eastAsia="Arial" w:cs="Arial"/>
                <w:szCs w:val="21"/>
              </w:rPr>
              <w:t xml:space="preserve"> </w:t>
            </w:r>
          </w:p>
        </w:tc>
      </w:tr>
    </w:tbl>
    <w:p w14:paraId="211AF2F1" w14:textId="34CB9482" w:rsidR="5463EECD" w:rsidRDefault="5463EECD" w:rsidP="008E7F78">
      <w:pPr>
        <w:pStyle w:val="Heading4"/>
        <w:rPr>
          <w:i/>
        </w:rPr>
      </w:pPr>
      <w:bookmarkStart w:id="67" w:name="_Toc911786248"/>
      <w:r w:rsidRPr="2ECFC544">
        <w:rPr>
          <w:rFonts w:eastAsia="Arial" w:cs="Arial"/>
          <w:szCs w:val="24"/>
        </w:rPr>
        <w:t>Percentage of consumers followed up within 7 days of separation – Inpatient</w:t>
      </w:r>
      <w:bookmarkEnd w:id="67"/>
      <w:r w:rsidRPr="7F26C1AA">
        <w:rPr>
          <w:rFonts w:eastAsia="Arial" w:cs="Arial"/>
        </w:rPr>
        <w:t> </w:t>
      </w:r>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2ECFC544" w14:paraId="4FBEA62E" w14:textId="77777777" w:rsidTr="55528ABA">
        <w:trPr>
          <w:trHeight w:val="285"/>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47A3923" w14:textId="17213D47" w:rsidR="2ECFC544" w:rsidRDefault="2ECFC544" w:rsidP="2ECFC544">
            <w:pPr>
              <w:pStyle w:val="Tablecolhead"/>
              <w:spacing w:line="279" w:lineRule="auto"/>
              <w:rPr>
                <w:rFonts w:eastAsia="Arial" w:cs="Arial"/>
                <w:bCs/>
                <w:szCs w:val="21"/>
              </w:rPr>
            </w:pPr>
            <w:r w:rsidRPr="2ECFC544">
              <w:rPr>
                <w:rFonts w:eastAsia="Arial" w:cs="Arial"/>
                <w:b w:val="0"/>
                <w:szCs w:val="21"/>
              </w:rPr>
              <w:t>Measure</w:t>
            </w:r>
          </w:p>
        </w:tc>
        <w:tc>
          <w:tcPr>
            <w:tcW w:w="8503" w:type="dxa"/>
            <w:tcBorders>
              <w:top w:val="single" w:sz="6" w:space="0" w:color="auto"/>
              <w:left w:val="single" w:sz="6" w:space="0" w:color="000000" w:themeColor="text1"/>
              <w:right w:val="single" w:sz="6" w:space="0" w:color="auto"/>
            </w:tcBorders>
            <w:tcMar>
              <w:left w:w="90" w:type="dxa"/>
              <w:right w:w="90" w:type="dxa"/>
            </w:tcMar>
            <w:vAlign w:val="bottom"/>
          </w:tcPr>
          <w:p w14:paraId="3C5C634D" w14:textId="28028667" w:rsidR="2ECFC544" w:rsidRDefault="2ECFC544" w:rsidP="2ECFC544">
            <w:pPr>
              <w:pStyle w:val="Tabletext"/>
              <w:spacing w:line="279" w:lineRule="auto"/>
              <w:rPr>
                <w:rFonts w:eastAsia="Arial" w:cs="Arial"/>
                <w:szCs w:val="21"/>
              </w:rPr>
            </w:pPr>
            <w:r w:rsidRPr="2ECFC544">
              <w:rPr>
                <w:rFonts w:eastAsia="Arial" w:cs="Arial"/>
                <w:szCs w:val="21"/>
              </w:rPr>
              <w:t>Percentage of consumers followed up within 7 days of separation – Inpatient</w:t>
            </w:r>
          </w:p>
        </w:tc>
      </w:tr>
      <w:tr w:rsidR="2ECFC544" w14:paraId="7CE5605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7E9AF499" w14:textId="4C3D3F59" w:rsidR="2ECFC544" w:rsidRDefault="2ECFC544" w:rsidP="2ECFC544">
            <w:pPr>
              <w:pStyle w:val="Tablecolhead"/>
              <w:spacing w:line="279" w:lineRule="auto"/>
              <w:rPr>
                <w:rFonts w:eastAsia="Arial" w:cs="Arial"/>
                <w:bCs/>
                <w:szCs w:val="21"/>
              </w:rPr>
            </w:pPr>
            <w:r w:rsidRPr="2ECFC544">
              <w:rPr>
                <w:rFonts w:eastAsia="Arial" w:cs="Arial"/>
                <w:b w:val="0"/>
                <w:szCs w:val="21"/>
              </w:rPr>
              <w:t>Description </w:t>
            </w:r>
          </w:p>
        </w:tc>
        <w:tc>
          <w:tcPr>
            <w:tcW w:w="8503" w:type="dxa"/>
            <w:tcBorders>
              <w:left w:val="single" w:sz="6" w:space="0" w:color="000000" w:themeColor="text1"/>
              <w:right w:val="single" w:sz="6" w:space="0" w:color="auto"/>
            </w:tcBorders>
            <w:tcMar>
              <w:left w:w="90" w:type="dxa"/>
              <w:right w:w="90" w:type="dxa"/>
            </w:tcMar>
          </w:tcPr>
          <w:p w14:paraId="2FE943EA" w14:textId="073BC5F4" w:rsidR="2ECFC544" w:rsidRDefault="2ECFC544" w:rsidP="2ECFC544">
            <w:pPr>
              <w:pStyle w:val="Tabletext"/>
              <w:spacing w:line="279" w:lineRule="auto"/>
              <w:rPr>
                <w:rFonts w:eastAsia="Arial" w:cs="Arial"/>
                <w:szCs w:val="21"/>
              </w:rPr>
            </w:pPr>
            <w:r w:rsidRPr="2ECFC544">
              <w:rPr>
                <w:rFonts w:eastAsia="Arial" w:cs="Arial"/>
                <w:szCs w:val="21"/>
              </w:rPr>
              <w:t>A responsive, post-discharge community support system is essential for consumers who have experienced a mental health admission to maintain clinical and functional stability, and to minimise the need for readmission.</w:t>
            </w:r>
          </w:p>
          <w:p w14:paraId="0C6677A7" w14:textId="6589CF94" w:rsidR="2ECFC544" w:rsidRDefault="2ECFC544" w:rsidP="2ECFC544">
            <w:pPr>
              <w:pStyle w:val="Tabletext"/>
              <w:spacing w:line="279" w:lineRule="auto"/>
              <w:rPr>
                <w:rFonts w:eastAsia="Arial" w:cs="Arial"/>
                <w:szCs w:val="21"/>
              </w:rPr>
            </w:pPr>
            <w:r w:rsidRPr="2ECFC544">
              <w:rPr>
                <w:rFonts w:eastAsia="Arial" w:cs="Arial"/>
                <w:szCs w:val="21"/>
              </w:rPr>
              <w:t>Consumers discharged after a mental health admission with linkages to community services and supports are less likely to be at risk of readmission.</w:t>
            </w:r>
          </w:p>
          <w:p w14:paraId="31118E43" w14:textId="2622CB15" w:rsidR="2ECFC544" w:rsidRDefault="2ECFC544" w:rsidP="2ECFC544">
            <w:pPr>
              <w:pStyle w:val="Tabletext"/>
              <w:spacing w:line="279" w:lineRule="auto"/>
              <w:rPr>
                <w:rFonts w:eastAsia="Arial" w:cs="Arial"/>
                <w:szCs w:val="21"/>
              </w:rPr>
            </w:pPr>
            <w:r w:rsidRPr="2ECFC544">
              <w:rPr>
                <w:rFonts w:eastAsia="Arial" w:cs="Arial"/>
                <w:szCs w:val="21"/>
              </w:rPr>
              <w:t>Research indicates that mental health consumers have increased vulnerability immediately following discharge, including higher risk for suicide.</w:t>
            </w:r>
          </w:p>
        </w:tc>
      </w:tr>
      <w:tr w:rsidR="2ECFC544" w14:paraId="573EB7C9"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3D8A06C2" w14:textId="56603B33" w:rsidR="2ECFC544" w:rsidRDefault="2ECFC544" w:rsidP="2ECFC544">
            <w:pPr>
              <w:pStyle w:val="Tablecolhead"/>
              <w:spacing w:line="279" w:lineRule="auto"/>
              <w:rPr>
                <w:rFonts w:eastAsia="Arial" w:cs="Arial"/>
                <w:bCs/>
                <w:szCs w:val="21"/>
              </w:rPr>
            </w:pPr>
            <w:r w:rsidRPr="2ECFC544">
              <w:rPr>
                <w:rFonts w:eastAsia="Arial" w:cs="Arial"/>
                <w:b w:val="0"/>
                <w:szCs w:val="21"/>
              </w:rPr>
              <w:t>Calculating performance</w:t>
            </w:r>
          </w:p>
        </w:tc>
        <w:tc>
          <w:tcPr>
            <w:tcW w:w="8503" w:type="dxa"/>
            <w:tcBorders>
              <w:left w:val="single" w:sz="6" w:space="0" w:color="000000" w:themeColor="text1"/>
              <w:right w:val="single" w:sz="6" w:space="0" w:color="auto"/>
            </w:tcBorders>
            <w:tcMar>
              <w:left w:w="90" w:type="dxa"/>
              <w:right w:w="90" w:type="dxa"/>
            </w:tcMar>
          </w:tcPr>
          <w:p w14:paraId="64397A67" w14:textId="15700192" w:rsidR="2ECFC544" w:rsidRDefault="2ECFC544" w:rsidP="2ECFC544">
            <w:pPr>
              <w:pStyle w:val="Tabletext"/>
              <w:spacing w:line="279" w:lineRule="auto"/>
              <w:rPr>
                <w:rFonts w:eastAsia="Arial" w:cs="Arial"/>
                <w:szCs w:val="21"/>
              </w:rPr>
            </w:pPr>
            <w:r w:rsidRPr="2ECFC544">
              <w:rPr>
                <w:rFonts w:eastAsia="Arial" w:cs="Arial"/>
                <w:szCs w:val="21"/>
              </w:rPr>
              <w:t>This measure calculates the percentage of non-same day separations from a mental health inpatient unit where the consumer was discharged to a private residence or accommodation, for which an ambulatory service contact was recorded in the 7-days post-separation, excluding contact made on the date of separation.</w:t>
            </w:r>
          </w:p>
          <w:p w14:paraId="10413FB8" w14:textId="251ED0A4" w:rsidR="009D6A2D" w:rsidRDefault="009D6A2D" w:rsidP="2ECFC544">
            <w:pPr>
              <w:pStyle w:val="Tabletext"/>
              <w:spacing w:line="279" w:lineRule="auto"/>
              <w:rPr>
                <w:rFonts w:eastAsia="Arial" w:cs="Arial"/>
                <w:szCs w:val="21"/>
              </w:rPr>
            </w:pPr>
            <w:r w:rsidRPr="4A3EC911">
              <w:rPr>
                <w:rFonts w:eastAsia="Arial" w:cs="Arial"/>
              </w:rPr>
              <w:t>Contacts can be of any duration, in any location for any type of recipient, carried out by the local mental health service or another mental health service.</w:t>
            </w:r>
          </w:p>
          <w:p w14:paraId="075A50F1" w14:textId="77777777" w:rsidR="00F039DD" w:rsidRDefault="00F039DD" w:rsidP="00F039DD">
            <w:pPr>
              <w:pStyle w:val="Tabletext"/>
              <w:spacing w:line="279" w:lineRule="auto"/>
              <w:rPr>
                <w:rFonts w:eastAsia="Arial" w:cs="Arial"/>
              </w:rPr>
            </w:pPr>
            <w:r w:rsidRPr="4A3EC911">
              <w:rPr>
                <w:rFonts w:eastAsia="Arial" w:cs="Arial"/>
              </w:rPr>
              <w:t xml:space="preserve">Excludes same day stays. </w:t>
            </w:r>
          </w:p>
          <w:p w14:paraId="702BC784" w14:textId="1ED5BFC9" w:rsidR="2ECFC544" w:rsidRDefault="2ECFC544" w:rsidP="2ECFC544">
            <w:pPr>
              <w:pStyle w:val="Tabletext"/>
              <w:spacing w:line="279" w:lineRule="auto"/>
              <w:rPr>
                <w:rFonts w:eastAsia="Arial" w:cs="Arial"/>
                <w:szCs w:val="21"/>
              </w:rPr>
            </w:pPr>
            <w:r w:rsidRPr="2ECFC544">
              <w:rPr>
                <w:rFonts w:eastAsia="Arial" w:cs="Arial"/>
                <w:szCs w:val="21"/>
              </w:rPr>
              <w:t>Mental health inpatient units are determined at the CMI/ODS subcentre level. Performance is calculated based on the campus of separation.</w:t>
            </w:r>
          </w:p>
        </w:tc>
      </w:tr>
      <w:tr w:rsidR="2ECFC544" w14:paraId="0688285B"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1B40712" w14:textId="16E17C84" w:rsidR="2ECFC544" w:rsidRDefault="2ECFC544" w:rsidP="2ECFC544">
            <w:pPr>
              <w:pStyle w:val="Tablecolhead"/>
              <w:spacing w:line="279" w:lineRule="auto"/>
              <w:rPr>
                <w:rFonts w:eastAsia="Arial" w:cs="Arial"/>
                <w:bCs/>
                <w:szCs w:val="21"/>
              </w:rPr>
            </w:pPr>
            <w:r w:rsidRPr="2ECFC544">
              <w:rPr>
                <w:rFonts w:eastAsia="Arial" w:cs="Arial"/>
                <w:b w:val="0"/>
                <w:szCs w:val="21"/>
              </w:rPr>
              <w:t>Numerator</w:t>
            </w:r>
          </w:p>
        </w:tc>
        <w:tc>
          <w:tcPr>
            <w:tcW w:w="8503" w:type="dxa"/>
            <w:tcBorders>
              <w:left w:val="single" w:sz="6" w:space="0" w:color="000000" w:themeColor="text1"/>
              <w:right w:val="single" w:sz="6" w:space="0" w:color="auto"/>
            </w:tcBorders>
            <w:tcMar>
              <w:left w:w="90" w:type="dxa"/>
              <w:right w:w="90" w:type="dxa"/>
            </w:tcMar>
          </w:tcPr>
          <w:p w14:paraId="62EC85A8" w14:textId="65D65EED" w:rsidR="2ECFC544" w:rsidRDefault="2ECFC544" w:rsidP="2ECFC544">
            <w:pPr>
              <w:pStyle w:val="Tabletext"/>
              <w:spacing w:line="279" w:lineRule="auto"/>
              <w:rPr>
                <w:rFonts w:eastAsia="Arial" w:cs="Arial"/>
              </w:rPr>
            </w:pPr>
            <w:r w:rsidRPr="4A3EC911">
              <w:rPr>
                <w:rFonts w:eastAsia="Arial" w:cs="Arial"/>
              </w:rPr>
              <w:t xml:space="preserve">Number of separations from an inpatient unit to private residence/ accommodation where the consumer was contacted within 7 days post separation. </w:t>
            </w:r>
          </w:p>
        </w:tc>
      </w:tr>
      <w:tr w:rsidR="2ECFC544" w14:paraId="7C18425B"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382CBAE" w14:textId="275C7871" w:rsidR="2ECFC544" w:rsidRDefault="2ECFC544" w:rsidP="2ECFC544">
            <w:pPr>
              <w:pStyle w:val="Tablecolhead"/>
              <w:spacing w:line="279" w:lineRule="auto"/>
              <w:rPr>
                <w:rFonts w:eastAsia="Arial" w:cs="Arial"/>
                <w:bCs/>
                <w:szCs w:val="21"/>
              </w:rPr>
            </w:pPr>
            <w:r w:rsidRPr="2ECFC544">
              <w:rPr>
                <w:rFonts w:eastAsia="Arial" w:cs="Arial"/>
                <w:b w:val="0"/>
                <w:szCs w:val="21"/>
              </w:rPr>
              <w:t>Denominator</w:t>
            </w:r>
          </w:p>
        </w:tc>
        <w:tc>
          <w:tcPr>
            <w:tcW w:w="8503" w:type="dxa"/>
            <w:tcBorders>
              <w:left w:val="single" w:sz="6" w:space="0" w:color="000000" w:themeColor="text1"/>
              <w:right w:val="single" w:sz="6" w:space="0" w:color="auto"/>
            </w:tcBorders>
            <w:tcMar>
              <w:left w:w="90" w:type="dxa"/>
              <w:right w:w="90" w:type="dxa"/>
            </w:tcMar>
          </w:tcPr>
          <w:p w14:paraId="47BD98FB" w14:textId="6C049B89" w:rsidR="2ECFC544" w:rsidRDefault="2ECFC544" w:rsidP="2ECFC544">
            <w:pPr>
              <w:pStyle w:val="Tabletext"/>
              <w:spacing w:line="279" w:lineRule="auto"/>
              <w:rPr>
                <w:rFonts w:eastAsia="Arial" w:cs="Arial"/>
                <w:szCs w:val="21"/>
              </w:rPr>
            </w:pPr>
            <w:r w:rsidRPr="2ECFC544">
              <w:rPr>
                <w:rFonts w:eastAsia="Arial" w:cs="Arial"/>
                <w:szCs w:val="21"/>
              </w:rPr>
              <w:t xml:space="preserve">Number of separations from a mental health inpatient unit to private residence/ accommodation. </w:t>
            </w:r>
          </w:p>
        </w:tc>
      </w:tr>
      <w:tr w:rsidR="2ECFC544" w14:paraId="3EA65588"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500AA333" w14:textId="28F04C8F" w:rsidR="2ECFC544" w:rsidRDefault="2ECFC544" w:rsidP="2ECFC544">
            <w:pPr>
              <w:pStyle w:val="Tablecolhead"/>
              <w:spacing w:line="279" w:lineRule="auto"/>
              <w:rPr>
                <w:rFonts w:eastAsia="Arial" w:cs="Arial"/>
                <w:bCs/>
                <w:szCs w:val="21"/>
              </w:rPr>
            </w:pPr>
            <w:r w:rsidRPr="2ECFC544">
              <w:rPr>
                <w:rFonts w:eastAsia="Arial" w:cs="Arial"/>
                <w:b w:val="0"/>
                <w:szCs w:val="21"/>
              </w:rPr>
              <w:t>Statewide target</w:t>
            </w:r>
          </w:p>
        </w:tc>
        <w:tc>
          <w:tcPr>
            <w:tcW w:w="8503" w:type="dxa"/>
            <w:tcBorders>
              <w:left w:val="single" w:sz="6" w:space="0" w:color="000000" w:themeColor="text1"/>
              <w:right w:val="single" w:sz="6" w:space="0" w:color="auto"/>
            </w:tcBorders>
            <w:tcMar>
              <w:left w:w="90" w:type="dxa"/>
              <w:right w:w="90" w:type="dxa"/>
            </w:tcMar>
          </w:tcPr>
          <w:p w14:paraId="527A5ED4" w14:textId="3466A3D1" w:rsidR="2ECFC544" w:rsidRDefault="2ECFC544" w:rsidP="2ECFC544">
            <w:pPr>
              <w:pStyle w:val="Tabletext"/>
              <w:spacing w:line="279" w:lineRule="auto"/>
              <w:rPr>
                <w:rFonts w:eastAsia="Arial" w:cs="Arial"/>
                <w:szCs w:val="21"/>
              </w:rPr>
            </w:pPr>
            <w:r w:rsidRPr="2ECFC544">
              <w:rPr>
                <w:rFonts w:eastAsia="Arial" w:cs="Arial"/>
                <w:szCs w:val="21"/>
              </w:rPr>
              <w:t>88 per cent</w:t>
            </w:r>
          </w:p>
        </w:tc>
      </w:tr>
      <w:tr w:rsidR="2ECFC544" w14:paraId="4D276B1F"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395A818C" w14:textId="59E218DF" w:rsidR="2ECFC544" w:rsidRDefault="2ECFC544" w:rsidP="2ECFC544">
            <w:pPr>
              <w:pStyle w:val="Tablecolhead"/>
              <w:spacing w:line="279" w:lineRule="auto"/>
              <w:rPr>
                <w:rFonts w:eastAsia="Arial" w:cs="Arial"/>
                <w:bCs/>
                <w:szCs w:val="21"/>
              </w:rPr>
            </w:pPr>
            <w:r w:rsidRPr="2ECFC544">
              <w:rPr>
                <w:rFonts w:eastAsia="Arial" w:cs="Arial"/>
                <w:b w:val="0"/>
                <w:szCs w:val="21"/>
              </w:rPr>
              <w:t>Achieved</w:t>
            </w:r>
          </w:p>
        </w:tc>
        <w:tc>
          <w:tcPr>
            <w:tcW w:w="8503" w:type="dxa"/>
            <w:tcBorders>
              <w:left w:val="single" w:sz="6" w:space="0" w:color="000000" w:themeColor="text1"/>
              <w:right w:val="single" w:sz="6" w:space="0" w:color="auto"/>
            </w:tcBorders>
            <w:tcMar>
              <w:left w:w="90" w:type="dxa"/>
              <w:right w:w="90" w:type="dxa"/>
            </w:tcMar>
          </w:tcPr>
          <w:p w14:paraId="3E53FE24" w14:textId="085A04D5" w:rsidR="2ECFC544" w:rsidRDefault="2ECFC544" w:rsidP="2ECFC544">
            <w:pPr>
              <w:pStyle w:val="Tabletext"/>
              <w:spacing w:line="279" w:lineRule="auto"/>
              <w:rPr>
                <w:rFonts w:eastAsia="Arial" w:cs="Arial"/>
                <w:szCs w:val="21"/>
              </w:rPr>
            </w:pPr>
            <w:r w:rsidRPr="2ECFC544">
              <w:rPr>
                <w:rFonts w:eastAsia="Arial" w:cs="Arial"/>
                <w:szCs w:val="21"/>
              </w:rPr>
              <w:t>Greater than or equal to 88 per cent</w:t>
            </w:r>
          </w:p>
        </w:tc>
      </w:tr>
      <w:tr w:rsidR="2ECFC544" w14:paraId="53A58440"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055118A1" w14:textId="422FB3A0" w:rsidR="2ECFC544" w:rsidRDefault="2ECFC544" w:rsidP="2ECFC544">
            <w:pPr>
              <w:pStyle w:val="Tablecolhead"/>
              <w:spacing w:line="279" w:lineRule="auto"/>
              <w:rPr>
                <w:rFonts w:eastAsia="Arial" w:cs="Arial"/>
                <w:bCs/>
                <w:szCs w:val="21"/>
              </w:rPr>
            </w:pPr>
            <w:r w:rsidRPr="2ECFC544">
              <w:rPr>
                <w:rFonts w:eastAsia="Arial" w:cs="Arial"/>
                <w:b w:val="0"/>
                <w:szCs w:val="21"/>
              </w:rPr>
              <w:t>Not achieved</w:t>
            </w:r>
          </w:p>
        </w:tc>
        <w:tc>
          <w:tcPr>
            <w:tcW w:w="8503" w:type="dxa"/>
            <w:tcBorders>
              <w:left w:val="single" w:sz="6" w:space="0" w:color="000000" w:themeColor="text1"/>
              <w:right w:val="single" w:sz="6" w:space="0" w:color="auto"/>
            </w:tcBorders>
            <w:tcMar>
              <w:left w:w="90" w:type="dxa"/>
              <w:right w:w="90" w:type="dxa"/>
            </w:tcMar>
          </w:tcPr>
          <w:p w14:paraId="7CE65FB1" w14:textId="4DF19219" w:rsidR="2ECFC544" w:rsidRDefault="2ECFC544" w:rsidP="2ECFC544">
            <w:pPr>
              <w:pStyle w:val="Tabletext"/>
              <w:spacing w:line="279" w:lineRule="auto"/>
              <w:rPr>
                <w:rFonts w:eastAsia="Arial" w:cs="Arial"/>
                <w:szCs w:val="21"/>
              </w:rPr>
            </w:pPr>
            <w:r w:rsidRPr="2ECFC544">
              <w:rPr>
                <w:rFonts w:eastAsia="Arial" w:cs="Arial"/>
                <w:szCs w:val="21"/>
              </w:rPr>
              <w:t>Less than 88 per cent</w:t>
            </w:r>
          </w:p>
        </w:tc>
      </w:tr>
      <w:tr w:rsidR="2ECFC544" w14:paraId="4F9A0CA2" w14:textId="77777777" w:rsidTr="55528ABA">
        <w:trPr>
          <w:trHeight w:val="285"/>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90" w:type="dxa"/>
              <w:right w:w="90" w:type="dxa"/>
            </w:tcMar>
          </w:tcPr>
          <w:p w14:paraId="41492412" w14:textId="1FBF2C34" w:rsidR="2ECFC544" w:rsidRDefault="2ECFC544" w:rsidP="2ECFC544">
            <w:pPr>
              <w:pStyle w:val="Tablecolhead"/>
              <w:spacing w:line="279" w:lineRule="auto"/>
              <w:rPr>
                <w:rFonts w:eastAsia="Arial" w:cs="Arial"/>
                <w:bCs/>
                <w:szCs w:val="21"/>
              </w:rPr>
            </w:pPr>
            <w:r w:rsidRPr="2ECFC544">
              <w:rPr>
                <w:rFonts w:eastAsia="Arial" w:cs="Arial"/>
                <w:b w:val="0"/>
                <w:szCs w:val="21"/>
              </w:rPr>
              <w:t>Improvement</w:t>
            </w:r>
          </w:p>
        </w:tc>
        <w:tc>
          <w:tcPr>
            <w:tcW w:w="8503" w:type="dxa"/>
            <w:tcBorders>
              <w:left w:val="single" w:sz="6" w:space="0" w:color="000000" w:themeColor="text1"/>
              <w:right w:val="single" w:sz="6" w:space="0" w:color="auto"/>
            </w:tcBorders>
            <w:tcMar>
              <w:left w:w="90" w:type="dxa"/>
              <w:right w:w="90" w:type="dxa"/>
            </w:tcMar>
          </w:tcPr>
          <w:p w14:paraId="49759AD8" w14:textId="7EF8E35B" w:rsidR="2ECFC544" w:rsidRDefault="5CCBE381" w:rsidP="55528ABA">
            <w:pPr>
              <w:pStyle w:val="Tabletext"/>
              <w:spacing w:line="279" w:lineRule="auto"/>
              <w:rPr>
                <w:rFonts w:eastAsia="Arial" w:cs="Arial"/>
              </w:rPr>
            </w:pPr>
            <w:bookmarkStart w:id="68" w:name="_Int_pzwcZQos"/>
            <w:proofErr w:type="gramStart"/>
            <w:r w:rsidRPr="55528ABA">
              <w:rPr>
                <w:rFonts w:eastAsia="Arial" w:cs="Arial"/>
              </w:rPr>
              <w:t>For the purpose of</w:t>
            </w:r>
            <w:bookmarkEnd w:id="68"/>
            <w:proofErr w:type="gramEnd"/>
            <w:r w:rsidRPr="55528ABA">
              <w:rPr>
                <w:rFonts w:eastAsia="Arial" w:cs="Arial"/>
              </w:rPr>
              <w:t xml:space="preserve"> the performance risk assessment, improvement is compared to previous quarter performance</w:t>
            </w:r>
          </w:p>
        </w:tc>
      </w:tr>
      <w:tr w:rsidR="2ECFC544" w14:paraId="3C901341" w14:textId="77777777" w:rsidTr="55528ABA">
        <w:trPr>
          <w:trHeight w:val="285"/>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90" w:type="dxa"/>
              <w:right w:w="90" w:type="dxa"/>
            </w:tcMar>
          </w:tcPr>
          <w:p w14:paraId="5F93DFCF" w14:textId="4349C35E" w:rsidR="2ECFC544" w:rsidRDefault="2ECFC544" w:rsidP="2ECFC544">
            <w:pPr>
              <w:pStyle w:val="Tablecolhead"/>
              <w:spacing w:line="279" w:lineRule="auto"/>
              <w:rPr>
                <w:rFonts w:eastAsia="Arial" w:cs="Arial"/>
                <w:bCs/>
                <w:szCs w:val="21"/>
              </w:rPr>
            </w:pPr>
            <w:r w:rsidRPr="2ECFC544">
              <w:rPr>
                <w:rFonts w:eastAsia="Arial" w:cs="Arial"/>
                <w:b w:val="0"/>
                <w:szCs w:val="21"/>
              </w:rPr>
              <w:t>Frequency of reporting and data collection</w:t>
            </w:r>
          </w:p>
        </w:tc>
        <w:tc>
          <w:tcPr>
            <w:tcW w:w="8503" w:type="dxa"/>
            <w:tcBorders>
              <w:left w:val="single" w:sz="6" w:space="0" w:color="000000" w:themeColor="text1"/>
              <w:bottom w:val="single" w:sz="6" w:space="0" w:color="auto"/>
              <w:right w:val="single" w:sz="6" w:space="0" w:color="auto"/>
            </w:tcBorders>
            <w:tcMar>
              <w:left w:w="90" w:type="dxa"/>
              <w:right w:w="90" w:type="dxa"/>
            </w:tcMar>
          </w:tcPr>
          <w:p w14:paraId="1F12DA57" w14:textId="78CC1B30" w:rsidR="2ECFC544" w:rsidRDefault="2ECFC544" w:rsidP="2ECFC544">
            <w:pPr>
              <w:pStyle w:val="Tabletext"/>
              <w:spacing w:line="279" w:lineRule="auto"/>
              <w:rPr>
                <w:rFonts w:eastAsia="Arial" w:cs="Arial"/>
              </w:rPr>
            </w:pPr>
            <w:r w:rsidRPr="31572E21">
              <w:rPr>
                <w:rFonts w:eastAsia="Arial" w:cs="Arial"/>
              </w:rPr>
              <w:t xml:space="preserve">Performance is reported annually and quarterly by </w:t>
            </w:r>
            <w:r w:rsidR="00762B5A" w:rsidRPr="31572E21">
              <w:rPr>
                <w:rFonts w:eastAsia="Arial" w:cs="Arial"/>
              </w:rPr>
              <w:t>health service.</w:t>
            </w:r>
            <w:r w:rsidRPr="31572E21">
              <w:rPr>
                <w:rFonts w:eastAsia="Arial" w:cs="Arial"/>
              </w:rPr>
              <w:t xml:space="preserve"> </w:t>
            </w:r>
          </w:p>
          <w:p w14:paraId="2035F335" w14:textId="4B7C9FF2" w:rsidR="2ECFC544" w:rsidRDefault="2ECFC544" w:rsidP="2ECFC544">
            <w:pPr>
              <w:pStyle w:val="Tabletext"/>
              <w:spacing w:line="279" w:lineRule="auto"/>
              <w:rPr>
                <w:rFonts w:eastAsia="Arial" w:cs="Arial"/>
              </w:rPr>
            </w:pPr>
            <w:r w:rsidRPr="31572E21">
              <w:rPr>
                <w:rFonts w:eastAsia="Arial" w:cs="Arial"/>
              </w:rPr>
              <w:t xml:space="preserve">The separation date is between the start of the reporting period (minus seven days) and the end of the reporting period (minus seven days). Separations are lagged by seven days to allow all post-discharge follow-up in the reporting period to be captured. For example, </w:t>
            </w:r>
            <w:r w:rsidR="00A06016" w:rsidRPr="31572E21">
              <w:rPr>
                <w:rFonts w:eastAsia="Arial" w:cs="Arial"/>
              </w:rPr>
              <w:t xml:space="preserve">separations from 24 June to 24 September are included </w:t>
            </w:r>
            <w:r w:rsidRPr="31572E21">
              <w:rPr>
                <w:rFonts w:eastAsia="Arial" w:cs="Arial"/>
              </w:rPr>
              <w:t>if the reporting period is from 1 July to 30 September.</w:t>
            </w:r>
          </w:p>
          <w:p w14:paraId="0C1BAFD4" w14:textId="58D968C2" w:rsidR="2ECFC544" w:rsidRDefault="2ECFC544" w:rsidP="2ECFC544">
            <w:pPr>
              <w:pStyle w:val="Tabletext"/>
              <w:spacing w:line="279" w:lineRule="auto"/>
              <w:rPr>
                <w:rFonts w:eastAsia="Arial" w:cs="Arial"/>
                <w:szCs w:val="21"/>
              </w:rPr>
            </w:pPr>
            <w:r w:rsidRPr="2ECFC544">
              <w:rPr>
                <w:rFonts w:eastAsia="Arial" w:cs="Arial"/>
                <w:szCs w:val="21"/>
              </w:rPr>
              <w:t>Performance is reported for the periods:</w:t>
            </w:r>
          </w:p>
          <w:p w14:paraId="6D67AB8F" w14:textId="31B4DE1C" w:rsidR="2ECFC544" w:rsidRDefault="2ECFC544" w:rsidP="00680AB6">
            <w:pPr>
              <w:pStyle w:val="Tablebullet1"/>
              <w:rPr>
                <w:rFonts w:eastAsia="Arial"/>
              </w:rPr>
            </w:pPr>
            <w:r w:rsidRPr="2ECFC544">
              <w:rPr>
                <w:rFonts w:eastAsia="Arial"/>
              </w:rPr>
              <w:t>1 July to 30 September in quarter 1</w:t>
            </w:r>
          </w:p>
          <w:p w14:paraId="38E0E545" w14:textId="0A5907F0" w:rsidR="2ECFC544" w:rsidRDefault="2ECFC544" w:rsidP="00680AB6">
            <w:pPr>
              <w:pStyle w:val="Tablebullet1"/>
              <w:rPr>
                <w:rFonts w:eastAsia="Arial"/>
              </w:rPr>
            </w:pPr>
            <w:r w:rsidRPr="2ECFC544">
              <w:rPr>
                <w:rFonts w:eastAsia="Arial"/>
              </w:rPr>
              <w:t>1 October to 31 December in quarter 2</w:t>
            </w:r>
          </w:p>
          <w:p w14:paraId="54FB1EFE" w14:textId="568B7BA4" w:rsidR="2ECFC544" w:rsidRDefault="2ECFC544" w:rsidP="00680AB6">
            <w:pPr>
              <w:pStyle w:val="Tablebullet1"/>
              <w:rPr>
                <w:rFonts w:eastAsia="Arial"/>
              </w:rPr>
            </w:pPr>
            <w:r w:rsidRPr="2ECFC544">
              <w:rPr>
                <w:rFonts w:eastAsia="Arial"/>
              </w:rPr>
              <w:t>1 January to 31 March in quarter 3</w:t>
            </w:r>
          </w:p>
          <w:p w14:paraId="1CB8FACA" w14:textId="758FA9F1" w:rsidR="2ECFC544" w:rsidRDefault="2ECFC544" w:rsidP="00680AB6">
            <w:pPr>
              <w:pStyle w:val="Tablebullet1"/>
              <w:rPr>
                <w:rFonts w:eastAsia="Arial"/>
              </w:rPr>
            </w:pPr>
            <w:r w:rsidRPr="2ECFC544">
              <w:rPr>
                <w:rFonts w:eastAsia="Arial"/>
              </w:rPr>
              <w:t>1 April to 30 June in quarter 4.</w:t>
            </w:r>
          </w:p>
          <w:p w14:paraId="2101110C" w14:textId="75A69097" w:rsidR="2ECFC544" w:rsidRDefault="5CCBE381" w:rsidP="55528ABA">
            <w:pPr>
              <w:pStyle w:val="Tabletext"/>
              <w:spacing w:line="279" w:lineRule="auto"/>
              <w:rPr>
                <w:rFonts w:eastAsia="Arial" w:cs="Arial"/>
              </w:rPr>
            </w:pPr>
            <w:r w:rsidRPr="55528ABA">
              <w:rPr>
                <w:rFonts w:eastAsia="Arial" w:cs="Arial"/>
              </w:rPr>
              <w:t>Data are sourced from the Client Management Interface (CMI)/Operational Data Store (ODS).</w:t>
            </w:r>
          </w:p>
        </w:tc>
      </w:tr>
    </w:tbl>
    <w:p w14:paraId="6C97CA18" w14:textId="77777777" w:rsidR="00140581" w:rsidRPr="00315936" w:rsidRDefault="00140581" w:rsidP="00140581">
      <w:pPr>
        <w:pStyle w:val="Heading3"/>
      </w:pPr>
      <w:bookmarkStart w:id="69" w:name="_Toc910011126"/>
      <w:r w:rsidRPr="00315936">
        <w:t>Ambulance Victoria</w:t>
      </w:r>
      <w:bookmarkEnd w:id="69"/>
    </w:p>
    <w:p w14:paraId="5AE32E97" w14:textId="3C97484C" w:rsidR="00FE19F2" w:rsidRPr="00315936" w:rsidRDefault="006D574D" w:rsidP="008E7F78">
      <w:pPr>
        <w:pStyle w:val="Heading4"/>
      </w:pPr>
      <w:bookmarkStart w:id="70" w:name="_Toc865885314"/>
      <w:r w:rsidRPr="00DC235B">
        <w:t>Percentage of respondents who</w:t>
      </w:r>
      <w:r w:rsidR="00711D45" w:rsidRPr="00DC235B">
        <w:t xml:space="preserve"> rated their overall experience with the ambulance services as </w:t>
      </w:r>
      <w:r w:rsidR="00B178A8" w:rsidRPr="00DC235B">
        <w:t>‘</w:t>
      </w:r>
      <w:r w:rsidR="00711D45" w:rsidRPr="00DC235B">
        <w:t>satisfied</w:t>
      </w:r>
      <w:r w:rsidR="00B178A8" w:rsidRPr="00DC235B">
        <w:t>’</w:t>
      </w:r>
      <w:r w:rsidR="00711D45" w:rsidRPr="00DC235B">
        <w:t xml:space="preserve"> or </w:t>
      </w:r>
      <w:r w:rsidR="00B178A8" w:rsidRPr="00DC235B">
        <w:t>‘</w:t>
      </w:r>
      <w:r w:rsidR="00711D45" w:rsidRPr="00DC235B">
        <w:t>very satisfied</w:t>
      </w:r>
      <w:r w:rsidR="00B178A8" w:rsidRPr="00DC235B">
        <w:t>’</w:t>
      </w:r>
      <w:bookmarkEnd w:id="70"/>
      <w:r w:rsidRPr="00315936">
        <w:t xml:space="preserve"> </w:t>
      </w:r>
    </w:p>
    <w:tbl>
      <w:tblPr>
        <w:tblStyle w:val="TableGrid"/>
        <w:tblW w:w="10340" w:type="dxa"/>
        <w:tblLook w:val="04A0" w:firstRow="1" w:lastRow="0" w:firstColumn="1" w:lastColumn="0" w:noHBand="0" w:noVBand="1"/>
      </w:tblPr>
      <w:tblGrid>
        <w:gridCol w:w="1837"/>
        <w:gridCol w:w="8503"/>
      </w:tblGrid>
      <w:tr w:rsidR="0081595F" w:rsidRPr="00315936" w14:paraId="1508FE15"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02FC670A" w14:textId="03BE9C39" w:rsidR="0081595F"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2809A4EE" w14:textId="5A3F2B96" w:rsidR="0081595F" w:rsidRPr="00315936" w:rsidRDefault="00A96C30" w:rsidP="001A453F">
            <w:pPr>
              <w:pStyle w:val="Tabletext"/>
            </w:pPr>
            <w:r w:rsidRPr="00315936">
              <w:t>Percentage of respondents who</w:t>
            </w:r>
            <w:r w:rsidR="00B178A8" w:rsidRPr="00315936">
              <w:t xml:space="preserve"> rated their overall experience with the ambulance services as</w:t>
            </w:r>
            <w:r w:rsidRPr="00315936">
              <w:t xml:space="preserve"> ‘satisfied’ or ‘very satisfi</w:t>
            </w:r>
            <w:bookmarkStart w:id="71" w:name="_Ref201304130"/>
            <w:r w:rsidRPr="00315936">
              <w:t>e</w:t>
            </w:r>
            <w:bookmarkEnd w:id="71"/>
            <w:r w:rsidR="00B178A8" w:rsidRPr="00315936">
              <w:t>d’</w:t>
            </w:r>
            <w:r w:rsidRPr="00315936">
              <w:t>.</w:t>
            </w:r>
            <w:bookmarkStart w:id="72" w:name="_Ref201303719"/>
            <w:r w:rsidR="00460C27">
              <w:rPr>
                <w:rStyle w:val="EndnoteReference"/>
              </w:rPr>
              <w:endnoteReference w:id="10"/>
            </w:r>
            <w:bookmarkEnd w:id="72"/>
          </w:p>
        </w:tc>
      </w:tr>
      <w:tr w:rsidR="0081595F" w:rsidRPr="00315936" w14:paraId="39E93292"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50817EA" w14:textId="77777777" w:rsidR="0081595F" w:rsidRPr="00315936" w:rsidRDefault="0081595F">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0C0C7620" w14:textId="27B619C7" w:rsidR="004245BC" w:rsidRPr="00315936" w:rsidRDefault="00313BB3" w:rsidP="004245BC">
            <w:pPr>
              <w:pStyle w:val="Tabletext"/>
              <w:rPr>
                <w:i/>
                <w:iCs/>
              </w:rPr>
            </w:pPr>
            <w:r w:rsidRPr="00315936">
              <w:rPr>
                <w:rFonts w:eastAsia="MS Gothic" w:cs="Arial"/>
                <w:szCs w:val="21"/>
              </w:rPr>
              <w:t xml:space="preserve">This </w:t>
            </w:r>
            <w:r w:rsidR="00C3016B" w:rsidRPr="00315936">
              <w:rPr>
                <w:rFonts w:eastAsia="MS Gothic" w:cs="Arial"/>
                <w:szCs w:val="21"/>
              </w:rPr>
              <w:t>measure</w:t>
            </w:r>
            <w:r w:rsidR="00791225" w:rsidRPr="00315936">
              <w:rPr>
                <w:rFonts w:eastAsia="MS Gothic" w:cs="Arial"/>
                <w:szCs w:val="21"/>
              </w:rPr>
              <w:t>s</w:t>
            </w:r>
            <w:r w:rsidRPr="00315936">
              <w:rPr>
                <w:rFonts w:eastAsia="MS Gothic" w:cs="Arial"/>
                <w:szCs w:val="21"/>
              </w:rPr>
              <w:t xml:space="preserve"> the proportion of emergency patients, relatives or carers who were satisfied or very satisfied with the most recent experience using the ambulance service. </w:t>
            </w:r>
            <w:r w:rsidRPr="00315936">
              <w:rPr>
                <w:rStyle w:val="eop"/>
                <w:rFonts w:eastAsia="MS Mincho" w:cs="Arial"/>
                <w:szCs w:val="21"/>
              </w:rPr>
              <w:t> </w:t>
            </w:r>
            <w:r w:rsidR="004245BC" w:rsidRPr="00315936">
              <w:rPr>
                <w:rFonts w:eastAsia="MS Gothic"/>
              </w:rPr>
              <w:t xml:space="preserve">The patient satisfaction measure is reported annually in </w:t>
            </w:r>
            <w:r w:rsidR="004245BC" w:rsidRPr="001B251E">
              <w:rPr>
                <w:rFonts w:eastAsia="MS Gothic"/>
              </w:rPr>
              <w:t>the</w:t>
            </w:r>
            <w:r w:rsidR="004245BC" w:rsidRPr="00315936">
              <w:rPr>
                <w:rFonts w:eastAsia="MS Gothic"/>
                <w:i/>
                <w:iCs/>
              </w:rPr>
              <w:t xml:space="preserve"> </w:t>
            </w:r>
            <w:r w:rsidR="004245BC" w:rsidRPr="00C977FC">
              <w:rPr>
                <w:rFonts w:eastAsia="MS Gothic"/>
                <w:i/>
              </w:rPr>
              <w:t>Report on Government Services</w:t>
            </w:r>
            <w:r w:rsidR="004245BC" w:rsidRPr="00315936">
              <w:rPr>
                <w:rFonts w:eastAsia="MS Gothic"/>
                <w:i/>
                <w:iCs/>
              </w:rPr>
              <w:t>.</w:t>
            </w:r>
            <w:r w:rsidR="004245BC" w:rsidRPr="00315936">
              <w:rPr>
                <w:rFonts w:eastAsia="MS Mincho"/>
                <w:i/>
                <w:iCs/>
              </w:rPr>
              <w:t> </w:t>
            </w:r>
          </w:p>
          <w:p w14:paraId="728A2CE5" w14:textId="23F4CB75" w:rsidR="008F23ED" w:rsidRPr="00535D2B" w:rsidRDefault="0044480D" w:rsidP="004868D0">
            <w:pPr>
              <w:pStyle w:val="Tabletext"/>
              <w:rPr>
                <w:i/>
                <w:iCs/>
              </w:rPr>
            </w:pPr>
            <w:r w:rsidRPr="00315936">
              <w:rPr>
                <w:rFonts w:eastAsia="Times"/>
              </w:rPr>
              <w:t xml:space="preserve">Patient experience measures provide a patient-centred perspective on interactions with </w:t>
            </w:r>
            <w:r w:rsidR="00FA5D43" w:rsidRPr="00315936">
              <w:rPr>
                <w:rFonts w:eastAsia="Times"/>
              </w:rPr>
              <w:t>ambulance services</w:t>
            </w:r>
            <w:r w:rsidRPr="00315936">
              <w:rPr>
                <w:rFonts w:eastAsia="Times"/>
              </w:rPr>
              <w:t xml:space="preserve">. Monitoring insights from these measures contributes to improving the provision </w:t>
            </w:r>
            <w:r w:rsidR="007321AB" w:rsidRPr="00315936">
              <w:rPr>
                <w:rFonts w:eastAsia="Times"/>
              </w:rPr>
              <w:t>of ambulance services</w:t>
            </w:r>
            <w:r w:rsidRPr="00315936">
              <w:rPr>
                <w:rFonts w:eastAsia="Times"/>
              </w:rPr>
              <w:t>. These measures contribute to overall safety and quality monitoring within the health system.</w:t>
            </w:r>
          </w:p>
        </w:tc>
      </w:tr>
      <w:tr w:rsidR="0081595F" w:rsidRPr="00315936" w14:paraId="7B9E9F5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245DBBD" w14:textId="77777777" w:rsidR="0081595F" w:rsidRPr="00315936" w:rsidRDefault="0081595F">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7A7E384E" w14:textId="1007C0D6" w:rsidR="00E668C1" w:rsidRPr="00315936" w:rsidRDefault="006A59BA" w:rsidP="001A453F">
            <w:pPr>
              <w:pStyle w:val="Tabletext"/>
              <w:rPr>
                <w:rFonts w:ascii="Segoe UI" w:hAnsi="Segoe UI" w:cs="Segoe UI"/>
                <w:sz w:val="18"/>
                <w:szCs w:val="18"/>
              </w:rPr>
            </w:pPr>
            <w:r w:rsidRPr="00315936">
              <w:rPr>
                <w:rFonts w:eastAsia="MS Gothic" w:cs="Arial"/>
                <w:szCs w:val="21"/>
              </w:rPr>
              <w:t xml:space="preserve">The Council of Ambulance Authorities (CAA) conducts an annual survey to monitor the service quality and satisfaction ratings of ambulance services. </w:t>
            </w:r>
            <w:r w:rsidR="007F1D87">
              <w:rPr>
                <w:rFonts w:eastAsia="MS Gothic" w:cs="Arial"/>
                <w:szCs w:val="21"/>
              </w:rPr>
              <w:t xml:space="preserve">The survey is based on a </w:t>
            </w:r>
            <w:r w:rsidR="00E668C1" w:rsidRPr="00315936">
              <w:rPr>
                <w:rFonts w:eastAsia="MS Gothic" w:cs="Arial"/>
                <w:szCs w:val="21"/>
              </w:rPr>
              <w:t>random</w:t>
            </w:r>
            <w:r w:rsidR="008274FC">
              <w:rPr>
                <w:rFonts w:eastAsia="MS Gothic" w:cs="Arial"/>
                <w:szCs w:val="21"/>
              </w:rPr>
              <w:t xml:space="preserve"> </w:t>
            </w:r>
            <w:r w:rsidR="00E668C1" w:rsidRPr="00315936">
              <w:rPr>
                <w:rFonts w:eastAsia="MS Gothic" w:cs="Arial"/>
                <w:szCs w:val="21"/>
              </w:rPr>
              <w:t xml:space="preserve">sample of at least </w:t>
            </w:r>
            <w:r w:rsidR="00AA2963" w:rsidRPr="00315936">
              <w:rPr>
                <w:rFonts w:eastAsia="MS Gothic" w:cs="Arial"/>
                <w:szCs w:val="21"/>
              </w:rPr>
              <w:t>3,000</w:t>
            </w:r>
            <w:r w:rsidR="00E668C1" w:rsidRPr="00315936">
              <w:rPr>
                <w:rFonts w:eastAsia="MS Gothic" w:cs="Arial"/>
                <w:szCs w:val="21"/>
              </w:rPr>
              <w:t xml:space="preserve"> (Code 1 and 2)</w:t>
            </w:r>
            <w:r w:rsidR="003A1A30">
              <w:rPr>
                <w:rFonts w:eastAsia="MS Gothic" w:cs="Arial"/>
                <w:szCs w:val="21"/>
              </w:rPr>
              <w:t xml:space="preserve"> patients</w:t>
            </w:r>
            <w:r w:rsidR="00E668C1" w:rsidRPr="00315936">
              <w:rPr>
                <w:rFonts w:eastAsia="MS Gothic" w:cs="Arial"/>
                <w:szCs w:val="21"/>
              </w:rPr>
              <w:t>.</w:t>
            </w:r>
            <w:r w:rsidR="00E668C1" w:rsidRPr="00315936">
              <w:rPr>
                <w:rStyle w:val="eop"/>
                <w:rFonts w:eastAsia="MS Mincho" w:cs="Arial"/>
                <w:szCs w:val="21"/>
              </w:rPr>
              <w:t> </w:t>
            </w:r>
          </w:p>
          <w:p w14:paraId="5742FCB3" w14:textId="019651A7" w:rsidR="00E668C1" w:rsidRPr="00315936" w:rsidRDefault="007E16F4" w:rsidP="001A453F">
            <w:pPr>
              <w:pStyle w:val="Tabletext"/>
              <w:rPr>
                <w:rFonts w:ascii="Segoe UI" w:hAnsi="Segoe UI" w:cs="Segoe UI"/>
                <w:sz w:val="18"/>
                <w:szCs w:val="18"/>
              </w:rPr>
            </w:pPr>
            <w:r>
              <w:rPr>
                <w:rFonts w:eastAsia="MS Gothic" w:cs="Arial"/>
                <w:szCs w:val="21"/>
              </w:rPr>
              <w:t>K</w:t>
            </w:r>
            <w:r w:rsidR="00E668C1" w:rsidRPr="00315936">
              <w:rPr>
                <w:rFonts w:eastAsia="MS Gothic" w:cs="Arial"/>
                <w:szCs w:val="21"/>
              </w:rPr>
              <w:t>nown deceased patients, cardiac arrest patients and children aged under five years are excluded from the random selection process</w:t>
            </w:r>
            <w:r>
              <w:rPr>
                <w:rFonts w:eastAsia="MS Gothic" w:cs="Arial"/>
                <w:szCs w:val="21"/>
              </w:rPr>
              <w:t xml:space="preserve"> t</w:t>
            </w:r>
            <w:r w:rsidRPr="00315936">
              <w:rPr>
                <w:rFonts w:eastAsia="MS Gothic" w:cs="Arial"/>
                <w:szCs w:val="21"/>
              </w:rPr>
              <w:t>o avoid the risk of distressing family members or carers</w:t>
            </w:r>
            <w:r w:rsidR="00E668C1" w:rsidRPr="00315936">
              <w:rPr>
                <w:rFonts w:eastAsia="MS Gothic" w:cs="Arial"/>
                <w:szCs w:val="21"/>
              </w:rPr>
              <w:t>.</w:t>
            </w:r>
            <w:r w:rsidR="00E668C1" w:rsidRPr="00315936">
              <w:rPr>
                <w:rStyle w:val="eop"/>
                <w:rFonts w:eastAsia="MS Mincho" w:cs="Arial"/>
                <w:szCs w:val="21"/>
              </w:rPr>
              <w:t> </w:t>
            </w:r>
          </w:p>
          <w:p w14:paraId="3FE53C50" w14:textId="62921AED" w:rsidR="00E668C1" w:rsidRPr="00315936" w:rsidRDefault="00E668C1" w:rsidP="001A453F">
            <w:pPr>
              <w:pStyle w:val="Tabletext"/>
              <w:rPr>
                <w:rFonts w:ascii="Segoe UI" w:hAnsi="Segoe UI" w:cs="Segoe UI"/>
                <w:sz w:val="18"/>
                <w:szCs w:val="18"/>
              </w:rPr>
            </w:pPr>
            <w:r w:rsidRPr="00315936">
              <w:rPr>
                <w:rFonts w:eastAsia="MS Gothic" w:cs="Arial"/>
                <w:szCs w:val="21"/>
              </w:rPr>
              <w:t>Data</w:t>
            </w:r>
            <w:r w:rsidRPr="00315936" w:rsidDel="00FA12D9">
              <w:rPr>
                <w:rFonts w:eastAsia="MS Gothic" w:cs="Arial"/>
                <w:szCs w:val="21"/>
              </w:rPr>
              <w:t xml:space="preserve"> </w:t>
            </w:r>
            <w:r w:rsidR="00FA12D9">
              <w:rPr>
                <w:rFonts w:eastAsia="MS Gothic" w:cs="Arial"/>
                <w:szCs w:val="21"/>
              </w:rPr>
              <w:t>are</w:t>
            </w:r>
            <w:r w:rsidR="00FA12D9" w:rsidRPr="00315936">
              <w:rPr>
                <w:rFonts w:eastAsia="MS Gothic" w:cs="Arial"/>
                <w:szCs w:val="21"/>
              </w:rPr>
              <w:t xml:space="preserve"> </w:t>
            </w:r>
            <w:r w:rsidRPr="00315936">
              <w:rPr>
                <w:rFonts w:eastAsia="MS Gothic" w:cs="Arial"/>
                <w:szCs w:val="21"/>
              </w:rPr>
              <w:t>collected by Ambulance Victoria and submitted to the CAA.</w:t>
            </w:r>
            <w:r w:rsidRPr="00315936">
              <w:rPr>
                <w:rStyle w:val="eop"/>
                <w:rFonts w:eastAsia="MS Mincho" w:cs="Arial"/>
                <w:szCs w:val="21"/>
              </w:rPr>
              <w:t> </w:t>
            </w:r>
          </w:p>
          <w:p w14:paraId="5847A85F" w14:textId="26B2F586" w:rsidR="00E668C1" w:rsidRPr="00315936" w:rsidRDefault="00E668C1" w:rsidP="001A453F">
            <w:pPr>
              <w:pStyle w:val="Tabletext"/>
              <w:rPr>
                <w:rFonts w:ascii="Segoe UI" w:hAnsi="Segoe UI" w:cs="Segoe UI"/>
                <w:sz w:val="18"/>
                <w:szCs w:val="18"/>
              </w:rPr>
            </w:pPr>
            <w:r w:rsidRPr="00315936">
              <w:rPr>
                <w:rFonts w:eastAsia="MS Gothic" w:cs="Arial"/>
                <w:szCs w:val="21"/>
              </w:rPr>
              <w:t>Performance results are based on the findings of the CAA annual survey and exclude nil/don’t know responses</w:t>
            </w:r>
            <w:r w:rsidR="00FF7F5C" w:rsidRPr="00315936">
              <w:rPr>
                <w:rFonts w:eastAsia="MS Gothic" w:cs="Arial"/>
                <w:szCs w:val="21"/>
              </w:rPr>
              <w:t xml:space="preserve"> and those that failed to identify if the respondent was a </w:t>
            </w:r>
            <w:r w:rsidR="003E480C" w:rsidRPr="00315936">
              <w:rPr>
                <w:rFonts w:eastAsia="MS Gothic" w:cs="Arial"/>
                <w:szCs w:val="21"/>
              </w:rPr>
              <w:t>‘</w:t>
            </w:r>
            <w:r w:rsidR="00FF7F5C" w:rsidRPr="00315936">
              <w:rPr>
                <w:rFonts w:eastAsia="MS Gothic" w:cs="Arial"/>
                <w:szCs w:val="21"/>
              </w:rPr>
              <w:t>patient</w:t>
            </w:r>
            <w:r w:rsidR="003E480C" w:rsidRPr="00315936">
              <w:rPr>
                <w:rFonts w:eastAsia="MS Gothic" w:cs="Arial"/>
                <w:szCs w:val="21"/>
              </w:rPr>
              <w:t>’</w:t>
            </w:r>
            <w:r w:rsidR="00FF7F5C" w:rsidRPr="00315936">
              <w:rPr>
                <w:rFonts w:eastAsia="MS Gothic" w:cs="Arial"/>
                <w:szCs w:val="21"/>
              </w:rPr>
              <w:t xml:space="preserve"> or a </w:t>
            </w:r>
            <w:r w:rsidR="003E480C" w:rsidRPr="00315936">
              <w:rPr>
                <w:rFonts w:eastAsia="MS Gothic" w:cs="Arial"/>
                <w:szCs w:val="21"/>
              </w:rPr>
              <w:t>‘relative/care of the patient’</w:t>
            </w:r>
            <w:r w:rsidRPr="00315936">
              <w:rPr>
                <w:rFonts w:eastAsia="MS Gothic" w:cs="Arial"/>
                <w:szCs w:val="21"/>
              </w:rPr>
              <w:t>.</w:t>
            </w:r>
            <w:r w:rsidRPr="00315936">
              <w:rPr>
                <w:rStyle w:val="eop"/>
                <w:rFonts w:eastAsia="MS Mincho" w:cs="Arial"/>
                <w:szCs w:val="21"/>
              </w:rPr>
              <w:t> </w:t>
            </w:r>
          </w:p>
          <w:p w14:paraId="3D5832B8" w14:textId="46B3CB81" w:rsidR="0081595F" w:rsidRPr="00AC34D9" w:rsidRDefault="00E668C1">
            <w:pPr>
              <w:pStyle w:val="Tabletext"/>
            </w:pPr>
            <w:r w:rsidRPr="00315936">
              <w:rPr>
                <w:rFonts w:eastAsia="MS Gothic" w:cs="Arial"/>
                <w:szCs w:val="21"/>
              </w:rPr>
              <w:t xml:space="preserve">This </w:t>
            </w:r>
            <w:r w:rsidR="00C3016B" w:rsidRPr="00315936">
              <w:rPr>
                <w:rFonts w:eastAsia="MS Gothic" w:cs="Arial"/>
                <w:szCs w:val="21"/>
              </w:rPr>
              <w:t>measure</w:t>
            </w:r>
            <w:r w:rsidRPr="00315936">
              <w:rPr>
                <w:rFonts w:eastAsia="MS Gothic" w:cs="Arial"/>
                <w:szCs w:val="21"/>
              </w:rPr>
              <w:t xml:space="preserve"> is expressed as a </w:t>
            </w:r>
            <w:r w:rsidR="00390FCD" w:rsidRPr="00315936">
              <w:rPr>
                <w:rFonts w:eastAsia="MS Gothic" w:cs="Arial"/>
                <w:szCs w:val="21"/>
              </w:rPr>
              <w:t>whole number</w:t>
            </w:r>
            <w:r w:rsidRPr="00315936">
              <w:rPr>
                <w:rFonts w:eastAsia="MS Gothic" w:cs="Arial"/>
                <w:szCs w:val="21"/>
              </w:rPr>
              <w:t xml:space="preserve"> percentage.</w:t>
            </w:r>
            <w:r w:rsidRPr="00315936">
              <w:rPr>
                <w:rStyle w:val="eop"/>
                <w:rFonts w:eastAsia="MS Mincho" w:cs="Arial"/>
                <w:szCs w:val="21"/>
              </w:rPr>
              <w:t> </w:t>
            </w:r>
          </w:p>
        </w:tc>
      </w:tr>
      <w:tr w:rsidR="0081595F" w:rsidRPr="00315936" w14:paraId="0AD5FC4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F54FA3F" w14:textId="77777777" w:rsidR="0081595F" w:rsidRPr="00315936" w:rsidRDefault="0081595F">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4A110ABE" w14:textId="50C6BD12" w:rsidR="0081595F" w:rsidRPr="00315936" w:rsidRDefault="00AC443B">
            <w:pPr>
              <w:pStyle w:val="Tabletext"/>
            </w:pPr>
            <w:r w:rsidRPr="00315936">
              <w:rPr>
                <w:rFonts w:eastAsia="MS Gothic"/>
              </w:rPr>
              <w:t>Number of completed surveys from Code 1 and 2 respondents (patients, relatives or carers) who were satisfied or very satisfied when answering the question: ‘</w:t>
            </w:r>
            <w:r w:rsidRPr="00C977FC">
              <w:rPr>
                <w:rFonts w:eastAsia="MS Gothic"/>
                <w:i/>
              </w:rPr>
              <w:t>How satisfied were you overall with your last experience using the Ambulance service?</w:t>
            </w:r>
            <w:r w:rsidRPr="00315936">
              <w:rPr>
                <w:rFonts w:eastAsia="MS Gothic"/>
              </w:rPr>
              <w:t>’</w:t>
            </w:r>
            <w:r w:rsidRPr="00315936">
              <w:rPr>
                <w:rStyle w:val="eop"/>
                <w:rFonts w:eastAsia="MS Mincho" w:cs="Arial"/>
                <w:szCs w:val="21"/>
              </w:rPr>
              <w:t> </w:t>
            </w:r>
          </w:p>
        </w:tc>
      </w:tr>
      <w:tr w:rsidR="0081595F" w:rsidRPr="00315936" w14:paraId="2851AFF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E3C2727" w14:textId="77777777" w:rsidR="0081595F" w:rsidRPr="00315936" w:rsidRDefault="0081595F">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74B6EA91" w14:textId="15020A18" w:rsidR="0081595F" w:rsidRPr="00315936" w:rsidRDefault="25A81504">
            <w:pPr>
              <w:pStyle w:val="Tabletext"/>
            </w:pPr>
            <w:r w:rsidRPr="554FA974">
              <w:rPr>
                <w:rFonts w:eastAsia="MS Gothic"/>
              </w:rPr>
              <w:t xml:space="preserve">Total number of completed surveys </w:t>
            </w:r>
            <w:r w:rsidR="35D0690A" w:rsidRPr="554FA974">
              <w:rPr>
                <w:rFonts w:eastAsia="MS Gothic"/>
              </w:rPr>
              <w:t xml:space="preserve">from Code 1 and 2 respondents (patients, relatives or carers) </w:t>
            </w:r>
            <w:r w:rsidR="2AA88483" w:rsidRPr="554FA974">
              <w:rPr>
                <w:rFonts w:eastAsia="MS Gothic"/>
              </w:rPr>
              <w:t xml:space="preserve">with a valid rating of </w:t>
            </w:r>
            <w:r w:rsidRPr="554FA974">
              <w:rPr>
                <w:rFonts w:eastAsia="MS Gothic"/>
              </w:rPr>
              <w:t>the last experience using the ambulance service</w:t>
            </w:r>
            <w:r w:rsidR="0048428C">
              <w:rPr>
                <w:rFonts w:eastAsia="MS Gothic"/>
              </w:rPr>
              <w:t>.</w:t>
            </w:r>
          </w:p>
        </w:tc>
      </w:tr>
      <w:tr w:rsidR="0081595F" w:rsidRPr="00315936" w14:paraId="6BC93B02"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0D96BBA" w14:textId="77777777" w:rsidR="0081595F" w:rsidRPr="00315936" w:rsidRDefault="0081595F">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1006B137" w14:textId="3ABAA700" w:rsidR="0081595F" w:rsidRPr="00315936" w:rsidRDefault="00607E32">
            <w:pPr>
              <w:pStyle w:val="Tabletext"/>
            </w:pPr>
            <w:r w:rsidRPr="00315936">
              <w:rPr>
                <w:rFonts w:eastAsia="MS Gothic" w:cs="Arial"/>
                <w:szCs w:val="21"/>
              </w:rPr>
              <w:t>9</w:t>
            </w:r>
            <w:r w:rsidR="003F7D3E" w:rsidRPr="00315936">
              <w:rPr>
                <w:rFonts w:eastAsia="MS Gothic" w:cs="Arial"/>
                <w:szCs w:val="21"/>
              </w:rPr>
              <w:t>5</w:t>
            </w:r>
            <w:r w:rsidRPr="00315936">
              <w:rPr>
                <w:rFonts w:eastAsia="MS Gothic" w:cs="Arial"/>
                <w:szCs w:val="21"/>
              </w:rPr>
              <w:t xml:space="preserve"> per</w:t>
            </w:r>
            <w:r w:rsidR="003F7D3E" w:rsidRPr="00315936">
              <w:rPr>
                <w:rFonts w:eastAsia="MS Gothic" w:cs="Arial"/>
                <w:szCs w:val="21"/>
              </w:rPr>
              <w:t xml:space="preserve"> </w:t>
            </w:r>
            <w:r w:rsidRPr="00315936">
              <w:rPr>
                <w:rFonts w:eastAsia="MS Gothic" w:cs="Arial"/>
                <w:szCs w:val="21"/>
              </w:rPr>
              <w:t>cent</w:t>
            </w:r>
            <w:r w:rsidRPr="00315936">
              <w:rPr>
                <w:rStyle w:val="eop"/>
                <w:rFonts w:eastAsia="MS Mincho" w:cs="Arial"/>
                <w:szCs w:val="21"/>
              </w:rPr>
              <w:t> </w:t>
            </w:r>
          </w:p>
        </w:tc>
      </w:tr>
      <w:tr w:rsidR="0081595F" w:rsidRPr="00315936" w14:paraId="2114F8C1"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B79ACE9" w14:textId="6424D2D7" w:rsidR="0081595F" w:rsidRPr="00315936" w:rsidRDefault="0081595F">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35EB5B29" w14:textId="1FB7A104" w:rsidR="0081595F" w:rsidRPr="00315936" w:rsidRDefault="00607E32">
            <w:pPr>
              <w:pStyle w:val="Tabletext"/>
              <w:rPr>
                <w:rFonts w:eastAsia="Times"/>
              </w:rPr>
            </w:pPr>
            <w:r w:rsidRPr="00315936">
              <w:rPr>
                <w:rFonts w:eastAsia="MS Gothic" w:cs="Arial"/>
                <w:szCs w:val="21"/>
              </w:rPr>
              <w:t>Greater than or equal to 9</w:t>
            </w:r>
            <w:r w:rsidR="003F7D3E" w:rsidRPr="00315936">
              <w:rPr>
                <w:rFonts w:eastAsia="MS Gothic" w:cs="Arial"/>
                <w:szCs w:val="21"/>
              </w:rPr>
              <w:t>5</w:t>
            </w:r>
            <w:r w:rsidRPr="00315936">
              <w:rPr>
                <w:rFonts w:eastAsia="MS Gothic" w:cs="Arial"/>
                <w:szCs w:val="21"/>
              </w:rPr>
              <w:t xml:space="preserve"> per</w:t>
            </w:r>
            <w:r w:rsidR="00DC4C60">
              <w:rPr>
                <w:rFonts w:eastAsia="MS Gothic" w:cs="Arial"/>
                <w:szCs w:val="21"/>
              </w:rPr>
              <w:t xml:space="preserve"> </w:t>
            </w:r>
            <w:r w:rsidRPr="00315936">
              <w:rPr>
                <w:rFonts w:eastAsia="MS Gothic" w:cs="Arial"/>
                <w:szCs w:val="21"/>
              </w:rPr>
              <w:t>cent</w:t>
            </w:r>
            <w:r w:rsidRPr="00315936">
              <w:rPr>
                <w:rStyle w:val="eop"/>
                <w:rFonts w:eastAsia="MS Mincho" w:cs="Arial"/>
                <w:szCs w:val="21"/>
              </w:rPr>
              <w:t> </w:t>
            </w:r>
          </w:p>
        </w:tc>
      </w:tr>
      <w:tr w:rsidR="0081595F" w:rsidRPr="00315936" w14:paraId="74CDA77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C97DB2E" w14:textId="074F7D9C" w:rsidR="0081595F" w:rsidRPr="00315936" w:rsidRDefault="0081595F">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28C05019" w14:textId="01E1CBAE" w:rsidR="0081595F" w:rsidRPr="00315936" w:rsidRDefault="00607E32">
            <w:pPr>
              <w:pStyle w:val="Tabletext"/>
              <w:rPr>
                <w:rFonts w:eastAsia="Times"/>
              </w:rPr>
            </w:pPr>
            <w:r w:rsidRPr="00315936">
              <w:rPr>
                <w:rFonts w:eastAsia="MS Gothic" w:cs="Arial"/>
                <w:szCs w:val="21"/>
              </w:rPr>
              <w:t>L</w:t>
            </w:r>
            <w:r w:rsidR="00A31FE6">
              <w:rPr>
                <w:rFonts w:eastAsia="MS Gothic" w:cs="Arial"/>
                <w:szCs w:val="21"/>
              </w:rPr>
              <w:t>e</w:t>
            </w:r>
            <w:r w:rsidR="00A31FE6">
              <w:rPr>
                <w:rFonts w:eastAsia="MS Gothic"/>
              </w:rPr>
              <w:t>ss</w:t>
            </w:r>
            <w:r w:rsidRPr="00315936">
              <w:rPr>
                <w:rFonts w:eastAsia="MS Gothic" w:cs="Arial"/>
                <w:szCs w:val="21"/>
              </w:rPr>
              <w:t xml:space="preserve"> than 9</w:t>
            </w:r>
            <w:r w:rsidR="003F7D3E" w:rsidRPr="00315936">
              <w:rPr>
                <w:rFonts w:eastAsia="MS Gothic" w:cs="Arial"/>
                <w:szCs w:val="21"/>
              </w:rPr>
              <w:t>5</w:t>
            </w:r>
            <w:r w:rsidRPr="00315936">
              <w:rPr>
                <w:rFonts w:eastAsia="MS Gothic" w:cs="Arial"/>
                <w:szCs w:val="21"/>
              </w:rPr>
              <w:t xml:space="preserve"> per</w:t>
            </w:r>
            <w:r w:rsidR="00DC4C60">
              <w:rPr>
                <w:rFonts w:eastAsia="MS Gothic" w:cs="Arial"/>
                <w:szCs w:val="21"/>
              </w:rPr>
              <w:t xml:space="preserve"> </w:t>
            </w:r>
            <w:r w:rsidRPr="00315936">
              <w:rPr>
                <w:rFonts w:eastAsia="MS Gothic" w:cs="Arial"/>
                <w:szCs w:val="21"/>
              </w:rPr>
              <w:t>cent</w:t>
            </w:r>
            <w:r w:rsidRPr="00315936">
              <w:rPr>
                <w:rStyle w:val="eop"/>
                <w:rFonts w:eastAsia="MS Mincho" w:cs="Arial"/>
                <w:szCs w:val="21"/>
              </w:rPr>
              <w:t> </w:t>
            </w:r>
          </w:p>
        </w:tc>
      </w:tr>
      <w:tr w:rsidR="0081595F" w:rsidRPr="00315936" w14:paraId="4AD61CB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EBF8DEF" w14:textId="77777777" w:rsidR="0081595F" w:rsidRPr="00315936" w:rsidRDefault="0081595F">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45B4F98B" w14:textId="5EBB2F94" w:rsidR="0081595F" w:rsidRPr="00315936" w:rsidRDefault="4A68077F">
            <w:pPr>
              <w:pStyle w:val="Tabletext"/>
              <w:rPr>
                <w:lang w:eastAsia="en-AU"/>
              </w:rPr>
            </w:pPr>
            <w:bookmarkStart w:id="73" w:name="_Int_Y5xImpz0"/>
            <w:proofErr w:type="gramStart"/>
            <w:r w:rsidRPr="55528ABA">
              <w:rPr>
                <w:rFonts w:eastAsia="MS Gothic" w:cs="Arial"/>
              </w:rPr>
              <w:t>For the purpose of</w:t>
            </w:r>
            <w:bookmarkEnd w:id="73"/>
            <w:proofErr w:type="gramEnd"/>
            <w:r w:rsidRPr="55528ABA">
              <w:rPr>
                <w:rFonts w:eastAsia="MS Gothic" w:cs="Arial"/>
              </w:rPr>
              <w:t xml:space="preserve"> the performance risk assessment</w:t>
            </w:r>
            <w:r w:rsidR="1FCBFA6F" w:rsidRPr="55528ABA">
              <w:rPr>
                <w:rFonts w:eastAsia="MS Gothic" w:cs="Arial"/>
              </w:rPr>
              <w:t>,</w:t>
            </w:r>
            <w:r w:rsidRPr="55528ABA">
              <w:rPr>
                <w:rFonts w:eastAsia="MS Gothic" w:cs="Arial"/>
              </w:rPr>
              <w:t xml:space="preserve"> </w:t>
            </w:r>
            <w:r w:rsidR="1FCBFA6F" w:rsidRPr="55528ABA">
              <w:rPr>
                <w:rFonts w:eastAsia="MS Gothic" w:cs="Arial"/>
              </w:rPr>
              <w:t>i</w:t>
            </w:r>
            <w:r w:rsidR="5CA6F4F9" w:rsidRPr="55528ABA">
              <w:rPr>
                <w:rFonts w:eastAsia="MS Gothic" w:cs="Arial"/>
              </w:rPr>
              <w:t>mprovement is compared to previous year performance.</w:t>
            </w:r>
            <w:r w:rsidR="5CA6F4F9" w:rsidRPr="55528ABA">
              <w:rPr>
                <w:rStyle w:val="eop"/>
                <w:rFonts w:eastAsia="MS Mincho" w:cs="Arial"/>
              </w:rPr>
              <w:t> </w:t>
            </w:r>
          </w:p>
        </w:tc>
      </w:tr>
      <w:tr w:rsidR="0081595F" w:rsidRPr="00315936" w14:paraId="0BFE4E0E"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1319774C" w14:textId="77777777" w:rsidR="0081595F" w:rsidRPr="00315936" w:rsidRDefault="0081595F">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6798B2BB" w14:textId="538BD97B" w:rsidR="00607E32" w:rsidRPr="00315936" w:rsidRDefault="00607E32" w:rsidP="001A453F">
            <w:pPr>
              <w:pStyle w:val="Tabletext"/>
              <w:divId w:val="47270390"/>
              <w:rPr>
                <w:rFonts w:ascii="Segoe UI" w:hAnsi="Segoe UI" w:cs="Segoe UI"/>
                <w:sz w:val="18"/>
                <w:szCs w:val="18"/>
              </w:rPr>
            </w:pPr>
            <w:r w:rsidRPr="00315936">
              <w:rPr>
                <w:rFonts w:eastAsia="MS Gothic" w:cs="Arial"/>
                <w:szCs w:val="21"/>
              </w:rPr>
              <w:t xml:space="preserve">Performance is </w:t>
            </w:r>
            <w:r w:rsidR="00750BB1" w:rsidRPr="00315936">
              <w:rPr>
                <w:rFonts w:eastAsia="MS Gothic" w:cs="Arial"/>
                <w:szCs w:val="21"/>
              </w:rPr>
              <w:t xml:space="preserve">reported </w:t>
            </w:r>
            <w:r w:rsidR="00634663" w:rsidRPr="00315936">
              <w:rPr>
                <w:rFonts w:eastAsia="MS Gothic" w:cs="Arial"/>
                <w:szCs w:val="21"/>
              </w:rPr>
              <w:t>annual</w:t>
            </w:r>
            <w:r w:rsidR="003E1479" w:rsidRPr="00315936">
              <w:rPr>
                <w:rFonts w:eastAsia="MS Gothic" w:cs="Arial"/>
                <w:szCs w:val="21"/>
              </w:rPr>
              <w:t xml:space="preserve">ly </w:t>
            </w:r>
            <w:r w:rsidR="005E0D7E" w:rsidRPr="00315936">
              <w:rPr>
                <w:rFonts w:eastAsia="MS Gothic" w:cs="Arial"/>
                <w:szCs w:val="21"/>
              </w:rPr>
              <w:t>in Q</w:t>
            </w:r>
            <w:r w:rsidR="00700E16">
              <w:rPr>
                <w:rFonts w:eastAsia="MS Gothic" w:cs="Arial"/>
                <w:szCs w:val="21"/>
              </w:rPr>
              <w:t>1</w:t>
            </w:r>
            <w:r w:rsidR="00AC50DB" w:rsidRPr="00315936">
              <w:rPr>
                <w:rFonts w:eastAsia="MS Gothic" w:cs="Arial"/>
                <w:szCs w:val="21"/>
              </w:rPr>
              <w:t xml:space="preserve"> </w:t>
            </w:r>
            <w:r w:rsidR="00970179" w:rsidRPr="00315936">
              <w:rPr>
                <w:rFonts w:eastAsia="MS Gothic" w:cs="Arial"/>
                <w:szCs w:val="21"/>
              </w:rPr>
              <w:t xml:space="preserve">at </w:t>
            </w:r>
            <w:r w:rsidR="003E1479" w:rsidRPr="00315936">
              <w:rPr>
                <w:rFonts w:eastAsia="MS Gothic" w:cs="Arial"/>
                <w:szCs w:val="21"/>
              </w:rPr>
              <w:t>the</w:t>
            </w:r>
            <w:r w:rsidR="00970179" w:rsidRPr="00315936">
              <w:rPr>
                <w:rFonts w:eastAsia="MS Gothic" w:cs="Arial"/>
                <w:szCs w:val="21"/>
              </w:rPr>
              <w:t xml:space="preserve"> statewide level</w:t>
            </w:r>
            <w:r w:rsidRPr="00315936">
              <w:rPr>
                <w:rFonts w:eastAsia="MS Gothic" w:cs="Arial"/>
                <w:szCs w:val="21"/>
              </w:rPr>
              <w:t>.</w:t>
            </w:r>
            <w:r w:rsidRPr="00315936">
              <w:rPr>
                <w:rStyle w:val="eop"/>
                <w:rFonts w:eastAsia="MS Mincho" w:cs="Arial"/>
                <w:szCs w:val="21"/>
              </w:rPr>
              <w:t> </w:t>
            </w:r>
          </w:p>
          <w:p w14:paraId="5EDAD3DA" w14:textId="64E5D29E" w:rsidR="0081595F" w:rsidRPr="00AC34D9" w:rsidRDefault="00630267">
            <w:pPr>
              <w:pStyle w:val="Tabletext"/>
              <w:rPr>
                <w:lang w:eastAsia="en-AU"/>
              </w:rPr>
            </w:pPr>
            <w:r w:rsidRPr="00315936">
              <w:rPr>
                <w:rFonts w:eastAsia="MS Gothic" w:cs="Arial"/>
              </w:rPr>
              <w:t xml:space="preserve">Data are sourced from the </w:t>
            </w:r>
            <w:r w:rsidR="00607E32" w:rsidRPr="00315936">
              <w:rPr>
                <w:rFonts w:eastAsia="MS Gothic" w:cs="Arial"/>
              </w:rPr>
              <w:t>Council of Ambulance Authorities (CAA) annual survey</w:t>
            </w:r>
            <w:r w:rsidR="00607E32" w:rsidRPr="00315936">
              <w:rPr>
                <w:rStyle w:val="eop"/>
                <w:rFonts w:eastAsia="MS Mincho" w:cs="Arial"/>
              </w:rPr>
              <w:t> </w:t>
            </w:r>
          </w:p>
        </w:tc>
      </w:tr>
    </w:tbl>
    <w:p w14:paraId="6D42F13C" w14:textId="01BE18D4" w:rsidR="00FD36DD" w:rsidRPr="00315936" w:rsidRDefault="000A664C" w:rsidP="008E7F78">
      <w:pPr>
        <w:pStyle w:val="Heading4"/>
      </w:pPr>
      <w:bookmarkStart w:id="74" w:name="_Toc906144814"/>
      <w:r w:rsidRPr="00DC235B">
        <w:t xml:space="preserve">Percentage of respondents who rated the </w:t>
      </w:r>
      <w:r w:rsidR="00F90E50" w:rsidRPr="00DC235B">
        <w:t>lev</w:t>
      </w:r>
      <w:r w:rsidR="0070724C" w:rsidRPr="00DC235B">
        <w:t>el</w:t>
      </w:r>
      <w:r w:rsidRPr="00DC235B">
        <w:t xml:space="preserve"> of care provided by paramedics as ‘good’ or ‘very good’</w:t>
      </w:r>
      <w:bookmarkEnd w:id="74"/>
      <w:r w:rsidRPr="00315936">
        <w:t> </w:t>
      </w:r>
    </w:p>
    <w:tbl>
      <w:tblPr>
        <w:tblStyle w:val="TableGrid"/>
        <w:tblW w:w="10340" w:type="dxa"/>
        <w:tblLook w:val="04A0" w:firstRow="1" w:lastRow="0" w:firstColumn="1" w:lastColumn="0" w:noHBand="0" w:noVBand="1"/>
      </w:tblPr>
      <w:tblGrid>
        <w:gridCol w:w="1837"/>
        <w:gridCol w:w="8503"/>
      </w:tblGrid>
      <w:tr w:rsidR="00F72ABA" w:rsidRPr="00315936" w14:paraId="1F3FF303"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23CFA89D" w14:textId="77F7104F" w:rsidR="00F72ABA"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708451B8" w14:textId="06BC2208" w:rsidR="00F72ABA" w:rsidRPr="00AC34D9" w:rsidRDefault="002865E9">
            <w:pPr>
              <w:pStyle w:val="Tabletext"/>
              <w:rPr>
                <w:lang w:eastAsia="en-AU"/>
              </w:rPr>
            </w:pPr>
            <w:r w:rsidRPr="00315936">
              <w:rPr>
                <w:rFonts w:eastAsia="MS Gothic"/>
              </w:rPr>
              <w:t xml:space="preserve">Percentage of respondents who rated the overall </w:t>
            </w:r>
            <w:r w:rsidR="0070724C" w:rsidRPr="00315936">
              <w:rPr>
                <w:rFonts w:eastAsia="MS Gothic"/>
              </w:rPr>
              <w:t>level</w:t>
            </w:r>
            <w:r w:rsidRPr="00315936">
              <w:rPr>
                <w:rFonts w:eastAsia="MS Gothic"/>
              </w:rPr>
              <w:t xml:space="preserve"> of care provided by ambulance paramedics as ‘good’ or ‘very good’</w:t>
            </w:r>
            <w:r w:rsidR="00C55676">
              <w:rPr>
                <w:rFonts w:eastAsia="MS Gothic"/>
              </w:rPr>
              <w:t xml:space="preserve"> </w:t>
            </w:r>
            <w:r w:rsidR="005E1057">
              <w:rPr>
                <w:rFonts w:eastAsia="MS Gothic"/>
              </w:rPr>
              <w:fldChar w:fldCharType="begin"/>
            </w:r>
            <w:r w:rsidR="005E1057">
              <w:rPr>
                <w:rFonts w:eastAsia="MS Gothic"/>
              </w:rPr>
              <w:instrText xml:space="preserve"> NOTEREF _Ref201303719 \f \h </w:instrText>
            </w:r>
            <w:r w:rsidR="0094255B">
              <w:rPr>
                <w:rFonts w:eastAsia="MS Gothic"/>
              </w:rPr>
              <w:instrText xml:space="preserve"> \* MERGEFORMAT </w:instrText>
            </w:r>
            <w:r w:rsidR="005E1057">
              <w:rPr>
                <w:rFonts w:eastAsia="MS Gothic"/>
              </w:rPr>
            </w:r>
            <w:r w:rsidR="005E1057">
              <w:rPr>
                <w:rFonts w:eastAsia="MS Gothic"/>
              </w:rPr>
              <w:fldChar w:fldCharType="separate"/>
            </w:r>
            <w:r w:rsidR="005E1057" w:rsidRPr="00F86086">
              <w:rPr>
                <w:rStyle w:val="EndnoteReference"/>
                <w:rFonts w:eastAsia="MS Gothic"/>
              </w:rPr>
              <w:t>ix</w:t>
            </w:r>
            <w:r w:rsidR="005E1057">
              <w:rPr>
                <w:rFonts w:eastAsia="MS Gothic"/>
              </w:rPr>
              <w:fldChar w:fldCharType="end"/>
            </w:r>
            <w:r w:rsidRPr="00315936">
              <w:rPr>
                <w:rFonts w:eastAsia="MS Gothic" w:cs="Arial"/>
                <w:szCs w:val="21"/>
              </w:rPr>
              <w:t xml:space="preserve"> </w:t>
            </w:r>
            <w:r w:rsidRPr="00315936">
              <w:rPr>
                <w:rStyle w:val="eop"/>
                <w:rFonts w:eastAsia="MS Mincho" w:cs="Arial"/>
                <w:szCs w:val="21"/>
              </w:rPr>
              <w:t> </w:t>
            </w:r>
          </w:p>
        </w:tc>
      </w:tr>
      <w:tr w:rsidR="00F72ABA" w:rsidRPr="00315936" w14:paraId="3CC28272"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35A749B" w14:textId="77777777" w:rsidR="00F72ABA" w:rsidRPr="00315936" w:rsidRDefault="00F72ABA">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59455FC9" w14:textId="0FDC2048" w:rsidR="002865E9" w:rsidRPr="00315936" w:rsidRDefault="002865E9" w:rsidP="001A453F">
            <w:pPr>
              <w:pStyle w:val="Tabletext"/>
              <w:divId w:val="1469082714"/>
              <w:rPr>
                <w:i/>
                <w:iCs/>
              </w:rPr>
            </w:pPr>
            <w:r w:rsidRPr="00315936">
              <w:rPr>
                <w:rFonts w:eastAsia="MS Gothic" w:cs="Arial"/>
                <w:szCs w:val="21"/>
              </w:rPr>
              <w:t xml:space="preserve">The CAA conducts an annual survey to measure the service quality and satisfaction ratings of ambulance services. </w:t>
            </w:r>
            <w:r w:rsidRPr="00315936">
              <w:rPr>
                <w:rFonts w:eastAsia="MS Gothic"/>
              </w:rPr>
              <w:t xml:space="preserve">The patient satisfaction measure is reported annually in the </w:t>
            </w:r>
            <w:r w:rsidRPr="00315936">
              <w:rPr>
                <w:rFonts w:eastAsia="MS Gothic"/>
                <w:i/>
                <w:iCs/>
              </w:rPr>
              <w:t>Report on Government Services.</w:t>
            </w:r>
            <w:r w:rsidRPr="00315936">
              <w:rPr>
                <w:rFonts w:eastAsia="MS Mincho"/>
                <w:i/>
                <w:iCs/>
              </w:rPr>
              <w:t> </w:t>
            </w:r>
          </w:p>
          <w:p w14:paraId="70385930" w14:textId="108E6486" w:rsidR="00F72ABA" w:rsidRPr="00AC34D9" w:rsidRDefault="002865E9">
            <w:pPr>
              <w:pStyle w:val="Tabletext"/>
              <w:rPr>
                <w:lang w:eastAsia="en-AU"/>
              </w:rPr>
            </w:pPr>
            <w:r w:rsidRPr="00315936">
              <w:rPr>
                <w:rFonts w:eastAsia="MS Gothic" w:cs="Arial"/>
                <w:szCs w:val="21"/>
              </w:rPr>
              <w:t xml:space="preserve">This </w:t>
            </w:r>
            <w:r w:rsidR="00C3016B" w:rsidRPr="00315936">
              <w:rPr>
                <w:rFonts w:eastAsia="MS Gothic" w:cs="Arial"/>
                <w:szCs w:val="21"/>
              </w:rPr>
              <w:t>measure</w:t>
            </w:r>
            <w:r w:rsidRPr="00315936">
              <w:rPr>
                <w:rFonts w:eastAsia="MS Gothic" w:cs="Arial"/>
                <w:szCs w:val="21"/>
              </w:rPr>
              <w:t xml:space="preserve"> </w:t>
            </w:r>
            <w:r w:rsidR="006B327A" w:rsidRPr="00315936">
              <w:rPr>
                <w:rFonts w:eastAsia="MS Gothic" w:cs="Arial"/>
                <w:szCs w:val="21"/>
              </w:rPr>
              <w:t>indicates</w:t>
            </w:r>
            <w:r w:rsidRPr="00315936">
              <w:rPr>
                <w:rFonts w:eastAsia="MS Gothic" w:cs="Arial"/>
                <w:szCs w:val="21"/>
              </w:rPr>
              <w:t xml:space="preserve"> the proportion of respondents who </w:t>
            </w:r>
            <w:r w:rsidR="00882F5F">
              <w:rPr>
                <w:rFonts w:eastAsia="MS Gothic" w:cs="Arial"/>
                <w:szCs w:val="21"/>
              </w:rPr>
              <w:t>reported that</w:t>
            </w:r>
            <w:r w:rsidR="00882F5F" w:rsidRPr="00315936">
              <w:rPr>
                <w:rFonts w:eastAsia="MS Gothic" w:cs="Arial"/>
                <w:szCs w:val="21"/>
              </w:rPr>
              <w:t xml:space="preserve"> </w:t>
            </w:r>
            <w:r w:rsidRPr="00315936">
              <w:rPr>
                <w:rFonts w:eastAsia="MS Gothic" w:cs="Arial"/>
                <w:szCs w:val="21"/>
              </w:rPr>
              <w:t>the level of care provided by ambulance paramedics was ‘good’ or ‘very good.’ </w:t>
            </w:r>
            <w:r w:rsidRPr="00315936">
              <w:rPr>
                <w:rStyle w:val="eop"/>
                <w:rFonts w:eastAsia="MS Mincho" w:cs="Arial"/>
                <w:szCs w:val="21"/>
              </w:rPr>
              <w:t> </w:t>
            </w:r>
          </w:p>
        </w:tc>
      </w:tr>
      <w:tr w:rsidR="00F72ABA" w:rsidRPr="00315936" w14:paraId="0318C153"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D131A92" w14:textId="77777777" w:rsidR="00F72ABA" w:rsidRPr="00315936" w:rsidRDefault="00F72ABA">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535C51BD" w14:textId="07B6F396" w:rsidR="00CF2EE4" w:rsidRPr="00315936" w:rsidRDefault="00CF2EE4" w:rsidP="00CF2EE4">
            <w:pPr>
              <w:pStyle w:val="Tabletext"/>
              <w:divId w:val="1063484840"/>
              <w:rPr>
                <w:rFonts w:ascii="Segoe UI" w:hAnsi="Segoe UI" w:cs="Segoe UI"/>
                <w:sz w:val="18"/>
                <w:szCs w:val="18"/>
              </w:rPr>
            </w:pPr>
            <w:r w:rsidRPr="00315936">
              <w:rPr>
                <w:rFonts w:eastAsia="MS Gothic" w:cs="Arial"/>
                <w:szCs w:val="21"/>
              </w:rPr>
              <w:t xml:space="preserve">The Council of Ambulance Authorities (CAA) conducts an annual survey to monitor the service quality and satisfaction ratings of ambulance services. </w:t>
            </w:r>
            <w:r>
              <w:rPr>
                <w:rFonts w:eastAsia="MS Gothic" w:cs="Arial"/>
                <w:szCs w:val="21"/>
              </w:rPr>
              <w:t xml:space="preserve">The survey is based on a </w:t>
            </w:r>
            <w:r w:rsidRPr="00315936">
              <w:rPr>
                <w:rFonts w:eastAsia="MS Gothic" w:cs="Arial"/>
                <w:szCs w:val="21"/>
              </w:rPr>
              <w:t>random</w:t>
            </w:r>
            <w:r>
              <w:rPr>
                <w:rFonts w:eastAsia="MS Gothic" w:cs="Arial"/>
                <w:szCs w:val="21"/>
              </w:rPr>
              <w:t xml:space="preserve"> </w:t>
            </w:r>
            <w:r w:rsidRPr="00315936">
              <w:rPr>
                <w:rFonts w:eastAsia="MS Gothic" w:cs="Arial"/>
                <w:szCs w:val="21"/>
              </w:rPr>
              <w:t>sample of at least 3,000 (Code 1 and 2)</w:t>
            </w:r>
            <w:r>
              <w:rPr>
                <w:rFonts w:eastAsia="MS Gothic" w:cs="Arial"/>
                <w:szCs w:val="21"/>
              </w:rPr>
              <w:t xml:space="preserve"> patients</w:t>
            </w:r>
            <w:r w:rsidRPr="00315936">
              <w:rPr>
                <w:rFonts w:eastAsia="MS Gothic" w:cs="Arial"/>
                <w:szCs w:val="21"/>
              </w:rPr>
              <w:t>.</w:t>
            </w:r>
          </w:p>
          <w:p w14:paraId="7753C56D" w14:textId="6A0F6542" w:rsidR="002865E9" w:rsidRPr="00315936" w:rsidRDefault="003A1A30" w:rsidP="001A453F">
            <w:pPr>
              <w:pStyle w:val="Tabletext"/>
              <w:divId w:val="1366101868"/>
              <w:rPr>
                <w:rFonts w:ascii="Segoe UI" w:hAnsi="Segoe UI" w:cs="Segoe UI"/>
                <w:sz w:val="18"/>
                <w:szCs w:val="18"/>
              </w:rPr>
            </w:pPr>
            <w:r>
              <w:rPr>
                <w:rFonts w:eastAsia="MS Gothic" w:cs="Arial"/>
                <w:szCs w:val="21"/>
              </w:rPr>
              <w:t>K</w:t>
            </w:r>
            <w:r w:rsidRPr="00315936">
              <w:rPr>
                <w:rFonts w:eastAsia="MS Gothic" w:cs="Arial"/>
                <w:szCs w:val="21"/>
              </w:rPr>
              <w:t>nown deceased patients, cardiac arrest patients and children aged under five years are excluded from the random selection process</w:t>
            </w:r>
            <w:r>
              <w:rPr>
                <w:rFonts w:eastAsia="MS Gothic" w:cs="Arial"/>
                <w:szCs w:val="21"/>
              </w:rPr>
              <w:t xml:space="preserve"> t</w:t>
            </w:r>
            <w:r w:rsidRPr="00315936">
              <w:rPr>
                <w:rFonts w:eastAsia="MS Gothic" w:cs="Arial"/>
                <w:szCs w:val="21"/>
              </w:rPr>
              <w:t xml:space="preserve">o avoid the risk of distressing family members or </w:t>
            </w:r>
            <w:r w:rsidR="002865E9" w:rsidRPr="00315936" w:rsidDel="003A1A30">
              <w:rPr>
                <w:rFonts w:eastAsia="MS Gothic" w:cs="Arial"/>
                <w:szCs w:val="21"/>
              </w:rPr>
              <w:t>carers</w:t>
            </w:r>
            <w:r w:rsidR="002865E9" w:rsidRPr="00315936">
              <w:rPr>
                <w:rFonts w:eastAsia="MS Gothic" w:cs="Arial"/>
                <w:szCs w:val="21"/>
              </w:rPr>
              <w:t>.</w:t>
            </w:r>
            <w:r w:rsidR="002865E9" w:rsidRPr="00315936">
              <w:rPr>
                <w:rStyle w:val="eop"/>
                <w:rFonts w:eastAsia="MS Mincho" w:cs="Arial"/>
                <w:szCs w:val="21"/>
              </w:rPr>
              <w:t> </w:t>
            </w:r>
          </w:p>
          <w:p w14:paraId="63C9E513" w14:textId="77777777" w:rsidR="002865E9" w:rsidRPr="00315936" w:rsidRDefault="002865E9" w:rsidP="001A453F">
            <w:pPr>
              <w:pStyle w:val="Tabletext"/>
              <w:divId w:val="1032879487"/>
              <w:rPr>
                <w:rFonts w:ascii="Segoe UI" w:hAnsi="Segoe UI" w:cs="Segoe UI"/>
                <w:sz w:val="18"/>
                <w:szCs w:val="18"/>
              </w:rPr>
            </w:pPr>
            <w:r w:rsidRPr="00315936">
              <w:rPr>
                <w:rFonts w:eastAsia="MS Gothic" w:cs="Arial"/>
                <w:szCs w:val="21"/>
              </w:rPr>
              <w:t>Data is collected by Ambulance Victoria and submitted to the CAA.</w:t>
            </w:r>
            <w:r w:rsidRPr="00315936">
              <w:rPr>
                <w:rStyle w:val="eop"/>
                <w:rFonts w:eastAsia="MS Mincho" w:cs="Arial"/>
                <w:szCs w:val="21"/>
              </w:rPr>
              <w:t> </w:t>
            </w:r>
          </w:p>
          <w:p w14:paraId="5365FB1E" w14:textId="4C08C561" w:rsidR="002865E9" w:rsidRPr="00315936" w:rsidRDefault="002865E9" w:rsidP="001A453F">
            <w:pPr>
              <w:pStyle w:val="Tabletext"/>
              <w:divId w:val="218328588"/>
              <w:rPr>
                <w:rFonts w:ascii="Segoe UI" w:hAnsi="Segoe UI" w:cs="Segoe UI"/>
                <w:sz w:val="18"/>
                <w:szCs w:val="18"/>
              </w:rPr>
            </w:pPr>
            <w:r w:rsidRPr="00315936">
              <w:rPr>
                <w:rFonts w:eastAsia="MS Gothic" w:cs="Arial"/>
                <w:szCs w:val="21"/>
              </w:rPr>
              <w:t>Performance results are based on the findings of the CAA annual survey and exclude nil/don’t know responses</w:t>
            </w:r>
            <w:r w:rsidR="007C0DBE" w:rsidRPr="00315936">
              <w:rPr>
                <w:rFonts w:eastAsia="MS Gothic" w:cs="Arial"/>
                <w:szCs w:val="21"/>
              </w:rPr>
              <w:t xml:space="preserve"> and those that failed to identify if the respondent was a ‘patient’ or a ‘relative/care of the patient’</w:t>
            </w:r>
            <w:r w:rsidRPr="00315936">
              <w:rPr>
                <w:rFonts w:eastAsia="MS Gothic" w:cs="Arial"/>
                <w:szCs w:val="21"/>
              </w:rPr>
              <w:t>.</w:t>
            </w:r>
            <w:r w:rsidRPr="00315936">
              <w:rPr>
                <w:rStyle w:val="eop"/>
                <w:rFonts w:eastAsia="MS Mincho" w:cs="Arial"/>
                <w:szCs w:val="21"/>
              </w:rPr>
              <w:t> </w:t>
            </w:r>
          </w:p>
          <w:p w14:paraId="2747A885" w14:textId="435508BA" w:rsidR="00F72ABA" w:rsidRPr="00315936" w:rsidRDefault="002865E9">
            <w:pPr>
              <w:pStyle w:val="Tabletext"/>
              <w:rPr>
                <w:lang w:eastAsia="en-AU"/>
              </w:rPr>
            </w:pPr>
            <w:r w:rsidRPr="00315936">
              <w:rPr>
                <w:rFonts w:eastAsia="MS Gothic" w:cs="Arial"/>
                <w:szCs w:val="21"/>
              </w:rPr>
              <w:t xml:space="preserve">This </w:t>
            </w:r>
            <w:r w:rsidR="00C3016B" w:rsidRPr="00315936">
              <w:rPr>
                <w:rFonts w:eastAsia="MS Gothic" w:cs="Arial"/>
                <w:szCs w:val="21"/>
              </w:rPr>
              <w:t>measure</w:t>
            </w:r>
            <w:r w:rsidRPr="00315936">
              <w:rPr>
                <w:rFonts w:eastAsia="MS Gothic" w:cs="Arial"/>
                <w:szCs w:val="21"/>
              </w:rPr>
              <w:t xml:space="preserve"> is expressed as a </w:t>
            </w:r>
            <w:r w:rsidR="006F4E4F" w:rsidRPr="00315936">
              <w:rPr>
                <w:rFonts w:eastAsia="MS Gothic" w:cs="Arial"/>
                <w:szCs w:val="21"/>
              </w:rPr>
              <w:t xml:space="preserve">whole number </w:t>
            </w:r>
            <w:r w:rsidRPr="00315936">
              <w:rPr>
                <w:rFonts w:eastAsia="MS Gothic" w:cs="Arial"/>
                <w:szCs w:val="21"/>
              </w:rPr>
              <w:t>percentage.</w:t>
            </w:r>
            <w:r w:rsidRPr="00315936">
              <w:rPr>
                <w:rStyle w:val="eop"/>
                <w:rFonts w:eastAsia="MS Mincho" w:cs="Arial"/>
                <w:szCs w:val="21"/>
              </w:rPr>
              <w:t> </w:t>
            </w:r>
          </w:p>
        </w:tc>
      </w:tr>
      <w:tr w:rsidR="00F72ABA" w:rsidRPr="00315936" w14:paraId="2C3A9B3D"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7BD39CF" w14:textId="77777777" w:rsidR="00F72ABA" w:rsidRPr="00315936" w:rsidRDefault="00F72ABA">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615F9DEE" w14:textId="303C975F" w:rsidR="00F72ABA" w:rsidRPr="00315936" w:rsidRDefault="007B4C96">
            <w:pPr>
              <w:pStyle w:val="Tabletext"/>
            </w:pPr>
            <w:r w:rsidRPr="00315936">
              <w:rPr>
                <w:rFonts w:eastAsia="MS Gothic"/>
              </w:rPr>
              <w:t>Number of completed surveys from Code 1 and 2 respondents (patients, relatives or carers) who rated the level of care provided by ambulance paramedics as ‘good’ or ‘very good’ </w:t>
            </w:r>
            <w:r w:rsidRPr="00315936">
              <w:rPr>
                <w:rStyle w:val="eop"/>
                <w:rFonts w:eastAsia="MS Mincho"/>
              </w:rPr>
              <w:t> </w:t>
            </w:r>
          </w:p>
        </w:tc>
      </w:tr>
      <w:tr w:rsidR="00F72ABA" w:rsidRPr="00315936" w14:paraId="699F6BD1"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F623C97" w14:textId="77777777" w:rsidR="00F72ABA" w:rsidRPr="00315936" w:rsidRDefault="00F72ABA">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56BB46FE" w14:textId="0BE0F994" w:rsidR="00F72ABA" w:rsidRPr="00315936" w:rsidRDefault="7D79CBB9">
            <w:pPr>
              <w:pStyle w:val="Tabletext"/>
            </w:pPr>
            <w:r w:rsidRPr="554FA974">
              <w:rPr>
                <w:rFonts w:eastAsia="MS Gothic"/>
              </w:rPr>
              <w:t xml:space="preserve">Total number of completed surveys </w:t>
            </w:r>
            <w:r w:rsidR="065BA5BF" w:rsidRPr="554FA974">
              <w:rPr>
                <w:rFonts w:eastAsia="MS Gothic"/>
              </w:rPr>
              <w:t xml:space="preserve">from Code 1 and 2 respondents (patients, relatives or carers) </w:t>
            </w:r>
            <w:r w:rsidR="1389A4A9" w:rsidRPr="554FA974">
              <w:rPr>
                <w:rFonts w:eastAsia="MS Gothic"/>
              </w:rPr>
              <w:t xml:space="preserve">with a valid rating of </w:t>
            </w:r>
            <w:r w:rsidRPr="554FA974">
              <w:rPr>
                <w:rFonts w:eastAsia="MS Gothic"/>
              </w:rPr>
              <w:t>the care provided by ambulance paramedics</w:t>
            </w:r>
            <w:r w:rsidR="003C12D7">
              <w:rPr>
                <w:rFonts w:eastAsia="MS Gothic"/>
              </w:rPr>
              <w:t>.</w:t>
            </w:r>
          </w:p>
        </w:tc>
      </w:tr>
      <w:tr w:rsidR="00F72ABA" w:rsidRPr="00315936" w14:paraId="426E017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3F82032" w14:textId="77777777" w:rsidR="00F72ABA" w:rsidRPr="00315936" w:rsidRDefault="00F72ABA">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00F7EDE4" w14:textId="283498FA" w:rsidR="00F72ABA" w:rsidRPr="00315936" w:rsidRDefault="007B4C96">
            <w:pPr>
              <w:pStyle w:val="Tabletext"/>
            </w:pPr>
            <w:r w:rsidRPr="00315936">
              <w:rPr>
                <w:rFonts w:eastAsia="MS Gothic"/>
              </w:rPr>
              <w:t>9</w:t>
            </w:r>
            <w:r w:rsidR="00CC258A" w:rsidRPr="00315936">
              <w:rPr>
                <w:rFonts w:eastAsia="MS Gothic"/>
              </w:rPr>
              <w:t>5</w:t>
            </w:r>
            <w:r w:rsidRPr="00315936">
              <w:rPr>
                <w:rFonts w:eastAsia="MS Gothic"/>
              </w:rPr>
              <w:t xml:space="preserve"> per</w:t>
            </w:r>
            <w:r w:rsidR="00CC258A" w:rsidRPr="00315936">
              <w:rPr>
                <w:rFonts w:eastAsia="MS Gothic"/>
              </w:rPr>
              <w:t xml:space="preserve"> </w:t>
            </w:r>
            <w:r w:rsidRPr="00315936">
              <w:rPr>
                <w:rFonts w:eastAsia="MS Gothic"/>
              </w:rPr>
              <w:t>cent</w:t>
            </w:r>
            <w:r w:rsidRPr="00315936">
              <w:rPr>
                <w:rStyle w:val="eop"/>
                <w:rFonts w:eastAsia="MS Mincho"/>
              </w:rPr>
              <w:t> </w:t>
            </w:r>
          </w:p>
        </w:tc>
      </w:tr>
      <w:tr w:rsidR="00F72ABA" w:rsidRPr="00315936" w14:paraId="03796221"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4B8575C" w14:textId="77435F8C" w:rsidR="00F72ABA" w:rsidRPr="00315936" w:rsidRDefault="00F72ABA">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0EFC6347" w14:textId="2C28BC0D" w:rsidR="00F72ABA" w:rsidRPr="00315936" w:rsidRDefault="007B4C96">
            <w:pPr>
              <w:pStyle w:val="Tabletext"/>
              <w:rPr>
                <w:rFonts w:eastAsia="Times"/>
              </w:rPr>
            </w:pPr>
            <w:r w:rsidRPr="00315936">
              <w:rPr>
                <w:rFonts w:eastAsia="MS Gothic"/>
              </w:rPr>
              <w:t>Greater than or equal to 9</w:t>
            </w:r>
            <w:r w:rsidR="00CC258A" w:rsidRPr="00315936">
              <w:rPr>
                <w:rFonts w:eastAsia="MS Gothic"/>
              </w:rPr>
              <w:t>5</w:t>
            </w:r>
            <w:r w:rsidRPr="00315936">
              <w:rPr>
                <w:rFonts w:eastAsia="MS Gothic"/>
              </w:rPr>
              <w:t xml:space="preserve"> per</w:t>
            </w:r>
            <w:r w:rsidR="00DC4C60">
              <w:rPr>
                <w:rFonts w:eastAsia="MS Gothic"/>
              </w:rPr>
              <w:t xml:space="preserve"> </w:t>
            </w:r>
            <w:r w:rsidRPr="00315936">
              <w:rPr>
                <w:rFonts w:eastAsia="MS Gothic"/>
              </w:rPr>
              <w:t>cent</w:t>
            </w:r>
            <w:r w:rsidRPr="00315936">
              <w:rPr>
                <w:rStyle w:val="eop"/>
                <w:rFonts w:eastAsia="MS Mincho"/>
              </w:rPr>
              <w:t> </w:t>
            </w:r>
          </w:p>
        </w:tc>
      </w:tr>
      <w:tr w:rsidR="00F72ABA" w:rsidRPr="00315936" w14:paraId="558FB0A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2B63C77" w14:textId="2CA785C4" w:rsidR="00F72ABA" w:rsidRPr="00315936" w:rsidRDefault="00F72ABA">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043A8F14" w14:textId="79413870" w:rsidR="00F72ABA" w:rsidRPr="00315936" w:rsidRDefault="007B4C96">
            <w:pPr>
              <w:pStyle w:val="Tabletext"/>
              <w:rPr>
                <w:rFonts w:eastAsia="Times"/>
              </w:rPr>
            </w:pPr>
            <w:r w:rsidRPr="00315936">
              <w:rPr>
                <w:rFonts w:eastAsia="MS Gothic"/>
              </w:rPr>
              <w:t>L</w:t>
            </w:r>
            <w:r w:rsidR="00A31FE6">
              <w:rPr>
                <w:rFonts w:eastAsia="MS Gothic"/>
              </w:rPr>
              <w:t>ess</w:t>
            </w:r>
            <w:r w:rsidRPr="00315936">
              <w:rPr>
                <w:rFonts w:eastAsia="MS Gothic"/>
              </w:rPr>
              <w:t xml:space="preserve"> than 9</w:t>
            </w:r>
            <w:r w:rsidR="00CC258A" w:rsidRPr="00315936">
              <w:rPr>
                <w:rFonts w:eastAsia="MS Gothic"/>
              </w:rPr>
              <w:t>5</w:t>
            </w:r>
            <w:r w:rsidRPr="00315936">
              <w:rPr>
                <w:rFonts w:eastAsia="MS Gothic"/>
              </w:rPr>
              <w:t xml:space="preserve"> per</w:t>
            </w:r>
            <w:r w:rsidR="00DC4C60">
              <w:rPr>
                <w:rFonts w:eastAsia="MS Gothic"/>
              </w:rPr>
              <w:t xml:space="preserve"> </w:t>
            </w:r>
            <w:r w:rsidRPr="00315936">
              <w:rPr>
                <w:rFonts w:eastAsia="MS Gothic"/>
              </w:rPr>
              <w:t>cent</w:t>
            </w:r>
            <w:r w:rsidRPr="00315936">
              <w:rPr>
                <w:rStyle w:val="eop"/>
                <w:rFonts w:eastAsia="MS Mincho"/>
              </w:rPr>
              <w:t> </w:t>
            </w:r>
          </w:p>
        </w:tc>
      </w:tr>
      <w:tr w:rsidR="00F72ABA" w:rsidRPr="00315936" w14:paraId="4021E274"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733134E" w14:textId="77777777" w:rsidR="00F72ABA" w:rsidRPr="00315936" w:rsidRDefault="00F72ABA">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6D786E07" w14:textId="123A8A70" w:rsidR="00F72ABA" w:rsidRPr="00315936" w:rsidRDefault="1C06DA72">
            <w:pPr>
              <w:pStyle w:val="Tabletext"/>
              <w:rPr>
                <w:lang w:eastAsia="en-AU"/>
              </w:rPr>
            </w:pPr>
            <w:bookmarkStart w:id="75" w:name="_Int_SAEYGyN8"/>
            <w:proofErr w:type="gramStart"/>
            <w:r w:rsidRPr="55528ABA">
              <w:rPr>
                <w:rFonts w:eastAsia="MS Gothic" w:cs="Arial"/>
              </w:rPr>
              <w:t>For the purpose of</w:t>
            </w:r>
            <w:bookmarkEnd w:id="75"/>
            <w:proofErr w:type="gramEnd"/>
            <w:r w:rsidRPr="55528ABA">
              <w:rPr>
                <w:rFonts w:eastAsia="MS Gothic" w:cs="Arial"/>
              </w:rPr>
              <w:t xml:space="preserve"> the performance risk assessment, improvement is compared to previous year performance.</w:t>
            </w:r>
            <w:r w:rsidRPr="55528ABA">
              <w:rPr>
                <w:rStyle w:val="eop"/>
                <w:rFonts w:eastAsia="MS Mincho" w:cs="Arial"/>
              </w:rPr>
              <w:t> </w:t>
            </w:r>
          </w:p>
        </w:tc>
      </w:tr>
      <w:tr w:rsidR="00F72ABA" w:rsidRPr="00315936" w14:paraId="6F8B049F"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6EF942CC" w14:textId="77777777" w:rsidR="00F72ABA" w:rsidRPr="00315936" w:rsidRDefault="00F72ABA">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7D508FCD" w14:textId="37231342" w:rsidR="00630267" w:rsidRPr="00315936" w:rsidRDefault="00630267" w:rsidP="00630267">
            <w:pPr>
              <w:pStyle w:val="Tabletext"/>
              <w:rPr>
                <w:rFonts w:ascii="Segoe UI" w:hAnsi="Segoe UI" w:cs="Segoe UI"/>
                <w:sz w:val="18"/>
                <w:szCs w:val="18"/>
              </w:rPr>
            </w:pPr>
            <w:r w:rsidRPr="00315936">
              <w:rPr>
                <w:rFonts w:eastAsia="MS Gothic" w:cs="Arial"/>
                <w:szCs w:val="21"/>
              </w:rPr>
              <w:t>Performance is reported annually in Q</w:t>
            </w:r>
            <w:r w:rsidR="00700E16">
              <w:rPr>
                <w:rFonts w:eastAsia="MS Gothic" w:cs="Arial"/>
                <w:szCs w:val="21"/>
              </w:rPr>
              <w:t>1</w:t>
            </w:r>
            <w:r w:rsidRPr="00315936">
              <w:rPr>
                <w:rFonts w:eastAsia="MS Gothic" w:cs="Arial"/>
                <w:szCs w:val="21"/>
              </w:rPr>
              <w:t xml:space="preserve"> at the statewide level.</w:t>
            </w:r>
            <w:r w:rsidRPr="00315936">
              <w:rPr>
                <w:rStyle w:val="eop"/>
                <w:rFonts w:eastAsia="MS Mincho" w:cs="Arial"/>
                <w:szCs w:val="21"/>
              </w:rPr>
              <w:t> </w:t>
            </w:r>
          </w:p>
          <w:p w14:paraId="0C13D2CF" w14:textId="7B9C83F8" w:rsidR="00F72ABA" w:rsidRPr="00AC34D9" w:rsidRDefault="00DC4C60">
            <w:pPr>
              <w:pStyle w:val="Tabletext"/>
              <w:rPr>
                <w:lang w:eastAsia="en-AU"/>
              </w:rPr>
            </w:pPr>
            <w:r w:rsidRPr="00315936">
              <w:rPr>
                <w:rFonts w:eastAsia="MS Gothic" w:cs="Arial"/>
              </w:rPr>
              <w:t xml:space="preserve">Data are sourced from the </w:t>
            </w:r>
            <w:r w:rsidR="00630267" w:rsidRPr="00315936">
              <w:rPr>
                <w:rFonts w:eastAsia="MS Gothic" w:cs="Arial"/>
                <w:szCs w:val="21"/>
              </w:rPr>
              <w:t>Council of Ambulance Authorities (CAA) annual survey </w:t>
            </w:r>
            <w:r w:rsidR="00630267" w:rsidRPr="00315936">
              <w:rPr>
                <w:rStyle w:val="eop"/>
                <w:rFonts w:eastAsia="MS Mincho" w:cs="Arial"/>
                <w:szCs w:val="21"/>
              </w:rPr>
              <w:t> </w:t>
            </w:r>
          </w:p>
        </w:tc>
      </w:tr>
    </w:tbl>
    <w:p w14:paraId="08F7FDA1" w14:textId="2B4C4CEC" w:rsidR="00E54913" w:rsidRPr="00315936" w:rsidRDefault="00E54913" w:rsidP="008E7F78">
      <w:pPr>
        <w:pStyle w:val="Heading4"/>
      </w:pPr>
      <w:bookmarkStart w:id="76" w:name="_Toc451272603"/>
      <w:r w:rsidRPr="00315936">
        <w:t>Percentage of patients experiencing severe cardiac or traumatic pain whose level of pain was reduced significantly</w:t>
      </w:r>
      <w:bookmarkEnd w:id="76"/>
    </w:p>
    <w:tbl>
      <w:tblPr>
        <w:tblStyle w:val="TableGrid"/>
        <w:tblW w:w="10340" w:type="dxa"/>
        <w:tblLook w:val="04A0" w:firstRow="1" w:lastRow="0" w:firstColumn="1" w:lastColumn="0" w:noHBand="0" w:noVBand="1"/>
      </w:tblPr>
      <w:tblGrid>
        <w:gridCol w:w="1837"/>
        <w:gridCol w:w="8503"/>
      </w:tblGrid>
      <w:tr w:rsidR="00BA6C51" w:rsidRPr="00315936" w14:paraId="4475D06E"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cBorders>
            <w:shd w:val="clear" w:color="auto" w:fill="000066"/>
          </w:tcPr>
          <w:p w14:paraId="08085D30" w14:textId="617D6AB4" w:rsidR="00BA6C51"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cBorders>
          </w:tcPr>
          <w:p w14:paraId="43EBB46F" w14:textId="6A793629" w:rsidR="00BA6C51" w:rsidRPr="00315936" w:rsidRDefault="00BA6C51">
            <w:pPr>
              <w:pStyle w:val="Tabletext"/>
            </w:pPr>
            <w:r w:rsidRPr="00315936">
              <w:t>Percentage of patients experiencing severe cardiac or traumatic pain whose level of pain was reduced significantly</w:t>
            </w:r>
            <w:r w:rsidR="00D14BA0">
              <w:t xml:space="preserve"> </w:t>
            </w:r>
            <w:r w:rsidR="00C40394">
              <w:fldChar w:fldCharType="begin"/>
            </w:r>
            <w:r w:rsidR="00C40394">
              <w:instrText xml:space="preserve"> NOTEREF _Ref201303719 \f \h </w:instrText>
            </w:r>
            <w:r w:rsidR="00C40394">
              <w:fldChar w:fldCharType="separate"/>
            </w:r>
            <w:r w:rsidR="00C40394" w:rsidRPr="00F86086">
              <w:rPr>
                <w:rStyle w:val="EndnoteReference"/>
              </w:rPr>
              <w:t>ix</w:t>
            </w:r>
            <w:r w:rsidR="00C40394">
              <w:fldChar w:fldCharType="end"/>
            </w:r>
          </w:p>
        </w:tc>
      </w:tr>
      <w:tr w:rsidR="00BA6C51" w:rsidRPr="00315936" w14:paraId="600ADB6D"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76C9D816" w14:textId="77777777" w:rsidR="00BA6C51" w:rsidRPr="00315936" w:rsidRDefault="00BA6C51">
            <w:pPr>
              <w:pStyle w:val="Tablecolhead"/>
              <w:rPr>
                <w:b w:val="0"/>
                <w:lang w:eastAsia="en-AU"/>
              </w:rPr>
            </w:pPr>
            <w:r w:rsidRPr="00315936">
              <w:rPr>
                <w:b w:val="0"/>
                <w:lang w:eastAsia="en-AU"/>
              </w:rPr>
              <w:t>Description </w:t>
            </w:r>
          </w:p>
        </w:tc>
        <w:tc>
          <w:tcPr>
            <w:tcW w:w="8503" w:type="dxa"/>
            <w:tcBorders>
              <w:left w:val="single" w:sz="6" w:space="0" w:color="000000"/>
            </w:tcBorders>
          </w:tcPr>
          <w:p w14:paraId="3873B2D0" w14:textId="1FC98E5C" w:rsidR="00BA6C51" w:rsidRPr="00315936" w:rsidRDefault="00BA6C51">
            <w:pPr>
              <w:pStyle w:val="Tabletext"/>
            </w:pPr>
            <w:r w:rsidRPr="00315936">
              <w:t xml:space="preserve">Adequate relief of pain is one of a series of key measures of the clinical effectiveness of interventions by paramedics. The </w:t>
            </w:r>
            <w:r w:rsidR="00C3016B" w:rsidRPr="00315936">
              <w:t>measure</w:t>
            </w:r>
            <w:r w:rsidRPr="00315936">
              <w:t xml:space="preserve"> of the proportion of patients experiencing severe cardiac or traumatic pain, whose level of pain is significantly reduced, focuses the attention of the organisation on the effectiveness of clinical interventions in two common areas of service provision – cardiac care and trauma care.</w:t>
            </w:r>
          </w:p>
          <w:p w14:paraId="499FA1EA" w14:textId="77777777" w:rsidR="00BA6C51" w:rsidRPr="00315936" w:rsidRDefault="00BA6C51">
            <w:pPr>
              <w:pStyle w:val="Tabletext"/>
            </w:pPr>
            <w:r w:rsidRPr="00315936">
              <w:t>Assessment of pain severity and the extent of relief that paramedics can provide is central to the provision of appropriate care.</w:t>
            </w:r>
          </w:p>
          <w:p w14:paraId="0C136B5F" w14:textId="52A3E25F" w:rsidR="00BA6C51" w:rsidRPr="00315936" w:rsidRDefault="007201AA">
            <w:pPr>
              <w:pStyle w:val="Tabletext"/>
              <w:rPr>
                <w:lang w:eastAsia="en-AU"/>
              </w:rPr>
            </w:pPr>
            <w:r w:rsidRPr="00315936">
              <w:t xml:space="preserve">This measure calculates the difference between the initial pain score and the final pain score according to Ambulance Victoria’s </w:t>
            </w:r>
            <w:hyperlink r:id="rId34" w:history="1">
              <w:r w:rsidRPr="00315936">
                <w:rPr>
                  <w:rStyle w:val="Hyperlink"/>
                  <w:rFonts w:eastAsia="MS Gothic"/>
                </w:rPr>
                <w:t xml:space="preserve">Clinical Practice Guidelines </w:t>
              </w:r>
            </w:hyperlink>
            <w:r w:rsidRPr="00315936">
              <w:t>&lt;https://www.ambulance.vic.gov.au/paramedics/clinical-practice-guidelines/&gt;.</w:t>
            </w:r>
          </w:p>
        </w:tc>
      </w:tr>
      <w:tr w:rsidR="00BA6C51" w:rsidRPr="00315936" w14:paraId="49F46898"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1B90BC1E" w14:textId="77777777" w:rsidR="00BA6C51" w:rsidRPr="00315936" w:rsidRDefault="00BA6C51">
            <w:pPr>
              <w:pStyle w:val="Tablecolhead"/>
              <w:rPr>
                <w:b w:val="0"/>
                <w:lang w:eastAsia="en-AU"/>
              </w:rPr>
            </w:pPr>
            <w:r w:rsidRPr="00315936">
              <w:rPr>
                <w:b w:val="0"/>
                <w:lang w:eastAsia="en-AU"/>
              </w:rPr>
              <w:t>Calculating performance</w:t>
            </w:r>
          </w:p>
        </w:tc>
        <w:tc>
          <w:tcPr>
            <w:tcW w:w="8503" w:type="dxa"/>
            <w:tcBorders>
              <w:left w:val="single" w:sz="6" w:space="0" w:color="000000"/>
            </w:tcBorders>
          </w:tcPr>
          <w:p w14:paraId="1A8D845F" w14:textId="4DFD66AE" w:rsidR="00BA6C51" w:rsidRPr="00315936" w:rsidRDefault="00BA6C51">
            <w:pPr>
              <w:pStyle w:val="Tabletext"/>
            </w:pPr>
            <w:r w:rsidRPr="00315936">
              <w:t>Patients experiencing severe pain are defined as those having an initial pain score of 8 or more, with pain measured out of 10.</w:t>
            </w:r>
          </w:p>
          <w:p w14:paraId="421BF033" w14:textId="77777777" w:rsidR="00BA6C51" w:rsidRPr="00315936" w:rsidRDefault="00BA6C51">
            <w:pPr>
              <w:pStyle w:val="Tabletext"/>
            </w:pPr>
            <w:r w:rsidRPr="00315936">
              <w:t>A patient is deemed to have had a significant reduction in pain if the difference between their initial and final pain score is 2 or more.</w:t>
            </w:r>
          </w:p>
          <w:p w14:paraId="44DABD80" w14:textId="53CE1EC7" w:rsidR="00BA6C51" w:rsidRPr="00315936" w:rsidRDefault="00382C15">
            <w:pPr>
              <w:pStyle w:val="Tabletext"/>
            </w:pPr>
            <w:r>
              <w:t>E</w:t>
            </w:r>
            <w:r w:rsidR="00BA6C51" w:rsidRPr="00315936">
              <w:t>xcludes: patients with a Glasgow Coma Score</w:t>
            </w:r>
            <w:r w:rsidR="00571259" w:rsidRPr="00315936">
              <w:t xml:space="preserve"> less than </w:t>
            </w:r>
            <w:r w:rsidR="00BA6C51" w:rsidRPr="00315936">
              <w:t xml:space="preserve">9; intubated patients; patients unable to rate pain; patients who have </w:t>
            </w:r>
            <w:r w:rsidR="00571259" w:rsidRPr="00315936">
              <w:t xml:space="preserve">less than </w:t>
            </w:r>
            <w:r w:rsidR="00BA6C51" w:rsidRPr="00315936">
              <w:t>2 recorded pain scores and patients who refuse analgesia.</w:t>
            </w:r>
          </w:p>
          <w:p w14:paraId="2B4D4AD8" w14:textId="77777777" w:rsidR="00BA6C51" w:rsidRPr="00315936" w:rsidRDefault="00BA6C51">
            <w:pPr>
              <w:pStyle w:val="Tabletext"/>
            </w:pPr>
            <w:r w:rsidRPr="00315936">
              <w:t xml:space="preserve">This </w:t>
            </w:r>
            <w:r w:rsidR="00C3016B" w:rsidRPr="00315936">
              <w:t>measure</w:t>
            </w:r>
            <w:r w:rsidRPr="00315936">
              <w:t xml:space="preserve"> is expressed as a percentage to one decimal place.</w:t>
            </w:r>
          </w:p>
          <w:p w14:paraId="16A4C3B3" w14:textId="0FC92004" w:rsidR="00BA6C51" w:rsidRPr="00315936" w:rsidRDefault="00382C15">
            <w:pPr>
              <w:pStyle w:val="Tabletext"/>
              <w:rPr>
                <w:lang w:eastAsia="en-AU"/>
              </w:rPr>
            </w:pPr>
            <w:r>
              <w:t>Includes</w:t>
            </w:r>
            <w:r w:rsidR="007201AA" w:rsidRPr="00315936">
              <w:t xml:space="preserve"> patients of all ages experiencing traumatic pain and patients who are 15 years old or older with cardiac pain.</w:t>
            </w:r>
          </w:p>
        </w:tc>
      </w:tr>
      <w:tr w:rsidR="00BA6C51" w:rsidRPr="00315936" w14:paraId="3671352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405D5C65" w14:textId="77777777" w:rsidR="00BA6C51" w:rsidRPr="00315936" w:rsidRDefault="00BA6C51">
            <w:pPr>
              <w:pStyle w:val="Tablecolhead"/>
              <w:rPr>
                <w:b w:val="0"/>
                <w:lang w:eastAsia="en-AU"/>
              </w:rPr>
            </w:pPr>
            <w:r w:rsidRPr="00315936">
              <w:rPr>
                <w:b w:val="0"/>
                <w:lang w:eastAsia="en-AU"/>
              </w:rPr>
              <w:t>Numerator</w:t>
            </w:r>
          </w:p>
        </w:tc>
        <w:tc>
          <w:tcPr>
            <w:tcW w:w="8503" w:type="dxa"/>
            <w:tcBorders>
              <w:left w:val="single" w:sz="6" w:space="0" w:color="000000"/>
            </w:tcBorders>
          </w:tcPr>
          <w:p w14:paraId="58AE6BFA" w14:textId="77777777" w:rsidR="00BA6C51" w:rsidRPr="00315936" w:rsidRDefault="00BA6C51">
            <w:pPr>
              <w:pStyle w:val="Tabletext"/>
              <w:rPr>
                <w:lang w:eastAsia="en-AU"/>
              </w:rPr>
            </w:pPr>
            <w:r w:rsidRPr="00315936">
              <w:t>Total number of adult cardiac, adult trauma and paediatric trauma patients with an initial pain score assessed as 8 or more experiencing a reduction in score of 2 or more</w:t>
            </w:r>
          </w:p>
        </w:tc>
      </w:tr>
      <w:tr w:rsidR="00BA6C51" w:rsidRPr="00315936" w14:paraId="78AD10B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30100EA0" w14:textId="77777777" w:rsidR="00BA6C51" w:rsidRPr="00315936" w:rsidRDefault="00BA6C51">
            <w:pPr>
              <w:pStyle w:val="Tablecolhead"/>
              <w:rPr>
                <w:b w:val="0"/>
                <w:lang w:eastAsia="en-AU"/>
              </w:rPr>
            </w:pPr>
            <w:r w:rsidRPr="00315936">
              <w:rPr>
                <w:b w:val="0"/>
                <w:lang w:eastAsia="en-AU"/>
              </w:rPr>
              <w:t>Denominator</w:t>
            </w:r>
          </w:p>
        </w:tc>
        <w:tc>
          <w:tcPr>
            <w:tcW w:w="8503" w:type="dxa"/>
            <w:tcBorders>
              <w:left w:val="single" w:sz="6" w:space="0" w:color="000000"/>
            </w:tcBorders>
          </w:tcPr>
          <w:p w14:paraId="730DEF95" w14:textId="77777777" w:rsidR="00BA6C51" w:rsidRPr="00315936" w:rsidRDefault="00BA6C51">
            <w:pPr>
              <w:pStyle w:val="Tabletext"/>
              <w:rPr>
                <w:lang w:eastAsia="en-AU"/>
              </w:rPr>
            </w:pPr>
            <w:r w:rsidRPr="00315936">
              <w:t>Total number of adult cardiac, adult trauma and paediatric trauma patients with an initial pain score assessed as 8 or more</w:t>
            </w:r>
          </w:p>
        </w:tc>
      </w:tr>
      <w:tr w:rsidR="00BA6C51" w:rsidRPr="00315936" w14:paraId="699B14C9"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2266A0AF" w14:textId="77777777" w:rsidR="00BA6C51" w:rsidRPr="00315936" w:rsidRDefault="00BA6C51">
            <w:pPr>
              <w:pStyle w:val="Tablecolhead"/>
              <w:rPr>
                <w:b w:val="0"/>
                <w:lang w:eastAsia="en-AU"/>
              </w:rPr>
            </w:pPr>
            <w:r w:rsidRPr="00315936">
              <w:rPr>
                <w:b w:val="0"/>
                <w:lang w:eastAsia="en-AU"/>
              </w:rPr>
              <w:t>Statewide target</w:t>
            </w:r>
          </w:p>
        </w:tc>
        <w:tc>
          <w:tcPr>
            <w:tcW w:w="8503" w:type="dxa"/>
            <w:tcBorders>
              <w:left w:val="single" w:sz="6" w:space="0" w:color="000000"/>
            </w:tcBorders>
          </w:tcPr>
          <w:p w14:paraId="562F2494" w14:textId="3294C393" w:rsidR="00BA6C51" w:rsidRPr="00315936" w:rsidRDefault="00BA6C51">
            <w:pPr>
              <w:pStyle w:val="Tabletext"/>
              <w:rPr>
                <w:lang w:eastAsia="en-AU"/>
              </w:rPr>
            </w:pPr>
            <w:r w:rsidRPr="00315936">
              <w:t>90</w:t>
            </w:r>
            <w:r w:rsidR="00A67D0D" w:rsidRPr="00315936">
              <w:t xml:space="preserve"> per cent</w:t>
            </w:r>
          </w:p>
        </w:tc>
      </w:tr>
      <w:tr w:rsidR="00BA6C51" w:rsidRPr="00315936" w14:paraId="6475A5A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271D03BB" w14:textId="0453AB7E" w:rsidR="00BA6C51" w:rsidRPr="00315936" w:rsidRDefault="00BA6C51">
            <w:pPr>
              <w:pStyle w:val="Tablecolhead"/>
              <w:rPr>
                <w:b w:val="0"/>
                <w:lang w:eastAsia="en-AU"/>
              </w:rPr>
            </w:pPr>
            <w:r w:rsidRPr="00315936">
              <w:rPr>
                <w:b w:val="0"/>
                <w:lang w:eastAsia="en-AU"/>
              </w:rPr>
              <w:t>Achieved</w:t>
            </w:r>
          </w:p>
        </w:tc>
        <w:tc>
          <w:tcPr>
            <w:tcW w:w="8503" w:type="dxa"/>
            <w:tcBorders>
              <w:left w:val="single" w:sz="6" w:space="0" w:color="000000"/>
            </w:tcBorders>
          </w:tcPr>
          <w:p w14:paraId="1F24DE6C" w14:textId="0FFD966A" w:rsidR="00BA6C51" w:rsidRPr="00315936" w:rsidRDefault="00A31FE6">
            <w:pPr>
              <w:pStyle w:val="Tabletext"/>
            </w:pPr>
            <w:r>
              <w:t>Greater than or e</w:t>
            </w:r>
            <w:r w:rsidR="00BA6C51" w:rsidRPr="00315936">
              <w:t>qual to 90</w:t>
            </w:r>
            <w:r w:rsidR="00A67D0D" w:rsidRPr="00315936">
              <w:t xml:space="preserve"> per cent</w:t>
            </w:r>
          </w:p>
        </w:tc>
      </w:tr>
      <w:tr w:rsidR="00BA6C51" w:rsidRPr="00315936" w14:paraId="4E5A056C"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10600DDF" w14:textId="0C70C199" w:rsidR="00BA6C51" w:rsidRPr="00315936" w:rsidRDefault="00BA6C51">
            <w:pPr>
              <w:pStyle w:val="Tablecolhead"/>
              <w:rPr>
                <w:b w:val="0"/>
                <w:lang w:eastAsia="en-AU"/>
              </w:rPr>
            </w:pPr>
            <w:r w:rsidRPr="00315936">
              <w:rPr>
                <w:b w:val="0"/>
                <w:lang w:eastAsia="en-AU"/>
              </w:rPr>
              <w:t>Not achieved</w:t>
            </w:r>
          </w:p>
        </w:tc>
        <w:tc>
          <w:tcPr>
            <w:tcW w:w="8503" w:type="dxa"/>
            <w:tcBorders>
              <w:left w:val="single" w:sz="6" w:space="0" w:color="000000"/>
            </w:tcBorders>
          </w:tcPr>
          <w:p w14:paraId="5000EB91" w14:textId="3A347D63" w:rsidR="00BA6C51" w:rsidRPr="00315936" w:rsidRDefault="00BA6C51">
            <w:pPr>
              <w:pStyle w:val="Tabletext"/>
            </w:pPr>
            <w:r w:rsidRPr="00315936">
              <w:t>Less than 90</w:t>
            </w:r>
            <w:r w:rsidR="00A67D0D" w:rsidRPr="00315936">
              <w:t xml:space="preserve"> per cent</w:t>
            </w:r>
          </w:p>
        </w:tc>
      </w:tr>
      <w:tr w:rsidR="00BA6C51" w:rsidRPr="00315936" w14:paraId="2C1F45CA"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cBorders>
            <w:shd w:val="clear" w:color="auto" w:fill="000066"/>
          </w:tcPr>
          <w:p w14:paraId="02715726" w14:textId="77777777" w:rsidR="00BA6C51" w:rsidRPr="00315936" w:rsidRDefault="00BA6C51">
            <w:pPr>
              <w:pStyle w:val="Tablecolhead"/>
              <w:rPr>
                <w:b w:val="0"/>
                <w:lang w:eastAsia="en-AU"/>
              </w:rPr>
            </w:pPr>
            <w:r w:rsidRPr="00315936">
              <w:rPr>
                <w:b w:val="0"/>
                <w:lang w:eastAsia="en-AU"/>
              </w:rPr>
              <w:t>Improvement</w:t>
            </w:r>
          </w:p>
        </w:tc>
        <w:tc>
          <w:tcPr>
            <w:tcW w:w="8503" w:type="dxa"/>
            <w:tcBorders>
              <w:left w:val="single" w:sz="6" w:space="0" w:color="000000"/>
            </w:tcBorders>
          </w:tcPr>
          <w:p w14:paraId="5128FA83" w14:textId="40A20209" w:rsidR="00BA6C51" w:rsidRPr="00315936" w:rsidRDefault="008C3B78">
            <w:pPr>
              <w:pStyle w:val="Tabletext"/>
            </w:pPr>
            <w:proofErr w:type="gramStart"/>
            <w:r>
              <w:rPr>
                <w:rFonts w:eastAsia="MS Gothic" w:cs="Arial"/>
                <w:szCs w:val="21"/>
              </w:rPr>
              <w:t>For the purpose of</w:t>
            </w:r>
            <w:proofErr w:type="gramEnd"/>
            <w:r>
              <w:rPr>
                <w:rFonts w:eastAsia="MS Gothic" w:cs="Arial"/>
                <w:szCs w:val="21"/>
              </w:rPr>
              <w:t xml:space="preserve"> the performance risk assessment, i</w:t>
            </w:r>
            <w:r w:rsidRPr="00315936">
              <w:rPr>
                <w:rFonts w:eastAsia="MS Gothic" w:cs="Arial"/>
                <w:szCs w:val="21"/>
              </w:rPr>
              <w:t xml:space="preserve">mprovement is compared to previous </w:t>
            </w:r>
            <w:r w:rsidR="007B58E1" w:rsidRPr="00315936">
              <w:rPr>
                <w:rFonts w:eastAsia="MS Gothic"/>
              </w:rPr>
              <w:t>quarter</w:t>
            </w:r>
            <w:r w:rsidRPr="00315936">
              <w:rPr>
                <w:rFonts w:eastAsia="MS Gothic"/>
              </w:rPr>
              <w:t xml:space="preserve"> performance</w:t>
            </w:r>
            <w:r w:rsidRPr="00315936">
              <w:rPr>
                <w:rFonts w:eastAsia="MS Gothic" w:cs="Arial"/>
                <w:szCs w:val="21"/>
              </w:rPr>
              <w:t>.</w:t>
            </w:r>
            <w:r w:rsidRPr="00315936">
              <w:rPr>
                <w:rStyle w:val="eop"/>
                <w:rFonts w:eastAsia="MS Mincho" w:cs="Arial"/>
                <w:szCs w:val="21"/>
              </w:rPr>
              <w:t> </w:t>
            </w:r>
          </w:p>
        </w:tc>
      </w:tr>
      <w:tr w:rsidR="00BA6C51" w:rsidRPr="00315936" w14:paraId="4338261D"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cBorders>
            <w:shd w:val="clear" w:color="auto" w:fill="000066"/>
          </w:tcPr>
          <w:p w14:paraId="46C52AD4" w14:textId="77777777" w:rsidR="00BA6C51" w:rsidRPr="00315936" w:rsidRDefault="00BA6C51">
            <w:pPr>
              <w:pStyle w:val="Tablecolhead"/>
              <w:rPr>
                <w:b w:val="0"/>
                <w:lang w:eastAsia="en-AU"/>
              </w:rPr>
            </w:pPr>
            <w:r w:rsidRPr="00315936">
              <w:rPr>
                <w:b w:val="0"/>
                <w:lang w:eastAsia="en-AU"/>
              </w:rPr>
              <w:t>Frequency of reporting and data collection</w:t>
            </w:r>
          </w:p>
        </w:tc>
        <w:tc>
          <w:tcPr>
            <w:tcW w:w="8503" w:type="dxa"/>
            <w:tcBorders>
              <w:left w:val="single" w:sz="6" w:space="0" w:color="000000"/>
            </w:tcBorders>
          </w:tcPr>
          <w:p w14:paraId="1508D5B1" w14:textId="2A8D64A6" w:rsidR="00BA6C51" w:rsidRPr="00315936" w:rsidRDefault="00BA6C51">
            <w:pPr>
              <w:pStyle w:val="Tabletext"/>
            </w:pPr>
            <w:r w:rsidRPr="00315936">
              <w:t xml:space="preserve">Performance is </w:t>
            </w:r>
            <w:r w:rsidR="002A7911" w:rsidRPr="00315936">
              <w:t xml:space="preserve">reported </w:t>
            </w:r>
            <w:r w:rsidRPr="00315936">
              <w:t>quarterly</w:t>
            </w:r>
            <w:r w:rsidR="00970179" w:rsidRPr="00315936">
              <w:t xml:space="preserve"> at </w:t>
            </w:r>
            <w:r w:rsidR="002A7911" w:rsidRPr="00315936">
              <w:t>the</w:t>
            </w:r>
            <w:r w:rsidR="00970179" w:rsidRPr="00315936">
              <w:t xml:space="preserve"> statewide level</w:t>
            </w:r>
            <w:r w:rsidRPr="00315936">
              <w:t>.</w:t>
            </w:r>
          </w:p>
          <w:p w14:paraId="0EFAB681" w14:textId="1ED7D42B" w:rsidR="00BA6C51" w:rsidRPr="00315936" w:rsidRDefault="00BA6C51">
            <w:pPr>
              <w:pStyle w:val="Tabletext"/>
              <w:rPr>
                <w:lang w:eastAsia="en-AU"/>
              </w:rPr>
            </w:pPr>
            <w:r w:rsidRPr="00315936">
              <w:t xml:space="preserve">Data are </w:t>
            </w:r>
            <w:r w:rsidR="002A7911" w:rsidRPr="00315936">
              <w:t xml:space="preserve">sourced from </w:t>
            </w:r>
            <w:r w:rsidRPr="00315936">
              <w:t>Ambulance Victoria.</w:t>
            </w:r>
          </w:p>
        </w:tc>
      </w:tr>
    </w:tbl>
    <w:p w14:paraId="102C5A2B" w14:textId="6346EFC5" w:rsidR="002833D1" w:rsidRPr="00315936" w:rsidRDefault="002833D1" w:rsidP="008E7F78">
      <w:pPr>
        <w:pStyle w:val="Heading4"/>
      </w:pPr>
      <w:bookmarkStart w:id="77" w:name="_Toc1311606899"/>
      <w:r w:rsidRPr="00315936">
        <w:t>Percentage of adult stroke patients transported to definitive care within 60 minutes</w:t>
      </w:r>
      <w:bookmarkEnd w:id="77"/>
    </w:p>
    <w:tbl>
      <w:tblPr>
        <w:tblStyle w:val="TableGrid"/>
        <w:tblW w:w="10340" w:type="dxa"/>
        <w:tblLook w:val="04A0" w:firstRow="1" w:lastRow="0" w:firstColumn="1" w:lastColumn="0" w:noHBand="0" w:noVBand="1"/>
      </w:tblPr>
      <w:tblGrid>
        <w:gridCol w:w="1837"/>
        <w:gridCol w:w="8503"/>
      </w:tblGrid>
      <w:tr w:rsidR="002E396D" w:rsidRPr="00315936" w14:paraId="27D2E3C8"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2D6AACA0" w14:textId="5CA8EDD3" w:rsidR="002E396D"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706D2FE2" w14:textId="427B8403" w:rsidR="002E396D" w:rsidRPr="00315936" w:rsidRDefault="002E396D">
            <w:pPr>
              <w:pStyle w:val="Tabletext"/>
            </w:pPr>
            <w:r w:rsidRPr="00315936">
              <w:t>Percentage of adult stroke patients transported to definitive care within 60 minutes</w:t>
            </w:r>
            <w:r w:rsidR="00876388">
              <w:t xml:space="preserve"> </w:t>
            </w:r>
            <w:r w:rsidR="00BA6B46">
              <w:fldChar w:fldCharType="begin"/>
            </w:r>
            <w:r w:rsidR="00BA6B46">
              <w:instrText xml:space="preserve"> NOTEREF _Ref201303719 \f \h </w:instrText>
            </w:r>
            <w:r w:rsidR="0094255B">
              <w:instrText xml:space="preserve"> \* MERGEFORMAT </w:instrText>
            </w:r>
            <w:r w:rsidR="00BA6B46">
              <w:fldChar w:fldCharType="separate"/>
            </w:r>
            <w:r w:rsidR="00BA6B46" w:rsidRPr="00F86086">
              <w:rPr>
                <w:rStyle w:val="EndnoteReference"/>
              </w:rPr>
              <w:t>ix</w:t>
            </w:r>
            <w:r w:rsidR="00BA6B46">
              <w:fldChar w:fldCharType="end"/>
            </w:r>
            <w:r w:rsidR="00C40394">
              <w:fldChar w:fldCharType="begin"/>
            </w:r>
            <w:r w:rsidR="00C40394">
              <w:instrText xml:space="preserve"> NOTEREF _Ref201303719 \f \h </w:instrText>
            </w:r>
            <w:r w:rsidR="0094255B">
              <w:instrText xml:space="preserve"> \* MERGEFORMAT </w:instrText>
            </w:r>
            <w:r w:rsidR="00C40394">
              <w:fldChar w:fldCharType="separate"/>
            </w:r>
            <w:r w:rsidR="00C40394">
              <w:fldChar w:fldCharType="end"/>
            </w:r>
          </w:p>
        </w:tc>
      </w:tr>
      <w:tr w:rsidR="002E396D" w:rsidRPr="00315936" w14:paraId="73B5B8A7"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0793676" w14:textId="77777777" w:rsidR="002E396D" w:rsidRPr="00315936" w:rsidRDefault="002E396D">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1C21EE3B" w14:textId="77777777" w:rsidR="006A29FC" w:rsidRPr="00315936" w:rsidRDefault="006A29FC" w:rsidP="006A29FC">
            <w:pPr>
              <w:pStyle w:val="Tabletext"/>
            </w:pPr>
            <w:r w:rsidRPr="00315936">
              <w:t xml:space="preserve">This </w:t>
            </w:r>
            <w:r w:rsidRPr="00315936" w:rsidDel="00997CA6">
              <w:t xml:space="preserve">measure </w:t>
            </w:r>
            <w:r>
              <w:t>calculates</w:t>
            </w:r>
            <w:r w:rsidRPr="00315936" w:rsidDel="00997CA6">
              <w:t xml:space="preserve"> </w:t>
            </w:r>
            <w:r w:rsidRPr="00315936">
              <w:t>ambulance response to adult patients (15 years or older) suspected of having a stroke within the last six hours who are transported within 60 minutes to a health service with the capability to deliver intravenous thrombolysis.</w:t>
            </w:r>
          </w:p>
          <w:p w14:paraId="252B3FA9" w14:textId="77777777" w:rsidR="002E396D" w:rsidRPr="00315936" w:rsidRDefault="002E396D">
            <w:pPr>
              <w:pStyle w:val="Tabletext"/>
            </w:pPr>
            <w:r w:rsidRPr="00315936">
              <w:t>The early recognition of stroke symptoms and the timing and the destination to which patients are transported are critical to ensuring optimal outcomes for stroke patients.</w:t>
            </w:r>
          </w:p>
          <w:p w14:paraId="3BEC4F94" w14:textId="786B77F3" w:rsidR="002E396D" w:rsidRPr="00315936" w:rsidRDefault="002E396D">
            <w:pPr>
              <w:pStyle w:val="Tabletext"/>
              <w:rPr>
                <w:lang w:eastAsia="en-AU"/>
              </w:rPr>
            </w:pPr>
            <w:r w:rsidRPr="00315936">
              <w:t xml:space="preserve">A list of health services providing thrombolysis for stroke patients can be found at </w:t>
            </w:r>
            <w:hyperlink r:id="rId35" w:history="1">
              <w:r w:rsidRPr="00315936">
                <w:rPr>
                  <w:color w:val="3366FF"/>
                  <w:u w:val="dotted"/>
                </w:rPr>
                <w:t>HealthVic statewide frameworks for acute stroke services</w:t>
              </w:r>
            </w:hyperlink>
            <w:r w:rsidRPr="00315936">
              <w:t xml:space="preserve"> </w:t>
            </w:r>
            <w:r w:rsidR="00E1195A" w:rsidRPr="00315936">
              <w:t>&lt;</w:t>
            </w:r>
            <w:r w:rsidR="00223D7E" w:rsidRPr="00AC34D9">
              <w:t>https://www2.health.vic.gov.au/hospitals-and-health-services/quality-safety-service/clinical-networks/clinical-network-stroke/stroke-statewide-frameworks</w:t>
            </w:r>
            <w:r w:rsidR="00E1195A" w:rsidRPr="00315936">
              <w:t>&gt;</w:t>
            </w:r>
            <w:r w:rsidR="00E1195A" w:rsidRPr="00315936">
              <w:rPr>
                <w:color w:val="000000" w:themeColor="text1"/>
              </w:rPr>
              <w:t>.</w:t>
            </w:r>
          </w:p>
        </w:tc>
      </w:tr>
      <w:tr w:rsidR="002E396D" w:rsidRPr="00315936" w14:paraId="325024A6"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D79E158" w14:textId="77777777" w:rsidR="002E396D" w:rsidRPr="00315936" w:rsidRDefault="002E396D">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67C6BE6A" w14:textId="5B543707" w:rsidR="002E396D" w:rsidRPr="00315936" w:rsidRDefault="00195B4E">
            <w:pPr>
              <w:pStyle w:val="Tabletext"/>
            </w:pPr>
            <w:r>
              <w:t>E</w:t>
            </w:r>
            <w:r w:rsidR="002E396D" w:rsidRPr="00315936">
              <w:t>xcludes inter-hospital transfers, patients with an estimated stroke onset of greater than six hours, patients with significant pre-existing disability</w:t>
            </w:r>
            <w:r w:rsidR="005579A2">
              <w:t>,</w:t>
            </w:r>
            <w:r w:rsidR="002E396D" w:rsidRPr="00315936">
              <w:t xml:space="preserve"> or </w:t>
            </w:r>
            <w:r w:rsidR="003F2A73" w:rsidRPr="00315936">
              <w:t xml:space="preserve">patients </w:t>
            </w:r>
            <w:r w:rsidR="002E396D" w:rsidRPr="00315936">
              <w:t>dependent on others for daily living.</w:t>
            </w:r>
          </w:p>
          <w:p w14:paraId="4E83D35B" w14:textId="69425CEC" w:rsidR="002E396D" w:rsidRPr="00315936" w:rsidRDefault="002E396D">
            <w:pPr>
              <w:pStyle w:val="Tabletext"/>
              <w:rPr>
                <w:lang w:eastAsia="en-AU"/>
              </w:rPr>
            </w:pPr>
            <w:r w:rsidRPr="00315936">
              <w:t xml:space="preserve">This </w:t>
            </w:r>
            <w:r w:rsidR="00C3016B" w:rsidRPr="00315936">
              <w:t>measure</w:t>
            </w:r>
            <w:r w:rsidRPr="00315936">
              <w:t xml:space="preserve"> is expressed as a percentage to one decimal place.</w:t>
            </w:r>
          </w:p>
        </w:tc>
      </w:tr>
      <w:tr w:rsidR="002E396D" w:rsidRPr="00315936" w14:paraId="6D56C11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79ABEEF" w14:textId="77777777" w:rsidR="002E396D" w:rsidRPr="00315936" w:rsidRDefault="002E396D">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169BAD5F" w14:textId="0C72D099" w:rsidR="002E396D" w:rsidRPr="00315936" w:rsidRDefault="002E396D">
            <w:pPr>
              <w:pStyle w:val="Tabletext"/>
              <w:rPr>
                <w:lang w:eastAsia="en-AU"/>
              </w:rPr>
            </w:pPr>
            <w:r w:rsidRPr="00315936">
              <w:t>Total number of adult patients suspected of having a stroke and meeting the above criteria who were transported within 60 minutes to a health service with the capability to deliver intravenous thrombolysis.</w:t>
            </w:r>
          </w:p>
        </w:tc>
      </w:tr>
      <w:tr w:rsidR="002E396D" w:rsidRPr="00315936" w14:paraId="7021CB1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43B912A" w14:textId="77777777" w:rsidR="002E396D" w:rsidRPr="00315936" w:rsidRDefault="002E396D">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6C3CB612" w14:textId="420671A7" w:rsidR="002E396D" w:rsidRPr="00315936" w:rsidRDefault="002E396D">
            <w:pPr>
              <w:pStyle w:val="Tabletext"/>
              <w:rPr>
                <w:lang w:eastAsia="en-AU"/>
              </w:rPr>
            </w:pPr>
            <w:r w:rsidRPr="00315936">
              <w:t>Total number of adult patients suspected of having a stroke and meeting the above criteria</w:t>
            </w:r>
          </w:p>
        </w:tc>
      </w:tr>
      <w:tr w:rsidR="002E396D" w:rsidRPr="00315936" w14:paraId="6F2C1FF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B7A4465" w14:textId="77777777" w:rsidR="002E396D" w:rsidRPr="00315936" w:rsidRDefault="002E396D">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7C9EB253" w14:textId="3CC78D6F" w:rsidR="002E396D" w:rsidRPr="00315936" w:rsidRDefault="002E396D">
            <w:pPr>
              <w:pStyle w:val="Tabletext"/>
              <w:rPr>
                <w:lang w:eastAsia="en-AU"/>
              </w:rPr>
            </w:pPr>
            <w:r w:rsidRPr="00315936">
              <w:t>90</w:t>
            </w:r>
            <w:r w:rsidR="00A67D0D" w:rsidRPr="00315936">
              <w:t xml:space="preserve"> per cent</w:t>
            </w:r>
          </w:p>
        </w:tc>
      </w:tr>
      <w:tr w:rsidR="002E396D" w:rsidRPr="00315936" w14:paraId="7CE10BA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EFE36F6" w14:textId="6A7D8D67" w:rsidR="002E396D" w:rsidRPr="00315936" w:rsidRDefault="002E396D">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298F634B" w14:textId="4B8B3F47" w:rsidR="002E396D" w:rsidRPr="00315936" w:rsidRDefault="00A31FE6">
            <w:pPr>
              <w:pStyle w:val="Tabletext"/>
            </w:pPr>
            <w:r>
              <w:t>G</w:t>
            </w:r>
            <w:r w:rsidR="002E396D" w:rsidRPr="00315936">
              <w:t>reater than</w:t>
            </w:r>
            <w:r>
              <w:t xml:space="preserve"> or equal to</w:t>
            </w:r>
            <w:r w:rsidR="002E396D" w:rsidRPr="00315936">
              <w:t xml:space="preserve"> 90</w:t>
            </w:r>
            <w:r w:rsidR="00A67D0D" w:rsidRPr="00315936">
              <w:t xml:space="preserve"> per cent</w:t>
            </w:r>
          </w:p>
        </w:tc>
      </w:tr>
      <w:tr w:rsidR="002E396D" w:rsidRPr="00315936" w14:paraId="54316B48"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08A37CD" w14:textId="1E1A7F00" w:rsidR="002E396D" w:rsidRPr="00315936" w:rsidRDefault="002E396D">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318B9DCC" w14:textId="085A7664" w:rsidR="002E396D" w:rsidRPr="00315936" w:rsidRDefault="002E396D">
            <w:pPr>
              <w:pStyle w:val="Tabletext"/>
            </w:pPr>
            <w:r w:rsidRPr="00315936">
              <w:t>Less than 90</w:t>
            </w:r>
            <w:r w:rsidR="00A67D0D" w:rsidRPr="00315936">
              <w:t xml:space="preserve"> per cent</w:t>
            </w:r>
          </w:p>
        </w:tc>
      </w:tr>
      <w:tr w:rsidR="002E396D" w:rsidRPr="00315936" w14:paraId="6E5ED5D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BB78AFD" w14:textId="77777777" w:rsidR="002E396D" w:rsidRPr="00315936" w:rsidRDefault="002E396D">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5B5BDDF5" w14:textId="529ABDE9" w:rsidR="002E396D" w:rsidRPr="00315936" w:rsidRDefault="1A82FD6F">
            <w:pPr>
              <w:pStyle w:val="Tabletext"/>
              <w:rPr>
                <w:lang w:eastAsia="en-AU"/>
              </w:rPr>
            </w:pPr>
            <w:bookmarkStart w:id="78" w:name="_Int_HesvURbH"/>
            <w:proofErr w:type="gramStart"/>
            <w:r w:rsidRPr="55528ABA">
              <w:rPr>
                <w:rFonts w:eastAsia="Times"/>
              </w:rPr>
              <w:t>For the purpose of</w:t>
            </w:r>
            <w:bookmarkEnd w:id="78"/>
            <w:proofErr w:type="gramEnd"/>
            <w:r w:rsidRPr="55528ABA">
              <w:rPr>
                <w:rFonts w:eastAsia="Times"/>
              </w:rPr>
              <w:t xml:space="preserve"> the performance risk assessment, improvement is </w:t>
            </w:r>
            <w:r w:rsidRPr="55528ABA">
              <w:rPr>
                <w:rFonts w:eastAsia="MS Gothic" w:cs="Arial"/>
              </w:rPr>
              <w:t>compared to</w:t>
            </w:r>
            <w:r w:rsidRPr="55528ABA">
              <w:rPr>
                <w:rFonts w:eastAsia="Times"/>
              </w:rPr>
              <w:t xml:space="preserve"> previous </w:t>
            </w:r>
            <w:r w:rsidRPr="55528ABA">
              <w:rPr>
                <w:rFonts w:eastAsia="MS Gothic" w:cs="Arial"/>
              </w:rPr>
              <w:t xml:space="preserve">quarter </w:t>
            </w:r>
            <w:r w:rsidRPr="55528ABA">
              <w:rPr>
                <w:rFonts w:eastAsia="Times"/>
              </w:rPr>
              <w:t>performance</w:t>
            </w:r>
            <w:r w:rsidRPr="55528ABA">
              <w:rPr>
                <w:rFonts w:eastAsia="MS Gothic" w:cs="Arial"/>
              </w:rPr>
              <w:t>.</w:t>
            </w:r>
            <w:r w:rsidRPr="55528ABA">
              <w:rPr>
                <w:rStyle w:val="eop"/>
                <w:rFonts w:eastAsia="MS Mincho" w:cs="Arial"/>
              </w:rPr>
              <w:t> </w:t>
            </w:r>
          </w:p>
        </w:tc>
      </w:tr>
      <w:tr w:rsidR="002E396D" w:rsidRPr="00315936" w14:paraId="5B63E360"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473FABFF" w14:textId="77777777" w:rsidR="002E396D" w:rsidRPr="00315936" w:rsidRDefault="002E396D">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70B62356" w14:textId="12936DF8" w:rsidR="002E396D" w:rsidRPr="00315936" w:rsidRDefault="002E396D">
            <w:pPr>
              <w:pStyle w:val="Tabletext"/>
            </w:pPr>
            <w:r w:rsidRPr="00315936">
              <w:t xml:space="preserve">Performance is </w:t>
            </w:r>
            <w:r w:rsidR="003628F9" w:rsidRPr="00315936">
              <w:t xml:space="preserve">reported </w:t>
            </w:r>
            <w:r w:rsidRPr="00315936">
              <w:t>quarterly</w:t>
            </w:r>
            <w:r w:rsidR="00970179" w:rsidRPr="00315936">
              <w:t xml:space="preserve"> at </w:t>
            </w:r>
            <w:r w:rsidR="003628F9" w:rsidRPr="00315936">
              <w:t>the</w:t>
            </w:r>
            <w:r w:rsidR="00970179" w:rsidRPr="00315936">
              <w:t xml:space="preserve"> statewide level</w:t>
            </w:r>
            <w:r w:rsidRPr="00315936">
              <w:t>.</w:t>
            </w:r>
          </w:p>
          <w:p w14:paraId="167681F2" w14:textId="3CEE8269" w:rsidR="002E396D" w:rsidRPr="00315936" w:rsidRDefault="002E396D">
            <w:pPr>
              <w:pStyle w:val="Tabletext"/>
              <w:rPr>
                <w:lang w:eastAsia="en-AU"/>
              </w:rPr>
            </w:pPr>
            <w:r w:rsidRPr="00315936">
              <w:t xml:space="preserve">Data are </w:t>
            </w:r>
            <w:r w:rsidR="003628F9" w:rsidRPr="00315936">
              <w:t xml:space="preserve">sourced </w:t>
            </w:r>
            <w:r w:rsidRPr="00315936">
              <w:t>from Ambulance Victoria.</w:t>
            </w:r>
          </w:p>
        </w:tc>
      </w:tr>
    </w:tbl>
    <w:p w14:paraId="4EE94A8D" w14:textId="4AF22E15" w:rsidR="00D73EE8" w:rsidRPr="00315936" w:rsidRDefault="00D73EE8" w:rsidP="008E7F78">
      <w:pPr>
        <w:pStyle w:val="Heading4"/>
      </w:pPr>
      <w:bookmarkStart w:id="79" w:name="_Toc906868845"/>
      <w:r w:rsidRPr="00315936">
        <w:t>Percentage of major trauma patients that meet destination compliance (by 45 minutes)</w:t>
      </w:r>
      <w:bookmarkEnd w:id="79"/>
    </w:p>
    <w:tbl>
      <w:tblPr>
        <w:tblStyle w:val="TableGrid"/>
        <w:tblW w:w="10340" w:type="dxa"/>
        <w:tblLook w:val="04A0" w:firstRow="1" w:lastRow="0" w:firstColumn="1" w:lastColumn="0" w:noHBand="0" w:noVBand="1"/>
      </w:tblPr>
      <w:tblGrid>
        <w:gridCol w:w="1837"/>
        <w:gridCol w:w="8503"/>
      </w:tblGrid>
      <w:tr w:rsidR="00FD086B" w:rsidRPr="00315936" w14:paraId="1CBE2416"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620604E1" w14:textId="6C5DFE7C" w:rsidR="00FD086B" w:rsidRPr="00315936" w:rsidRDefault="00C3016B" w:rsidP="001A453F">
            <w:pPr>
              <w:pStyle w:val="Tablecolhead"/>
              <w:keepNext/>
              <w:rPr>
                <w:b w:val="0"/>
                <w:lang w:eastAsia="en-AU"/>
              </w:rPr>
            </w:pPr>
            <w:r w:rsidRPr="00315936">
              <w:rPr>
                <w:b w:val="0"/>
                <w:lang w:eastAsia="en-AU"/>
              </w:rPr>
              <w:t>Measure</w:t>
            </w:r>
          </w:p>
        </w:tc>
        <w:tc>
          <w:tcPr>
            <w:tcW w:w="8503" w:type="dxa"/>
            <w:tcBorders>
              <w:left w:val="single" w:sz="6" w:space="0" w:color="000000" w:themeColor="text1"/>
            </w:tcBorders>
          </w:tcPr>
          <w:p w14:paraId="49B0BFE2" w14:textId="6B5E5FBA" w:rsidR="00FD086B" w:rsidRPr="00315936" w:rsidRDefault="00FD086B" w:rsidP="001A453F">
            <w:pPr>
              <w:pStyle w:val="Tabletext"/>
              <w:keepNext/>
              <w:rPr>
                <w:lang w:eastAsia="en-AU"/>
              </w:rPr>
            </w:pPr>
            <w:r w:rsidRPr="00315936">
              <w:t>Percentage of major trauma patients that meet destination compliance (by 45 minutes)</w:t>
            </w:r>
            <w:r w:rsidR="00C55676">
              <w:t xml:space="preserve"> </w:t>
            </w:r>
            <w:r w:rsidR="00A55D39">
              <w:fldChar w:fldCharType="begin"/>
            </w:r>
            <w:r w:rsidR="00A55D39">
              <w:instrText xml:space="preserve"> NOTEREF _Ref201303719 \f \h </w:instrText>
            </w:r>
            <w:r w:rsidR="0094255B">
              <w:instrText xml:space="preserve"> \* MERGEFORMAT </w:instrText>
            </w:r>
            <w:r w:rsidR="00A55D39">
              <w:fldChar w:fldCharType="separate"/>
            </w:r>
            <w:r w:rsidR="00A55D39" w:rsidRPr="00AE0086">
              <w:rPr>
                <w:rStyle w:val="EndnoteReference"/>
              </w:rPr>
              <w:t>ix</w:t>
            </w:r>
            <w:r w:rsidR="00A55D39">
              <w:fldChar w:fldCharType="end"/>
            </w:r>
            <w:r w:rsidR="00C83969" w:rsidDel="00C83969">
              <w:t xml:space="preserve"> </w:t>
            </w:r>
          </w:p>
        </w:tc>
      </w:tr>
      <w:tr w:rsidR="00FD086B" w:rsidRPr="00315936" w14:paraId="16ADC4C8"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57B1172" w14:textId="77777777" w:rsidR="00FD086B" w:rsidRPr="00315936" w:rsidRDefault="00FD086B">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7DF1430B" w14:textId="44C4EC63" w:rsidR="00FD086B" w:rsidRPr="00315936" w:rsidRDefault="00FD086B">
            <w:pPr>
              <w:pStyle w:val="Tabletext"/>
            </w:pPr>
            <w:r w:rsidRPr="00315936">
              <w:t>This measure</w:t>
            </w:r>
            <w:r w:rsidR="00536202">
              <w:t>s</w:t>
            </w:r>
            <w:r w:rsidRPr="00315936">
              <w:t xml:space="preserve"> ambulance response to patients </w:t>
            </w:r>
            <w:r w:rsidR="003D1E21">
              <w:t>with</w:t>
            </w:r>
            <w:r w:rsidRPr="00315936">
              <w:t xml:space="preserve"> major trauma who are transported to a major trauma service or to the highest-level designated trauma service within 45 minutes of the ambulance departing the scene.</w:t>
            </w:r>
          </w:p>
          <w:p w14:paraId="53354497" w14:textId="77777777" w:rsidR="00536202" w:rsidRPr="00315936" w:rsidRDefault="00536202" w:rsidP="00536202">
            <w:pPr>
              <w:pStyle w:val="Tabletext"/>
            </w:pPr>
            <w:r w:rsidRPr="00315936">
              <w:t>Mortality and morbidity can be reduced by effective field triage, treatment, and transport of severely injured patients to specialised trauma hospitals.</w:t>
            </w:r>
          </w:p>
          <w:p w14:paraId="2BA5E779" w14:textId="55BC79C9" w:rsidR="00FD086B" w:rsidRPr="00315936" w:rsidRDefault="00FD086B">
            <w:pPr>
              <w:pStyle w:val="Tabletext"/>
              <w:rPr>
                <w:lang w:eastAsia="en-AU"/>
              </w:rPr>
            </w:pPr>
            <w:r w:rsidRPr="00315936">
              <w:t>Major trauma patients are defined by the Victorian State Trauma Registry</w:t>
            </w:r>
            <w:r w:rsidR="00FF54EF">
              <w:t>. T</w:t>
            </w:r>
            <w:r w:rsidRPr="00315936">
              <w:t>his process relies on hospital diagnostic procedures, and in</w:t>
            </w:r>
            <w:r w:rsidR="00FF54EF">
              <w:t>-</w:t>
            </w:r>
            <w:r w:rsidRPr="00315936">
              <w:t>hospital treatment data</w:t>
            </w:r>
            <w:r w:rsidR="009B2982">
              <w:t>,</w:t>
            </w:r>
            <w:r w:rsidRPr="00315936">
              <w:t xml:space="preserve"> which causes a lag of one quarter for all data.</w:t>
            </w:r>
          </w:p>
        </w:tc>
      </w:tr>
      <w:tr w:rsidR="00FD086B" w:rsidRPr="00315936" w14:paraId="3A6BDDB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362EC7F" w14:textId="77777777" w:rsidR="00FD086B" w:rsidRPr="00315936" w:rsidRDefault="00FD086B">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251794B0" w14:textId="62289CE1" w:rsidR="00FD086B" w:rsidRPr="00315936" w:rsidRDefault="004D3CDB">
            <w:pPr>
              <w:pStyle w:val="Tabletext"/>
            </w:pPr>
            <w:r>
              <w:t>Excludes</w:t>
            </w:r>
            <w:r w:rsidR="00514F9F">
              <w:t xml:space="preserve"> </w:t>
            </w:r>
            <w:r w:rsidR="00FD086B" w:rsidRPr="00315936">
              <w:t>inter-hospital transports and patients not meeting the Ambulance Victoria Trauma Triage Guidelines.</w:t>
            </w:r>
          </w:p>
          <w:p w14:paraId="14AFE188" w14:textId="6127FAA7" w:rsidR="00FD086B" w:rsidRPr="00315936" w:rsidRDefault="00FD086B">
            <w:pPr>
              <w:pStyle w:val="Tabletext"/>
              <w:rPr>
                <w:lang w:eastAsia="en-AU"/>
              </w:rPr>
            </w:pPr>
            <w:r w:rsidRPr="00315936">
              <w:t xml:space="preserve">This </w:t>
            </w:r>
            <w:r w:rsidR="00C3016B" w:rsidRPr="00315936">
              <w:t>measure</w:t>
            </w:r>
            <w:r w:rsidRPr="00315936">
              <w:t xml:space="preserve"> is expressed as a percentage to one decimal place.</w:t>
            </w:r>
          </w:p>
        </w:tc>
      </w:tr>
      <w:tr w:rsidR="00FD086B" w:rsidRPr="00315936" w14:paraId="54A0650D"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725C857" w14:textId="77777777" w:rsidR="00FD086B" w:rsidRPr="00315936" w:rsidRDefault="00FD086B">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5F838C0B" w14:textId="186F3BD4" w:rsidR="00FD086B" w:rsidRPr="00315936" w:rsidRDefault="00B116D0">
            <w:pPr>
              <w:pStyle w:val="Tabletext"/>
              <w:rPr>
                <w:lang w:eastAsia="en-AU"/>
              </w:rPr>
            </w:pPr>
            <w:r>
              <w:t>N</w:t>
            </w:r>
            <w:r w:rsidR="00FD086B" w:rsidRPr="00315936">
              <w:t>umber of major trauma patients transported to a major trauma service or to the highest-level designated trauma service within 45 minutes travel time (from scene</w:t>
            </w:r>
            <w:r w:rsidR="009B2982">
              <w:t xml:space="preserve"> departure</w:t>
            </w:r>
            <w:r w:rsidR="00FD086B" w:rsidRPr="00315936">
              <w:t>)</w:t>
            </w:r>
          </w:p>
        </w:tc>
      </w:tr>
      <w:tr w:rsidR="00FD086B" w:rsidRPr="00315936" w14:paraId="141ABFB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8518282" w14:textId="77777777" w:rsidR="00FD086B" w:rsidRPr="00315936" w:rsidRDefault="00FD086B">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5A088673" w14:textId="17C749CE" w:rsidR="00FD086B" w:rsidRPr="00315936" w:rsidRDefault="00FD086B">
            <w:pPr>
              <w:pStyle w:val="Tabletext"/>
              <w:rPr>
                <w:lang w:eastAsia="en-AU"/>
              </w:rPr>
            </w:pPr>
            <w:r w:rsidRPr="00315936">
              <w:t xml:space="preserve">Number of patients </w:t>
            </w:r>
            <w:r w:rsidR="00EF2837">
              <w:t>with</w:t>
            </w:r>
            <w:r w:rsidRPr="00315936">
              <w:t xml:space="preserve"> major trauma</w:t>
            </w:r>
            <w:r w:rsidR="00A96D33">
              <w:t xml:space="preserve"> as per the </w:t>
            </w:r>
            <w:r w:rsidR="00EB4AA0">
              <w:t>Ambulance Victoria Trauma Triage Guidelines.</w:t>
            </w:r>
          </w:p>
        </w:tc>
      </w:tr>
      <w:tr w:rsidR="00FD086B" w:rsidRPr="00315936" w14:paraId="1B403325"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139DCCB" w14:textId="77777777" w:rsidR="00FD086B" w:rsidRPr="00315936" w:rsidRDefault="00FD086B">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03D8479E" w14:textId="481EB4C7" w:rsidR="00FD086B" w:rsidRPr="00315936" w:rsidRDefault="00FD086B">
            <w:pPr>
              <w:pStyle w:val="Tabletext"/>
              <w:rPr>
                <w:lang w:eastAsia="en-AU"/>
              </w:rPr>
            </w:pPr>
            <w:r w:rsidRPr="00315936">
              <w:t>85</w:t>
            </w:r>
            <w:r w:rsidR="00A67D0D" w:rsidRPr="00315936">
              <w:t xml:space="preserve"> per cent</w:t>
            </w:r>
          </w:p>
        </w:tc>
      </w:tr>
      <w:tr w:rsidR="00FD086B" w:rsidRPr="00315936" w14:paraId="68ACA748"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66E24F6" w14:textId="0D7D3BA1" w:rsidR="00FD086B" w:rsidRPr="00315936" w:rsidRDefault="00FD086B">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5A8CDAA4" w14:textId="2F28151E" w:rsidR="00FD086B" w:rsidRPr="00315936" w:rsidRDefault="00A31FE6">
            <w:pPr>
              <w:pStyle w:val="Tabletext"/>
            </w:pPr>
            <w:r>
              <w:t>G</w:t>
            </w:r>
            <w:r w:rsidR="00FD086B" w:rsidRPr="00315936">
              <w:t>reater than</w:t>
            </w:r>
            <w:r>
              <w:t xml:space="preserve"> or equal to</w:t>
            </w:r>
            <w:r w:rsidR="00FD086B" w:rsidRPr="00315936">
              <w:t xml:space="preserve"> 85</w:t>
            </w:r>
            <w:r w:rsidR="00A67D0D" w:rsidRPr="00315936">
              <w:t xml:space="preserve"> per cent</w:t>
            </w:r>
          </w:p>
        </w:tc>
      </w:tr>
      <w:tr w:rsidR="00FD086B" w:rsidRPr="00315936" w14:paraId="0195D5FC"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29A6FF7" w14:textId="74FEA02C" w:rsidR="00FD086B" w:rsidRPr="00315936" w:rsidRDefault="00FD086B">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39C62568" w14:textId="5A13585D" w:rsidR="00FD086B" w:rsidRPr="00315936" w:rsidRDefault="00FD086B">
            <w:pPr>
              <w:pStyle w:val="Tabletext"/>
            </w:pPr>
            <w:r w:rsidRPr="00315936">
              <w:t>Less than 85</w:t>
            </w:r>
            <w:r w:rsidR="00A67D0D" w:rsidRPr="00315936">
              <w:t xml:space="preserve"> per cent</w:t>
            </w:r>
          </w:p>
        </w:tc>
      </w:tr>
      <w:tr w:rsidR="00FD086B" w:rsidRPr="00315936" w14:paraId="7188F827"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00AC203" w14:textId="77777777" w:rsidR="00FD086B" w:rsidRPr="00315936" w:rsidRDefault="00FD086B">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47C1D158" w14:textId="29E487F3" w:rsidR="00FD086B" w:rsidRPr="00315936" w:rsidRDefault="1A82FD6F">
            <w:pPr>
              <w:pStyle w:val="Tabletext"/>
              <w:rPr>
                <w:lang w:eastAsia="en-AU"/>
              </w:rPr>
            </w:pPr>
            <w:bookmarkStart w:id="80" w:name="_Int_iNZb8sXf"/>
            <w:proofErr w:type="gramStart"/>
            <w:r w:rsidRPr="55528ABA">
              <w:rPr>
                <w:rFonts w:eastAsia="MS Gothic" w:cs="Arial"/>
              </w:rPr>
              <w:t>For the purpose of</w:t>
            </w:r>
            <w:bookmarkEnd w:id="80"/>
            <w:proofErr w:type="gramEnd"/>
            <w:r w:rsidRPr="55528ABA">
              <w:rPr>
                <w:rFonts w:eastAsia="MS Gothic" w:cs="Arial"/>
              </w:rPr>
              <w:t xml:space="preserve"> the performance risk assessment, improvement</w:t>
            </w:r>
            <w:r w:rsidRPr="55528ABA">
              <w:rPr>
                <w:rFonts w:eastAsia="MS Gothic"/>
              </w:rPr>
              <w:t xml:space="preserve"> is compared to previous quarter performance.</w:t>
            </w:r>
            <w:r w:rsidRPr="55528ABA">
              <w:rPr>
                <w:rStyle w:val="eop"/>
                <w:rFonts w:eastAsia="MS Mincho" w:cs="Arial"/>
              </w:rPr>
              <w:t> </w:t>
            </w:r>
          </w:p>
        </w:tc>
      </w:tr>
      <w:tr w:rsidR="00FD086B" w:rsidRPr="00315936" w14:paraId="754B2AF4"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2EA4F28B" w14:textId="77777777" w:rsidR="00FD086B" w:rsidRPr="00315936" w:rsidRDefault="00FD086B">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08F99A70" w14:textId="5AC87434" w:rsidR="00FD086B" w:rsidRPr="00315936" w:rsidRDefault="00FD086B">
            <w:pPr>
              <w:pStyle w:val="Tabletext"/>
            </w:pPr>
            <w:r w:rsidRPr="00315936">
              <w:t>Performance is</w:t>
            </w:r>
            <w:r w:rsidR="003628F9" w:rsidRPr="00315936">
              <w:t xml:space="preserve"> reported</w:t>
            </w:r>
            <w:r w:rsidRPr="00315936">
              <w:t xml:space="preserve"> quarterly</w:t>
            </w:r>
            <w:r w:rsidR="00970179" w:rsidRPr="00315936">
              <w:t xml:space="preserve"> at </w:t>
            </w:r>
            <w:r w:rsidR="00EC271E" w:rsidRPr="00315936">
              <w:t>the</w:t>
            </w:r>
            <w:r w:rsidR="00970179" w:rsidRPr="00315936">
              <w:t xml:space="preserve"> statewide level</w:t>
            </w:r>
            <w:r w:rsidR="00EF2837">
              <w:t>.</w:t>
            </w:r>
          </w:p>
          <w:p w14:paraId="6AA6694A" w14:textId="77777777" w:rsidR="00FD086B" w:rsidRPr="00315936" w:rsidRDefault="00FD086B">
            <w:pPr>
              <w:pStyle w:val="Tabletext"/>
            </w:pPr>
            <w:r w:rsidRPr="00315936">
              <w:t>Reported data are lagged by one quarter.</w:t>
            </w:r>
          </w:p>
          <w:p w14:paraId="0D223B57" w14:textId="02AE1CBD" w:rsidR="00FD086B" w:rsidRPr="00315936" w:rsidRDefault="00FD086B">
            <w:pPr>
              <w:pStyle w:val="Tabletext"/>
              <w:rPr>
                <w:lang w:eastAsia="en-AU"/>
              </w:rPr>
            </w:pPr>
            <w:r w:rsidRPr="00315936">
              <w:t xml:space="preserve">Data are </w:t>
            </w:r>
            <w:r w:rsidR="00EC271E" w:rsidRPr="00315936">
              <w:t xml:space="preserve">sourced </w:t>
            </w:r>
            <w:r w:rsidRPr="00315936">
              <w:t>from Ambulance Victoria.</w:t>
            </w:r>
          </w:p>
        </w:tc>
      </w:tr>
    </w:tbl>
    <w:p w14:paraId="00BA042C" w14:textId="37D46BA4" w:rsidR="00D73EE8" w:rsidRPr="00315936" w:rsidRDefault="00FB02CA" w:rsidP="008E7F78">
      <w:pPr>
        <w:pStyle w:val="Heading4"/>
      </w:pPr>
      <w:bookmarkStart w:id="81" w:name="_Toc901883310"/>
      <w:r w:rsidRPr="00315936">
        <w:t>Percentage of adult cardiac arrest patients surviving to hospital</w:t>
      </w:r>
      <w:bookmarkEnd w:id="81"/>
    </w:p>
    <w:tbl>
      <w:tblPr>
        <w:tblStyle w:val="TableGrid"/>
        <w:tblW w:w="10340" w:type="dxa"/>
        <w:tblLook w:val="04A0" w:firstRow="1" w:lastRow="0" w:firstColumn="1" w:lastColumn="0" w:noHBand="0" w:noVBand="1"/>
      </w:tblPr>
      <w:tblGrid>
        <w:gridCol w:w="1837"/>
        <w:gridCol w:w="8503"/>
      </w:tblGrid>
      <w:tr w:rsidR="00121D23" w:rsidRPr="00315936" w14:paraId="457A42A5"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473B9273" w14:textId="6A4E68EE" w:rsidR="00121D23"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536E31D3" w14:textId="7ACF8788" w:rsidR="00121D23" w:rsidRPr="00AC34D9" w:rsidRDefault="00121D23">
            <w:pPr>
              <w:pStyle w:val="Tabletext"/>
            </w:pPr>
            <w:r w:rsidRPr="00315936">
              <w:t>Percentage of adult cardiac arrest patients surviving to hospital</w:t>
            </w:r>
            <w:r w:rsidR="00876388">
              <w:t xml:space="preserve"> </w:t>
            </w:r>
            <w:r w:rsidR="00A55D39">
              <w:fldChar w:fldCharType="begin"/>
            </w:r>
            <w:r w:rsidR="00A55D39">
              <w:instrText xml:space="preserve"> NOTEREF _Ref201303719 \f \h </w:instrText>
            </w:r>
            <w:r w:rsidR="00A55D39">
              <w:fldChar w:fldCharType="separate"/>
            </w:r>
            <w:r w:rsidR="00A55D39" w:rsidRPr="00AE0086">
              <w:rPr>
                <w:rStyle w:val="EndnoteReference"/>
              </w:rPr>
              <w:t>ix</w:t>
            </w:r>
            <w:r w:rsidR="00A55D39">
              <w:fldChar w:fldCharType="end"/>
            </w:r>
          </w:p>
        </w:tc>
      </w:tr>
      <w:tr w:rsidR="00121D23" w:rsidRPr="00315936" w14:paraId="0DE7FBE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E5B895B" w14:textId="77777777" w:rsidR="00121D23" w:rsidRPr="00315936" w:rsidRDefault="00121D23">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69611F6E" w14:textId="2C6ADF45" w:rsidR="00121D23" w:rsidRPr="00315936" w:rsidRDefault="00121D23">
            <w:pPr>
              <w:pStyle w:val="Tabletext"/>
            </w:pPr>
            <w:r w:rsidRPr="00315936">
              <w:t>The cardiac arrest survival</w:t>
            </w:r>
            <w:r w:rsidR="005E05BD">
              <w:t>-</w:t>
            </w:r>
            <w:r w:rsidRPr="00315936">
              <w:t>to</w:t>
            </w:r>
            <w:r w:rsidR="005E05BD">
              <w:t>-</w:t>
            </w:r>
            <w:r w:rsidRPr="00315936">
              <w:t xml:space="preserve">hospital rate </w:t>
            </w:r>
            <w:r w:rsidR="00C709DD">
              <w:t>is measured as</w:t>
            </w:r>
            <w:r w:rsidR="00C709DD" w:rsidRPr="00315936">
              <w:t xml:space="preserve"> </w:t>
            </w:r>
            <w:r w:rsidRPr="00315936">
              <w:t xml:space="preserve">the percentage of adult patients in out-of-hospital cardiac arrest </w:t>
            </w:r>
            <w:r w:rsidR="004B0FFE">
              <w:t>who</w:t>
            </w:r>
            <w:r w:rsidRPr="00315936">
              <w:t xml:space="preserve"> initially present in a shockable rhythm where any chest compressions and/or defibrillation was undertaken by ambulance/EMS (fire brigade first responders, community emergency response teams or ambulance) or where defibrillation was performed by a public access defibrillator (PAD) and who have a return to spontaneous circulation (palpable pulse) on arrival at hospital.</w:t>
            </w:r>
          </w:p>
          <w:p w14:paraId="63534E19" w14:textId="45F5474F" w:rsidR="00121D23" w:rsidRPr="00315936" w:rsidRDefault="00B06F08" w:rsidP="00F4516D">
            <w:pPr>
              <w:pStyle w:val="Tabletext"/>
              <w:rPr>
                <w:lang w:eastAsia="en-AU"/>
              </w:rPr>
            </w:pPr>
            <w:r w:rsidRPr="00315936">
              <w:t>Cardiac arrest survival is strongly impacted by Emergency Medical Services (EMS) response times, clinical interventions, and treatments.</w:t>
            </w:r>
          </w:p>
        </w:tc>
      </w:tr>
      <w:tr w:rsidR="00121D23" w:rsidRPr="00315936" w14:paraId="4E0CAC4D"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7B6EF09" w14:textId="77777777" w:rsidR="00121D23" w:rsidRPr="00315936" w:rsidRDefault="00121D23">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591EE50C" w14:textId="0E14E558" w:rsidR="00F4516D" w:rsidRDefault="00F4516D">
            <w:pPr>
              <w:pStyle w:val="Tabletext"/>
            </w:pPr>
            <w:r w:rsidRPr="00315936">
              <w:t xml:space="preserve">Data are collected and reported according to the internationally recognised </w:t>
            </w:r>
            <w:proofErr w:type="spellStart"/>
            <w:r w:rsidRPr="00315936">
              <w:t>Utstein</w:t>
            </w:r>
            <w:proofErr w:type="spellEnd"/>
            <w:r w:rsidRPr="00315936">
              <w:t xml:space="preserve"> template and definitions.</w:t>
            </w:r>
          </w:p>
          <w:p w14:paraId="5FFCEF41" w14:textId="03B51E34" w:rsidR="00121D23" w:rsidRPr="00315936" w:rsidRDefault="00576A0C">
            <w:pPr>
              <w:pStyle w:val="Tabletext"/>
            </w:pPr>
            <w:r>
              <w:t>I</w:t>
            </w:r>
            <w:r w:rsidR="00504A1B">
              <w:t>ncludes</w:t>
            </w:r>
            <w:r w:rsidR="00121D23">
              <w:t xml:space="preserve"> adult patients </w:t>
            </w:r>
            <w:r w:rsidR="00504A1B">
              <w:t xml:space="preserve">(15 years or older) </w:t>
            </w:r>
            <w:r w:rsidR="00121D23">
              <w:t xml:space="preserve">who are in </w:t>
            </w:r>
            <w:r w:rsidR="00504A1B">
              <w:t>ventricular fibrillation or pulseless ventricular tachycardia (</w:t>
            </w:r>
            <w:r w:rsidR="00121D23">
              <w:t>VF/VT</w:t>
            </w:r>
            <w:r w:rsidR="00504A1B">
              <w:t>)</w:t>
            </w:r>
            <w:r w:rsidR="00121D23">
              <w:t xml:space="preserve"> on EMS arrival for whom resuscitation is commenced </w:t>
            </w:r>
            <w:r w:rsidR="00504A1B">
              <w:t xml:space="preserve">(minimum is cardiopulmonary resuscitation) </w:t>
            </w:r>
            <w:r w:rsidR="00121D23">
              <w:t>by EMS</w:t>
            </w:r>
            <w:r w:rsidR="00607A8F">
              <w:t xml:space="preserve"> </w:t>
            </w:r>
            <w:r w:rsidR="00121D23">
              <w:t>or patients defibrillated by PAD.</w:t>
            </w:r>
          </w:p>
          <w:p w14:paraId="0573794B" w14:textId="18A070AD" w:rsidR="00121D23" w:rsidRPr="00315936" w:rsidRDefault="00C527C3">
            <w:pPr>
              <w:pStyle w:val="Tabletext"/>
            </w:pPr>
            <w:r>
              <w:t>Excludes c</w:t>
            </w:r>
            <w:r w:rsidR="00121D23" w:rsidRPr="00315936">
              <w:t>ardiac arrests witnessed by EMS and patients where vital signs at hospital are unknown</w:t>
            </w:r>
            <w:r>
              <w:t>.</w:t>
            </w:r>
          </w:p>
          <w:p w14:paraId="3A00DC35" w14:textId="4104E3C4" w:rsidR="00121D23" w:rsidRPr="00315936" w:rsidRDefault="00121D23">
            <w:pPr>
              <w:pStyle w:val="Tabletext"/>
              <w:rPr>
                <w:lang w:eastAsia="en-AU"/>
              </w:rPr>
            </w:pPr>
            <w:r w:rsidRPr="00315936">
              <w:t xml:space="preserve">This </w:t>
            </w:r>
            <w:r w:rsidR="00C3016B" w:rsidRPr="00315936">
              <w:t>measure</w:t>
            </w:r>
            <w:r w:rsidRPr="00315936">
              <w:t xml:space="preserve"> is expressed as a percentage to one decimal place.</w:t>
            </w:r>
          </w:p>
        </w:tc>
      </w:tr>
      <w:tr w:rsidR="00121D23" w:rsidRPr="00315936" w14:paraId="795271DE"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73AF803" w14:textId="77777777" w:rsidR="00121D23" w:rsidRPr="00315936" w:rsidRDefault="00121D23">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0C497677" w14:textId="77777777" w:rsidR="00121D23" w:rsidRPr="00315936" w:rsidRDefault="00121D23">
            <w:pPr>
              <w:pStyle w:val="Tabletext"/>
              <w:rPr>
                <w:lang w:eastAsia="en-AU"/>
              </w:rPr>
            </w:pPr>
            <w:r w:rsidRPr="00315936">
              <w:t xml:space="preserve">The number of adult VF/VT cardiac arrest patients with a palpable pulse on arrival at hospital </w:t>
            </w:r>
          </w:p>
        </w:tc>
      </w:tr>
      <w:tr w:rsidR="00121D23" w:rsidRPr="00315936" w14:paraId="23A3334C"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AE74C27" w14:textId="77777777" w:rsidR="00121D23" w:rsidRPr="00315936" w:rsidRDefault="00121D23">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466173C5" w14:textId="26C700F7" w:rsidR="00121D23" w:rsidRPr="00315936" w:rsidRDefault="00121D23">
            <w:pPr>
              <w:pStyle w:val="Tabletext"/>
              <w:rPr>
                <w:lang w:eastAsia="en-AU"/>
              </w:rPr>
            </w:pPr>
            <w:r w:rsidRPr="00315936">
              <w:t xml:space="preserve">The total number of </w:t>
            </w:r>
            <w:r w:rsidR="008023A1">
              <w:t xml:space="preserve">in-scope </w:t>
            </w:r>
            <w:r w:rsidRPr="00315936">
              <w:t xml:space="preserve">adult VF/VT cardiac arrest patients </w:t>
            </w:r>
          </w:p>
        </w:tc>
      </w:tr>
      <w:tr w:rsidR="00121D23" w:rsidRPr="00315936" w14:paraId="3D5C1E82"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6F39F35" w14:textId="77777777" w:rsidR="00121D23" w:rsidRPr="00315936" w:rsidRDefault="00121D23">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0B2FA1BA" w14:textId="50378A4B" w:rsidR="00121D23" w:rsidRPr="00315936" w:rsidRDefault="00121D23">
            <w:pPr>
              <w:pStyle w:val="Tabletext"/>
              <w:rPr>
                <w:lang w:eastAsia="en-AU"/>
              </w:rPr>
            </w:pPr>
            <w:r w:rsidRPr="00315936">
              <w:t>50</w:t>
            </w:r>
            <w:r w:rsidR="00A67D0D" w:rsidRPr="00315936">
              <w:t xml:space="preserve"> per cent</w:t>
            </w:r>
          </w:p>
        </w:tc>
      </w:tr>
      <w:tr w:rsidR="00121D23" w:rsidRPr="00315936" w14:paraId="60DB92D4"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A06AB74" w14:textId="784E06EB" w:rsidR="00121D23" w:rsidRPr="00315936" w:rsidRDefault="00121D23">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0CEC5091" w14:textId="65B8B6F0" w:rsidR="00121D23" w:rsidRPr="00315936" w:rsidRDefault="00A31FE6">
            <w:pPr>
              <w:pStyle w:val="Tabletext"/>
            </w:pPr>
            <w:r>
              <w:t>G</w:t>
            </w:r>
            <w:r w:rsidR="00121D23" w:rsidRPr="00315936">
              <w:t>reater than</w:t>
            </w:r>
            <w:r>
              <w:t xml:space="preserve"> or equal</w:t>
            </w:r>
            <w:r w:rsidR="00121D23" w:rsidRPr="00315936">
              <w:t xml:space="preserve"> 50</w:t>
            </w:r>
            <w:r w:rsidR="00A67D0D" w:rsidRPr="00315936">
              <w:t xml:space="preserve"> per cent</w:t>
            </w:r>
          </w:p>
        </w:tc>
      </w:tr>
      <w:tr w:rsidR="00121D23" w:rsidRPr="00315936" w14:paraId="1170A254"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29CCC25" w14:textId="0A71CB05" w:rsidR="00121D23" w:rsidRPr="00315936" w:rsidRDefault="00121D23">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34508E52" w14:textId="4A8FCD61" w:rsidR="00121D23" w:rsidRPr="00315936" w:rsidRDefault="00121D23">
            <w:pPr>
              <w:pStyle w:val="Tabletext"/>
            </w:pPr>
            <w:r w:rsidRPr="00315936">
              <w:t>Less than 50</w:t>
            </w:r>
            <w:r w:rsidR="00A67D0D" w:rsidRPr="00315936">
              <w:t xml:space="preserve"> per cent</w:t>
            </w:r>
          </w:p>
        </w:tc>
      </w:tr>
      <w:tr w:rsidR="00121D23" w:rsidRPr="00315936" w14:paraId="655BD75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BD2724A" w14:textId="77777777" w:rsidR="00121D23" w:rsidRPr="00315936" w:rsidRDefault="00121D23">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13775DF2" w14:textId="3FB9BEC1" w:rsidR="00121D23" w:rsidRPr="00315936" w:rsidRDefault="005620CE">
            <w:pPr>
              <w:pStyle w:val="Tabletext"/>
              <w:rPr>
                <w:lang w:eastAsia="en-AU"/>
              </w:rPr>
            </w:pPr>
            <w:proofErr w:type="gramStart"/>
            <w:r>
              <w:rPr>
                <w:rFonts w:eastAsia="MS Gothic" w:cs="Arial"/>
                <w:szCs w:val="21"/>
              </w:rPr>
              <w:t>For the purpose of</w:t>
            </w:r>
            <w:proofErr w:type="gramEnd"/>
            <w:r>
              <w:rPr>
                <w:rFonts w:eastAsia="MS Gothic" w:cs="Arial"/>
                <w:szCs w:val="21"/>
              </w:rPr>
              <w:t xml:space="preserve"> the performance risk assessment, i</w:t>
            </w:r>
            <w:r w:rsidRPr="00315936">
              <w:rPr>
                <w:rFonts w:eastAsia="MS Gothic" w:cs="Arial"/>
                <w:szCs w:val="21"/>
              </w:rPr>
              <w:t>mprovement</w:t>
            </w:r>
            <w:r w:rsidRPr="00315936">
              <w:rPr>
                <w:rFonts w:eastAsia="MS Gothic"/>
              </w:rPr>
              <w:t xml:space="preserve"> is compared to previous quarter performance.</w:t>
            </w:r>
            <w:r w:rsidRPr="00315936">
              <w:rPr>
                <w:rStyle w:val="eop"/>
                <w:rFonts w:eastAsia="MS Mincho" w:cs="Arial"/>
                <w:szCs w:val="21"/>
              </w:rPr>
              <w:t> </w:t>
            </w:r>
          </w:p>
        </w:tc>
      </w:tr>
      <w:tr w:rsidR="00121D23" w:rsidRPr="00315936" w14:paraId="55660B66"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0F60266E" w14:textId="77777777" w:rsidR="00121D23" w:rsidRPr="00315936" w:rsidRDefault="00121D23">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76AF01EE" w14:textId="66F640D5" w:rsidR="00121D23" w:rsidRPr="00315936" w:rsidRDefault="00121D23">
            <w:pPr>
              <w:pStyle w:val="Tabletext"/>
            </w:pPr>
            <w:r w:rsidRPr="00315936">
              <w:t>Performance is</w:t>
            </w:r>
            <w:r w:rsidR="007823B2" w:rsidRPr="00315936">
              <w:t xml:space="preserve"> </w:t>
            </w:r>
            <w:r w:rsidR="00EC271E" w:rsidRPr="00315936">
              <w:t>reported</w:t>
            </w:r>
            <w:r w:rsidRPr="00315936">
              <w:t xml:space="preserve"> quarterly </w:t>
            </w:r>
            <w:r w:rsidR="00DA0D62" w:rsidRPr="00315936">
              <w:t>(</w:t>
            </w:r>
            <w:r w:rsidRPr="00315936">
              <w:t>using 12-month rolling percentages due to small sample sizes</w:t>
            </w:r>
            <w:r w:rsidR="00DA0D62" w:rsidRPr="00315936">
              <w:t>) at the statewide level</w:t>
            </w:r>
            <w:r w:rsidR="005B0ACE">
              <w:t>.</w:t>
            </w:r>
          </w:p>
          <w:p w14:paraId="32E9FB9A" w14:textId="65976DDD" w:rsidR="00121D23" w:rsidRPr="00315936" w:rsidRDefault="00121D23">
            <w:pPr>
              <w:pStyle w:val="Tabletext"/>
              <w:rPr>
                <w:lang w:eastAsia="en-AU"/>
              </w:rPr>
            </w:pPr>
            <w:r w:rsidRPr="00315936">
              <w:t xml:space="preserve">Data are </w:t>
            </w:r>
            <w:r w:rsidR="007823B2" w:rsidRPr="00315936">
              <w:t xml:space="preserve">sourced </w:t>
            </w:r>
            <w:r w:rsidRPr="00315936">
              <w:t>from Ambulance Victoria</w:t>
            </w:r>
            <w:r w:rsidR="003E43B1">
              <w:t>.</w:t>
            </w:r>
          </w:p>
        </w:tc>
      </w:tr>
    </w:tbl>
    <w:p w14:paraId="7BE13426" w14:textId="729A8D61" w:rsidR="00FB02CA" w:rsidRPr="00315936" w:rsidRDefault="00A5693F" w:rsidP="008E7F78">
      <w:pPr>
        <w:pStyle w:val="Heading4"/>
      </w:pPr>
      <w:bookmarkStart w:id="82" w:name="_Toc1546369743"/>
      <w:r w:rsidRPr="00315936">
        <w:t>Percentage of adult cardiac arrest patients surviving to hospital discharge</w:t>
      </w:r>
      <w:bookmarkEnd w:id="82"/>
    </w:p>
    <w:tbl>
      <w:tblPr>
        <w:tblStyle w:val="TableGrid"/>
        <w:tblW w:w="10340" w:type="dxa"/>
        <w:tblLook w:val="04A0" w:firstRow="1" w:lastRow="0" w:firstColumn="1" w:lastColumn="0" w:noHBand="0" w:noVBand="1"/>
      </w:tblPr>
      <w:tblGrid>
        <w:gridCol w:w="1837"/>
        <w:gridCol w:w="8503"/>
      </w:tblGrid>
      <w:tr w:rsidR="003914B2" w:rsidRPr="00315936" w14:paraId="46A5441F"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39EBF8E8" w14:textId="426DF17F" w:rsidR="003914B2"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2CB8BFDD" w14:textId="068F57DC" w:rsidR="003914B2" w:rsidRPr="00315936" w:rsidRDefault="003914B2">
            <w:pPr>
              <w:pStyle w:val="Tabletext"/>
            </w:pPr>
            <w:r w:rsidRPr="00315936">
              <w:t>Percentage of adult cardiac arrest patients surviving to hospital discharge</w:t>
            </w:r>
            <w:r w:rsidR="00876388">
              <w:t xml:space="preserve"> </w:t>
            </w:r>
            <w:r w:rsidR="00A55D39">
              <w:fldChar w:fldCharType="begin"/>
            </w:r>
            <w:r w:rsidR="00A55D39">
              <w:instrText xml:space="preserve"> NOTEREF _Ref201303719 \f \h </w:instrText>
            </w:r>
            <w:r w:rsidR="00A55D39">
              <w:fldChar w:fldCharType="separate"/>
            </w:r>
            <w:r w:rsidR="00A55D39" w:rsidRPr="005A4BFE">
              <w:rPr>
                <w:rStyle w:val="EndnoteReference"/>
              </w:rPr>
              <w:t>ix</w:t>
            </w:r>
            <w:r w:rsidR="00A55D39">
              <w:fldChar w:fldCharType="end"/>
            </w:r>
          </w:p>
        </w:tc>
      </w:tr>
      <w:tr w:rsidR="003914B2" w:rsidRPr="00315936" w14:paraId="707A955A" w14:textId="77777777" w:rsidTr="008E1561">
        <w:trPr>
          <w:trHeight w:val="300"/>
        </w:trPr>
        <w:tc>
          <w:tcPr>
            <w:tcW w:w="1837" w:type="dxa"/>
            <w:tcBorders>
              <w:top w:val="single" w:sz="6" w:space="0" w:color="FFFFFF" w:themeColor="background1"/>
              <w:left w:val="single" w:sz="6" w:space="0" w:color="auto"/>
              <w:bottom w:val="single" w:sz="4" w:space="0" w:color="FFFFFF" w:themeColor="background1"/>
              <w:right w:val="single" w:sz="6" w:space="0" w:color="000000" w:themeColor="text1"/>
            </w:tcBorders>
            <w:shd w:val="clear" w:color="auto" w:fill="000066"/>
          </w:tcPr>
          <w:p w14:paraId="4D333400" w14:textId="77777777" w:rsidR="003914B2" w:rsidRPr="00315936" w:rsidRDefault="003914B2">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337F333F" w14:textId="41D73554" w:rsidR="005F519A" w:rsidRDefault="005F519A">
            <w:pPr>
              <w:pStyle w:val="Tabletext"/>
            </w:pPr>
            <w:r>
              <w:t>This measures the percentage of ventricular fibrillation or pulseless ventricular tachycardia (VF/VT)</w:t>
            </w:r>
            <w:r w:rsidR="00C36D9F">
              <w:t xml:space="preserve"> patients on EMS arrival </w:t>
            </w:r>
            <w:r w:rsidR="004160C4">
              <w:t xml:space="preserve">for whom resuscitation is commenced (minimum is cardiopulmonary resuscitation) by EMS or defibrillated by </w:t>
            </w:r>
            <w:r w:rsidR="004A3820">
              <w:t xml:space="preserve">a </w:t>
            </w:r>
            <w:r w:rsidR="004160C4">
              <w:t>P</w:t>
            </w:r>
            <w:r w:rsidR="00FE5699">
              <w:t xml:space="preserve">ublic </w:t>
            </w:r>
            <w:r w:rsidR="004160C4">
              <w:t>A</w:t>
            </w:r>
            <w:r w:rsidR="00FE5699">
              <w:t xml:space="preserve">ccess </w:t>
            </w:r>
            <w:r w:rsidR="004160C4">
              <w:t>D</w:t>
            </w:r>
            <w:r w:rsidR="00FE5699">
              <w:t>efibrillator (</w:t>
            </w:r>
            <w:r w:rsidR="004160C4">
              <w:t>PAD</w:t>
            </w:r>
            <w:r w:rsidR="00FE5699">
              <w:t>)</w:t>
            </w:r>
            <w:r w:rsidR="008A7AE3">
              <w:t xml:space="preserve"> who were discharged alive from hospital.</w:t>
            </w:r>
          </w:p>
          <w:p w14:paraId="561B4D8A" w14:textId="67E15FA7" w:rsidR="003914B2" w:rsidRPr="00315936" w:rsidRDefault="003914B2">
            <w:pPr>
              <w:pStyle w:val="Tabletext"/>
              <w:rPr>
                <w:lang w:eastAsia="en-AU"/>
              </w:rPr>
            </w:pPr>
            <w:r w:rsidRPr="00315936">
              <w:t>Cardiac arrest survival is strongly impacted by EMS response times, clinical interventions, and treatments.</w:t>
            </w:r>
          </w:p>
        </w:tc>
      </w:tr>
      <w:tr w:rsidR="003914B2" w:rsidRPr="00315936" w14:paraId="4AF9EE7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9C07EF4" w14:textId="77777777" w:rsidR="003914B2" w:rsidRPr="00315936" w:rsidRDefault="003914B2">
            <w:pPr>
              <w:pStyle w:val="Tablecolhead"/>
              <w:rPr>
                <w:b w:val="0"/>
                <w:lang w:eastAsia="en-AU"/>
              </w:rPr>
            </w:pPr>
            <w:r w:rsidRPr="00315936">
              <w:rPr>
                <w:b w:val="0"/>
                <w:lang w:eastAsia="en-AU"/>
              </w:rPr>
              <w:t>Calculating performance</w:t>
            </w:r>
          </w:p>
        </w:tc>
        <w:tc>
          <w:tcPr>
            <w:tcW w:w="8503" w:type="dxa"/>
            <w:tcBorders>
              <w:left w:val="single" w:sz="4" w:space="0" w:color="FFFFFF" w:themeColor="background1"/>
            </w:tcBorders>
            <w:vAlign w:val="center"/>
          </w:tcPr>
          <w:p w14:paraId="1639DE63" w14:textId="77777777" w:rsidR="00FE5699" w:rsidRDefault="00FE5699" w:rsidP="00FE5699">
            <w:pPr>
              <w:pStyle w:val="Tabletext"/>
            </w:pPr>
            <w:r w:rsidRPr="00315936">
              <w:t xml:space="preserve">Data are collected and reported according to the internationally recognised </w:t>
            </w:r>
            <w:proofErr w:type="spellStart"/>
            <w:r w:rsidRPr="00315936">
              <w:t>Utstein</w:t>
            </w:r>
            <w:proofErr w:type="spellEnd"/>
            <w:r w:rsidRPr="00315936">
              <w:t xml:space="preserve"> template and definitions.</w:t>
            </w:r>
          </w:p>
          <w:p w14:paraId="083A81BC" w14:textId="772B5664" w:rsidR="00B936F8" w:rsidRPr="00315936" w:rsidRDefault="00230607" w:rsidP="00767D27">
            <w:pPr>
              <w:pStyle w:val="Tabletext"/>
            </w:pPr>
            <w:r>
              <w:t>The sco</w:t>
            </w:r>
            <w:r w:rsidR="00A31349">
              <w:t>pe of t</w:t>
            </w:r>
            <w:r w:rsidR="00B936F8">
              <w:t xml:space="preserve">his measure includes adult patients (15 years or older) who are in ventricular fibrillation or pulseless ventricular tachycardia (VF/VT) on EMS arrival </w:t>
            </w:r>
            <w:r w:rsidR="00B17881">
              <w:t>as described above</w:t>
            </w:r>
            <w:r w:rsidR="00B936F8">
              <w:t>.</w:t>
            </w:r>
          </w:p>
          <w:p w14:paraId="37AA3F5C" w14:textId="53F11C75" w:rsidR="003914B2" w:rsidRPr="00315936" w:rsidRDefault="001579A2">
            <w:pPr>
              <w:pStyle w:val="Tabletext"/>
            </w:pPr>
            <w:r>
              <w:t>Excludes c</w:t>
            </w:r>
            <w:r w:rsidR="003914B2">
              <w:t>ardiac arrests witnessed by EMS and patients where discharge status is unknown.</w:t>
            </w:r>
          </w:p>
          <w:p w14:paraId="194D7122" w14:textId="1B4132F8" w:rsidR="003914B2" w:rsidRPr="00315936" w:rsidRDefault="003914B2">
            <w:pPr>
              <w:pStyle w:val="Tabletext"/>
              <w:rPr>
                <w:lang w:eastAsia="en-AU"/>
              </w:rPr>
            </w:pPr>
            <w:r w:rsidRPr="00315936">
              <w:t xml:space="preserve">This </w:t>
            </w:r>
            <w:r w:rsidR="00C3016B" w:rsidRPr="00315936">
              <w:t>measure</w:t>
            </w:r>
            <w:r w:rsidRPr="00315936">
              <w:t xml:space="preserve"> is expressed as a percentage to one decimal place.</w:t>
            </w:r>
          </w:p>
        </w:tc>
      </w:tr>
      <w:tr w:rsidR="003914B2" w:rsidRPr="00315936" w14:paraId="5E56A27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13EC94F" w14:textId="77777777" w:rsidR="003914B2" w:rsidRPr="00315936" w:rsidRDefault="003914B2">
            <w:pPr>
              <w:pStyle w:val="Tablecolhead"/>
              <w:rPr>
                <w:b w:val="0"/>
                <w:lang w:eastAsia="en-AU"/>
              </w:rPr>
            </w:pPr>
            <w:r w:rsidRPr="00315936">
              <w:rPr>
                <w:b w:val="0"/>
                <w:lang w:eastAsia="en-AU"/>
              </w:rPr>
              <w:t>Numerator</w:t>
            </w:r>
          </w:p>
        </w:tc>
        <w:tc>
          <w:tcPr>
            <w:tcW w:w="8503" w:type="dxa"/>
            <w:tcBorders>
              <w:left w:val="single" w:sz="4" w:space="0" w:color="FFFFFF" w:themeColor="background1"/>
            </w:tcBorders>
          </w:tcPr>
          <w:p w14:paraId="10BDD9BB" w14:textId="77777777" w:rsidR="003914B2" w:rsidRPr="00315936" w:rsidRDefault="003914B2">
            <w:pPr>
              <w:pStyle w:val="Tabletext"/>
              <w:rPr>
                <w:lang w:eastAsia="en-AU"/>
              </w:rPr>
            </w:pPr>
            <w:r w:rsidRPr="00315936">
              <w:t>The number of adult VF/VT cardiac arrest patients discharged alive from hospital</w:t>
            </w:r>
          </w:p>
        </w:tc>
      </w:tr>
      <w:tr w:rsidR="003914B2" w:rsidRPr="00315936" w14:paraId="0D8F01F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CA48128" w14:textId="77777777" w:rsidR="003914B2" w:rsidRPr="00315936" w:rsidRDefault="003914B2">
            <w:pPr>
              <w:pStyle w:val="Tablecolhead"/>
              <w:rPr>
                <w:b w:val="0"/>
                <w:lang w:eastAsia="en-AU"/>
              </w:rPr>
            </w:pPr>
            <w:r w:rsidRPr="00315936">
              <w:rPr>
                <w:b w:val="0"/>
                <w:lang w:eastAsia="en-AU"/>
              </w:rPr>
              <w:t>Denominator</w:t>
            </w:r>
          </w:p>
        </w:tc>
        <w:tc>
          <w:tcPr>
            <w:tcW w:w="8503" w:type="dxa"/>
            <w:tcBorders>
              <w:left w:val="single" w:sz="4" w:space="0" w:color="FFFFFF" w:themeColor="background1"/>
            </w:tcBorders>
          </w:tcPr>
          <w:p w14:paraId="0DFBBD04" w14:textId="27D7763C" w:rsidR="003914B2" w:rsidRPr="00315936" w:rsidRDefault="003914B2">
            <w:pPr>
              <w:pStyle w:val="Tabletext"/>
              <w:rPr>
                <w:lang w:eastAsia="en-AU"/>
              </w:rPr>
            </w:pPr>
            <w:r w:rsidRPr="00315936">
              <w:t>The total number of adult VF/VT cardiac arrest patients meeting the criteria</w:t>
            </w:r>
            <w:r w:rsidR="00C12394">
              <w:t xml:space="preserve"> </w:t>
            </w:r>
            <w:r w:rsidR="000E48BD">
              <w:t xml:space="preserve">as </w:t>
            </w:r>
            <w:r w:rsidR="00C12394">
              <w:t xml:space="preserve">described </w:t>
            </w:r>
            <w:r w:rsidR="000E48BD">
              <w:t>above.</w:t>
            </w:r>
          </w:p>
        </w:tc>
      </w:tr>
      <w:tr w:rsidR="003914B2" w:rsidRPr="00315936" w14:paraId="384269E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24C4850" w14:textId="77777777" w:rsidR="003914B2" w:rsidRPr="00315936" w:rsidRDefault="003914B2">
            <w:pPr>
              <w:pStyle w:val="Tablecolhead"/>
              <w:rPr>
                <w:b w:val="0"/>
                <w:lang w:eastAsia="en-AU"/>
              </w:rPr>
            </w:pPr>
            <w:r w:rsidRPr="00315936">
              <w:rPr>
                <w:b w:val="0"/>
                <w:lang w:eastAsia="en-AU"/>
              </w:rPr>
              <w:t>Statewide target</w:t>
            </w:r>
          </w:p>
        </w:tc>
        <w:tc>
          <w:tcPr>
            <w:tcW w:w="8503" w:type="dxa"/>
            <w:tcBorders>
              <w:left w:val="single" w:sz="4" w:space="0" w:color="FFFFFF" w:themeColor="background1"/>
            </w:tcBorders>
          </w:tcPr>
          <w:p w14:paraId="037EF324" w14:textId="3734E58D" w:rsidR="003914B2" w:rsidRPr="00315936" w:rsidRDefault="003914B2">
            <w:pPr>
              <w:pStyle w:val="Tabletext"/>
              <w:rPr>
                <w:lang w:eastAsia="en-AU"/>
              </w:rPr>
            </w:pPr>
            <w:r w:rsidRPr="00315936">
              <w:t>25</w:t>
            </w:r>
            <w:r w:rsidR="00A67D0D" w:rsidRPr="00315936">
              <w:t xml:space="preserve"> per cent</w:t>
            </w:r>
            <w:r w:rsidRPr="00315936">
              <w:t xml:space="preserve"> </w:t>
            </w:r>
          </w:p>
        </w:tc>
      </w:tr>
      <w:tr w:rsidR="003914B2" w:rsidRPr="00315936" w14:paraId="28FBB25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D458FEC" w14:textId="4FD8C55B" w:rsidR="003914B2" w:rsidRPr="00315936" w:rsidRDefault="003914B2">
            <w:pPr>
              <w:pStyle w:val="Tablecolhead"/>
              <w:rPr>
                <w:b w:val="0"/>
                <w:lang w:eastAsia="en-AU"/>
              </w:rPr>
            </w:pPr>
            <w:r w:rsidRPr="00315936">
              <w:rPr>
                <w:b w:val="0"/>
                <w:lang w:eastAsia="en-AU"/>
              </w:rPr>
              <w:t>Achieved</w:t>
            </w:r>
          </w:p>
        </w:tc>
        <w:tc>
          <w:tcPr>
            <w:tcW w:w="8503" w:type="dxa"/>
            <w:tcBorders>
              <w:left w:val="single" w:sz="4" w:space="0" w:color="FFFFFF" w:themeColor="background1"/>
            </w:tcBorders>
          </w:tcPr>
          <w:p w14:paraId="10AF1D17" w14:textId="3F710B42" w:rsidR="003914B2" w:rsidRPr="00315936" w:rsidRDefault="00A31FE6">
            <w:pPr>
              <w:pStyle w:val="Tabletext"/>
            </w:pPr>
            <w:r>
              <w:t>G</w:t>
            </w:r>
            <w:r w:rsidR="003914B2" w:rsidRPr="00315936">
              <w:t>reater than</w:t>
            </w:r>
            <w:r>
              <w:t xml:space="preserve"> or equal to</w:t>
            </w:r>
            <w:r w:rsidR="003914B2" w:rsidRPr="00315936">
              <w:t xml:space="preserve"> 25</w:t>
            </w:r>
            <w:r w:rsidR="00A67D0D" w:rsidRPr="00315936">
              <w:t xml:space="preserve"> per cent</w:t>
            </w:r>
          </w:p>
        </w:tc>
      </w:tr>
      <w:tr w:rsidR="003914B2" w:rsidRPr="00315936" w14:paraId="743FC74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AF60CF9" w14:textId="3C4DF1B7" w:rsidR="003914B2" w:rsidRPr="00315936" w:rsidRDefault="003914B2">
            <w:pPr>
              <w:pStyle w:val="Tablecolhead"/>
              <w:rPr>
                <w:b w:val="0"/>
                <w:lang w:eastAsia="en-AU"/>
              </w:rPr>
            </w:pPr>
            <w:r w:rsidRPr="00315936">
              <w:rPr>
                <w:b w:val="0"/>
                <w:lang w:eastAsia="en-AU"/>
              </w:rPr>
              <w:t>Not achieved</w:t>
            </w:r>
          </w:p>
        </w:tc>
        <w:tc>
          <w:tcPr>
            <w:tcW w:w="8503" w:type="dxa"/>
            <w:tcBorders>
              <w:left w:val="single" w:sz="4" w:space="0" w:color="FFFFFF" w:themeColor="background1"/>
            </w:tcBorders>
          </w:tcPr>
          <w:p w14:paraId="2C5C83FA" w14:textId="431D3A04" w:rsidR="003914B2" w:rsidRPr="00315936" w:rsidRDefault="003914B2">
            <w:pPr>
              <w:pStyle w:val="Tabletext"/>
            </w:pPr>
            <w:r w:rsidRPr="00315936">
              <w:t>Less than 25</w:t>
            </w:r>
            <w:r w:rsidR="00A67D0D" w:rsidRPr="00315936">
              <w:t xml:space="preserve"> per cent</w:t>
            </w:r>
          </w:p>
        </w:tc>
      </w:tr>
      <w:tr w:rsidR="003914B2" w:rsidRPr="00315936" w14:paraId="777262C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DFA5DFD" w14:textId="77777777" w:rsidR="003914B2" w:rsidRPr="00315936" w:rsidRDefault="003914B2">
            <w:pPr>
              <w:pStyle w:val="Tablecolhead"/>
              <w:rPr>
                <w:b w:val="0"/>
                <w:lang w:eastAsia="en-AU"/>
              </w:rPr>
            </w:pPr>
            <w:r w:rsidRPr="00315936">
              <w:rPr>
                <w:b w:val="0"/>
                <w:lang w:eastAsia="en-AU"/>
              </w:rPr>
              <w:t>Improvement</w:t>
            </w:r>
          </w:p>
        </w:tc>
        <w:tc>
          <w:tcPr>
            <w:tcW w:w="8503" w:type="dxa"/>
            <w:tcBorders>
              <w:left w:val="single" w:sz="4" w:space="0" w:color="FFFFFF" w:themeColor="background1"/>
            </w:tcBorders>
          </w:tcPr>
          <w:p w14:paraId="18F483D6" w14:textId="58F1466E" w:rsidR="003914B2" w:rsidRPr="00315936" w:rsidRDefault="00ED583D">
            <w:pPr>
              <w:pStyle w:val="Tabletext"/>
              <w:rPr>
                <w:lang w:eastAsia="en-AU"/>
              </w:rPr>
            </w:pPr>
            <w:proofErr w:type="gramStart"/>
            <w:r>
              <w:rPr>
                <w:rFonts w:eastAsia="MS Gothic" w:cs="Arial"/>
                <w:szCs w:val="21"/>
              </w:rPr>
              <w:t>For the purpose of</w:t>
            </w:r>
            <w:proofErr w:type="gramEnd"/>
            <w:r>
              <w:rPr>
                <w:rFonts w:eastAsia="MS Gothic" w:cs="Arial"/>
                <w:szCs w:val="21"/>
              </w:rPr>
              <w:t xml:space="preserve"> the performance risk assessment, i</w:t>
            </w:r>
            <w:r w:rsidRPr="00315936">
              <w:rPr>
                <w:rFonts w:eastAsia="MS Gothic" w:cs="Arial"/>
                <w:szCs w:val="21"/>
              </w:rPr>
              <w:t>mprovement</w:t>
            </w:r>
            <w:r w:rsidRPr="00315936">
              <w:rPr>
                <w:rFonts w:eastAsia="MS Gothic"/>
              </w:rPr>
              <w:t xml:space="preserve"> is compared to previous quarter performance.</w:t>
            </w:r>
            <w:r w:rsidRPr="00315936">
              <w:rPr>
                <w:rStyle w:val="eop"/>
                <w:rFonts w:eastAsia="MS Mincho" w:cs="Arial"/>
                <w:szCs w:val="21"/>
              </w:rPr>
              <w:t> </w:t>
            </w:r>
          </w:p>
        </w:tc>
      </w:tr>
      <w:tr w:rsidR="003914B2" w:rsidRPr="00315936" w14:paraId="2EA5DC8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A4596A2" w14:textId="77777777" w:rsidR="003914B2" w:rsidRPr="00315936" w:rsidRDefault="003914B2">
            <w:pPr>
              <w:pStyle w:val="Tablecolhead"/>
              <w:rPr>
                <w:b w:val="0"/>
                <w:lang w:eastAsia="en-AU"/>
              </w:rPr>
            </w:pPr>
            <w:r w:rsidRPr="00315936">
              <w:rPr>
                <w:b w:val="0"/>
                <w:lang w:eastAsia="en-AU"/>
              </w:rPr>
              <w:t>Frequency of reporting and data collection</w:t>
            </w:r>
          </w:p>
        </w:tc>
        <w:tc>
          <w:tcPr>
            <w:tcW w:w="8503" w:type="dxa"/>
            <w:tcBorders>
              <w:left w:val="single" w:sz="4" w:space="0" w:color="FFFFFF" w:themeColor="background1"/>
            </w:tcBorders>
          </w:tcPr>
          <w:p w14:paraId="5AB0B35F" w14:textId="759B4E7E" w:rsidR="003914B2" w:rsidRPr="00315936" w:rsidRDefault="003914B2">
            <w:pPr>
              <w:pStyle w:val="Tabletext"/>
            </w:pPr>
            <w:r w:rsidRPr="00315936">
              <w:t xml:space="preserve">Performance is </w:t>
            </w:r>
            <w:r w:rsidR="007823B2" w:rsidRPr="00315936">
              <w:t xml:space="preserve">reported </w:t>
            </w:r>
            <w:r w:rsidRPr="00315936">
              <w:t xml:space="preserve">quarterly </w:t>
            </w:r>
            <w:r w:rsidR="004C3CFD" w:rsidRPr="00315936">
              <w:t>(</w:t>
            </w:r>
            <w:r w:rsidRPr="00315936">
              <w:t>using 12-month rolling percentages</w:t>
            </w:r>
            <w:r w:rsidR="004C3CFD" w:rsidRPr="00315936">
              <w:t>) the statewide level</w:t>
            </w:r>
            <w:r w:rsidR="005B0ACE">
              <w:t>.</w:t>
            </w:r>
          </w:p>
          <w:p w14:paraId="47DE1A5A" w14:textId="1E046ED7" w:rsidR="003914B2" w:rsidRPr="00315936" w:rsidRDefault="003914B2">
            <w:pPr>
              <w:pStyle w:val="Tabletext"/>
              <w:rPr>
                <w:lang w:eastAsia="en-AU"/>
              </w:rPr>
            </w:pPr>
            <w:r w:rsidRPr="00315936">
              <w:t xml:space="preserve">Data are </w:t>
            </w:r>
            <w:r w:rsidR="004C3CFD" w:rsidRPr="00315936">
              <w:t xml:space="preserve">sourced </w:t>
            </w:r>
            <w:r w:rsidRPr="00315936">
              <w:t>from Ambulance Victoria.</w:t>
            </w:r>
          </w:p>
        </w:tc>
      </w:tr>
    </w:tbl>
    <w:p w14:paraId="20E14B42" w14:textId="3DA5721D" w:rsidR="00140581" w:rsidRPr="00315936" w:rsidRDefault="00140581" w:rsidP="00140581">
      <w:pPr>
        <w:pStyle w:val="Heading2"/>
      </w:pPr>
      <w:bookmarkStart w:id="83" w:name="_Toc167781668"/>
      <w:bookmarkStart w:id="84" w:name="_Toc234580074"/>
      <w:r w:rsidRPr="00315936">
        <w:t>Strong governance, leadership and culture</w:t>
      </w:r>
      <w:bookmarkEnd w:id="83"/>
      <w:bookmarkEnd w:id="84"/>
    </w:p>
    <w:p w14:paraId="5FB1B905" w14:textId="70FC24AE" w:rsidR="003914B2" w:rsidRPr="00315936" w:rsidRDefault="00140581" w:rsidP="003914B2">
      <w:pPr>
        <w:pStyle w:val="Heading3"/>
      </w:pPr>
      <w:bookmarkStart w:id="85" w:name="_Toc1947797449"/>
      <w:r w:rsidRPr="00315936">
        <w:t>Organisational culture</w:t>
      </w:r>
      <w:bookmarkEnd w:id="85"/>
    </w:p>
    <w:p w14:paraId="375F596B" w14:textId="33FDDBF9" w:rsidR="00B3621B" w:rsidRPr="00315936" w:rsidRDefault="00B3621B" w:rsidP="008E7F78">
      <w:pPr>
        <w:pStyle w:val="Heading4"/>
      </w:pPr>
      <w:bookmarkStart w:id="86" w:name="_Toc1081861970"/>
      <w:r w:rsidRPr="00DC235B">
        <w:t xml:space="preserve">People </w:t>
      </w:r>
      <w:r w:rsidR="005B0ACE" w:rsidRPr="00DC235B">
        <w:t>M</w:t>
      </w:r>
      <w:r w:rsidRPr="00DC235B">
        <w:t>atter survey – Percentage of staff with an overall positive response to safety culture survey questions</w:t>
      </w:r>
      <w:bookmarkEnd w:id="86"/>
    </w:p>
    <w:tbl>
      <w:tblPr>
        <w:tblStyle w:val="TableGrid"/>
        <w:tblW w:w="10340" w:type="dxa"/>
        <w:tblLook w:val="04A0" w:firstRow="1" w:lastRow="0" w:firstColumn="1" w:lastColumn="0" w:noHBand="0" w:noVBand="1"/>
      </w:tblPr>
      <w:tblGrid>
        <w:gridCol w:w="1837"/>
        <w:gridCol w:w="8503"/>
      </w:tblGrid>
      <w:tr w:rsidR="001B4B67" w:rsidRPr="00315936" w14:paraId="1F8942F5" w14:textId="77777777" w:rsidTr="008E1561">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509281CD" w14:textId="39AC77C3" w:rsidR="001B4B67"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1F8A8126" w14:textId="27AD1220" w:rsidR="001B4B67" w:rsidRPr="00315936" w:rsidRDefault="3159958A">
            <w:pPr>
              <w:pStyle w:val="Tabletext"/>
              <w:rPr>
                <w:vertAlign w:val="superscript"/>
              </w:rPr>
            </w:pPr>
            <w:r w:rsidRPr="00315936">
              <w:t xml:space="preserve">People </w:t>
            </w:r>
            <w:r w:rsidR="005B0ACE">
              <w:t>M</w:t>
            </w:r>
            <w:r w:rsidRPr="00315936">
              <w:t>atter survey – Percentage of staff with an overall positive response to safety culture survey questions</w:t>
            </w:r>
            <w:r w:rsidR="00862D35">
              <w:t xml:space="preserve"> </w:t>
            </w:r>
            <w:r w:rsidR="0093021A">
              <w:fldChar w:fldCharType="begin"/>
            </w:r>
            <w:r w:rsidR="0093021A">
              <w:instrText xml:space="preserve"> NOTEREF _Ref201832379 \f \h </w:instrText>
            </w:r>
            <w:r w:rsidR="0093021A">
              <w:fldChar w:fldCharType="separate"/>
            </w:r>
            <w:proofErr w:type="spellStart"/>
            <w:r w:rsidR="0093021A" w:rsidRPr="0093021A">
              <w:rPr>
                <w:rStyle w:val="EndnoteReference"/>
              </w:rPr>
              <w:t>iv</w:t>
            </w:r>
            <w:r w:rsidR="0093021A">
              <w:fldChar w:fldCharType="end"/>
            </w:r>
            <w:r w:rsidR="0093021A" w:rsidRPr="0093021A">
              <w:rPr>
                <w:vertAlign w:val="superscript"/>
              </w:rPr>
              <w:t>,</w:t>
            </w:r>
            <w:r w:rsidR="0093021A">
              <w:rPr>
                <w:vertAlign w:val="superscript"/>
              </w:rPr>
              <w:fldChar w:fldCharType="begin"/>
            </w:r>
            <w:r w:rsidR="0093021A">
              <w:rPr>
                <w:vertAlign w:val="superscript"/>
              </w:rPr>
              <w:instrText xml:space="preserve"> NOTEREF _Ref201833119 \f \h </w:instrText>
            </w:r>
            <w:r w:rsidR="0093021A">
              <w:rPr>
                <w:vertAlign w:val="superscript"/>
              </w:rPr>
            </w:r>
            <w:r w:rsidR="0093021A">
              <w:rPr>
                <w:vertAlign w:val="superscript"/>
              </w:rPr>
              <w:fldChar w:fldCharType="separate"/>
            </w:r>
            <w:r w:rsidR="0093021A" w:rsidRPr="0093021A">
              <w:rPr>
                <w:rStyle w:val="EndnoteReference"/>
              </w:rPr>
              <w:t>v</w:t>
            </w:r>
            <w:proofErr w:type="spellEnd"/>
            <w:r w:rsidR="0093021A">
              <w:rPr>
                <w:vertAlign w:val="superscript"/>
              </w:rPr>
              <w:fldChar w:fldCharType="end"/>
            </w:r>
            <w:r w:rsidR="005A4BFE" w:rsidRPr="0093021A" w:rsidDel="005A4BFE">
              <w:rPr>
                <w:vertAlign w:val="superscript"/>
              </w:rPr>
              <w:t xml:space="preserve"> </w:t>
            </w:r>
          </w:p>
        </w:tc>
      </w:tr>
      <w:tr w:rsidR="001B4B67" w:rsidRPr="00315936" w14:paraId="6FD06312"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FDA74A9" w14:textId="77777777" w:rsidR="001B4B67" w:rsidRPr="00315936" w:rsidRDefault="001B4B67">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2ABA786C" w14:textId="77777777" w:rsidR="001B4B67" w:rsidRPr="00315936" w:rsidRDefault="001B4B67">
            <w:pPr>
              <w:pStyle w:val="Tabletext"/>
            </w:pPr>
            <w:r w:rsidRPr="00315936">
              <w:t>Organisational culture can significantly influence patient safety through its impact on effective communication, collaboration, and engagement across the health service. Poor safety cultures have been identified internationally as recurring features of serious failings in care.</w:t>
            </w:r>
          </w:p>
          <w:p w14:paraId="4EAA98FB" w14:textId="77777777" w:rsidR="001B4B67" w:rsidRPr="00315936" w:rsidRDefault="001B4B67">
            <w:pPr>
              <w:pStyle w:val="Tabletext"/>
            </w:pPr>
            <w:r w:rsidRPr="00315936">
              <w:t>Organisational culture surveys (such as the People Matter survey) offer an independent mechanism of assessing staff’s anonymous perception of safety within the organisation.</w:t>
            </w:r>
          </w:p>
          <w:p w14:paraId="53B6F6B2" w14:textId="5F5A8B6D" w:rsidR="00872745" w:rsidRPr="00872745" w:rsidRDefault="001B4B67" w:rsidP="00872745">
            <w:pPr>
              <w:pStyle w:val="Tabletext"/>
            </w:pPr>
            <w:r w:rsidRPr="00315936">
              <w:t>All Victorian public healthcare organisations must participate in the People Matter survey annually</w:t>
            </w:r>
            <w:r w:rsidR="005000BE">
              <w:t>.</w:t>
            </w:r>
            <w:r w:rsidR="00EF314D">
              <w:rPr>
                <w:rStyle w:val="EndnoteReference"/>
              </w:rPr>
              <w:endnoteReference w:id="11"/>
            </w:r>
            <w:r w:rsidR="00FB5602">
              <w:t xml:space="preserve"> </w:t>
            </w:r>
            <w:r w:rsidR="004B0CF4">
              <w:t xml:space="preserve">In 2026, </w:t>
            </w:r>
            <w:r w:rsidR="00872745">
              <w:t>some questions and response</w:t>
            </w:r>
            <w:r w:rsidR="00EB15C1">
              <w:t xml:space="preserve"> options</w:t>
            </w:r>
            <w:r w:rsidR="00872745">
              <w:t xml:space="preserve"> in </w:t>
            </w:r>
            <w:r w:rsidR="00656306">
              <w:t>the People Matter survey</w:t>
            </w:r>
            <w:r w:rsidR="00872745">
              <w:t xml:space="preserve"> </w:t>
            </w:r>
            <w:r w:rsidR="00927DB3">
              <w:t xml:space="preserve">were </w:t>
            </w:r>
            <w:r w:rsidR="00C63CFF">
              <w:t>revised</w:t>
            </w:r>
            <w:r w:rsidR="00872745" w:rsidRPr="00872745">
              <w:t xml:space="preserve">. </w:t>
            </w:r>
          </w:p>
          <w:p w14:paraId="01BBB58C" w14:textId="2D22DB5D" w:rsidR="001B4B67" w:rsidRPr="00315936" w:rsidRDefault="00656306">
            <w:pPr>
              <w:pStyle w:val="Tabletext"/>
            </w:pPr>
            <w:r>
              <w:t xml:space="preserve"> </w:t>
            </w:r>
            <w:r w:rsidR="00FB5602" w:rsidRPr="00315936">
              <w:t>Health services receive a report on their results and are also benchmarked against other like healthcare organisations.</w:t>
            </w:r>
          </w:p>
          <w:p w14:paraId="19305F9A" w14:textId="77777777" w:rsidR="001B4B67" w:rsidRPr="00315936" w:rsidRDefault="001B4B67">
            <w:pPr>
              <w:pStyle w:val="Tabletext"/>
              <w:rPr>
                <w:lang w:eastAsia="en-AU"/>
              </w:rPr>
            </w:pPr>
            <w:r w:rsidRPr="00315936">
              <w:t>While staff participation in the survey is voluntary, low participation rates can generate misleading results or signal staff engagement concerns.</w:t>
            </w:r>
          </w:p>
        </w:tc>
      </w:tr>
      <w:tr w:rsidR="001B4B67" w:rsidRPr="00315936" w14:paraId="5E270DE5"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875AF5D" w14:textId="77777777" w:rsidR="001B4B67" w:rsidRPr="00315936" w:rsidRDefault="001B4B67">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73B41412" w14:textId="56C0F52B" w:rsidR="00310C8B" w:rsidRPr="00315936" w:rsidRDefault="00851176">
            <w:pPr>
              <w:pStyle w:val="Tabletext"/>
            </w:pPr>
            <w:r>
              <w:t>This measure</w:t>
            </w:r>
            <w:r w:rsidR="00505CB3">
              <w:t>s</w:t>
            </w:r>
            <w:r>
              <w:t xml:space="preserve"> the proportion of</w:t>
            </w:r>
            <w:r w:rsidR="00CD57C0">
              <w:t xml:space="preserve"> positive</w:t>
            </w:r>
            <w:r>
              <w:t xml:space="preserve"> </w:t>
            </w:r>
            <w:r w:rsidR="00EC37B6">
              <w:t xml:space="preserve">survey </w:t>
            </w:r>
            <w:r>
              <w:t xml:space="preserve">responses (i.e. ‘agree’ or ‘strongly agree’) </w:t>
            </w:r>
            <w:r w:rsidR="00F54775">
              <w:t xml:space="preserve">across the following organisational </w:t>
            </w:r>
            <w:r w:rsidR="00B94506" w:rsidRPr="00315936">
              <w:t>c</w:t>
            </w:r>
            <w:r w:rsidR="00FA6644">
              <w:t>limate</w:t>
            </w:r>
            <w:r w:rsidR="00B94506" w:rsidRPr="00315936">
              <w:t xml:space="preserve"> </w:t>
            </w:r>
            <w:r w:rsidR="00F54775">
              <w:t>questions:</w:t>
            </w:r>
          </w:p>
          <w:p w14:paraId="6224EED0" w14:textId="06F9E40B" w:rsidR="006846CF" w:rsidRDefault="006846CF" w:rsidP="00FA6644">
            <w:pPr>
              <w:pStyle w:val="Tablebullet1"/>
            </w:pPr>
            <w:r>
              <w:t>People I work with encourage me to report patient safety concerns</w:t>
            </w:r>
          </w:p>
          <w:p w14:paraId="171AF834" w14:textId="0FA2A6E8" w:rsidR="006130FC" w:rsidRDefault="006130FC" w:rsidP="00FA6644">
            <w:pPr>
              <w:pStyle w:val="Tablebullet1"/>
            </w:pPr>
            <w:r>
              <w:t>My work area deals with mistakes</w:t>
            </w:r>
            <w:r w:rsidR="009120F5">
              <w:t xml:space="preserve"> in patient care well</w:t>
            </w:r>
          </w:p>
          <w:p w14:paraId="5945C19C" w14:textId="20CD9E1A" w:rsidR="009120F5" w:rsidRDefault="009120F5" w:rsidP="00FA6644">
            <w:pPr>
              <w:pStyle w:val="Tablebullet1"/>
            </w:pPr>
            <w:r>
              <w:t xml:space="preserve">If I spoke </w:t>
            </w:r>
            <w:r w:rsidR="00AB011D">
              <w:t xml:space="preserve">up about patient safety, my direct line manager </w:t>
            </w:r>
            <w:r w:rsidR="00C35AFA">
              <w:t>would act on it</w:t>
            </w:r>
          </w:p>
          <w:p w14:paraId="78BA8784" w14:textId="2BCB3E6B" w:rsidR="00C35AFA" w:rsidRDefault="00C35AFA" w:rsidP="00FA6644">
            <w:pPr>
              <w:pStyle w:val="Tablebullet1"/>
            </w:pPr>
            <w:r>
              <w:t xml:space="preserve">This health service </w:t>
            </w:r>
            <w:r w:rsidR="00FB7E14">
              <w:t>trains new and existing staff well</w:t>
            </w:r>
          </w:p>
          <w:p w14:paraId="2404F34C" w14:textId="438A68EF" w:rsidR="00FB7E14" w:rsidRDefault="00FB7E14" w:rsidP="00FA6644">
            <w:pPr>
              <w:pStyle w:val="Tablebullet1"/>
            </w:pPr>
            <w:r>
              <w:t xml:space="preserve">Trainees in my </w:t>
            </w:r>
            <w:r w:rsidR="002D4D86">
              <w:t>discipline</w:t>
            </w:r>
            <w:r>
              <w:t xml:space="preserve"> are supervised well</w:t>
            </w:r>
          </w:p>
          <w:p w14:paraId="020C1379" w14:textId="41F8811B" w:rsidR="00505CB3" w:rsidRPr="000518EB" w:rsidRDefault="3E07CDC7" w:rsidP="00FA6644">
            <w:pPr>
              <w:pStyle w:val="Tablebullet1"/>
            </w:pPr>
            <w:r>
              <w:t>I would recommend a friend or relative to be treated as a patient here</w:t>
            </w:r>
          </w:p>
          <w:p w14:paraId="30984F4D" w14:textId="4BB1F65C" w:rsidR="001B4B67" w:rsidRPr="00315936" w:rsidRDefault="00AA150A" w:rsidP="00FA6644">
            <w:pPr>
              <w:pStyle w:val="Tablebullet1"/>
              <w:numPr>
                <w:ilvl w:val="0"/>
                <w:numId w:val="0"/>
              </w:numPr>
            </w:pPr>
            <w:r>
              <w:t xml:space="preserve">‘Not relevant to my role’ responses, which were introduced </w:t>
            </w:r>
            <w:r w:rsidR="00A115E4">
              <w:t xml:space="preserve">in the 2026 </w:t>
            </w:r>
            <w:r w:rsidR="00AC5A94">
              <w:t>People Matter S</w:t>
            </w:r>
            <w:r w:rsidR="00A115E4">
              <w:t>urvey</w:t>
            </w:r>
            <w:r w:rsidR="00AC5A94">
              <w:t xml:space="preserve">, </w:t>
            </w:r>
            <w:r w:rsidR="006E16E9">
              <w:t xml:space="preserve">are excluded from the scope </w:t>
            </w:r>
            <w:r w:rsidR="00136358">
              <w:t>(hence the denominator) of this measure.</w:t>
            </w:r>
          </w:p>
        </w:tc>
      </w:tr>
      <w:tr w:rsidR="001B4B67" w:rsidRPr="00315936" w14:paraId="3BB9E589"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B4CEAA0" w14:textId="77777777" w:rsidR="001B4B67" w:rsidRPr="00315936" w:rsidRDefault="001B4B67">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70D1CD32" w14:textId="50DF39C4" w:rsidR="001B4B67" w:rsidRPr="00315936" w:rsidRDefault="7D27E2F3">
            <w:pPr>
              <w:pStyle w:val="Tabletext"/>
              <w:rPr>
                <w:lang w:eastAsia="en-AU"/>
              </w:rPr>
            </w:pPr>
            <w:r>
              <w:t xml:space="preserve">The </w:t>
            </w:r>
            <w:r w:rsidR="7525983F">
              <w:t>number</w:t>
            </w:r>
            <w:r>
              <w:t xml:space="preserve"> of ‘agree’ or ‘strongly agree’ responses </w:t>
            </w:r>
            <w:r w:rsidR="00C30E0B">
              <w:t>to in-scope questions</w:t>
            </w:r>
            <w:r w:rsidR="17923C82">
              <w:t>.</w:t>
            </w:r>
          </w:p>
        </w:tc>
      </w:tr>
      <w:tr w:rsidR="001B4B67" w:rsidRPr="00315936" w14:paraId="71DE5A1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5A781AC" w14:textId="77777777" w:rsidR="001B4B67" w:rsidRPr="00315936" w:rsidRDefault="001B4B67">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66269992" w14:textId="2EFED51D" w:rsidR="001B4B67" w:rsidRPr="00315936" w:rsidRDefault="7D27E2F3">
            <w:pPr>
              <w:pStyle w:val="Tabletext"/>
              <w:rPr>
                <w:lang w:eastAsia="en-AU"/>
              </w:rPr>
            </w:pPr>
            <w:r>
              <w:t xml:space="preserve">The </w:t>
            </w:r>
            <w:r w:rsidR="05330E3F">
              <w:t>number</w:t>
            </w:r>
            <w:r w:rsidR="58F91E8C">
              <w:t xml:space="preserve"> of</w:t>
            </w:r>
            <w:r w:rsidR="022E0DD1">
              <w:t xml:space="preserve"> </w:t>
            </w:r>
            <w:r w:rsidR="0AD6136A">
              <w:t>responses</w:t>
            </w:r>
            <w:r w:rsidR="007E241D">
              <w:t xml:space="preserve"> to in-scope</w:t>
            </w:r>
            <w:r w:rsidR="00C24663">
              <w:t xml:space="preserve"> questions that are any of the following</w:t>
            </w:r>
            <w:proofErr w:type="gramStart"/>
            <w:r w:rsidR="00C24663">
              <w:t>:</w:t>
            </w:r>
            <w:r w:rsidR="004F0F3F">
              <w:t xml:space="preserve"> </w:t>
            </w:r>
            <w:r>
              <w:t xml:space="preserve"> ‘</w:t>
            </w:r>
            <w:proofErr w:type="gramEnd"/>
            <w:r>
              <w:t>agree’, ‘strongly agree’, ‘disagree’</w:t>
            </w:r>
            <w:r w:rsidR="75525091">
              <w:t>,</w:t>
            </w:r>
            <w:r>
              <w:t xml:space="preserve"> ‘strongly disagree’, ‘neither agree nor disagree’</w:t>
            </w:r>
            <w:r w:rsidR="00F9651B">
              <w:t>, ‘don’t know’</w:t>
            </w:r>
            <w:r w:rsidR="14C091E8">
              <w:t>.</w:t>
            </w:r>
          </w:p>
        </w:tc>
      </w:tr>
      <w:tr w:rsidR="001B4B67" w:rsidRPr="00315936" w14:paraId="60EFEE6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A322AD2" w14:textId="77777777" w:rsidR="001B4B67" w:rsidRPr="00315936" w:rsidRDefault="001B4B67">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71A1A2D0" w14:textId="16CE7AD0" w:rsidR="001B4B67" w:rsidRPr="00315936" w:rsidRDefault="001B4B67">
            <w:pPr>
              <w:pStyle w:val="Tabletext"/>
              <w:rPr>
                <w:lang w:eastAsia="en-AU"/>
              </w:rPr>
            </w:pPr>
            <w:r w:rsidRPr="00315936">
              <w:t>80</w:t>
            </w:r>
            <w:r w:rsidR="00A67D0D" w:rsidRPr="00315936">
              <w:t xml:space="preserve"> per cent</w:t>
            </w:r>
          </w:p>
        </w:tc>
      </w:tr>
      <w:tr w:rsidR="001B4B67" w:rsidRPr="00315936" w14:paraId="3B1CE901"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6FBC7B2" w14:textId="73091C95" w:rsidR="001B4B67" w:rsidRPr="00315936" w:rsidRDefault="001B4B67">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5428C510" w14:textId="151F8F65" w:rsidR="001B4B67" w:rsidRPr="00315936" w:rsidRDefault="00A31FE6">
            <w:pPr>
              <w:pStyle w:val="Tabletext"/>
            </w:pPr>
            <w:r>
              <w:t>G</w:t>
            </w:r>
            <w:r w:rsidR="001B4B67" w:rsidRPr="00315936">
              <w:t>reater than</w:t>
            </w:r>
            <w:r>
              <w:t xml:space="preserve"> or equal to</w:t>
            </w:r>
            <w:r w:rsidR="001B4B67" w:rsidRPr="00315936">
              <w:t xml:space="preserve"> 80</w:t>
            </w:r>
            <w:r w:rsidR="00A67D0D" w:rsidRPr="00315936">
              <w:t xml:space="preserve"> per cent</w:t>
            </w:r>
          </w:p>
        </w:tc>
      </w:tr>
      <w:tr w:rsidR="001B4B67" w:rsidRPr="00315936" w14:paraId="7E4698C2"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F239E4F" w14:textId="7CCD7764" w:rsidR="001B4B67" w:rsidRPr="00315936" w:rsidRDefault="001B4B67">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747D1975" w14:textId="3D11B53C" w:rsidR="001B4B67" w:rsidRPr="00315936" w:rsidRDefault="001B4B67">
            <w:pPr>
              <w:pStyle w:val="Tabletext"/>
            </w:pPr>
            <w:r w:rsidRPr="00315936">
              <w:t>Less than 80</w:t>
            </w:r>
            <w:r w:rsidR="00A67D0D" w:rsidRPr="00315936">
              <w:t xml:space="preserve"> per cent</w:t>
            </w:r>
          </w:p>
        </w:tc>
      </w:tr>
      <w:tr w:rsidR="001B4B67" w:rsidRPr="00315936" w14:paraId="1668FE4C"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7CEB729" w14:textId="77777777" w:rsidR="001B4B67" w:rsidRPr="00315936" w:rsidRDefault="001B4B67">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705560A1" w14:textId="46858FFA" w:rsidR="001B4B67" w:rsidRPr="00315936" w:rsidRDefault="00D71AFC">
            <w:pPr>
              <w:pStyle w:val="Tabletext"/>
              <w:rPr>
                <w:lang w:eastAsia="en-AU"/>
              </w:rPr>
            </w:pPr>
            <w:proofErr w:type="gramStart"/>
            <w:r>
              <w:rPr>
                <w:rFonts w:eastAsia="MS Gothic" w:cs="Arial"/>
                <w:szCs w:val="21"/>
              </w:rPr>
              <w:t>For the purpose of</w:t>
            </w:r>
            <w:proofErr w:type="gramEnd"/>
            <w:r>
              <w:rPr>
                <w:rFonts w:eastAsia="MS Gothic" w:cs="Arial"/>
                <w:szCs w:val="21"/>
              </w:rPr>
              <w:t xml:space="preserve"> the performance risk assessment, i</w:t>
            </w:r>
            <w:r w:rsidRPr="00315936">
              <w:rPr>
                <w:rFonts w:eastAsia="MS Gothic" w:cs="Arial"/>
                <w:szCs w:val="21"/>
              </w:rPr>
              <w:t xml:space="preserve">mprovement is compared to previous </w:t>
            </w:r>
            <w:r>
              <w:rPr>
                <w:rFonts w:eastAsia="MS Gothic" w:cs="Arial"/>
                <w:szCs w:val="21"/>
              </w:rPr>
              <w:t>year</w:t>
            </w:r>
            <w:r w:rsidRPr="00315936">
              <w:rPr>
                <w:rFonts w:eastAsia="MS Gothic" w:cs="Arial"/>
                <w:szCs w:val="21"/>
              </w:rPr>
              <w:t xml:space="preserve"> performance.</w:t>
            </w:r>
            <w:r w:rsidRPr="00315936">
              <w:rPr>
                <w:rStyle w:val="eop"/>
                <w:rFonts w:eastAsia="MS Mincho" w:cs="Arial"/>
                <w:szCs w:val="21"/>
              </w:rPr>
              <w:t> </w:t>
            </w:r>
          </w:p>
        </w:tc>
      </w:tr>
      <w:tr w:rsidR="001B4B67" w:rsidRPr="00315936" w14:paraId="6262FD8A"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54F05C2F" w14:textId="77777777" w:rsidR="001B4B67" w:rsidRPr="00315936" w:rsidRDefault="001B4B67">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240D6838" w14:textId="6DE3CC2C" w:rsidR="001B4B67" w:rsidRPr="00315936" w:rsidRDefault="001B4B67">
            <w:pPr>
              <w:pStyle w:val="Tabletext"/>
            </w:pPr>
            <w:r w:rsidRPr="00315936">
              <w:t xml:space="preserve">Performance is </w:t>
            </w:r>
            <w:r w:rsidR="00B52B57" w:rsidRPr="00315936">
              <w:t xml:space="preserve">reported </w:t>
            </w:r>
            <w:r w:rsidRPr="00315936">
              <w:t>annually</w:t>
            </w:r>
            <w:r w:rsidR="002D57F1" w:rsidRPr="00315936">
              <w:t xml:space="preserve"> </w:t>
            </w:r>
            <w:r w:rsidR="00065085">
              <w:t>at</w:t>
            </w:r>
            <w:r w:rsidR="00B52B57" w:rsidRPr="00315936">
              <w:t xml:space="preserve"> </w:t>
            </w:r>
            <w:r w:rsidR="002D57F1" w:rsidRPr="00315936">
              <w:t>the</w:t>
            </w:r>
            <w:r w:rsidR="00B52B57" w:rsidRPr="00315936">
              <w:t xml:space="preserve"> health service level</w:t>
            </w:r>
            <w:r w:rsidR="00A65B2B">
              <w:t xml:space="preserve"> </w:t>
            </w:r>
            <w:r w:rsidR="009758E8">
              <w:t>in</w:t>
            </w:r>
            <w:r w:rsidR="001C6EC9">
              <w:t xml:space="preserve"> </w:t>
            </w:r>
            <w:r w:rsidR="006B7F73">
              <w:t>the quarter</w:t>
            </w:r>
            <w:r w:rsidR="009758E8">
              <w:t>ly report</w:t>
            </w:r>
            <w:r w:rsidR="007F623B">
              <w:t xml:space="preserve">, </w:t>
            </w:r>
            <w:proofErr w:type="gramStart"/>
            <w:r w:rsidR="007F623B">
              <w:t xml:space="preserve">subsequent </w:t>
            </w:r>
            <w:r w:rsidR="006F220B">
              <w:t>to</w:t>
            </w:r>
            <w:proofErr w:type="gramEnd"/>
            <w:r w:rsidR="006F220B">
              <w:t xml:space="preserve"> the release of </w:t>
            </w:r>
            <w:r w:rsidR="005576E9">
              <w:t>PMS results</w:t>
            </w:r>
            <w:r w:rsidR="00983D10">
              <w:t>.</w:t>
            </w:r>
          </w:p>
          <w:p w14:paraId="7A67277E" w14:textId="29ABE5CD" w:rsidR="001B4B67" w:rsidRPr="00315936" w:rsidRDefault="002D57F1" w:rsidP="00FB5602">
            <w:pPr>
              <w:pStyle w:val="Tabletext"/>
              <w:rPr>
                <w:lang w:eastAsia="en-AU"/>
              </w:rPr>
            </w:pPr>
            <w:r w:rsidRPr="00315936">
              <w:t>D</w:t>
            </w:r>
            <w:r w:rsidR="001B4B67" w:rsidRPr="00315936">
              <w:t xml:space="preserve">ata </w:t>
            </w:r>
            <w:r w:rsidRPr="00315936">
              <w:t xml:space="preserve">are sourced from </w:t>
            </w:r>
            <w:r w:rsidR="001B4B67" w:rsidRPr="00315936">
              <w:t>the Victorian Public Sector Commission.</w:t>
            </w:r>
          </w:p>
        </w:tc>
      </w:tr>
    </w:tbl>
    <w:p w14:paraId="6D8C9F5C" w14:textId="62E52722" w:rsidR="00140581" w:rsidRPr="00315936" w:rsidRDefault="00140581" w:rsidP="00140581">
      <w:pPr>
        <w:pStyle w:val="Heading2"/>
      </w:pPr>
      <w:bookmarkStart w:id="87" w:name="_Toc234580075"/>
      <w:r w:rsidRPr="00315936">
        <w:t>Timely access to care</w:t>
      </w:r>
      <w:bookmarkEnd w:id="87"/>
    </w:p>
    <w:p w14:paraId="0BDBCF08" w14:textId="41E59BCC" w:rsidR="00B11BB6" w:rsidRDefault="00140581" w:rsidP="00B11BB6">
      <w:pPr>
        <w:pStyle w:val="Heading3"/>
      </w:pPr>
      <w:bookmarkStart w:id="88" w:name="_Toc1327487664"/>
      <w:r w:rsidRPr="00315936">
        <w:t>Planned surgery</w:t>
      </w:r>
      <w:bookmarkStart w:id="89" w:name="_Toc1280014920"/>
      <w:bookmarkEnd w:id="88"/>
    </w:p>
    <w:p w14:paraId="3A118540" w14:textId="28E00CE3" w:rsidR="003D7E28" w:rsidRDefault="00255992" w:rsidP="003D7E28">
      <w:pPr>
        <w:pStyle w:val="Body"/>
        <w:rPr>
          <w:i/>
          <w:iCs/>
        </w:rPr>
      </w:pPr>
      <w:r>
        <w:t>Planned surgery performanc</w:t>
      </w:r>
      <w:r w:rsidR="003B7137">
        <w:t xml:space="preserve">e data are collected </w:t>
      </w:r>
      <w:r w:rsidR="004A4300">
        <w:t>via the Elective Surgery Information System (ESIS)</w:t>
      </w:r>
      <w:r w:rsidR="00C80BC6">
        <w:t xml:space="preserve"> to </w:t>
      </w:r>
      <w:r w:rsidR="00E14798">
        <w:t>monitor and evaluate the timeliness</w:t>
      </w:r>
      <w:r w:rsidR="00852799">
        <w:t xml:space="preserve">, efficiency and quality of </w:t>
      </w:r>
      <w:r w:rsidR="00D90622">
        <w:t>planned surgery</w:t>
      </w:r>
      <w:r w:rsidR="008D74DA">
        <w:t>, ensuring patients receive care within clinically recommended timeframes</w:t>
      </w:r>
      <w:r w:rsidR="00222FB9">
        <w:t xml:space="preserve">, </w:t>
      </w:r>
      <w:r w:rsidR="008F423F">
        <w:t>support</w:t>
      </w:r>
      <w:r w:rsidR="00222FB9">
        <w:t>ing</w:t>
      </w:r>
      <w:r w:rsidR="008F423F">
        <w:t xml:space="preserve"> </w:t>
      </w:r>
      <w:r w:rsidR="004D739F">
        <w:t>accountability and improvement</w:t>
      </w:r>
      <w:r w:rsidR="00A66433">
        <w:t xml:space="preserve"> in accordance with </w:t>
      </w:r>
      <w:r w:rsidR="00AE7ACF">
        <w:t xml:space="preserve">the </w:t>
      </w:r>
      <w:r w:rsidR="00F32FF7" w:rsidRPr="00862E00">
        <w:rPr>
          <w:i/>
          <w:iCs/>
        </w:rPr>
        <w:t>P</w:t>
      </w:r>
      <w:r w:rsidR="00AE7ACF" w:rsidRPr="00862E00">
        <w:rPr>
          <w:i/>
          <w:iCs/>
        </w:rPr>
        <w:t>lanned surgery access policy</w:t>
      </w:r>
      <w:r w:rsidR="00BA20E0">
        <w:rPr>
          <w:i/>
          <w:iCs/>
        </w:rPr>
        <w:t xml:space="preserve"> 2024</w:t>
      </w:r>
      <w:r w:rsidR="00E365CF" w:rsidRPr="00862E00">
        <w:rPr>
          <w:i/>
          <w:iCs/>
        </w:rPr>
        <w:t>.</w:t>
      </w:r>
      <w:r w:rsidR="00EF314D">
        <w:rPr>
          <w:rStyle w:val="EndnoteReference"/>
          <w:i/>
          <w:iCs/>
        </w:rPr>
        <w:endnoteReference w:id="12"/>
      </w:r>
    </w:p>
    <w:p w14:paraId="6D36A3B5" w14:textId="7D343905" w:rsidR="00AD1703" w:rsidRPr="00FA1FFA" w:rsidRDefault="00AD1703" w:rsidP="00862E00">
      <w:pPr>
        <w:pStyle w:val="Body"/>
      </w:pPr>
      <w:r w:rsidRPr="00862E00">
        <w:t>T</w:t>
      </w:r>
      <w:r w:rsidR="00EC159A" w:rsidRPr="00862E00">
        <w:t xml:space="preserve">he policy </w:t>
      </w:r>
      <w:r w:rsidR="00FA1FFA" w:rsidRPr="00862E00">
        <w:t>sets out the</w:t>
      </w:r>
      <w:r w:rsidR="003E0F33">
        <w:t xml:space="preserve"> department’s expectations </w:t>
      </w:r>
      <w:r w:rsidR="00F617DF">
        <w:t xml:space="preserve">for access to planned surgery </w:t>
      </w:r>
      <w:r w:rsidR="003C54EA">
        <w:t xml:space="preserve">and procedures within Victorian health services. </w:t>
      </w:r>
      <w:r w:rsidR="005D4ACB">
        <w:t xml:space="preserve">All </w:t>
      </w:r>
      <w:r w:rsidR="008D0F0E">
        <w:t xml:space="preserve">Victorian health services are </w:t>
      </w:r>
      <w:r w:rsidR="00091ADA">
        <w:t xml:space="preserve">required to adhere to the policy </w:t>
      </w:r>
      <w:r w:rsidR="00142864">
        <w:t>regardless of their ESIS reporting status</w:t>
      </w:r>
      <w:r w:rsidR="00F12285">
        <w:t>.</w:t>
      </w:r>
      <w:r w:rsidR="00012605">
        <w:rPr>
          <w:rStyle w:val="EndnoteReference"/>
        </w:rPr>
        <w:endnoteReference w:id="13"/>
      </w:r>
    </w:p>
    <w:p w14:paraId="6904910B" w14:textId="456D4423" w:rsidR="00123B11" w:rsidRPr="00315936" w:rsidRDefault="00123B11" w:rsidP="008E7F78">
      <w:pPr>
        <w:pStyle w:val="Heading4"/>
      </w:pPr>
      <w:r w:rsidRPr="00315936">
        <w:t>Percentage of urgency category 1 planned surgery patients admitted within 30 days</w:t>
      </w:r>
      <w:bookmarkEnd w:id="89"/>
    </w:p>
    <w:tbl>
      <w:tblPr>
        <w:tblStyle w:val="TableGrid"/>
        <w:tblW w:w="10340" w:type="dxa"/>
        <w:tblLook w:val="04A0" w:firstRow="1" w:lastRow="0" w:firstColumn="1" w:lastColumn="0" w:noHBand="0" w:noVBand="1"/>
      </w:tblPr>
      <w:tblGrid>
        <w:gridCol w:w="1837"/>
        <w:gridCol w:w="8503"/>
      </w:tblGrid>
      <w:tr w:rsidR="000D2FBE" w:rsidRPr="00315936" w14:paraId="4C8D152E"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70CCE8C9" w14:textId="72D734DD" w:rsidR="000D2FBE"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vAlign w:val="bottom"/>
          </w:tcPr>
          <w:p w14:paraId="000B4CC7" w14:textId="77777777" w:rsidR="000D2FBE" w:rsidRPr="00315936" w:rsidRDefault="000D2FBE">
            <w:pPr>
              <w:pStyle w:val="Tabletext"/>
            </w:pPr>
            <w:r w:rsidRPr="00315936">
              <w:t xml:space="preserve">Percentage of urgency category 1 </w:t>
            </w:r>
            <w:r w:rsidRPr="00315936">
              <w:rPr>
                <w:rFonts w:eastAsia="Times"/>
              </w:rPr>
              <w:t xml:space="preserve">planned </w:t>
            </w:r>
            <w:r w:rsidRPr="00315936">
              <w:t>surgery patients admitted within 30 days</w:t>
            </w:r>
          </w:p>
        </w:tc>
      </w:tr>
      <w:tr w:rsidR="000D2FBE" w:rsidRPr="00315936" w14:paraId="00A652DA"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B7269F7" w14:textId="77777777" w:rsidR="000D2FBE" w:rsidRPr="00315936" w:rsidRDefault="000D2FBE">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4F58118E" w14:textId="399FFB66" w:rsidR="000D2FBE" w:rsidRPr="00315936" w:rsidRDefault="000D2FBE">
            <w:pPr>
              <w:pStyle w:val="Tabletext"/>
            </w:pPr>
            <w:r w:rsidRPr="00315936">
              <w:t xml:space="preserve">Urgency category 1 </w:t>
            </w:r>
            <w:r w:rsidRPr="00315936">
              <w:rPr>
                <w:rFonts w:eastAsia="Times"/>
              </w:rPr>
              <w:t xml:space="preserve">planned </w:t>
            </w:r>
            <w:r w:rsidRPr="00315936">
              <w:t xml:space="preserve">surgery patients are </w:t>
            </w:r>
            <w:r w:rsidR="00F12285">
              <w:t>those</w:t>
            </w:r>
            <w:r w:rsidR="00F12285" w:rsidRPr="00315936">
              <w:t xml:space="preserve"> </w:t>
            </w:r>
            <w:r w:rsidRPr="00315936">
              <w:t>for whom admission within 30 days is desirable for a condition that has the potential to deteriorate quickly to the point that it might become an emergency.</w:t>
            </w:r>
          </w:p>
        </w:tc>
      </w:tr>
      <w:tr w:rsidR="000D2FBE" w:rsidRPr="00315936" w14:paraId="1A5F13E0"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7C515A5" w14:textId="77777777" w:rsidR="000D2FBE" w:rsidRPr="00315936" w:rsidRDefault="000D2FBE">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13BDCE06" w14:textId="77777777" w:rsidR="00401FBD" w:rsidRDefault="00401FBD" w:rsidP="00973E52">
            <w:pPr>
              <w:pStyle w:val="Tablebullet1"/>
              <w:numPr>
                <w:ilvl w:val="0"/>
                <w:numId w:val="0"/>
              </w:numPr>
            </w:pPr>
            <w:r>
              <w:t>This measure is reported at the health service level. Where a health service has multiple campuses, the aggregate for all campuses is used.</w:t>
            </w:r>
          </w:p>
          <w:p w14:paraId="2EDC0102" w14:textId="571C9C5C" w:rsidR="000D2FBE" w:rsidRPr="00315936" w:rsidRDefault="63215E67" w:rsidP="00076BEC">
            <w:pPr>
              <w:pStyle w:val="Tablebullet1"/>
            </w:pPr>
            <w:r w:rsidRPr="00315936">
              <w:t>This measure is assessed using</w:t>
            </w:r>
            <w:r w:rsidR="06B32977" w:rsidRPr="00315936">
              <w:t xml:space="preserve"> records assigned an intended procedure</w:t>
            </w:r>
            <w:bookmarkStart w:id="90" w:name="_Ref169538741"/>
            <w:r w:rsidR="08E3BAE9">
              <w:t xml:space="preserve"> code other than IP401 (</w:t>
            </w:r>
            <w:r w:rsidR="328DF61E" w:rsidRPr="00D65DA3">
              <w:t>Gastroscopy</w:t>
            </w:r>
            <w:r w:rsidR="3879CE2D">
              <w:t>)</w:t>
            </w:r>
            <w:r w:rsidR="786A079D" w:rsidDel="288326A0">
              <w:t xml:space="preserve"> or</w:t>
            </w:r>
            <w:r w:rsidR="08E3BAE9">
              <w:t xml:space="preserve"> IP402 (</w:t>
            </w:r>
            <w:r w:rsidR="328DF61E">
              <w:t>Colonoscopy</w:t>
            </w:r>
            <w:r w:rsidR="4D4067E8">
              <w:t>)</w:t>
            </w:r>
            <w:r w:rsidR="786A079D" w:rsidDel="1275FC2D">
              <w:t>,</w:t>
            </w:r>
            <w:r w:rsidR="786A079D" w:rsidDel="08E3BAE9">
              <w:t>)</w:t>
            </w:r>
            <w:bookmarkStart w:id="91" w:name="_Ref201833425"/>
            <w:r w:rsidR="00A11901">
              <w:rPr>
                <w:rStyle w:val="EndnoteReference"/>
              </w:rPr>
              <w:endnoteReference w:id="14"/>
            </w:r>
            <w:bookmarkEnd w:id="90"/>
            <w:bookmarkEnd w:id="91"/>
            <w:r w:rsidR="76078456">
              <w:t xml:space="preserve"> </w:t>
            </w:r>
            <w:r w:rsidR="06B32977" w:rsidRPr="00315936">
              <w:t>and with a “Readiness Status” code of either:</w:t>
            </w:r>
          </w:p>
          <w:p w14:paraId="491F7332" w14:textId="5734CEC4" w:rsidR="000D2FBE" w:rsidRPr="00315936" w:rsidRDefault="000D2FBE" w:rsidP="009C5829">
            <w:pPr>
              <w:pStyle w:val="Tablebullet1"/>
            </w:pPr>
            <w:r w:rsidRPr="00315936">
              <w:t xml:space="preserve"> ‘R’ ready for surgery</w:t>
            </w:r>
          </w:p>
          <w:p w14:paraId="56930F9B" w14:textId="61FED410" w:rsidR="000D2FBE" w:rsidRPr="00315936" w:rsidRDefault="51AF855D" w:rsidP="009C5829">
            <w:pPr>
              <w:pStyle w:val="Tablebullet1"/>
            </w:pPr>
            <w:r>
              <w:t xml:space="preserve"> ‘V’ ready for </w:t>
            </w:r>
            <w:r w:rsidR="3CEEAFD9">
              <w:t>surgery but</w:t>
            </w:r>
            <w:r>
              <w:t xml:space="preserve"> delayed due to COVID-19 response</w:t>
            </w:r>
            <w:r w:rsidR="4FCC550F">
              <w:t>.</w:t>
            </w:r>
          </w:p>
          <w:p w14:paraId="0E733132" w14:textId="497C436F" w:rsidR="000D2FBE" w:rsidRPr="00315936" w:rsidRDefault="005D497A" w:rsidP="00D82520">
            <w:pPr>
              <w:pStyle w:val="Tablebullet1"/>
              <w:numPr>
                <w:ilvl w:val="0"/>
                <w:numId w:val="0"/>
              </w:numPr>
            </w:pPr>
            <w:r>
              <w:t xml:space="preserve">A patient is counted as being admitted if the </w:t>
            </w:r>
            <w:r w:rsidR="20FA4C8A">
              <w:t>admission</w:t>
            </w:r>
            <w:r w:rsidRPr="00315936">
              <w:t xml:space="preserve"> date falls within the </w:t>
            </w:r>
            <w:r>
              <w:t xml:space="preserve">reporting period and </w:t>
            </w:r>
            <w:r w:rsidRPr="00315936">
              <w:t xml:space="preserve">the reason for removal is any one of the </w:t>
            </w:r>
            <w:r w:rsidR="000D2FBE" w:rsidRPr="00315936" w:rsidDel="005D497A">
              <w:t>following</w:t>
            </w:r>
            <w:r w:rsidR="000D2FBE" w:rsidRPr="00315936">
              <w:t>:</w:t>
            </w:r>
          </w:p>
          <w:p w14:paraId="74330801" w14:textId="1F6B93E4" w:rsidR="000D2FBE" w:rsidRPr="00315936" w:rsidRDefault="00F65621" w:rsidP="00FF2FFD">
            <w:pPr>
              <w:pStyle w:val="Tablebullet1"/>
            </w:pPr>
            <w:r>
              <w:t>‘</w:t>
            </w:r>
            <w:r w:rsidR="000D2FBE" w:rsidRPr="00315936">
              <w:t>W</w:t>
            </w:r>
            <w:r>
              <w:t>’</w:t>
            </w:r>
            <w:r w:rsidR="000D2FBE" w:rsidRPr="00315936">
              <w:t xml:space="preserve"> – admitted to the intended campus and has received the awaited procedure</w:t>
            </w:r>
          </w:p>
          <w:p w14:paraId="64C6FB15" w14:textId="289DE249" w:rsidR="000D2FBE" w:rsidRPr="00315936" w:rsidRDefault="00F65621" w:rsidP="00FF2FFD">
            <w:pPr>
              <w:pStyle w:val="Tablebullet1"/>
            </w:pPr>
            <w:r>
              <w:t>‘</w:t>
            </w:r>
            <w:r w:rsidR="000D2FBE" w:rsidRPr="00315936">
              <w:t>S</w:t>
            </w:r>
            <w:r>
              <w:t>’</w:t>
            </w:r>
            <w:r w:rsidR="000D2FBE" w:rsidRPr="00315936">
              <w:t xml:space="preserve"> – admitted to another campus arranged by ESAS and has received the awaited procedure</w:t>
            </w:r>
          </w:p>
          <w:p w14:paraId="409B440C" w14:textId="63FBF173" w:rsidR="000D2FBE" w:rsidRPr="00315936" w:rsidRDefault="00F65621" w:rsidP="00FF2FFD">
            <w:pPr>
              <w:pStyle w:val="Tablebullet1"/>
            </w:pPr>
            <w:r>
              <w:t>‘</w:t>
            </w:r>
            <w:r w:rsidR="000D2FBE" w:rsidRPr="00315936">
              <w:t>X</w:t>
            </w:r>
            <w:r>
              <w:t>’</w:t>
            </w:r>
            <w:r w:rsidR="000D2FBE" w:rsidRPr="00315936">
              <w:t xml:space="preserve"> – admitted to another campus arranged by this campus/health service and has received the awaited procedure under other contract or similar arrangement</w:t>
            </w:r>
          </w:p>
          <w:p w14:paraId="33B9C19B" w14:textId="64340C09" w:rsidR="000D2FBE" w:rsidRPr="00315936" w:rsidRDefault="00F65621" w:rsidP="001A453F">
            <w:pPr>
              <w:pStyle w:val="Tablebullet1"/>
            </w:pPr>
            <w:r>
              <w:t>‘</w:t>
            </w:r>
            <w:r w:rsidR="000D2FBE" w:rsidRPr="00315936">
              <w:t>P</w:t>
            </w:r>
            <w:r>
              <w:t>’</w:t>
            </w:r>
            <w:r w:rsidR="000D2FBE" w:rsidRPr="00315936">
              <w:t xml:space="preserve"> – special purpose, COVID-19 </w:t>
            </w:r>
            <w:r w:rsidR="000D2FBE" w:rsidRPr="00315936">
              <w:br/>
              <w:t>admitted to another campus arranged by this campus/health service and has received the awaited procedure under contract or similar arrangement due to the COVID-19 response</w:t>
            </w:r>
            <w:r w:rsidR="007958BF">
              <w:t>.</w:t>
            </w:r>
          </w:p>
          <w:p w14:paraId="44A4A261" w14:textId="5AC50049" w:rsidR="00D549C5" w:rsidRDefault="00836E0A" w:rsidP="00D549C5">
            <w:pPr>
              <w:pStyle w:val="Tabletext"/>
            </w:pPr>
            <w:r>
              <w:t>Assessment of whether an admission was</w:t>
            </w:r>
            <w:r w:rsidR="00D549C5">
              <w:t xml:space="preserve"> within time is based on the number of days the patient was waiting and ready for surgery.</w:t>
            </w:r>
          </w:p>
          <w:p w14:paraId="791B63AD" w14:textId="1213765A" w:rsidR="000D2FBE" w:rsidRPr="00315936" w:rsidRDefault="7E0DF63F" w:rsidP="09C793CA">
            <w:pPr>
              <w:pStyle w:val="Tabletext"/>
              <w:rPr>
                <w:b/>
                <w:bCs/>
              </w:rPr>
            </w:pPr>
            <w:r>
              <w:t>Th</w:t>
            </w:r>
            <w:r w:rsidR="162D241A">
              <w:t>e</w:t>
            </w:r>
            <w:r>
              <w:t xml:space="preserve"> </w:t>
            </w:r>
            <w:r w:rsidR="08051A60">
              <w:t>measure</w:t>
            </w:r>
            <w:r>
              <w:t xml:space="preserve"> is expressed as a percentage rounded to </w:t>
            </w:r>
            <w:r w:rsidR="0AC373A6">
              <w:t>two decimal places</w:t>
            </w:r>
            <w:r w:rsidR="1F97599E">
              <w:t>.</w:t>
            </w:r>
          </w:p>
          <w:p w14:paraId="4C6F1E51" w14:textId="6937ED1C" w:rsidR="000D2FBE" w:rsidRPr="00315936" w:rsidRDefault="000D2FBE" w:rsidP="4A3EC911">
            <w:pPr>
              <w:pStyle w:val="Tabletext"/>
              <w:rPr>
                <w:b/>
                <w:bCs/>
              </w:rPr>
            </w:pPr>
            <w:r w:rsidRPr="4A3EC911">
              <w:rPr>
                <w:b/>
                <w:bCs/>
              </w:rPr>
              <w:t>Performance breach notification</w:t>
            </w:r>
          </w:p>
          <w:p w14:paraId="5DEAF8FE" w14:textId="48792BFF" w:rsidR="000D2FBE" w:rsidRPr="00315936" w:rsidRDefault="51AF855D">
            <w:pPr>
              <w:pStyle w:val="Tabletext"/>
              <w:rPr>
                <w:lang w:eastAsia="en-AU"/>
              </w:rPr>
            </w:pPr>
            <w:r>
              <w:t xml:space="preserve">If a category 1 </w:t>
            </w:r>
            <w:r w:rsidRPr="55528ABA">
              <w:rPr>
                <w:rFonts w:eastAsia="Times"/>
              </w:rPr>
              <w:t xml:space="preserve">planned </w:t>
            </w:r>
            <w:r>
              <w:t xml:space="preserve">surgery patient is overdue and the event has been verified and confirmed as accurate, the patient will be regarded as a breach for the purposes of </w:t>
            </w:r>
            <w:r w:rsidR="19C5CCD4">
              <w:t>performance,</w:t>
            </w:r>
            <w:r>
              <w:t xml:space="preserve"> and a departmental notification procedure must be initiated by the health service.</w:t>
            </w:r>
          </w:p>
        </w:tc>
      </w:tr>
      <w:tr w:rsidR="000D2FBE" w:rsidRPr="00315936" w14:paraId="3B3C2E3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C8A258E" w14:textId="77777777" w:rsidR="000D2FBE" w:rsidRPr="00315936" w:rsidRDefault="000D2FBE">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6ACFA6BA" w14:textId="77777777" w:rsidR="000D2FBE" w:rsidRPr="00315936" w:rsidRDefault="000D2FBE">
            <w:pPr>
              <w:pStyle w:val="Tabletext"/>
              <w:rPr>
                <w:lang w:eastAsia="en-AU"/>
              </w:rPr>
            </w:pPr>
            <w:r w:rsidRPr="00315936">
              <w:t>Number of urgency category 1 patients admitted within 30 days</w:t>
            </w:r>
          </w:p>
        </w:tc>
      </w:tr>
      <w:tr w:rsidR="000D2FBE" w:rsidRPr="00315936" w14:paraId="065F1B94"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EC615E7" w14:textId="77777777" w:rsidR="000D2FBE" w:rsidRPr="00315936" w:rsidRDefault="000D2FBE">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6043068C" w14:textId="77777777" w:rsidR="000D2FBE" w:rsidRPr="00315936" w:rsidRDefault="000D2FBE">
            <w:pPr>
              <w:pStyle w:val="Tabletext"/>
              <w:rPr>
                <w:lang w:eastAsia="en-AU"/>
              </w:rPr>
            </w:pPr>
            <w:r w:rsidRPr="00315936">
              <w:t>Total urgency category 1 patients admitted</w:t>
            </w:r>
          </w:p>
        </w:tc>
      </w:tr>
      <w:tr w:rsidR="000D2FBE" w:rsidRPr="00315936" w14:paraId="14A5246B"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09B1B3C4" w14:textId="77777777" w:rsidR="000D2FBE" w:rsidRPr="00315936" w:rsidRDefault="000D2FBE">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014A261F" w14:textId="3D0E3ED9" w:rsidR="000D2FBE" w:rsidRPr="00315936" w:rsidRDefault="000D2FBE">
            <w:pPr>
              <w:pStyle w:val="Tabletext"/>
              <w:rPr>
                <w:lang w:eastAsia="en-AU"/>
              </w:rPr>
            </w:pPr>
            <w:r w:rsidRPr="00315936">
              <w:t>100</w:t>
            </w:r>
            <w:r w:rsidR="00A67D0D" w:rsidRPr="00315936">
              <w:t xml:space="preserve"> per cent</w:t>
            </w:r>
          </w:p>
        </w:tc>
      </w:tr>
      <w:tr w:rsidR="000D2FBE" w:rsidRPr="00315936" w14:paraId="2BC6773C"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32B2540" w14:textId="094ED45F" w:rsidR="000D2FBE" w:rsidRPr="00315936" w:rsidRDefault="000D2FBE">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5940F366" w14:textId="09D3EA39" w:rsidR="000D2FBE" w:rsidRPr="00315936" w:rsidRDefault="000D2FBE">
            <w:pPr>
              <w:pStyle w:val="Tabletext"/>
            </w:pPr>
            <w:r w:rsidRPr="00315936">
              <w:t>100</w:t>
            </w:r>
            <w:r w:rsidR="00A67D0D" w:rsidRPr="00315936">
              <w:t xml:space="preserve"> per cent</w:t>
            </w:r>
          </w:p>
        </w:tc>
      </w:tr>
      <w:tr w:rsidR="000D2FBE" w:rsidRPr="00315936" w14:paraId="0296F93F"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7D8F0D7" w14:textId="38296976" w:rsidR="000D2FBE" w:rsidRPr="00315936" w:rsidRDefault="000D2FBE">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589C6336" w14:textId="71628617" w:rsidR="000D2FBE" w:rsidRPr="00315936" w:rsidRDefault="000D2FBE">
            <w:pPr>
              <w:pStyle w:val="Tabletext"/>
            </w:pPr>
            <w:r w:rsidRPr="00315936">
              <w:t>Less than 100</w:t>
            </w:r>
            <w:r w:rsidR="00A67D0D" w:rsidRPr="00315936">
              <w:t xml:space="preserve"> per cent</w:t>
            </w:r>
          </w:p>
        </w:tc>
      </w:tr>
      <w:tr w:rsidR="000D2FBE" w:rsidRPr="00315936" w14:paraId="0F38DC25"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D1D0560" w14:textId="77777777" w:rsidR="000D2FBE" w:rsidRPr="00315936" w:rsidRDefault="000D2FBE">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4D63F849" w14:textId="7DC66299" w:rsidR="000D2FBE" w:rsidRPr="00315936" w:rsidRDefault="000D2FBE">
            <w:pPr>
              <w:pStyle w:val="Tabletext"/>
              <w:rPr>
                <w:lang w:eastAsia="en-AU"/>
              </w:rPr>
            </w:pPr>
            <w:proofErr w:type="gramStart"/>
            <w:r w:rsidRPr="00315936">
              <w:t>For the purpose of</w:t>
            </w:r>
            <w:proofErr w:type="gramEnd"/>
            <w:r w:rsidRPr="00315936">
              <w:t xml:space="preserve"> the performance risk assessment, improvement is compared to </w:t>
            </w:r>
            <w:r w:rsidR="003F6723" w:rsidRPr="00315936">
              <w:t xml:space="preserve">performance </w:t>
            </w:r>
            <w:r w:rsidR="003F6723">
              <w:t xml:space="preserve">at the </w:t>
            </w:r>
            <w:r w:rsidRPr="00315936">
              <w:t>same time last year.</w:t>
            </w:r>
          </w:p>
        </w:tc>
      </w:tr>
      <w:tr w:rsidR="000D2FBE" w:rsidRPr="00315936" w14:paraId="64324C2E"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13621FD5" w14:textId="77777777" w:rsidR="000D2FBE" w:rsidRPr="00315936" w:rsidRDefault="000D2FBE">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5560F163" w14:textId="77777777" w:rsidR="003F6723" w:rsidRDefault="000D2FBE">
            <w:pPr>
              <w:pStyle w:val="Tabletext"/>
            </w:pPr>
            <w:r w:rsidRPr="00315936">
              <w:t xml:space="preserve">Performance is </w:t>
            </w:r>
            <w:r w:rsidR="00D82520" w:rsidRPr="00315936">
              <w:t xml:space="preserve">reported </w:t>
            </w:r>
            <w:r w:rsidRPr="00315936">
              <w:t>monthly</w:t>
            </w:r>
            <w:r w:rsidR="00D82520" w:rsidRPr="00315936">
              <w:t xml:space="preserve"> at the health service level</w:t>
            </w:r>
            <w:r w:rsidR="003F6723">
              <w:t>.</w:t>
            </w:r>
            <w:r w:rsidR="00D82520" w:rsidRPr="00315936">
              <w:t xml:space="preserve"> </w:t>
            </w:r>
          </w:p>
          <w:p w14:paraId="63378691" w14:textId="53B15F97" w:rsidR="000D2FBE" w:rsidRPr="00315936" w:rsidRDefault="000D2FBE">
            <w:pPr>
              <w:pStyle w:val="Tabletext"/>
              <w:rPr>
                <w:lang w:eastAsia="en-AU"/>
              </w:rPr>
            </w:pPr>
            <w:r w:rsidRPr="00315936">
              <w:t xml:space="preserve">Data are </w:t>
            </w:r>
            <w:r w:rsidR="00067B87" w:rsidRPr="00315936">
              <w:t xml:space="preserve">sourced from </w:t>
            </w:r>
            <w:r w:rsidR="003F6723">
              <w:t>the Elective Surgery Information System (ESIS)</w:t>
            </w:r>
            <w:r w:rsidRPr="00315936">
              <w:t xml:space="preserve">. </w:t>
            </w:r>
          </w:p>
        </w:tc>
      </w:tr>
    </w:tbl>
    <w:p w14:paraId="546CCB52" w14:textId="666B255A" w:rsidR="00416460" w:rsidRPr="008E7F78" w:rsidRDefault="00416460" w:rsidP="008E7F78">
      <w:pPr>
        <w:pStyle w:val="Heading4"/>
      </w:pPr>
      <w:bookmarkStart w:id="92" w:name="_Toc1651305451"/>
      <w:r w:rsidRPr="008E7F78">
        <w:t xml:space="preserve">Percentage of planned surgery patients admitted within clinically recommended </w:t>
      </w:r>
      <w:r w:rsidR="00024E00" w:rsidRPr="008E7F78">
        <w:t>time</w:t>
      </w:r>
    </w:p>
    <w:tbl>
      <w:tblPr>
        <w:tblStyle w:val="TableGrid"/>
        <w:tblW w:w="1034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37"/>
        <w:gridCol w:w="8503"/>
      </w:tblGrid>
      <w:tr w:rsidR="0BCB349E" w14:paraId="7DB34AC7" w14:textId="77777777" w:rsidTr="55528ABA">
        <w:trPr>
          <w:trHeight w:val="300"/>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3849A7CB" w14:textId="7823D546" w:rsidR="0BCB349E" w:rsidRDefault="0BCB349E" w:rsidP="0BCB349E">
            <w:pPr>
              <w:pStyle w:val="Tablecolhead"/>
              <w:rPr>
                <w:rFonts w:eastAsia="Arial" w:cs="Arial"/>
                <w:bCs/>
                <w:szCs w:val="21"/>
              </w:rPr>
            </w:pPr>
            <w:r w:rsidRPr="0BCB349E">
              <w:rPr>
                <w:rFonts w:eastAsia="Arial" w:cs="Arial"/>
                <w:b w:val="0"/>
                <w:szCs w:val="21"/>
              </w:rPr>
              <w:t>Measure</w:t>
            </w:r>
          </w:p>
        </w:tc>
        <w:tc>
          <w:tcPr>
            <w:tcW w:w="8503" w:type="dxa"/>
            <w:tcBorders>
              <w:left w:val="single" w:sz="6" w:space="0" w:color="000000" w:themeColor="text1"/>
            </w:tcBorders>
            <w:tcMar>
              <w:left w:w="105" w:type="dxa"/>
              <w:right w:w="105" w:type="dxa"/>
            </w:tcMar>
            <w:vAlign w:val="bottom"/>
          </w:tcPr>
          <w:p w14:paraId="7DDB3371" w14:textId="1985B91F"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Percentage of planned surgery patients admitted within clinically recommended time</w:t>
            </w:r>
          </w:p>
        </w:tc>
      </w:tr>
      <w:tr w:rsidR="0BCB349E" w14:paraId="4E7A18E3"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7B155E00" w14:textId="4DBEEE11" w:rsidR="0BCB349E" w:rsidRDefault="0BCB349E" w:rsidP="0BCB349E">
            <w:pPr>
              <w:pStyle w:val="Tablecolhead"/>
              <w:rPr>
                <w:rFonts w:eastAsia="Arial" w:cs="Arial"/>
                <w:bCs/>
                <w:szCs w:val="21"/>
              </w:rPr>
            </w:pPr>
            <w:r w:rsidRPr="0BCB349E">
              <w:rPr>
                <w:rFonts w:eastAsia="Arial" w:cs="Arial"/>
                <w:b w:val="0"/>
                <w:szCs w:val="21"/>
              </w:rPr>
              <w:t>Description </w:t>
            </w:r>
          </w:p>
        </w:tc>
        <w:tc>
          <w:tcPr>
            <w:tcW w:w="8503" w:type="dxa"/>
            <w:tcBorders>
              <w:left w:val="single" w:sz="6" w:space="0" w:color="000000" w:themeColor="text1"/>
            </w:tcBorders>
            <w:tcMar>
              <w:left w:w="105" w:type="dxa"/>
              <w:right w:w="105" w:type="dxa"/>
            </w:tcMar>
          </w:tcPr>
          <w:p w14:paraId="2C5AB41C" w14:textId="6A886BF3"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All planned surgery patients are allocated an urgency category that indicates the desirable timeframe for admission due to their clinical condition.</w:t>
            </w:r>
          </w:p>
          <w:p w14:paraId="6045B5DC" w14:textId="3F33C8D3"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The urgency categories are:</w:t>
            </w:r>
          </w:p>
          <w:p w14:paraId="5C675C1F" w14:textId="34979991"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urgency category 1</w:t>
            </w:r>
            <w:r w:rsidR="00122291">
              <w:rPr>
                <w:rFonts w:eastAsia="Arial" w:cs="Arial"/>
                <w:color w:val="000000" w:themeColor="text1"/>
                <w:szCs w:val="21"/>
              </w:rPr>
              <w:t xml:space="preserve"> </w:t>
            </w:r>
            <w:r w:rsidRPr="0BCB349E">
              <w:rPr>
                <w:rFonts w:eastAsia="Arial" w:cs="Arial"/>
                <w:color w:val="000000" w:themeColor="text1"/>
                <w:szCs w:val="21"/>
              </w:rPr>
              <w:t>– admission within 30 days is desirable</w:t>
            </w:r>
          </w:p>
          <w:p w14:paraId="57DF37CF" w14:textId="056BD9DD" w:rsidR="0BCB349E" w:rsidRDefault="0BCB349E" w:rsidP="0BCB349E">
            <w:pPr>
              <w:pStyle w:val="Tablebullet1"/>
              <w:rPr>
                <w:rFonts w:eastAsia="Arial" w:cs="Arial"/>
                <w:color w:val="000000" w:themeColor="text1"/>
              </w:rPr>
            </w:pPr>
            <w:r w:rsidRPr="31572E21">
              <w:rPr>
                <w:rFonts w:eastAsia="Arial" w:cs="Arial"/>
                <w:color w:val="000000" w:themeColor="text1"/>
              </w:rPr>
              <w:t>urgency category 2</w:t>
            </w:r>
            <w:r w:rsidR="00122291" w:rsidRPr="31572E21">
              <w:rPr>
                <w:rFonts w:eastAsia="Arial" w:cs="Arial"/>
                <w:color w:val="000000" w:themeColor="text1"/>
              </w:rPr>
              <w:t xml:space="preserve"> </w:t>
            </w:r>
            <w:r w:rsidRPr="31572E21">
              <w:rPr>
                <w:rFonts w:eastAsia="Arial" w:cs="Arial"/>
                <w:color w:val="000000" w:themeColor="text1"/>
              </w:rPr>
              <w:t>– admission within 90 days is desirable</w:t>
            </w:r>
          </w:p>
          <w:p w14:paraId="24620C22" w14:textId="31B7D281" w:rsidR="0BCB349E" w:rsidRPr="00280631" w:rsidRDefault="0BCB349E" w:rsidP="00280631">
            <w:pPr>
              <w:pStyle w:val="Tablebullet1"/>
              <w:rPr>
                <w:rFonts w:eastAsia="Arial" w:cs="Arial"/>
                <w:color w:val="000000" w:themeColor="text1"/>
                <w:szCs w:val="21"/>
              </w:rPr>
            </w:pPr>
            <w:r w:rsidRPr="0BCB349E">
              <w:rPr>
                <w:rFonts w:eastAsia="Arial" w:cs="Arial"/>
                <w:color w:val="000000" w:themeColor="text1"/>
                <w:szCs w:val="21"/>
              </w:rPr>
              <w:t>urgency category 3</w:t>
            </w:r>
            <w:r w:rsidRPr="0BCB349E" w:rsidDel="00122291">
              <w:rPr>
                <w:rFonts w:eastAsia="Arial" w:cs="Arial"/>
                <w:color w:val="000000" w:themeColor="text1"/>
                <w:szCs w:val="21"/>
              </w:rPr>
              <w:t xml:space="preserve"> </w:t>
            </w:r>
            <w:r w:rsidRPr="0BCB349E">
              <w:rPr>
                <w:rFonts w:eastAsia="Arial" w:cs="Arial"/>
                <w:color w:val="000000" w:themeColor="text1"/>
                <w:szCs w:val="21"/>
              </w:rPr>
              <w:t>– admission within 365 days is desirable.</w:t>
            </w:r>
          </w:p>
        </w:tc>
      </w:tr>
      <w:tr w:rsidR="0BCB349E" w14:paraId="7A662693"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04E86758" w14:textId="181DFBA5" w:rsidR="0BCB349E" w:rsidRDefault="0BCB349E" w:rsidP="0BCB349E">
            <w:pPr>
              <w:pStyle w:val="Tablecolhead"/>
              <w:rPr>
                <w:rFonts w:eastAsia="Arial" w:cs="Arial"/>
                <w:bCs/>
                <w:szCs w:val="21"/>
              </w:rPr>
            </w:pPr>
            <w:r w:rsidRPr="0BCB349E">
              <w:rPr>
                <w:rFonts w:eastAsia="Arial" w:cs="Arial"/>
                <w:b w:val="0"/>
                <w:szCs w:val="21"/>
              </w:rPr>
              <w:t>Calculating performance</w:t>
            </w:r>
          </w:p>
        </w:tc>
        <w:tc>
          <w:tcPr>
            <w:tcW w:w="8503" w:type="dxa"/>
            <w:tcBorders>
              <w:left w:val="single" w:sz="6" w:space="0" w:color="000000" w:themeColor="text1"/>
            </w:tcBorders>
            <w:tcMar>
              <w:left w:w="105" w:type="dxa"/>
              <w:right w:w="105" w:type="dxa"/>
            </w:tcMar>
          </w:tcPr>
          <w:p w14:paraId="1DEA4C8B" w14:textId="77777777" w:rsidR="00401FBD" w:rsidRDefault="00401FBD" w:rsidP="0BCB349E">
            <w:pPr>
              <w:pStyle w:val="Tabletext"/>
            </w:pPr>
            <w:r>
              <w:t>This measure is reported at the health service level. Where a health service has multiple campuses, the aggregate for all campuses is used.</w:t>
            </w:r>
          </w:p>
          <w:p w14:paraId="1B569EEE" w14:textId="7FA75BD8" w:rsidR="0BCB349E" w:rsidRDefault="328DF61E" w:rsidP="4A3EC911">
            <w:pPr>
              <w:pStyle w:val="Tabletext"/>
              <w:rPr>
                <w:rFonts w:eastAsia="Arial" w:cs="Arial"/>
                <w:color w:val="000000" w:themeColor="text1"/>
              </w:rPr>
            </w:pPr>
            <w:r w:rsidRPr="3B6BEBFD">
              <w:rPr>
                <w:rFonts w:eastAsia="Arial"/>
              </w:rPr>
              <w:t xml:space="preserve">This measure is assessed using records assigned an </w:t>
            </w:r>
            <w:r>
              <w:t>intended procedure code other than IP401 (Gastroscopy</w:t>
            </w:r>
            <w:r w:rsidR="47071743">
              <w:t>)</w:t>
            </w:r>
            <w:r w:rsidR="72E738A0" w:rsidDel="6519DC1E">
              <w:t xml:space="preserve"> or</w:t>
            </w:r>
            <w:r>
              <w:t xml:space="preserve"> IP402 (Colonoscopy)</w:t>
            </w:r>
            <w:r w:rsidR="0AFF488A">
              <w:t>,</w:t>
            </w:r>
            <w:r w:rsidR="0AFF488A" w:rsidRPr="3B6BEBFD">
              <w:rPr>
                <w:rStyle w:val="EndnoteReference"/>
              </w:rPr>
              <w:t xml:space="preserve"> </w:t>
            </w:r>
            <w:r w:rsidR="72E738A0">
              <w:fldChar w:fldCharType="begin"/>
            </w:r>
            <w:r w:rsidR="72E738A0">
              <w:instrText xml:space="preserve"> NOTEREF _Ref201833425 \f \h </w:instrText>
            </w:r>
            <w:r w:rsidR="72E738A0">
              <w:fldChar w:fldCharType="separate"/>
            </w:r>
            <w:r w:rsidR="43ED91A3" w:rsidRPr="3B6BEBFD">
              <w:rPr>
                <w:rStyle w:val="EndnoteReference"/>
              </w:rPr>
              <w:t>xiii</w:t>
            </w:r>
            <w:r w:rsidR="72E738A0">
              <w:fldChar w:fldCharType="end"/>
            </w:r>
            <w:r w:rsidRPr="3B6BEBFD">
              <w:rPr>
                <w:rFonts w:eastAsia="Arial"/>
              </w:rPr>
              <w:t xml:space="preserve"> and with a “Readiness Status” code of either</w:t>
            </w:r>
            <w:r w:rsidR="1DF45011" w:rsidRPr="3B6BEBFD">
              <w:rPr>
                <w:rFonts w:eastAsia="Arial" w:cs="Arial"/>
                <w:color w:val="000000" w:themeColor="text1"/>
              </w:rPr>
              <w:t>:</w:t>
            </w:r>
          </w:p>
          <w:p w14:paraId="2B5CEF32" w14:textId="2C1E8FA0"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readiness status of ‘R’ (ready for surgery)</w:t>
            </w:r>
          </w:p>
          <w:p w14:paraId="6E7071B9" w14:textId="69460F7F" w:rsidR="0BCB349E" w:rsidRDefault="30E4BD45" w:rsidP="55528ABA">
            <w:pPr>
              <w:pStyle w:val="Tablebullet1"/>
              <w:rPr>
                <w:rFonts w:eastAsia="Arial" w:cs="Arial"/>
                <w:color w:val="000000" w:themeColor="text1"/>
              </w:rPr>
            </w:pPr>
            <w:r w:rsidRPr="55528ABA">
              <w:rPr>
                <w:rFonts w:eastAsia="Arial" w:cs="Arial"/>
                <w:color w:val="000000" w:themeColor="text1"/>
              </w:rPr>
              <w:t xml:space="preserve">readiness status of ‘V’ (ready for </w:t>
            </w:r>
            <w:r w:rsidR="51723D27" w:rsidRPr="55528ABA">
              <w:rPr>
                <w:rFonts w:eastAsia="Arial" w:cs="Arial"/>
                <w:color w:val="000000" w:themeColor="text1"/>
              </w:rPr>
              <w:t>surgery but</w:t>
            </w:r>
            <w:r w:rsidRPr="55528ABA">
              <w:rPr>
                <w:rFonts w:eastAsia="Arial" w:cs="Arial"/>
                <w:color w:val="000000" w:themeColor="text1"/>
              </w:rPr>
              <w:t xml:space="preserve"> delayed due to COVID-19 response)</w:t>
            </w:r>
            <w:r w:rsidR="7E3B9308" w:rsidRPr="55528ABA">
              <w:rPr>
                <w:rFonts w:eastAsia="Arial" w:cs="Arial"/>
                <w:color w:val="000000" w:themeColor="text1"/>
              </w:rPr>
              <w:t>.</w:t>
            </w:r>
          </w:p>
          <w:p w14:paraId="6B86563A" w14:textId="24CC45F1" w:rsidR="0BCB349E" w:rsidRPr="00280631" w:rsidRDefault="005D497A" w:rsidP="00280631">
            <w:pPr>
              <w:pStyle w:val="Tablebullet1"/>
              <w:numPr>
                <w:ilvl w:val="0"/>
                <w:numId w:val="0"/>
              </w:numPr>
            </w:pPr>
            <w:r>
              <w:t xml:space="preserve">A patient is counted as being admitted if the </w:t>
            </w:r>
            <w:r w:rsidR="008E76FC">
              <w:t xml:space="preserve">admission </w:t>
            </w:r>
            <w:r w:rsidRPr="00315936">
              <w:t xml:space="preserve">date falls within the </w:t>
            </w:r>
            <w:r>
              <w:t xml:space="preserve">reporting period and </w:t>
            </w:r>
            <w:r w:rsidRPr="00315936">
              <w:t>the reason for removal is any one of the following:</w:t>
            </w:r>
          </w:p>
          <w:p w14:paraId="1638E426" w14:textId="1463E752"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W – admitted to the intended campus and has received the awaited procedure</w:t>
            </w:r>
          </w:p>
          <w:p w14:paraId="33EAE3D0" w14:textId="37A8E3AD"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S – admitted to another campus arranged by planned Surgery Access Service (ESAS) and has received the awaited procedure</w:t>
            </w:r>
          </w:p>
          <w:p w14:paraId="77009135" w14:textId="07952F9C"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X – admitted to another campus arranged by this campus/health service and has received the awaited procedure under other contract or similar arrangement</w:t>
            </w:r>
          </w:p>
          <w:p w14:paraId="1DF012B6" w14:textId="76BA483C" w:rsidR="0BCB349E" w:rsidRDefault="0BCB349E" w:rsidP="0BCB349E">
            <w:pPr>
              <w:pStyle w:val="Tablebullet1"/>
              <w:rPr>
                <w:rFonts w:eastAsia="Arial" w:cs="Arial"/>
                <w:color w:val="000000" w:themeColor="text1"/>
                <w:szCs w:val="21"/>
              </w:rPr>
            </w:pPr>
            <w:r w:rsidRPr="0BCB349E">
              <w:rPr>
                <w:rFonts w:eastAsia="Arial" w:cs="Arial"/>
                <w:color w:val="000000" w:themeColor="text1"/>
                <w:szCs w:val="21"/>
              </w:rPr>
              <w:t xml:space="preserve">P – special purpose, COVID-19 </w:t>
            </w:r>
            <w:r>
              <w:br/>
            </w:r>
            <w:r w:rsidRPr="0BCB349E">
              <w:rPr>
                <w:rFonts w:eastAsia="Arial" w:cs="Arial"/>
                <w:color w:val="000000" w:themeColor="text1"/>
                <w:szCs w:val="21"/>
              </w:rPr>
              <w:t>admitted to another campus arranged by this campus/health service and has received the awaited procedure under contract or similar arrangement due to the COVID-19 response</w:t>
            </w:r>
          </w:p>
          <w:p w14:paraId="0A84D3A2" w14:textId="77777777" w:rsidR="00A52A14" w:rsidRDefault="00A52A14" w:rsidP="00A52A14">
            <w:pPr>
              <w:pStyle w:val="Tabletext"/>
            </w:pPr>
            <w:r>
              <w:t>Assessment of whether an admission was within time is based on the number of days the patient was waiting and ready for surgery.</w:t>
            </w:r>
          </w:p>
          <w:p w14:paraId="0A6E6357" w14:textId="6C375B1D" w:rsidR="0BCB349E" w:rsidRDefault="0BCB349E" w:rsidP="0BCB349E">
            <w:pPr>
              <w:pStyle w:val="Tabletext"/>
              <w:rPr>
                <w:rFonts w:eastAsia="Arial" w:cs="Arial"/>
                <w:color w:val="000000" w:themeColor="text1"/>
              </w:rPr>
            </w:pPr>
            <w:r w:rsidRPr="4A3EC911">
              <w:rPr>
                <w:rFonts w:eastAsia="Arial" w:cs="Arial"/>
                <w:color w:val="000000" w:themeColor="text1"/>
              </w:rPr>
              <w:t>This measure is expressed as a percentage rounded to one decimal place</w:t>
            </w:r>
            <w:r w:rsidR="256C76A9" w:rsidRPr="4A3EC911">
              <w:rPr>
                <w:rFonts w:eastAsia="Arial" w:cs="Arial"/>
                <w:color w:val="000000" w:themeColor="text1"/>
              </w:rPr>
              <w:t>.</w:t>
            </w:r>
          </w:p>
        </w:tc>
      </w:tr>
      <w:tr w:rsidR="0BCB349E" w14:paraId="3AED651E"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671E3987" w14:textId="60C94895" w:rsidR="0BCB349E" w:rsidRDefault="0BCB349E" w:rsidP="0BCB349E">
            <w:pPr>
              <w:pStyle w:val="Tablecolhead"/>
              <w:rPr>
                <w:rFonts w:eastAsia="Arial" w:cs="Arial"/>
                <w:bCs/>
                <w:szCs w:val="21"/>
              </w:rPr>
            </w:pPr>
            <w:r w:rsidRPr="0BCB349E">
              <w:rPr>
                <w:rFonts w:eastAsia="Arial" w:cs="Arial"/>
                <w:b w:val="0"/>
                <w:szCs w:val="21"/>
              </w:rPr>
              <w:t>Numerator</w:t>
            </w:r>
          </w:p>
        </w:tc>
        <w:tc>
          <w:tcPr>
            <w:tcW w:w="8503" w:type="dxa"/>
            <w:tcBorders>
              <w:left w:val="single" w:sz="6" w:space="0" w:color="000000" w:themeColor="text1"/>
            </w:tcBorders>
            <w:tcMar>
              <w:left w:w="105" w:type="dxa"/>
              <w:right w:w="105" w:type="dxa"/>
            </w:tcMar>
          </w:tcPr>
          <w:p w14:paraId="345170C9" w14:textId="6C0678C4"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Number of patients admitted within clinically recommended timeframes, aggregated across all urgency categories.</w:t>
            </w:r>
          </w:p>
        </w:tc>
      </w:tr>
      <w:tr w:rsidR="0BCB349E" w14:paraId="5B923236"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7B6B4557" w14:textId="7E6B8EB5" w:rsidR="0BCB349E" w:rsidRDefault="0BCB349E" w:rsidP="0BCB349E">
            <w:pPr>
              <w:pStyle w:val="Tablecolhead"/>
              <w:rPr>
                <w:rFonts w:eastAsia="Arial" w:cs="Arial"/>
                <w:bCs/>
                <w:szCs w:val="21"/>
              </w:rPr>
            </w:pPr>
            <w:r w:rsidRPr="0BCB349E">
              <w:rPr>
                <w:rFonts w:eastAsia="Arial" w:cs="Arial"/>
                <w:b w:val="0"/>
                <w:szCs w:val="21"/>
              </w:rPr>
              <w:t>Denominator</w:t>
            </w:r>
          </w:p>
        </w:tc>
        <w:tc>
          <w:tcPr>
            <w:tcW w:w="8503" w:type="dxa"/>
            <w:tcBorders>
              <w:left w:val="single" w:sz="6" w:space="0" w:color="000000" w:themeColor="text1"/>
            </w:tcBorders>
            <w:tcMar>
              <w:left w:w="105" w:type="dxa"/>
              <w:right w:w="105" w:type="dxa"/>
            </w:tcMar>
          </w:tcPr>
          <w:p w14:paraId="56A39402" w14:textId="2023C846"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Total number of patients admitted</w:t>
            </w:r>
          </w:p>
        </w:tc>
      </w:tr>
      <w:tr w:rsidR="0BCB349E" w14:paraId="14F351EB"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28523CC0" w14:textId="77827F9A" w:rsidR="0BCB349E" w:rsidRDefault="0BCB349E" w:rsidP="0BCB349E">
            <w:pPr>
              <w:pStyle w:val="Tablecolhead"/>
              <w:rPr>
                <w:rFonts w:eastAsia="Arial" w:cs="Arial"/>
                <w:bCs/>
                <w:szCs w:val="21"/>
              </w:rPr>
            </w:pPr>
            <w:r w:rsidRPr="0BCB349E">
              <w:rPr>
                <w:rFonts w:eastAsia="Arial" w:cs="Arial"/>
                <w:b w:val="0"/>
                <w:szCs w:val="21"/>
              </w:rPr>
              <w:t>Statewide target</w:t>
            </w:r>
          </w:p>
        </w:tc>
        <w:tc>
          <w:tcPr>
            <w:tcW w:w="8503" w:type="dxa"/>
            <w:tcBorders>
              <w:left w:val="single" w:sz="6" w:space="0" w:color="000000" w:themeColor="text1"/>
            </w:tcBorders>
            <w:tcMar>
              <w:left w:w="105" w:type="dxa"/>
              <w:right w:w="105" w:type="dxa"/>
            </w:tcMar>
          </w:tcPr>
          <w:p w14:paraId="45984F4D" w14:textId="3EAC8AC1"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94 per cent</w:t>
            </w:r>
          </w:p>
        </w:tc>
      </w:tr>
      <w:tr w:rsidR="0BCB349E" w14:paraId="3E0293E3"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773F7FD3" w14:textId="254F7932" w:rsidR="0BCB349E" w:rsidRDefault="0BCB349E" w:rsidP="0BCB349E">
            <w:pPr>
              <w:pStyle w:val="Tablecolhead"/>
              <w:rPr>
                <w:rFonts w:eastAsia="Arial" w:cs="Arial"/>
                <w:bCs/>
                <w:szCs w:val="21"/>
              </w:rPr>
            </w:pPr>
            <w:r w:rsidRPr="0BCB349E">
              <w:rPr>
                <w:rFonts w:eastAsia="Arial" w:cs="Arial"/>
                <w:b w:val="0"/>
                <w:szCs w:val="21"/>
              </w:rPr>
              <w:t>Achieved</w:t>
            </w:r>
          </w:p>
        </w:tc>
        <w:tc>
          <w:tcPr>
            <w:tcW w:w="8503" w:type="dxa"/>
            <w:tcBorders>
              <w:left w:val="single" w:sz="6" w:space="0" w:color="000000" w:themeColor="text1"/>
            </w:tcBorders>
            <w:tcMar>
              <w:left w:w="105" w:type="dxa"/>
              <w:right w:w="105" w:type="dxa"/>
            </w:tcMar>
          </w:tcPr>
          <w:p w14:paraId="112A2509" w14:textId="4F78D5E6"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Greater than or equal to 94 per cent</w:t>
            </w:r>
          </w:p>
        </w:tc>
      </w:tr>
      <w:tr w:rsidR="0BCB349E" w14:paraId="0CEA9B4D"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62AE1E4E" w14:textId="4C67E5BA" w:rsidR="0BCB349E" w:rsidRDefault="0BCB349E" w:rsidP="0BCB349E">
            <w:pPr>
              <w:pStyle w:val="Tablecolhead"/>
              <w:rPr>
                <w:rFonts w:eastAsia="Arial" w:cs="Arial"/>
                <w:bCs/>
                <w:szCs w:val="21"/>
              </w:rPr>
            </w:pPr>
            <w:r w:rsidRPr="0BCB349E">
              <w:rPr>
                <w:rFonts w:eastAsia="Arial" w:cs="Arial"/>
                <w:b w:val="0"/>
                <w:szCs w:val="21"/>
              </w:rPr>
              <w:t>Not achieved</w:t>
            </w:r>
          </w:p>
        </w:tc>
        <w:tc>
          <w:tcPr>
            <w:tcW w:w="8503" w:type="dxa"/>
            <w:tcBorders>
              <w:left w:val="single" w:sz="6" w:space="0" w:color="000000" w:themeColor="text1"/>
            </w:tcBorders>
            <w:tcMar>
              <w:left w:w="105" w:type="dxa"/>
              <w:right w:w="105" w:type="dxa"/>
            </w:tcMar>
          </w:tcPr>
          <w:p w14:paraId="41F65F7A" w14:textId="5826D411"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Less than 94 per cent</w:t>
            </w:r>
          </w:p>
        </w:tc>
      </w:tr>
      <w:tr w:rsidR="0BCB349E" w14:paraId="0EDD8F79" w14:textId="77777777" w:rsidTr="55528ABA">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Mar>
              <w:left w:w="105" w:type="dxa"/>
              <w:right w:w="105" w:type="dxa"/>
            </w:tcMar>
          </w:tcPr>
          <w:p w14:paraId="107DD63F" w14:textId="53DD6509" w:rsidR="0BCB349E" w:rsidRDefault="0BCB349E" w:rsidP="0BCB349E">
            <w:pPr>
              <w:pStyle w:val="Tablecolhead"/>
              <w:rPr>
                <w:rFonts w:eastAsia="Arial" w:cs="Arial"/>
                <w:bCs/>
                <w:szCs w:val="21"/>
              </w:rPr>
            </w:pPr>
            <w:r w:rsidRPr="0BCB349E">
              <w:rPr>
                <w:rFonts w:eastAsia="Arial" w:cs="Arial"/>
                <w:b w:val="0"/>
                <w:szCs w:val="21"/>
              </w:rPr>
              <w:t>Improvement</w:t>
            </w:r>
          </w:p>
        </w:tc>
        <w:tc>
          <w:tcPr>
            <w:tcW w:w="8503" w:type="dxa"/>
            <w:tcBorders>
              <w:left w:val="single" w:sz="6" w:space="0" w:color="000000" w:themeColor="text1"/>
            </w:tcBorders>
            <w:tcMar>
              <w:left w:w="105" w:type="dxa"/>
              <w:right w:w="105" w:type="dxa"/>
            </w:tcMar>
          </w:tcPr>
          <w:p w14:paraId="6DB78BE3" w14:textId="28028228" w:rsidR="0BCB349E" w:rsidRDefault="0BCB349E" w:rsidP="0BCB349E">
            <w:pPr>
              <w:pStyle w:val="Tabletext"/>
              <w:rPr>
                <w:rFonts w:eastAsia="Arial" w:cs="Arial"/>
                <w:color w:val="000000" w:themeColor="text1"/>
                <w:szCs w:val="21"/>
              </w:rPr>
            </w:pPr>
            <w:proofErr w:type="gramStart"/>
            <w:r w:rsidRPr="0BCB349E">
              <w:rPr>
                <w:rFonts w:eastAsia="Arial" w:cs="Arial"/>
                <w:color w:val="000000" w:themeColor="text1"/>
                <w:szCs w:val="21"/>
              </w:rPr>
              <w:t>For the purpose of</w:t>
            </w:r>
            <w:proofErr w:type="gramEnd"/>
            <w:r w:rsidRPr="0BCB349E">
              <w:rPr>
                <w:rFonts w:eastAsia="Arial" w:cs="Arial"/>
                <w:color w:val="000000" w:themeColor="text1"/>
                <w:szCs w:val="21"/>
              </w:rPr>
              <w:t xml:space="preserve"> the performance risk assessment, improvement is compared to </w:t>
            </w:r>
            <w:r w:rsidR="00F22539">
              <w:rPr>
                <w:rFonts w:eastAsia="Arial" w:cs="Arial"/>
                <w:color w:val="000000" w:themeColor="text1"/>
                <w:szCs w:val="21"/>
              </w:rPr>
              <w:t xml:space="preserve">performance at </w:t>
            </w:r>
            <w:r w:rsidRPr="0BCB349E">
              <w:rPr>
                <w:rFonts w:eastAsia="Arial" w:cs="Arial"/>
                <w:color w:val="000000" w:themeColor="text1"/>
                <w:szCs w:val="21"/>
              </w:rPr>
              <w:t>same time last year.</w:t>
            </w:r>
          </w:p>
        </w:tc>
      </w:tr>
      <w:tr w:rsidR="0BCB349E" w14:paraId="261E9D49" w14:textId="77777777" w:rsidTr="55528ABA">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Mar>
              <w:left w:w="105" w:type="dxa"/>
              <w:right w:w="105" w:type="dxa"/>
            </w:tcMar>
          </w:tcPr>
          <w:p w14:paraId="1EE597F3" w14:textId="4348812F" w:rsidR="0BCB349E" w:rsidRDefault="0BCB349E" w:rsidP="0BCB349E">
            <w:pPr>
              <w:pStyle w:val="Tablecolhead"/>
              <w:rPr>
                <w:rFonts w:eastAsia="Arial" w:cs="Arial"/>
                <w:bCs/>
                <w:szCs w:val="21"/>
              </w:rPr>
            </w:pPr>
            <w:r w:rsidRPr="0BCB349E">
              <w:rPr>
                <w:rFonts w:eastAsia="Arial" w:cs="Arial"/>
                <w:b w:val="0"/>
                <w:szCs w:val="21"/>
              </w:rPr>
              <w:t>Frequency of reporting and data collection</w:t>
            </w:r>
          </w:p>
        </w:tc>
        <w:tc>
          <w:tcPr>
            <w:tcW w:w="8503" w:type="dxa"/>
            <w:tcBorders>
              <w:left w:val="single" w:sz="6" w:space="0" w:color="000000" w:themeColor="text1"/>
            </w:tcBorders>
            <w:tcMar>
              <w:left w:w="105" w:type="dxa"/>
              <w:right w:w="105" w:type="dxa"/>
            </w:tcMar>
          </w:tcPr>
          <w:p w14:paraId="734C7BD8" w14:textId="0197A980" w:rsidR="0BCB349E" w:rsidRDefault="0BCB349E" w:rsidP="0BCB349E">
            <w:pPr>
              <w:pStyle w:val="Tabletext"/>
              <w:rPr>
                <w:rFonts w:eastAsia="Arial" w:cs="Arial"/>
                <w:color w:val="000000" w:themeColor="text1"/>
                <w:szCs w:val="21"/>
              </w:rPr>
            </w:pPr>
            <w:r w:rsidRPr="0BCB349E">
              <w:rPr>
                <w:rFonts w:eastAsia="Arial" w:cs="Arial"/>
                <w:color w:val="000000" w:themeColor="text1"/>
                <w:szCs w:val="21"/>
              </w:rPr>
              <w:t>Performance is reported monthly at the health service level.</w:t>
            </w:r>
          </w:p>
          <w:p w14:paraId="38C24247" w14:textId="022B60AD" w:rsidR="0BCB349E" w:rsidRDefault="00F22539" w:rsidP="0BCB349E">
            <w:pPr>
              <w:pStyle w:val="Tabletext"/>
              <w:rPr>
                <w:rFonts w:eastAsia="Arial" w:cs="Arial"/>
                <w:color w:val="000000" w:themeColor="text1"/>
                <w:szCs w:val="21"/>
              </w:rPr>
            </w:pPr>
            <w:r w:rsidRPr="00315936">
              <w:t xml:space="preserve">Data are sourced from </w:t>
            </w:r>
            <w:r>
              <w:t>the Elective Surgery Information System (ESIS)</w:t>
            </w:r>
            <w:r w:rsidRPr="00315936">
              <w:t>.</w:t>
            </w:r>
          </w:p>
        </w:tc>
      </w:tr>
    </w:tbl>
    <w:p w14:paraId="359A24A1" w14:textId="1CC867D5" w:rsidR="00551F01" w:rsidRPr="00315936" w:rsidRDefault="00551F01" w:rsidP="008E7F78">
      <w:pPr>
        <w:pStyle w:val="Heading4"/>
      </w:pPr>
      <w:r w:rsidRPr="00DF5D6D">
        <w:t>Percentage of patients on the waiting list who have waited longer than clinically recommended for their respective triage category</w:t>
      </w:r>
      <w:bookmarkEnd w:id="92"/>
    </w:p>
    <w:tbl>
      <w:tblPr>
        <w:tblStyle w:val="TableGrid"/>
        <w:tblW w:w="10340" w:type="dxa"/>
        <w:tblCellMar>
          <w:right w:w="85" w:type="dxa"/>
        </w:tblCellMar>
        <w:tblLook w:val="04A0" w:firstRow="1" w:lastRow="0" w:firstColumn="1" w:lastColumn="0" w:noHBand="0" w:noVBand="1"/>
      </w:tblPr>
      <w:tblGrid>
        <w:gridCol w:w="1837"/>
        <w:gridCol w:w="8503"/>
      </w:tblGrid>
      <w:tr w:rsidR="0068157E" w:rsidRPr="00315936" w14:paraId="63120833" w14:textId="77777777" w:rsidTr="008E1561">
        <w:trPr>
          <w:trHeight w:val="582"/>
        </w:trPr>
        <w:tc>
          <w:tcPr>
            <w:tcW w:w="1837"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2EF3C9BD" w14:textId="7E168EFB" w:rsidR="0068157E" w:rsidRPr="00315936" w:rsidRDefault="00C3016B">
            <w:pPr>
              <w:pStyle w:val="Tablecolhead"/>
              <w:rPr>
                <w:b w:val="0"/>
                <w:lang w:eastAsia="en-AU"/>
              </w:rPr>
            </w:pPr>
            <w:r w:rsidRPr="00315936">
              <w:rPr>
                <w:b w:val="0"/>
                <w:lang w:eastAsia="en-AU"/>
              </w:rPr>
              <w:t>Measure</w:t>
            </w:r>
          </w:p>
        </w:tc>
        <w:tc>
          <w:tcPr>
            <w:tcW w:w="8503" w:type="dxa"/>
            <w:tcBorders>
              <w:left w:val="single" w:sz="6" w:space="0" w:color="000000" w:themeColor="text1"/>
            </w:tcBorders>
          </w:tcPr>
          <w:p w14:paraId="598F21D7" w14:textId="4D762840" w:rsidR="0068157E" w:rsidRPr="00280631" w:rsidRDefault="2EDB414B" w:rsidP="00901057">
            <w:pPr>
              <w:pStyle w:val="Tabletext"/>
              <w:rPr>
                <w:rFonts w:eastAsia="Arial" w:cs="Arial"/>
                <w:color w:val="000000" w:themeColor="text1"/>
                <w:szCs w:val="21"/>
              </w:rPr>
            </w:pPr>
            <w:r w:rsidRPr="18ED453A">
              <w:rPr>
                <w:rFonts w:eastAsia="Arial" w:cs="Arial"/>
                <w:color w:val="000000" w:themeColor="text1"/>
                <w:szCs w:val="21"/>
              </w:rPr>
              <w:t>Percentage of patients on the waiting list who have waited longer than clinically recommended for their respective triage category</w:t>
            </w:r>
          </w:p>
        </w:tc>
      </w:tr>
      <w:tr w:rsidR="0068157E" w:rsidRPr="00315936" w14:paraId="687E70AF"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5D1773A" w14:textId="77777777" w:rsidR="0068157E" w:rsidRPr="00315936" w:rsidRDefault="0068157E">
            <w:pPr>
              <w:pStyle w:val="Tablecolhead"/>
              <w:rPr>
                <w:b w:val="0"/>
                <w:lang w:eastAsia="en-AU"/>
              </w:rPr>
            </w:pPr>
            <w:r w:rsidRPr="00315936">
              <w:rPr>
                <w:b w:val="0"/>
                <w:lang w:eastAsia="en-AU"/>
              </w:rPr>
              <w:t>Description </w:t>
            </w:r>
          </w:p>
        </w:tc>
        <w:tc>
          <w:tcPr>
            <w:tcW w:w="8503" w:type="dxa"/>
            <w:tcBorders>
              <w:left w:val="single" w:sz="6" w:space="0" w:color="000000" w:themeColor="text1"/>
            </w:tcBorders>
          </w:tcPr>
          <w:p w14:paraId="64854A40" w14:textId="0797313F" w:rsidR="0068157E" w:rsidRPr="00BA0A52" w:rsidRDefault="00F50FEC" w:rsidP="00076BEC">
            <w:pPr>
              <w:pStyle w:val="Tabletext"/>
              <w:rPr>
                <w:rFonts w:eastAsia="Arial" w:cs="Arial"/>
                <w:color w:val="000000" w:themeColor="text1"/>
                <w:szCs w:val="21"/>
              </w:rPr>
            </w:pPr>
            <w:r>
              <w:t>The percentage of patients on the planned surgery waiting list who are waiting for surgery and have waited longer than</w:t>
            </w:r>
            <w:r w:rsidR="004E1F88">
              <w:t xml:space="preserve"> clinically recommended for their respective urgency category. </w:t>
            </w:r>
          </w:p>
        </w:tc>
      </w:tr>
      <w:tr w:rsidR="00416460" w:rsidRPr="00315936" w14:paraId="064CD9B5" w14:textId="77777777" w:rsidTr="008E1561">
        <w:trPr>
          <w:trHeight w:val="1491"/>
        </w:trPr>
        <w:tc>
          <w:tcPr>
            <w:tcW w:w="1837" w:type="dxa"/>
            <w:tcBorders>
              <w:top w:val="single" w:sz="6" w:space="0" w:color="FFFFFF" w:themeColor="background1"/>
              <w:left w:val="single" w:sz="6" w:space="0" w:color="auto"/>
              <w:right w:val="single" w:sz="6" w:space="0" w:color="000000" w:themeColor="text1"/>
            </w:tcBorders>
            <w:shd w:val="clear" w:color="auto" w:fill="000066"/>
          </w:tcPr>
          <w:p w14:paraId="55B5D7F1" w14:textId="77777777" w:rsidR="00416460" w:rsidRPr="00315936" w:rsidRDefault="00416460">
            <w:pPr>
              <w:pStyle w:val="Tablecolhead"/>
              <w:rPr>
                <w:b w:val="0"/>
                <w:lang w:eastAsia="en-AU"/>
              </w:rPr>
            </w:pPr>
            <w:r w:rsidRPr="00315936">
              <w:rPr>
                <w:b w:val="0"/>
                <w:lang w:eastAsia="en-AU"/>
              </w:rPr>
              <w:t>Calculating performance</w:t>
            </w:r>
          </w:p>
        </w:tc>
        <w:tc>
          <w:tcPr>
            <w:tcW w:w="8503" w:type="dxa"/>
            <w:tcBorders>
              <w:left w:val="single" w:sz="6" w:space="0" w:color="000000" w:themeColor="text1"/>
            </w:tcBorders>
          </w:tcPr>
          <w:p w14:paraId="0A7A6B96" w14:textId="77777777" w:rsidR="00CF08DF" w:rsidRDefault="00CF08DF" w:rsidP="00CF08DF">
            <w:pPr>
              <w:pStyle w:val="Tabletext"/>
            </w:pPr>
            <w:r w:rsidRPr="00315936">
              <w:t xml:space="preserve">All </w:t>
            </w:r>
            <w:r w:rsidRPr="00315936">
              <w:rPr>
                <w:rFonts w:eastAsia="Times"/>
              </w:rPr>
              <w:t xml:space="preserve">planned </w:t>
            </w:r>
            <w:r w:rsidRPr="00315936">
              <w:t>surgery patients are allocated an urgency category that indicates the desirable timeframe for admissions due to their clinical condition.</w:t>
            </w:r>
          </w:p>
          <w:p w14:paraId="157DFF69" w14:textId="77777777" w:rsidR="00CF08DF" w:rsidRDefault="00CF08DF" w:rsidP="00CF08DF">
            <w:pPr>
              <w:pStyle w:val="Tabletext"/>
              <w:rPr>
                <w:rFonts w:eastAsia="Arial" w:cs="Arial"/>
                <w:color w:val="000000" w:themeColor="text1"/>
                <w:szCs w:val="21"/>
              </w:rPr>
            </w:pPr>
            <w:r w:rsidRPr="0BCB349E">
              <w:rPr>
                <w:rFonts w:eastAsia="Arial" w:cs="Arial"/>
                <w:color w:val="000000" w:themeColor="text1"/>
                <w:szCs w:val="21"/>
              </w:rPr>
              <w:t>The urgency categories are:</w:t>
            </w:r>
          </w:p>
          <w:p w14:paraId="1DBC0F2D" w14:textId="77777777" w:rsidR="00CF08DF" w:rsidRDefault="00CF08DF" w:rsidP="00CF08DF">
            <w:pPr>
              <w:pStyle w:val="Tablebullet1"/>
              <w:rPr>
                <w:rFonts w:eastAsia="Arial" w:cs="Arial"/>
                <w:color w:val="000000" w:themeColor="text1"/>
                <w:szCs w:val="21"/>
              </w:rPr>
            </w:pPr>
            <w:r w:rsidRPr="0BCB349E">
              <w:rPr>
                <w:rFonts w:eastAsia="Arial" w:cs="Arial"/>
                <w:color w:val="000000" w:themeColor="text1"/>
                <w:szCs w:val="21"/>
              </w:rPr>
              <w:t>urgency category 1</w:t>
            </w:r>
            <w:r>
              <w:rPr>
                <w:rFonts w:eastAsia="Arial" w:cs="Arial"/>
                <w:color w:val="000000" w:themeColor="text1"/>
                <w:szCs w:val="21"/>
              </w:rPr>
              <w:t xml:space="preserve"> </w:t>
            </w:r>
            <w:r w:rsidRPr="0BCB349E">
              <w:rPr>
                <w:rFonts w:eastAsia="Arial" w:cs="Arial"/>
                <w:color w:val="000000" w:themeColor="text1"/>
                <w:szCs w:val="21"/>
              </w:rPr>
              <w:t>– admission within 30 days is desirable</w:t>
            </w:r>
          </w:p>
          <w:p w14:paraId="529EF562" w14:textId="77777777" w:rsidR="00CF08DF" w:rsidRDefault="00CF08DF" w:rsidP="00CF08DF">
            <w:pPr>
              <w:pStyle w:val="Tablebullet1"/>
              <w:rPr>
                <w:rFonts w:eastAsia="Arial" w:cs="Arial"/>
                <w:color w:val="000000" w:themeColor="text1"/>
                <w:szCs w:val="21"/>
              </w:rPr>
            </w:pPr>
            <w:r w:rsidRPr="0BCB349E">
              <w:rPr>
                <w:rFonts w:eastAsia="Arial" w:cs="Arial"/>
                <w:color w:val="000000" w:themeColor="text1"/>
                <w:szCs w:val="21"/>
              </w:rPr>
              <w:t>urgency category 2</w:t>
            </w:r>
            <w:r>
              <w:rPr>
                <w:rFonts w:eastAsia="Arial" w:cs="Arial"/>
                <w:color w:val="000000" w:themeColor="text1"/>
                <w:szCs w:val="21"/>
              </w:rPr>
              <w:t xml:space="preserve"> </w:t>
            </w:r>
            <w:r w:rsidRPr="0BCB349E">
              <w:rPr>
                <w:rFonts w:eastAsia="Arial" w:cs="Arial"/>
                <w:color w:val="000000" w:themeColor="text1"/>
                <w:szCs w:val="21"/>
              </w:rPr>
              <w:t>– admission within 90 days is desirable</w:t>
            </w:r>
          </w:p>
          <w:p w14:paraId="5E5569B6" w14:textId="3E9D0B92" w:rsidR="00CF08DF" w:rsidRDefault="00CF08DF" w:rsidP="00076BEC">
            <w:pPr>
              <w:pStyle w:val="Tablebullet1"/>
              <w:rPr>
                <w:rFonts w:eastAsia="Arial"/>
              </w:rPr>
            </w:pPr>
            <w:r w:rsidRPr="004756EA">
              <w:rPr>
                <w:rFonts w:eastAsia="Arial"/>
              </w:rPr>
              <w:t>urgency category 3 – admission within 365 days is desirable.</w:t>
            </w:r>
          </w:p>
          <w:p w14:paraId="5CA0F142" w14:textId="46ADF8FF" w:rsidR="00FB702A" w:rsidRDefault="0718BA39" w:rsidP="00FB702A">
            <w:pPr>
              <w:pStyle w:val="Tabletext"/>
              <w:spacing w:line="279" w:lineRule="auto"/>
              <w:rPr>
                <w:rStyle w:val="EndnoteReference"/>
              </w:rPr>
            </w:pPr>
            <w:r>
              <w:t>This measure</w:t>
            </w:r>
            <w:r w:rsidR="1B971569">
              <w:t xml:space="preserve"> includes in scope </w:t>
            </w:r>
            <w:r w:rsidR="210F4034">
              <w:t>planned surgeries on the waiting listed</w:t>
            </w:r>
            <w:r>
              <w:t xml:space="preserve"> assigned an intended procedure code other than IP401 (Gastroscopy)</w:t>
            </w:r>
            <w:r w:rsidR="2BCE51D9">
              <w:t>,</w:t>
            </w:r>
            <w:r>
              <w:t xml:space="preserve"> o</w:t>
            </w:r>
            <w:r w:rsidR="6B2DC206" w:rsidDel="6AA428BB">
              <w:t>r</w:t>
            </w:r>
            <w:r>
              <w:t xml:space="preserve"> IP402 (Colonoscopy)</w:t>
            </w:r>
            <w:proofErr w:type="gramStart"/>
            <w:r w:rsidR="455D980B">
              <w:t xml:space="preserve">, </w:t>
            </w:r>
            <w:r>
              <w:t>.</w:t>
            </w:r>
            <w:proofErr w:type="gramEnd"/>
            <w:r w:rsidR="6B2DC206">
              <w:fldChar w:fldCharType="begin"/>
            </w:r>
            <w:r w:rsidR="6B2DC206">
              <w:instrText xml:space="preserve"> NOTEREF _Ref201833425 \f \h </w:instrText>
            </w:r>
            <w:r w:rsidR="6B2DC206">
              <w:fldChar w:fldCharType="separate"/>
            </w:r>
            <w:r w:rsidRPr="3B6BEBFD">
              <w:rPr>
                <w:rStyle w:val="EndnoteReference"/>
              </w:rPr>
              <w:t>xiii</w:t>
            </w:r>
            <w:r w:rsidR="6B2DC206">
              <w:fldChar w:fldCharType="end"/>
            </w:r>
          </w:p>
          <w:p w14:paraId="2AB7C83F" w14:textId="6AD5FA0D" w:rsidR="00420708" w:rsidRPr="00076BEC" w:rsidRDefault="00F560A3" w:rsidP="00CF08DF">
            <w:pPr>
              <w:pStyle w:val="Tabletext"/>
              <w:spacing w:line="279" w:lineRule="auto"/>
              <w:rPr>
                <w:rFonts w:eastAsia="Arial" w:cs="Arial"/>
                <w:color w:val="000000" w:themeColor="text1"/>
              </w:rPr>
            </w:pPr>
            <w:r>
              <w:rPr>
                <w:rFonts w:eastAsia="Arial" w:cs="Arial"/>
                <w:color w:val="000000" w:themeColor="text1"/>
              </w:rPr>
              <w:t xml:space="preserve">It includes all episodes on the waiting list </w:t>
            </w:r>
            <w:r w:rsidR="002E2649">
              <w:rPr>
                <w:rFonts w:eastAsia="Arial" w:cs="Arial"/>
                <w:color w:val="000000" w:themeColor="text1"/>
              </w:rPr>
              <w:t xml:space="preserve">as at the end of the reference period regardless of their readiness for surgery status. </w:t>
            </w:r>
          </w:p>
          <w:p w14:paraId="41CC33E4" w14:textId="55D46058" w:rsidR="00D1184E" w:rsidRPr="00315936" w:rsidRDefault="0034068C" w:rsidP="00D1184E">
            <w:pPr>
              <w:pStyle w:val="Tabletext"/>
              <w:spacing w:line="279" w:lineRule="auto"/>
              <w:rPr>
                <w:rFonts w:eastAsia="Arial" w:cs="Arial"/>
                <w:color w:val="000000" w:themeColor="text1"/>
                <w:szCs w:val="21"/>
              </w:rPr>
            </w:pPr>
            <w:r>
              <w:rPr>
                <w:rFonts w:eastAsia="Arial" w:cs="Arial"/>
                <w:color w:val="000000" w:themeColor="text1"/>
                <w:szCs w:val="21"/>
              </w:rPr>
              <w:t xml:space="preserve">This includes </w:t>
            </w:r>
            <w:r w:rsidR="00D1184E" w:rsidRPr="18ED453A">
              <w:rPr>
                <w:rFonts w:eastAsia="Arial" w:cs="Arial"/>
                <w:color w:val="000000" w:themeColor="text1"/>
                <w:szCs w:val="21"/>
              </w:rPr>
              <w:t>patients with readiness status of:</w:t>
            </w:r>
          </w:p>
          <w:p w14:paraId="51EF782F" w14:textId="77777777" w:rsidR="00D1184E" w:rsidRPr="00315936" w:rsidRDefault="00D1184E" w:rsidP="00D1184E">
            <w:pPr>
              <w:pStyle w:val="Tablebullet1"/>
              <w:spacing w:line="279" w:lineRule="auto"/>
              <w:rPr>
                <w:rFonts w:eastAsia="Arial" w:cs="Arial"/>
                <w:color w:val="000000" w:themeColor="text1"/>
                <w:szCs w:val="21"/>
              </w:rPr>
            </w:pPr>
            <w:r w:rsidRPr="18ED453A">
              <w:rPr>
                <w:rFonts w:eastAsia="Arial" w:cs="Arial"/>
                <w:color w:val="000000" w:themeColor="text1"/>
                <w:szCs w:val="21"/>
              </w:rPr>
              <w:t>‘R’ - ready for surgery</w:t>
            </w:r>
          </w:p>
          <w:p w14:paraId="6AE2926A" w14:textId="77777777" w:rsidR="00D1184E" w:rsidRPr="00315936" w:rsidRDefault="00D1184E" w:rsidP="00D1184E">
            <w:pPr>
              <w:pStyle w:val="Tablebullet1"/>
              <w:spacing w:line="279" w:lineRule="auto"/>
              <w:rPr>
                <w:rFonts w:eastAsia="Arial" w:cs="Arial"/>
                <w:color w:val="000000" w:themeColor="text1"/>
                <w:szCs w:val="21"/>
              </w:rPr>
            </w:pPr>
            <w:r w:rsidRPr="18ED453A">
              <w:rPr>
                <w:rFonts w:eastAsia="Arial" w:cs="Arial"/>
                <w:color w:val="000000" w:themeColor="text1"/>
                <w:szCs w:val="21"/>
              </w:rPr>
              <w:t>‘S’ – Not ready for surgery – staged patients</w:t>
            </w:r>
          </w:p>
          <w:p w14:paraId="1117E991" w14:textId="77777777" w:rsidR="00D1184E" w:rsidRPr="00315936" w:rsidRDefault="00D1184E" w:rsidP="00D1184E">
            <w:pPr>
              <w:pStyle w:val="Tablebullet1"/>
              <w:spacing w:line="279" w:lineRule="auto"/>
              <w:rPr>
                <w:rFonts w:eastAsia="Arial" w:cs="Arial"/>
                <w:color w:val="000000" w:themeColor="text1"/>
                <w:szCs w:val="21"/>
              </w:rPr>
            </w:pPr>
            <w:r w:rsidRPr="18ED453A">
              <w:rPr>
                <w:rFonts w:eastAsia="Arial" w:cs="Arial"/>
                <w:color w:val="000000" w:themeColor="text1"/>
                <w:szCs w:val="21"/>
              </w:rPr>
              <w:t>‘F’ – Not ready for surgery – programmed procedure</w:t>
            </w:r>
          </w:p>
          <w:p w14:paraId="5D68194B" w14:textId="77777777" w:rsidR="00D1184E" w:rsidRPr="00315936" w:rsidRDefault="00D1184E" w:rsidP="00D1184E">
            <w:pPr>
              <w:pStyle w:val="Tablebullet1"/>
              <w:spacing w:line="279" w:lineRule="auto"/>
              <w:rPr>
                <w:rFonts w:eastAsia="Arial" w:cs="Arial"/>
                <w:color w:val="000000" w:themeColor="text1"/>
                <w:szCs w:val="21"/>
              </w:rPr>
            </w:pPr>
            <w:r w:rsidRPr="18ED453A">
              <w:rPr>
                <w:rFonts w:eastAsia="Arial" w:cs="Arial"/>
                <w:color w:val="000000" w:themeColor="text1"/>
                <w:szCs w:val="21"/>
              </w:rPr>
              <w:t>‘C’ – Not ready for surgery – pending improvement of clinical condition</w:t>
            </w:r>
          </w:p>
          <w:p w14:paraId="7D9F463B" w14:textId="77777777" w:rsidR="00D1184E" w:rsidRPr="00315936" w:rsidRDefault="00D1184E" w:rsidP="00D1184E">
            <w:pPr>
              <w:pStyle w:val="Tablebullet1"/>
              <w:spacing w:line="279" w:lineRule="auto"/>
              <w:rPr>
                <w:rFonts w:eastAsia="Arial" w:cs="Arial"/>
                <w:color w:val="000000" w:themeColor="text1"/>
                <w:szCs w:val="21"/>
              </w:rPr>
            </w:pPr>
            <w:r w:rsidRPr="18ED453A">
              <w:rPr>
                <w:rFonts w:eastAsia="Arial" w:cs="Arial"/>
                <w:color w:val="000000" w:themeColor="text1"/>
                <w:szCs w:val="21"/>
              </w:rPr>
              <w:t>‘P’ – Not ready for surgery – deferred for personal reasons</w:t>
            </w:r>
          </w:p>
          <w:p w14:paraId="2FE2830F" w14:textId="37C2CE09" w:rsidR="000C22E1" w:rsidRDefault="00D1184E" w:rsidP="0094229C">
            <w:pPr>
              <w:pStyle w:val="Tablebullet1"/>
              <w:rPr>
                <w:rFonts w:eastAsia="Arial"/>
              </w:rPr>
            </w:pPr>
            <w:r w:rsidRPr="31572E21">
              <w:rPr>
                <w:rFonts w:eastAsia="Arial"/>
              </w:rPr>
              <w:t xml:space="preserve">‘V’ - ready for </w:t>
            </w:r>
            <w:r w:rsidR="000260E5" w:rsidRPr="31572E21">
              <w:rPr>
                <w:rFonts w:eastAsia="Arial"/>
              </w:rPr>
              <w:t>surgery but</w:t>
            </w:r>
            <w:r w:rsidRPr="31572E21">
              <w:rPr>
                <w:rFonts w:eastAsia="Arial"/>
              </w:rPr>
              <w:t xml:space="preserve"> delayed due to COVID-19 response</w:t>
            </w:r>
            <w:r w:rsidR="00FE57AC">
              <w:rPr>
                <w:rFonts w:eastAsia="Arial"/>
              </w:rPr>
              <w:t>.</w:t>
            </w:r>
          </w:p>
          <w:p w14:paraId="61E4EE50" w14:textId="4623113E" w:rsidR="005618FE" w:rsidRPr="00D71E0A" w:rsidRDefault="005618FE" w:rsidP="00076BEC">
            <w:pPr>
              <w:pStyle w:val="Tabletext"/>
              <w:rPr>
                <w:rFonts w:eastAsia="Arial"/>
              </w:rPr>
            </w:pPr>
            <w:r>
              <w:rPr>
                <w:rFonts w:eastAsia="Arial"/>
              </w:rPr>
              <w:t xml:space="preserve">The </w:t>
            </w:r>
            <w:r w:rsidR="00C627BE">
              <w:rPr>
                <w:rFonts w:eastAsia="Arial"/>
              </w:rPr>
              <w:t xml:space="preserve">waiting list episode is deemed to have waited longer than the clinically recommended time if the number of ‘ready for surgery’ days (i.e., </w:t>
            </w:r>
            <w:r w:rsidR="00EF2553">
              <w:rPr>
                <w:rFonts w:eastAsia="Arial"/>
              </w:rPr>
              <w:t xml:space="preserve">the actual time spent waiting for surgery) exceeds the clinically recommended timeframe for the assigned urgency category. </w:t>
            </w:r>
          </w:p>
          <w:p w14:paraId="45EB5354" w14:textId="4F80EE4E" w:rsidR="00535BF2" w:rsidRDefault="0034068C" w:rsidP="4A3EC911">
            <w:pPr>
              <w:pStyle w:val="Tabletext"/>
              <w:spacing w:line="279" w:lineRule="auto"/>
            </w:pPr>
            <w:r>
              <w:t>T</w:t>
            </w:r>
            <w:r w:rsidR="00095DE5">
              <w:t xml:space="preserve">he actual time spent on the </w:t>
            </w:r>
            <w:r w:rsidR="00832D53">
              <w:t>waiting</w:t>
            </w:r>
            <w:r w:rsidR="00095DE5">
              <w:t xml:space="preserve"> list is calculated as the number of days between </w:t>
            </w:r>
            <w:r w:rsidR="006F2AAB">
              <w:t>Administrative</w:t>
            </w:r>
            <w:r w:rsidR="00095DE5">
              <w:t xml:space="preserve"> Registration Date</w:t>
            </w:r>
            <w:r w:rsidR="0094229C">
              <w:rPr>
                <w:rStyle w:val="EndnoteReference"/>
              </w:rPr>
              <w:endnoteReference w:id="15"/>
            </w:r>
            <w:r w:rsidR="00095DE5">
              <w:t xml:space="preserve"> and </w:t>
            </w:r>
            <w:r w:rsidR="00A0564A">
              <w:t xml:space="preserve">the </w:t>
            </w:r>
            <w:r w:rsidR="00C31DDF">
              <w:t xml:space="preserve">reference period </w:t>
            </w:r>
            <w:r w:rsidR="00956D06">
              <w:t>end date</w:t>
            </w:r>
            <w:r w:rsidR="00472613">
              <w:t xml:space="preserve"> </w:t>
            </w:r>
            <w:r w:rsidR="006F176B">
              <w:t>during which</w:t>
            </w:r>
            <w:r w:rsidR="00472613">
              <w:t xml:space="preserve"> the patient was waiting and ready for surgery.</w:t>
            </w:r>
            <w:r w:rsidR="00095DE5">
              <w:t xml:space="preserve"> </w:t>
            </w:r>
            <w:r w:rsidR="006F2AAB">
              <w:t>Elapsed days w</w:t>
            </w:r>
            <w:r w:rsidR="006F176B">
              <w:t>h</w:t>
            </w:r>
            <w:r w:rsidR="006F2AAB">
              <w:t>ere the patient was not ready for sur</w:t>
            </w:r>
            <w:r w:rsidR="006F176B">
              <w:t>g</w:t>
            </w:r>
            <w:r w:rsidR="006F2AAB">
              <w:t>ery are excluded.</w:t>
            </w:r>
          </w:p>
          <w:p w14:paraId="29BA5FAA" w14:textId="772AB36B" w:rsidR="00486FBD" w:rsidRDefault="00420708" w:rsidP="00420708">
            <w:pPr>
              <w:pStyle w:val="Tabletext"/>
              <w:spacing w:line="279" w:lineRule="auto"/>
            </w:pPr>
            <w:r>
              <w:t>This measure is reported at the health service level</w:t>
            </w:r>
            <w:r w:rsidR="002D4B8C">
              <w:t xml:space="preserve"> and is </w:t>
            </w:r>
            <w:r w:rsidR="002D4B8C" w:rsidRPr="4A3EC911">
              <w:rPr>
                <w:rFonts w:eastAsia="Arial" w:cs="Arial"/>
                <w:color w:val="000000" w:themeColor="text1"/>
              </w:rPr>
              <w:t>expressed as a percentage rounded to one decimal place</w:t>
            </w:r>
            <w:r>
              <w:t xml:space="preserve">. </w:t>
            </w:r>
          </w:p>
          <w:p w14:paraId="5058C46E" w14:textId="01DA2B43" w:rsidR="00420708" w:rsidRDefault="00420708" w:rsidP="00420708">
            <w:pPr>
              <w:pStyle w:val="Tabletext"/>
              <w:spacing w:line="279" w:lineRule="auto"/>
            </w:pPr>
            <w:r>
              <w:t>Where a health service has multiple campuses, the aggregate for all campuses is used.</w:t>
            </w:r>
          </w:p>
          <w:p w14:paraId="7D176A10" w14:textId="0F2ACAAE" w:rsidR="00416460" w:rsidRPr="00315936" w:rsidRDefault="00416460" w:rsidP="008B7E36">
            <w:pPr>
              <w:pStyle w:val="Tabletext"/>
              <w:spacing w:line="279" w:lineRule="auto"/>
              <w:rPr>
                <w:rFonts w:eastAsia="Arial" w:cs="Arial"/>
                <w:color w:val="000000" w:themeColor="text1"/>
                <w:szCs w:val="21"/>
              </w:rPr>
            </w:pPr>
          </w:p>
        </w:tc>
      </w:tr>
      <w:tr w:rsidR="0068157E" w:rsidRPr="00315936" w14:paraId="004D0CF4"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D48ABD3" w14:textId="77777777" w:rsidR="0068157E" w:rsidRPr="00315936" w:rsidRDefault="0068157E">
            <w:pPr>
              <w:pStyle w:val="Tablecolhead"/>
              <w:rPr>
                <w:b w:val="0"/>
                <w:lang w:eastAsia="en-AU"/>
              </w:rPr>
            </w:pPr>
            <w:r w:rsidRPr="00315936">
              <w:rPr>
                <w:b w:val="0"/>
                <w:lang w:eastAsia="en-AU"/>
              </w:rPr>
              <w:t>Numerator</w:t>
            </w:r>
          </w:p>
        </w:tc>
        <w:tc>
          <w:tcPr>
            <w:tcW w:w="8503" w:type="dxa"/>
            <w:tcBorders>
              <w:left w:val="single" w:sz="6" w:space="0" w:color="000000" w:themeColor="text1"/>
            </w:tcBorders>
          </w:tcPr>
          <w:p w14:paraId="77F4AAE5" w14:textId="0C80A7AE" w:rsidR="0068157E" w:rsidRPr="00315936" w:rsidRDefault="68998855" w:rsidP="00C55AC2">
            <w:pPr>
              <w:pStyle w:val="Tabletext"/>
              <w:spacing w:line="279" w:lineRule="auto"/>
              <w:rPr>
                <w:rFonts w:eastAsia="Arial"/>
              </w:rPr>
            </w:pPr>
            <w:r w:rsidRPr="31572E21">
              <w:rPr>
                <w:rFonts w:eastAsia="Arial" w:cs="Arial"/>
                <w:color w:val="000000" w:themeColor="text1"/>
              </w:rPr>
              <w:t xml:space="preserve">Total number of patients on the planned surgery </w:t>
            </w:r>
            <w:r w:rsidR="00832D53">
              <w:rPr>
                <w:rFonts w:eastAsia="Arial" w:cs="Arial"/>
                <w:color w:val="000000" w:themeColor="text1"/>
              </w:rPr>
              <w:t>waiting</w:t>
            </w:r>
            <w:r w:rsidR="00832D53" w:rsidRPr="31572E21">
              <w:rPr>
                <w:rFonts w:eastAsia="Arial" w:cs="Arial"/>
                <w:color w:val="000000" w:themeColor="text1"/>
              </w:rPr>
              <w:t xml:space="preserve"> </w:t>
            </w:r>
            <w:r w:rsidRPr="31572E21">
              <w:rPr>
                <w:rFonts w:eastAsia="Arial" w:cs="Arial"/>
                <w:color w:val="000000" w:themeColor="text1"/>
              </w:rPr>
              <w:t>list (regardless of readiness status) who have waited longer than clinically recommended times for their respective triage category</w:t>
            </w:r>
            <w:r w:rsidR="00BC59FE" w:rsidRPr="31572E21">
              <w:rPr>
                <w:rFonts w:eastAsia="Arial" w:cs="Arial"/>
                <w:color w:val="000000" w:themeColor="text1"/>
              </w:rPr>
              <w:t>.</w:t>
            </w:r>
          </w:p>
        </w:tc>
      </w:tr>
      <w:tr w:rsidR="0068157E" w:rsidRPr="00315936" w14:paraId="19B80B6A"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6F6A690" w14:textId="77777777" w:rsidR="0068157E" w:rsidRPr="00315936" w:rsidRDefault="0068157E">
            <w:pPr>
              <w:pStyle w:val="Tablecolhead"/>
              <w:rPr>
                <w:b w:val="0"/>
                <w:lang w:eastAsia="en-AU"/>
              </w:rPr>
            </w:pPr>
            <w:r w:rsidRPr="00315936">
              <w:rPr>
                <w:b w:val="0"/>
                <w:lang w:eastAsia="en-AU"/>
              </w:rPr>
              <w:t>Denominator</w:t>
            </w:r>
          </w:p>
        </w:tc>
        <w:tc>
          <w:tcPr>
            <w:tcW w:w="8503" w:type="dxa"/>
            <w:tcBorders>
              <w:left w:val="single" w:sz="6" w:space="0" w:color="000000" w:themeColor="text1"/>
            </w:tcBorders>
          </w:tcPr>
          <w:p w14:paraId="5F60A573" w14:textId="44ED944D" w:rsidR="0068157E" w:rsidRPr="00315936" w:rsidRDefault="6D2B5F98" w:rsidP="18ED453A">
            <w:pPr>
              <w:pStyle w:val="Tabletext"/>
              <w:spacing w:line="279" w:lineRule="auto"/>
            </w:pPr>
            <w:r w:rsidRPr="18ED453A">
              <w:rPr>
                <w:rFonts w:eastAsia="Arial" w:cs="Arial"/>
                <w:color w:val="000000" w:themeColor="text1"/>
                <w:szCs w:val="21"/>
              </w:rPr>
              <w:t xml:space="preserve">Total number of patients on the planned surgery </w:t>
            </w:r>
            <w:r>
              <w:t xml:space="preserve">waiting </w:t>
            </w:r>
            <w:r w:rsidRPr="18ED453A">
              <w:rPr>
                <w:rFonts w:eastAsia="Arial" w:cs="Arial"/>
                <w:color w:val="000000" w:themeColor="text1"/>
                <w:szCs w:val="21"/>
              </w:rPr>
              <w:t>list (regardless of readiness status).</w:t>
            </w:r>
          </w:p>
        </w:tc>
      </w:tr>
      <w:tr w:rsidR="0068157E" w:rsidRPr="00315936" w14:paraId="4B3ED9AA"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49AA4CB" w14:textId="77777777" w:rsidR="0068157E" w:rsidRPr="00315936" w:rsidRDefault="0068157E">
            <w:pPr>
              <w:pStyle w:val="Tablecolhead"/>
              <w:rPr>
                <w:b w:val="0"/>
                <w:lang w:eastAsia="en-AU"/>
              </w:rPr>
            </w:pPr>
            <w:r w:rsidRPr="00315936">
              <w:rPr>
                <w:b w:val="0"/>
                <w:lang w:eastAsia="en-AU"/>
              </w:rPr>
              <w:t>Statewide target</w:t>
            </w:r>
          </w:p>
        </w:tc>
        <w:tc>
          <w:tcPr>
            <w:tcW w:w="8503" w:type="dxa"/>
            <w:tcBorders>
              <w:left w:val="single" w:sz="6" w:space="0" w:color="000000" w:themeColor="text1"/>
            </w:tcBorders>
          </w:tcPr>
          <w:p w14:paraId="7BB0DDED" w14:textId="7A4B7853" w:rsidR="0068157E" w:rsidRPr="00315936" w:rsidRDefault="003C0230" w:rsidP="18ED453A">
            <w:pPr>
              <w:pStyle w:val="Tabletext"/>
              <w:spacing w:line="279" w:lineRule="auto"/>
            </w:pPr>
            <w:r>
              <w:rPr>
                <w:rFonts w:eastAsia="Arial" w:cs="Arial"/>
                <w:color w:val="000000" w:themeColor="text1"/>
                <w:szCs w:val="21"/>
              </w:rPr>
              <w:t xml:space="preserve">Greater than or equal to </w:t>
            </w:r>
            <w:r w:rsidR="4C3E731F" w:rsidRPr="18ED453A">
              <w:rPr>
                <w:rFonts w:eastAsia="Arial" w:cs="Arial"/>
                <w:color w:val="000000" w:themeColor="text1"/>
                <w:szCs w:val="21"/>
              </w:rPr>
              <w:t>25 per cent improvement based on prior year result</w:t>
            </w:r>
          </w:p>
        </w:tc>
      </w:tr>
      <w:tr w:rsidR="0068157E" w:rsidRPr="00315936" w14:paraId="2E4EA506"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71FFA8BC" w14:textId="1980A65F" w:rsidR="0068157E" w:rsidRPr="00315936" w:rsidRDefault="0068157E">
            <w:pPr>
              <w:pStyle w:val="Tablecolhead"/>
              <w:rPr>
                <w:b w:val="0"/>
                <w:lang w:eastAsia="en-AU"/>
              </w:rPr>
            </w:pPr>
            <w:r w:rsidRPr="00315936">
              <w:rPr>
                <w:b w:val="0"/>
                <w:lang w:eastAsia="en-AU"/>
              </w:rPr>
              <w:t>Achieved</w:t>
            </w:r>
          </w:p>
        </w:tc>
        <w:tc>
          <w:tcPr>
            <w:tcW w:w="8503" w:type="dxa"/>
            <w:tcBorders>
              <w:left w:val="single" w:sz="6" w:space="0" w:color="000000" w:themeColor="text1"/>
            </w:tcBorders>
          </w:tcPr>
          <w:p w14:paraId="77F9340C" w14:textId="5CCF0492" w:rsidR="0068157E" w:rsidRPr="00315936" w:rsidRDefault="02943DB1" w:rsidP="18ED453A">
            <w:pPr>
              <w:pStyle w:val="Tabletext"/>
              <w:spacing w:line="279" w:lineRule="auto"/>
            </w:pPr>
            <w:r w:rsidRPr="18ED453A">
              <w:rPr>
                <w:rFonts w:eastAsia="Arial" w:cs="Arial"/>
                <w:color w:val="000000" w:themeColor="text1"/>
                <w:szCs w:val="21"/>
              </w:rPr>
              <w:t>Greater than or equal to 25 per cent improvement from prior year</w:t>
            </w:r>
            <w:r w:rsidR="00BB6436">
              <w:rPr>
                <w:rFonts w:eastAsia="Arial" w:cs="Arial"/>
                <w:color w:val="000000" w:themeColor="text1"/>
                <w:szCs w:val="21"/>
              </w:rPr>
              <w:t xml:space="preserve"> </w:t>
            </w:r>
            <w:r w:rsidR="00F067C0">
              <w:rPr>
                <w:rFonts w:eastAsia="Arial" w:cs="Arial"/>
                <w:color w:val="000000" w:themeColor="text1"/>
                <w:szCs w:val="21"/>
              </w:rPr>
              <w:fldChar w:fldCharType="begin"/>
            </w:r>
            <w:r w:rsidR="00F067C0">
              <w:rPr>
                <w:rFonts w:eastAsia="Arial" w:cs="Arial"/>
                <w:color w:val="000000" w:themeColor="text1"/>
                <w:szCs w:val="21"/>
              </w:rPr>
              <w:instrText xml:space="preserve"> NOTEREF _Ref201831384 \f \h </w:instrText>
            </w:r>
            <w:r w:rsidR="00F067C0">
              <w:rPr>
                <w:rFonts w:eastAsia="Arial" w:cs="Arial"/>
                <w:color w:val="000000" w:themeColor="text1"/>
                <w:szCs w:val="21"/>
              </w:rPr>
            </w:r>
            <w:r w:rsidR="00F067C0">
              <w:rPr>
                <w:rFonts w:eastAsia="Arial" w:cs="Arial"/>
                <w:color w:val="000000" w:themeColor="text1"/>
                <w:szCs w:val="21"/>
              </w:rPr>
              <w:fldChar w:fldCharType="separate"/>
            </w:r>
            <w:r w:rsidR="00F067C0" w:rsidRPr="00D2794C">
              <w:rPr>
                <w:rStyle w:val="EndnoteReference"/>
                <w:rFonts w:eastAsia="Arial"/>
              </w:rPr>
              <w:t>ii</w:t>
            </w:r>
            <w:r w:rsidR="00F067C0">
              <w:rPr>
                <w:rFonts w:eastAsia="Arial" w:cs="Arial"/>
                <w:color w:val="000000" w:themeColor="text1"/>
                <w:szCs w:val="21"/>
              </w:rPr>
              <w:fldChar w:fldCharType="end"/>
            </w:r>
          </w:p>
        </w:tc>
      </w:tr>
      <w:tr w:rsidR="0068157E" w:rsidRPr="00315936" w14:paraId="70B55913"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1A1DA9FA" w14:textId="1A42676A" w:rsidR="0068157E" w:rsidRPr="00315936" w:rsidRDefault="0068157E">
            <w:pPr>
              <w:pStyle w:val="Tablecolhead"/>
              <w:rPr>
                <w:b w:val="0"/>
                <w:lang w:eastAsia="en-AU"/>
              </w:rPr>
            </w:pPr>
            <w:r w:rsidRPr="00315936">
              <w:rPr>
                <w:b w:val="0"/>
                <w:lang w:eastAsia="en-AU"/>
              </w:rPr>
              <w:t>Not achieved</w:t>
            </w:r>
          </w:p>
        </w:tc>
        <w:tc>
          <w:tcPr>
            <w:tcW w:w="8503" w:type="dxa"/>
            <w:tcBorders>
              <w:left w:val="single" w:sz="6" w:space="0" w:color="000000" w:themeColor="text1"/>
            </w:tcBorders>
          </w:tcPr>
          <w:p w14:paraId="7F0EAAA4" w14:textId="61A86B49" w:rsidR="0068157E" w:rsidRPr="00315936" w:rsidRDefault="3E4E57C1" w:rsidP="18ED453A">
            <w:pPr>
              <w:pStyle w:val="Tabletext"/>
              <w:spacing w:line="279" w:lineRule="auto"/>
            </w:pPr>
            <w:r w:rsidRPr="18ED453A">
              <w:rPr>
                <w:rFonts w:eastAsia="Arial" w:cs="Arial"/>
                <w:color w:val="000000" w:themeColor="text1"/>
                <w:szCs w:val="21"/>
              </w:rPr>
              <w:t>Less than 25 per cent improvement from prior year</w:t>
            </w:r>
          </w:p>
        </w:tc>
      </w:tr>
      <w:tr w:rsidR="0068157E" w:rsidRPr="00315936" w14:paraId="644F0FD4" w14:textId="77777777" w:rsidTr="008E1561">
        <w:trPr>
          <w:trHeight w:val="300"/>
        </w:trPr>
        <w:tc>
          <w:tcPr>
            <w:tcW w:w="1837"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436815B7" w14:textId="77777777" w:rsidR="0068157E" w:rsidRPr="00315936" w:rsidRDefault="0068157E">
            <w:pPr>
              <w:pStyle w:val="Tablecolhead"/>
              <w:rPr>
                <w:b w:val="0"/>
                <w:lang w:eastAsia="en-AU"/>
              </w:rPr>
            </w:pPr>
            <w:r w:rsidRPr="00315936">
              <w:rPr>
                <w:b w:val="0"/>
                <w:lang w:eastAsia="en-AU"/>
              </w:rPr>
              <w:t>Improvement</w:t>
            </w:r>
          </w:p>
        </w:tc>
        <w:tc>
          <w:tcPr>
            <w:tcW w:w="8503" w:type="dxa"/>
            <w:tcBorders>
              <w:left w:val="single" w:sz="6" w:space="0" w:color="000000" w:themeColor="text1"/>
            </w:tcBorders>
          </w:tcPr>
          <w:p w14:paraId="0B15F46F" w14:textId="5D806B39" w:rsidR="0068157E" w:rsidRPr="00315936" w:rsidRDefault="42B78375" w:rsidP="18ED453A">
            <w:pPr>
              <w:pStyle w:val="Tabletext"/>
              <w:spacing w:line="279" w:lineRule="auto"/>
            </w:pPr>
            <w:r w:rsidRPr="4A3EC911">
              <w:rPr>
                <w:rFonts w:eastAsia="Arial" w:cs="Arial"/>
                <w:color w:val="000000" w:themeColor="text1"/>
              </w:rPr>
              <w:t xml:space="preserve">Performance is monitored against the previous </w:t>
            </w:r>
            <w:r w:rsidR="00CE27DF">
              <w:rPr>
                <w:rFonts w:eastAsia="Arial" w:cs="Arial"/>
                <w:color w:val="000000" w:themeColor="text1"/>
              </w:rPr>
              <w:t>year</w:t>
            </w:r>
            <w:r w:rsidR="00CE27DF" w:rsidRPr="4A3EC911">
              <w:rPr>
                <w:rFonts w:eastAsia="Arial" w:cs="Arial"/>
                <w:color w:val="000000" w:themeColor="text1"/>
              </w:rPr>
              <w:t xml:space="preserve">’s </w:t>
            </w:r>
            <w:r w:rsidRPr="4A3EC911">
              <w:rPr>
                <w:rFonts w:eastAsia="Arial" w:cs="Arial"/>
                <w:color w:val="000000" w:themeColor="text1"/>
              </w:rPr>
              <w:t>performance</w:t>
            </w:r>
          </w:p>
        </w:tc>
      </w:tr>
      <w:tr w:rsidR="0068157E" w:rsidRPr="00315936" w14:paraId="402710B2" w14:textId="77777777" w:rsidTr="008E1561">
        <w:trPr>
          <w:trHeight w:val="300"/>
        </w:trPr>
        <w:tc>
          <w:tcPr>
            <w:tcW w:w="1837"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481F191F" w14:textId="77777777" w:rsidR="0068157E" w:rsidRPr="00315936" w:rsidRDefault="0068157E">
            <w:pPr>
              <w:pStyle w:val="Tablecolhead"/>
              <w:rPr>
                <w:b w:val="0"/>
                <w:lang w:eastAsia="en-AU"/>
              </w:rPr>
            </w:pPr>
            <w:r w:rsidRPr="00315936">
              <w:rPr>
                <w:b w:val="0"/>
                <w:lang w:eastAsia="en-AU"/>
              </w:rPr>
              <w:t>Frequency of reporting and data collection</w:t>
            </w:r>
          </w:p>
        </w:tc>
        <w:tc>
          <w:tcPr>
            <w:tcW w:w="8503" w:type="dxa"/>
            <w:tcBorders>
              <w:left w:val="single" w:sz="6" w:space="0" w:color="000000" w:themeColor="text1"/>
            </w:tcBorders>
          </w:tcPr>
          <w:p w14:paraId="2481A0F7" w14:textId="1528C1B7" w:rsidR="73A12A2A" w:rsidRDefault="725DDECB" w:rsidP="18ED453A">
            <w:pPr>
              <w:pStyle w:val="Tabletext"/>
              <w:spacing w:line="279" w:lineRule="auto"/>
            </w:pPr>
            <w:r w:rsidRPr="18ED453A">
              <w:rPr>
                <w:rFonts w:eastAsia="Arial" w:cs="Arial"/>
                <w:color w:val="000000" w:themeColor="text1"/>
                <w:szCs w:val="21"/>
              </w:rPr>
              <w:t>Performance is monitored quarterly and assessed annually at the health service level.</w:t>
            </w:r>
          </w:p>
          <w:p w14:paraId="487B6038" w14:textId="6F383027" w:rsidR="0068157E" w:rsidRPr="00315936" w:rsidRDefault="0068157E">
            <w:pPr>
              <w:pStyle w:val="Tabletext"/>
              <w:rPr>
                <w:lang w:eastAsia="en-AU"/>
              </w:rPr>
            </w:pPr>
            <w:r w:rsidRPr="00315936">
              <w:t xml:space="preserve">Data are </w:t>
            </w:r>
            <w:r w:rsidR="005E56F4" w:rsidRPr="00315936">
              <w:t xml:space="preserve">sourced from </w:t>
            </w:r>
            <w:r w:rsidR="00B3760A">
              <w:t>Elective Surgery Information System (ESIS)</w:t>
            </w:r>
            <w:r w:rsidR="00B3760A" w:rsidRPr="00315936">
              <w:t>.</w:t>
            </w:r>
            <w:r w:rsidRPr="00315936">
              <w:t xml:space="preserve"> </w:t>
            </w:r>
          </w:p>
        </w:tc>
      </w:tr>
    </w:tbl>
    <w:p w14:paraId="628B27C7" w14:textId="34FA61C3" w:rsidR="00551F01" w:rsidRPr="00176947" w:rsidRDefault="00A478BC" w:rsidP="008E7F78">
      <w:pPr>
        <w:pStyle w:val="Heading4"/>
      </w:pPr>
      <w:bookmarkStart w:id="93" w:name="_Toc301510355"/>
      <w:r w:rsidRPr="00176947">
        <w:t>Number of patients admitted from the planned surgery waiting list</w:t>
      </w:r>
      <w:bookmarkEnd w:id="93"/>
    </w:p>
    <w:tbl>
      <w:tblPr>
        <w:tblStyle w:val="TableGrid"/>
        <w:tblW w:w="10343" w:type="dxa"/>
        <w:tblInd w:w="-3" w:type="dxa"/>
        <w:tblLook w:val="04A0" w:firstRow="1" w:lastRow="0" w:firstColumn="1" w:lastColumn="0" w:noHBand="0" w:noVBand="1"/>
      </w:tblPr>
      <w:tblGrid>
        <w:gridCol w:w="1838"/>
        <w:gridCol w:w="8505"/>
      </w:tblGrid>
      <w:tr w:rsidR="00DD7928" w:rsidRPr="00315936" w14:paraId="7C1B4401" w14:textId="77777777" w:rsidTr="55528ABA">
        <w:trPr>
          <w:trHeight w:val="300"/>
        </w:trPr>
        <w:tc>
          <w:tcPr>
            <w:tcW w:w="1838" w:type="dxa"/>
            <w:tcBorders>
              <w:top w:val="single" w:sz="6" w:space="0" w:color="auto"/>
              <w:left w:val="single" w:sz="6" w:space="0" w:color="auto"/>
              <w:bottom w:val="single" w:sz="6" w:space="0" w:color="FFFFFF" w:themeColor="background1"/>
              <w:right w:val="single" w:sz="6" w:space="0" w:color="000000" w:themeColor="text1"/>
            </w:tcBorders>
            <w:shd w:val="clear" w:color="auto" w:fill="000066"/>
          </w:tcPr>
          <w:p w14:paraId="6941AF6C" w14:textId="4AAF0172" w:rsidR="00F929D1" w:rsidRPr="00315936" w:rsidRDefault="00C3016B">
            <w:pPr>
              <w:pStyle w:val="Tablecolhead"/>
              <w:rPr>
                <w:b w:val="0"/>
                <w:lang w:eastAsia="en-AU"/>
              </w:rPr>
            </w:pPr>
            <w:r w:rsidRPr="00315936">
              <w:rPr>
                <w:b w:val="0"/>
                <w:lang w:eastAsia="en-AU"/>
              </w:rPr>
              <w:t>Measure</w:t>
            </w:r>
          </w:p>
        </w:tc>
        <w:tc>
          <w:tcPr>
            <w:tcW w:w="8505" w:type="dxa"/>
            <w:tcBorders>
              <w:left w:val="single" w:sz="6" w:space="0" w:color="000000" w:themeColor="text1"/>
            </w:tcBorders>
            <w:vAlign w:val="bottom"/>
          </w:tcPr>
          <w:p w14:paraId="17F3B960" w14:textId="77777777" w:rsidR="00F929D1" w:rsidRPr="00315936" w:rsidRDefault="00F929D1">
            <w:pPr>
              <w:pStyle w:val="Tabletext"/>
              <w:rPr>
                <w:lang w:eastAsia="en-AU"/>
              </w:rPr>
            </w:pPr>
            <w:r w:rsidRPr="00315936">
              <w:t>Number of patients admitted from the planned surgery waiting list</w:t>
            </w:r>
          </w:p>
        </w:tc>
      </w:tr>
      <w:tr w:rsidR="00DD7928" w:rsidRPr="00315936" w14:paraId="27FD327F"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D0CDA0B" w14:textId="77777777" w:rsidR="00F929D1" w:rsidRPr="00315936" w:rsidRDefault="00F929D1">
            <w:pPr>
              <w:pStyle w:val="Tablecolhead"/>
              <w:rPr>
                <w:b w:val="0"/>
                <w:lang w:eastAsia="en-AU"/>
              </w:rPr>
            </w:pPr>
            <w:r w:rsidRPr="00315936">
              <w:rPr>
                <w:b w:val="0"/>
                <w:lang w:eastAsia="en-AU"/>
              </w:rPr>
              <w:t>Description </w:t>
            </w:r>
          </w:p>
        </w:tc>
        <w:tc>
          <w:tcPr>
            <w:tcW w:w="8505" w:type="dxa"/>
            <w:tcBorders>
              <w:left w:val="single" w:sz="6" w:space="0" w:color="000000" w:themeColor="text1"/>
            </w:tcBorders>
          </w:tcPr>
          <w:p w14:paraId="31159F41" w14:textId="30974F6F" w:rsidR="00F929D1" w:rsidRPr="00315936" w:rsidRDefault="00F929D1">
            <w:pPr>
              <w:pStyle w:val="Tabletext"/>
            </w:pPr>
            <w:r w:rsidRPr="00315936">
              <w:t>This</w:t>
            </w:r>
            <w:r w:rsidRPr="00315936" w:rsidDel="00DC7231">
              <w:t xml:space="preserve"> </w:t>
            </w:r>
            <w:r w:rsidRPr="00315936">
              <w:t xml:space="preserve">measures the stocks and flows of planned surgery patients and assists </w:t>
            </w:r>
            <w:r w:rsidR="00D121E6">
              <w:t xml:space="preserve">in </w:t>
            </w:r>
            <w:r w:rsidRPr="00315936">
              <w:t>understanding demand management of planned surgery patients.</w:t>
            </w:r>
          </w:p>
          <w:p w14:paraId="6C9B9703" w14:textId="0573E73C" w:rsidR="00F929D1" w:rsidRPr="00315936" w:rsidRDefault="00F929D1">
            <w:pPr>
              <w:pStyle w:val="Tabletext"/>
              <w:rPr>
                <w:lang w:eastAsia="en-AU"/>
              </w:rPr>
            </w:pPr>
          </w:p>
        </w:tc>
      </w:tr>
      <w:tr w:rsidR="00DD7928" w:rsidRPr="00315936" w14:paraId="7F5ABCC2"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786F4E6" w14:textId="77777777" w:rsidR="00F929D1" w:rsidRPr="00315936" w:rsidRDefault="00F929D1">
            <w:pPr>
              <w:pStyle w:val="Tablecolhead"/>
              <w:rPr>
                <w:b w:val="0"/>
                <w:lang w:eastAsia="en-AU"/>
              </w:rPr>
            </w:pPr>
            <w:r w:rsidRPr="00315936">
              <w:rPr>
                <w:b w:val="0"/>
                <w:lang w:eastAsia="en-AU"/>
              </w:rPr>
              <w:t>Calculating performance</w:t>
            </w:r>
          </w:p>
        </w:tc>
        <w:tc>
          <w:tcPr>
            <w:tcW w:w="8505" w:type="dxa"/>
            <w:tcBorders>
              <w:left w:val="single" w:sz="6" w:space="0" w:color="000000" w:themeColor="text1"/>
            </w:tcBorders>
          </w:tcPr>
          <w:p w14:paraId="4F6DEF53" w14:textId="579C3610" w:rsidR="00F929D1" w:rsidRPr="00315936" w:rsidRDefault="00F929D1">
            <w:pPr>
              <w:pStyle w:val="Tabletext"/>
            </w:pPr>
            <w:r w:rsidRPr="00315936">
              <w:t>The number of patients during the reporting period who have been admitted for the awaited procedure, or</w:t>
            </w:r>
            <w:r w:rsidR="00205CA2">
              <w:t xml:space="preserve"> a</w:t>
            </w:r>
            <w:r w:rsidRPr="00315936">
              <w:t xml:space="preserve"> related procedure that addresses the clinical condition for which they were added to the planned surgery list.</w:t>
            </w:r>
          </w:p>
          <w:p w14:paraId="55CAF48D" w14:textId="441C7739" w:rsidR="00921793" w:rsidRDefault="4546AB92" w:rsidP="55528ABA">
            <w:pPr>
              <w:pStyle w:val="Tablebullet1"/>
              <w:rPr>
                <w:rStyle w:val="EndnoteReference"/>
              </w:rPr>
            </w:pPr>
            <w:r>
              <w:t>This measure is assessed using records assigned an intended procedure code other than IP401 (Gastroscopy</w:t>
            </w:r>
            <w:r w:rsidR="7C767527">
              <w:t>)</w:t>
            </w:r>
            <w:r w:rsidR="3BEB0E6F">
              <w:t xml:space="preserve"> or</w:t>
            </w:r>
            <w:r>
              <w:t xml:space="preserve"> IP402 (Colonoscopy</w:t>
            </w:r>
            <w:bookmarkStart w:id="94" w:name="_Int_uS2h2t4k"/>
            <w:r w:rsidR="6287B037">
              <w:t>)</w:t>
            </w:r>
            <w:r w:rsidR="38B97092">
              <w:t>.</w:t>
            </w:r>
            <w:r w:rsidR="62037B09">
              <w:fldChar w:fldCharType="begin"/>
            </w:r>
            <w:r w:rsidR="62037B09">
              <w:instrText xml:space="preserve"> NOTEREF _Ref201833425 \f \h </w:instrText>
            </w:r>
            <w:r w:rsidR="62037B09">
              <w:fldChar w:fldCharType="separate"/>
            </w:r>
            <w:r w:rsidR="6838ECCC" w:rsidRPr="55528ABA">
              <w:rPr>
                <w:rStyle w:val="EndnoteReference"/>
              </w:rPr>
              <w:t>xiii</w:t>
            </w:r>
            <w:r w:rsidR="62037B09">
              <w:fldChar w:fldCharType="end"/>
            </w:r>
            <w:bookmarkEnd w:id="94"/>
          </w:p>
          <w:p w14:paraId="73DB74BF" w14:textId="0C0BEF3D" w:rsidR="009B24D3" w:rsidRPr="00315936" w:rsidRDefault="009B24D3" w:rsidP="009B24D3">
            <w:pPr>
              <w:pStyle w:val="Tablebullet1"/>
              <w:numPr>
                <w:ilvl w:val="0"/>
                <w:numId w:val="0"/>
              </w:numPr>
            </w:pPr>
            <w:r>
              <w:t xml:space="preserve">A patient is counted as being admitted </w:t>
            </w:r>
            <w:r w:rsidR="00D32CE3">
              <w:t xml:space="preserve">if the </w:t>
            </w:r>
            <w:r w:rsidR="00264626">
              <w:t>admission</w:t>
            </w:r>
            <w:r w:rsidR="00264626" w:rsidRPr="00315936">
              <w:t xml:space="preserve"> </w:t>
            </w:r>
            <w:r w:rsidR="00D32CE3" w:rsidRPr="00315936">
              <w:t xml:space="preserve">date falls within the </w:t>
            </w:r>
            <w:r w:rsidR="00D32CE3">
              <w:t xml:space="preserve">reporting period and </w:t>
            </w:r>
            <w:r w:rsidRPr="00315936">
              <w:t>the reason for removal is any one of the following:</w:t>
            </w:r>
          </w:p>
          <w:p w14:paraId="3E238E26" w14:textId="77777777" w:rsidR="00F929D1" w:rsidRPr="00315936" w:rsidRDefault="00F929D1">
            <w:pPr>
              <w:pStyle w:val="Tablebullet1"/>
            </w:pPr>
            <w:r w:rsidRPr="00315936">
              <w:t>W – admitted to the intended campus and has received the awaited procedure</w:t>
            </w:r>
          </w:p>
          <w:p w14:paraId="75112443" w14:textId="77777777" w:rsidR="00F929D1" w:rsidRPr="00315936" w:rsidRDefault="00F929D1">
            <w:pPr>
              <w:pStyle w:val="Tablebullet1"/>
            </w:pPr>
            <w:r w:rsidRPr="00315936">
              <w:t>S – admitted to another campus arranged by ESAS and has received the awaited procedure</w:t>
            </w:r>
          </w:p>
          <w:p w14:paraId="2DA92417" w14:textId="77777777" w:rsidR="00F929D1" w:rsidRPr="00315936" w:rsidRDefault="00F929D1">
            <w:pPr>
              <w:pStyle w:val="Tablebullet1"/>
            </w:pPr>
            <w:r w:rsidRPr="00315936">
              <w:t>X – admitted to another campus arranged by this campus/health service and has received the awaited procedure under other contract or similar arrangement.</w:t>
            </w:r>
          </w:p>
          <w:p w14:paraId="505D4FA0" w14:textId="753F23AA" w:rsidR="008619D0" w:rsidRDefault="00F929D1" w:rsidP="00D82F1E">
            <w:pPr>
              <w:pStyle w:val="Tablebullet1"/>
            </w:pPr>
            <w:r w:rsidRPr="00315936">
              <w:t xml:space="preserve">P – special purpose, COVID-19 </w:t>
            </w:r>
            <w:r w:rsidRPr="00315936">
              <w:br/>
              <w:t>admitted to another campus arranged by this campus/health service and has received the awaited procedure under contract or similar arrangement due to the COVID-19 response</w:t>
            </w:r>
            <w:r w:rsidR="00F6529F">
              <w:t>.</w:t>
            </w:r>
          </w:p>
          <w:p w14:paraId="4E3DA932" w14:textId="2CB09C90" w:rsidR="00F96211" w:rsidRDefault="00F96211" w:rsidP="00F96211">
            <w:pPr>
              <w:pStyle w:val="Tabletext"/>
            </w:pPr>
            <w:r>
              <w:t>Individual targets are negotiated with each health service</w:t>
            </w:r>
            <w:r w:rsidR="00552A1F">
              <w:t xml:space="preserve"> and are set</w:t>
            </w:r>
            <w:r>
              <w:t xml:space="preserve"> at the health service level, rather than individual hospital level.</w:t>
            </w:r>
            <w:r w:rsidR="00552A1F">
              <w:t xml:space="preserve"> </w:t>
            </w:r>
            <w:r>
              <w:t>H</w:t>
            </w:r>
            <w:r w:rsidRPr="00315936">
              <w:t>ealth services provide the department with phased monthly targets</w:t>
            </w:r>
            <w:r w:rsidR="003A4114">
              <w:t xml:space="preserve"> which </w:t>
            </w:r>
            <w:r w:rsidR="003A4114" w:rsidRPr="00315936">
              <w:t>reflect peaks in emergency demand and seasonal capacity limitations</w:t>
            </w:r>
            <w:r>
              <w:t xml:space="preserve"> t</w:t>
            </w:r>
            <w:r w:rsidRPr="00315936">
              <w:t xml:space="preserve">o enable </w:t>
            </w:r>
            <w:r>
              <w:t>monitoring across the year</w:t>
            </w:r>
            <w:r w:rsidRPr="00315936">
              <w:t>.</w:t>
            </w:r>
          </w:p>
          <w:p w14:paraId="6D3E0535" w14:textId="2111DC0A" w:rsidR="00F929D1" w:rsidRPr="00535D2B" w:rsidRDefault="008619D0" w:rsidP="00F96211">
            <w:pPr>
              <w:pStyle w:val="Tabletext"/>
              <w:rPr>
                <w:rFonts w:eastAsia="VIC" w:cs="VIC"/>
                <w:color w:val="000000" w:themeColor="text1"/>
              </w:rPr>
            </w:pPr>
            <w:r w:rsidRPr="00315936">
              <w:rPr>
                <w:rFonts w:eastAsia="VIC" w:cs="VIC"/>
              </w:rPr>
              <w:t>The target will be reported as a year-to-date figure that will be cumulative across the financial year.</w:t>
            </w:r>
          </w:p>
        </w:tc>
      </w:tr>
      <w:tr w:rsidR="00DD7928" w:rsidRPr="00315936" w14:paraId="70EEEA3C"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57085E14" w14:textId="77777777" w:rsidR="00F929D1" w:rsidRPr="00315936" w:rsidRDefault="00F929D1">
            <w:pPr>
              <w:pStyle w:val="Tablecolhead"/>
              <w:rPr>
                <w:b w:val="0"/>
                <w:lang w:eastAsia="en-AU"/>
              </w:rPr>
            </w:pPr>
            <w:r w:rsidRPr="00315936">
              <w:rPr>
                <w:b w:val="0"/>
                <w:lang w:eastAsia="en-AU"/>
              </w:rPr>
              <w:t>Numerator</w:t>
            </w:r>
          </w:p>
        </w:tc>
        <w:tc>
          <w:tcPr>
            <w:tcW w:w="8505" w:type="dxa"/>
            <w:tcBorders>
              <w:left w:val="single" w:sz="6" w:space="0" w:color="000000" w:themeColor="text1"/>
            </w:tcBorders>
          </w:tcPr>
          <w:p w14:paraId="770E0BFD" w14:textId="77777777" w:rsidR="00F929D1" w:rsidRPr="00315936" w:rsidRDefault="00F929D1">
            <w:pPr>
              <w:pStyle w:val="Tabletext"/>
              <w:rPr>
                <w:lang w:eastAsia="en-AU"/>
              </w:rPr>
            </w:pPr>
            <w:r w:rsidRPr="00315936">
              <w:t xml:space="preserve">Total number of admitted patients </w:t>
            </w:r>
          </w:p>
        </w:tc>
      </w:tr>
      <w:tr w:rsidR="00862D35" w:rsidRPr="00315936" w14:paraId="05B9FDC1" w14:textId="77777777" w:rsidTr="55528ABA">
        <w:trPr>
          <w:trHeight w:val="300"/>
        </w:trPr>
        <w:tc>
          <w:tcPr>
            <w:tcW w:w="18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05774B5" w14:textId="77777777" w:rsidR="0082431A" w:rsidRPr="00315936" w:rsidRDefault="0082431A">
            <w:pPr>
              <w:pStyle w:val="Tablecolhead"/>
              <w:rPr>
                <w:b w:val="0"/>
                <w:lang w:eastAsia="en-AU"/>
              </w:rPr>
            </w:pPr>
            <w:r w:rsidRPr="00315936">
              <w:rPr>
                <w:b w:val="0"/>
                <w:lang w:eastAsia="en-AU"/>
              </w:rPr>
              <w:t>Denominator</w:t>
            </w:r>
          </w:p>
        </w:tc>
        <w:tc>
          <w:tcPr>
            <w:tcW w:w="8505" w:type="dxa"/>
            <w:tcBorders>
              <w:left w:val="single" w:sz="4" w:space="0" w:color="FFFFFF" w:themeColor="background1"/>
            </w:tcBorders>
          </w:tcPr>
          <w:p w14:paraId="7625083D" w14:textId="77777777" w:rsidR="0082431A" w:rsidRPr="00315936" w:rsidRDefault="0082431A">
            <w:pPr>
              <w:pStyle w:val="Tabletext"/>
              <w:rPr>
                <w:rFonts w:eastAsia="Arial Nova"/>
              </w:rPr>
            </w:pPr>
            <w:r w:rsidRPr="00315936">
              <w:rPr>
                <w:rFonts w:eastAsia="Arial Nova"/>
              </w:rPr>
              <w:t xml:space="preserve">N/A </w:t>
            </w:r>
          </w:p>
        </w:tc>
      </w:tr>
      <w:tr w:rsidR="00DD7928" w:rsidRPr="00315936" w14:paraId="5644FB93"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596F335" w14:textId="77777777" w:rsidR="00F929D1" w:rsidRPr="00315936" w:rsidRDefault="00F929D1">
            <w:pPr>
              <w:pStyle w:val="Tablecolhead"/>
              <w:rPr>
                <w:b w:val="0"/>
                <w:lang w:eastAsia="en-AU"/>
              </w:rPr>
            </w:pPr>
            <w:r w:rsidRPr="00315936">
              <w:rPr>
                <w:b w:val="0"/>
                <w:lang w:eastAsia="en-AU"/>
              </w:rPr>
              <w:t>Statewide target</w:t>
            </w:r>
          </w:p>
        </w:tc>
        <w:tc>
          <w:tcPr>
            <w:tcW w:w="8505" w:type="dxa"/>
            <w:tcBorders>
              <w:left w:val="single" w:sz="6" w:space="0" w:color="000000" w:themeColor="text1"/>
            </w:tcBorders>
            <w:vAlign w:val="bottom"/>
          </w:tcPr>
          <w:p w14:paraId="7AFCFB63" w14:textId="67130299" w:rsidR="00F929D1" w:rsidRPr="00315936" w:rsidRDefault="10958E6B">
            <w:pPr>
              <w:pStyle w:val="Tabletext"/>
              <w:rPr>
                <w:highlight w:val="yellow"/>
                <w:lang w:eastAsia="en-AU"/>
              </w:rPr>
            </w:pPr>
            <w:r w:rsidRPr="00076BEC">
              <w:t xml:space="preserve"> The total of all</w:t>
            </w:r>
            <w:r w:rsidR="06BE449D" w:rsidRPr="00076BEC">
              <w:t xml:space="preserve"> individual</w:t>
            </w:r>
            <w:r w:rsidRPr="00076BEC">
              <w:t xml:space="preserve"> </w:t>
            </w:r>
            <w:r w:rsidR="0185BEF4" w:rsidRPr="00076BEC">
              <w:t xml:space="preserve">health service </w:t>
            </w:r>
            <w:r w:rsidRPr="00076BEC">
              <w:t>target</w:t>
            </w:r>
            <w:r w:rsidR="4DAD59B5" w:rsidRPr="00076BEC">
              <w:t>s</w:t>
            </w:r>
            <w:r w:rsidRPr="00076BEC">
              <w:t xml:space="preserve"> as agreed in </w:t>
            </w:r>
            <w:r w:rsidR="35AFF049" w:rsidRPr="00076BEC">
              <w:t xml:space="preserve">their </w:t>
            </w:r>
            <w:proofErr w:type="spellStart"/>
            <w:r w:rsidR="35AFF049" w:rsidRPr="00076BEC">
              <w:t>SoP</w:t>
            </w:r>
            <w:proofErr w:type="spellEnd"/>
            <w:r w:rsidR="00CE665A">
              <w:t>.</w:t>
            </w:r>
          </w:p>
        </w:tc>
      </w:tr>
      <w:tr w:rsidR="00DD7928" w:rsidRPr="00315936" w14:paraId="61ADF17F"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3F994BDE" w14:textId="64F633FF" w:rsidR="007B7063" w:rsidRPr="00315936" w:rsidRDefault="007B7063" w:rsidP="007B7063">
            <w:pPr>
              <w:pStyle w:val="Tablecolhead"/>
              <w:rPr>
                <w:b w:val="0"/>
                <w:lang w:eastAsia="en-AU"/>
              </w:rPr>
            </w:pPr>
            <w:r w:rsidRPr="00315936">
              <w:rPr>
                <w:b w:val="0"/>
                <w:lang w:eastAsia="en-AU"/>
              </w:rPr>
              <w:t>Achieved</w:t>
            </w:r>
          </w:p>
        </w:tc>
        <w:tc>
          <w:tcPr>
            <w:tcW w:w="8505" w:type="dxa"/>
            <w:tcBorders>
              <w:left w:val="single" w:sz="6" w:space="0" w:color="000000" w:themeColor="text1"/>
            </w:tcBorders>
          </w:tcPr>
          <w:p w14:paraId="77004D9A" w14:textId="66698380" w:rsidR="007B7063" w:rsidRPr="00315936" w:rsidRDefault="007B7063" w:rsidP="007B7063">
            <w:pPr>
              <w:pStyle w:val="Tabletext"/>
            </w:pPr>
            <w:r w:rsidRPr="00E65A9B">
              <w:rPr>
                <w:rFonts w:eastAsia="Aptos"/>
              </w:rPr>
              <w:t xml:space="preserve">Greater than or equal to </w:t>
            </w:r>
            <w:r w:rsidR="3ECA20D9" w:rsidRPr="79F3CB50">
              <w:rPr>
                <w:rFonts w:eastAsia="Aptos"/>
              </w:rPr>
              <w:t>total of all</w:t>
            </w:r>
            <w:r w:rsidR="42D6D429" w:rsidRPr="79F3CB50">
              <w:rPr>
                <w:rFonts w:eastAsia="Aptos"/>
              </w:rPr>
              <w:t xml:space="preserve"> </w:t>
            </w:r>
            <w:r w:rsidRPr="00E65A9B">
              <w:rPr>
                <w:rFonts w:eastAsia="Aptos"/>
              </w:rPr>
              <w:t xml:space="preserve">health service </w:t>
            </w:r>
            <w:r w:rsidR="42D6D429" w:rsidRPr="79F3CB50">
              <w:rPr>
                <w:rFonts w:eastAsia="Aptos"/>
              </w:rPr>
              <w:t>target</w:t>
            </w:r>
            <w:r w:rsidR="4D772A93" w:rsidRPr="79F3CB50">
              <w:rPr>
                <w:rFonts w:eastAsia="Aptos"/>
              </w:rPr>
              <w:t>s</w:t>
            </w:r>
          </w:p>
        </w:tc>
      </w:tr>
      <w:tr w:rsidR="00DD7928" w:rsidRPr="00315936" w14:paraId="72B8664D"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69168C58" w14:textId="3C774372" w:rsidR="007B7063" w:rsidRPr="00315936" w:rsidRDefault="007B7063" w:rsidP="007B7063">
            <w:pPr>
              <w:pStyle w:val="Tablecolhead"/>
              <w:rPr>
                <w:b w:val="0"/>
                <w:lang w:eastAsia="en-AU"/>
              </w:rPr>
            </w:pPr>
            <w:r w:rsidRPr="00315936">
              <w:rPr>
                <w:b w:val="0"/>
                <w:lang w:eastAsia="en-AU"/>
              </w:rPr>
              <w:t>Not achieved</w:t>
            </w:r>
          </w:p>
        </w:tc>
        <w:tc>
          <w:tcPr>
            <w:tcW w:w="8505" w:type="dxa"/>
            <w:tcBorders>
              <w:left w:val="single" w:sz="6" w:space="0" w:color="000000" w:themeColor="text1"/>
            </w:tcBorders>
          </w:tcPr>
          <w:p w14:paraId="21130BCC" w14:textId="734AC093" w:rsidR="007B7063" w:rsidRPr="00315936" w:rsidRDefault="007B7063" w:rsidP="007B7063">
            <w:pPr>
              <w:pStyle w:val="Tabletext"/>
            </w:pPr>
            <w:r w:rsidRPr="00E65A9B">
              <w:rPr>
                <w:rFonts w:eastAsia="Aptos"/>
              </w:rPr>
              <w:t xml:space="preserve">Less than </w:t>
            </w:r>
            <w:r w:rsidR="113810FC" w:rsidRPr="79F3CB50">
              <w:rPr>
                <w:rFonts w:eastAsia="Aptos"/>
              </w:rPr>
              <w:t>the total of all</w:t>
            </w:r>
            <w:r w:rsidR="42D6D429" w:rsidRPr="79F3CB50">
              <w:rPr>
                <w:rFonts w:eastAsia="Aptos"/>
              </w:rPr>
              <w:t xml:space="preserve"> </w:t>
            </w:r>
            <w:r w:rsidRPr="00E65A9B">
              <w:rPr>
                <w:rFonts w:eastAsia="Aptos"/>
              </w:rPr>
              <w:t xml:space="preserve">health service </w:t>
            </w:r>
            <w:r w:rsidR="42D6D429" w:rsidRPr="79F3CB50">
              <w:rPr>
                <w:rFonts w:eastAsia="Aptos"/>
              </w:rPr>
              <w:t>target</w:t>
            </w:r>
            <w:r w:rsidR="669E1337" w:rsidRPr="79F3CB50">
              <w:rPr>
                <w:rFonts w:eastAsia="Aptos"/>
              </w:rPr>
              <w:t>s</w:t>
            </w:r>
          </w:p>
        </w:tc>
      </w:tr>
      <w:tr w:rsidR="00DD7928" w:rsidRPr="00315936" w14:paraId="18AF328D" w14:textId="77777777" w:rsidTr="55528ABA">
        <w:trPr>
          <w:trHeight w:val="300"/>
        </w:trPr>
        <w:tc>
          <w:tcPr>
            <w:tcW w:w="1838" w:type="dxa"/>
            <w:tcBorders>
              <w:top w:val="single" w:sz="6" w:space="0" w:color="FFFFFF" w:themeColor="background1"/>
              <w:left w:val="single" w:sz="6" w:space="0" w:color="auto"/>
              <w:bottom w:val="single" w:sz="6" w:space="0" w:color="FFFFFF" w:themeColor="background1"/>
              <w:right w:val="single" w:sz="6" w:space="0" w:color="000000" w:themeColor="text1"/>
            </w:tcBorders>
            <w:shd w:val="clear" w:color="auto" w:fill="000066"/>
          </w:tcPr>
          <w:p w14:paraId="2818101A" w14:textId="77777777" w:rsidR="00F929D1" w:rsidRPr="00315936" w:rsidRDefault="00F929D1">
            <w:pPr>
              <w:pStyle w:val="Tablecolhead"/>
              <w:rPr>
                <w:b w:val="0"/>
                <w:lang w:eastAsia="en-AU"/>
              </w:rPr>
            </w:pPr>
            <w:r w:rsidRPr="00315936">
              <w:rPr>
                <w:b w:val="0"/>
                <w:lang w:eastAsia="en-AU"/>
              </w:rPr>
              <w:t>Improvement</w:t>
            </w:r>
          </w:p>
        </w:tc>
        <w:tc>
          <w:tcPr>
            <w:tcW w:w="8505" w:type="dxa"/>
            <w:tcBorders>
              <w:left w:val="single" w:sz="6" w:space="0" w:color="000000" w:themeColor="text1"/>
            </w:tcBorders>
          </w:tcPr>
          <w:p w14:paraId="3E2E7E47" w14:textId="0E98F103" w:rsidR="00F929D1" w:rsidRPr="00315936" w:rsidRDefault="00F929D1">
            <w:pPr>
              <w:pStyle w:val="Tabletext"/>
              <w:rPr>
                <w:lang w:eastAsia="en-AU"/>
              </w:rPr>
            </w:pPr>
            <w:proofErr w:type="gramStart"/>
            <w:r>
              <w:t>For the purpose of</w:t>
            </w:r>
            <w:proofErr w:type="gramEnd"/>
            <w:r>
              <w:t xml:space="preserve"> the performance risk assessment, improvement is assessed quarterly based on performance against phased targets, compared to previous quarter performance. </w:t>
            </w:r>
          </w:p>
        </w:tc>
      </w:tr>
      <w:tr w:rsidR="00DD7928" w:rsidRPr="00315936" w14:paraId="59A0E3D3" w14:textId="77777777" w:rsidTr="55528ABA">
        <w:trPr>
          <w:trHeight w:val="300"/>
        </w:trPr>
        <w:tc>
          <w:tcPr>
            <w:tcW w:w="1838" w:type="dxa"/>
            <w:tcBorders>
              <w:top w:val="single" w:sz="6" w:space="0" w:color="FFFFFF" w:themeColor="background1"/>
              <w:left w:val="single" w:sz="6" w:space="0" w:color="auto"/>
              <w:bottom w:val="single" w:sz="6" w:space="0" w:color="auto"/>
              <w:right w:val="single" w:sz="6" w:space="0" w:color="000000" w:themeColor="text1"/>
            </w:tcBorders>
            <w:shd w:val="clear" w:color="auto" w:fill="000066"/>
          </w:tcPr>
          <w:p w14:paraId="14330D03" w14:textId="77777777" w:rsidR="00F929D1" w:rsidRPr="00315936" w:rsidRDefault="00F929D1">
            <w:pPr>
              <w:pStyle w:val="Tablecolhead"/>
              <w:rPr>
                <w:b w:val="0"/>
                <w:lang w:eastAsia="en-AU"/>
              </w:rPr>
            </w:pPr>
            <w:r w:rsidRPr="00315936">
              <w:rPr>
                <w:b w:val="0"/>
                <w:lang w:eastAsia="en-AU"/>
              </w:rPr>
              <w:t>Frequency of reporting and data collection</w:t>
            </w:r>
          </w:p>
        </w:tc>
        <w:tc>
          <w:tcPr>
            <w:tcW w:w="8505" w:type="dxa"/>
            <w:tcBorders>
              <w:left w:val="single" w:sz="6" w:space="0" w:color="000000" w:themeColor="text1"/>
            </w:tcBorders>
          </w:tcPr>
          <w:p w14:paraId="6763ED60" w14:textId="5C8699E0" w:rsidR="00CF79CE" w:rsidRPr="00315936" w:rsidRDefault="00CF79CE">
            <w:pPr>
              <w:pStyle w:val="Tabletext"/>
            </w:pPr>
            <w:r w:rsidRPr="00315936">
              <w:t>Year to date p</w:t>
            </w:r>
            <w:r w:rsidR="00F929D1" w:rsidRPr="00315936">
              <w:t xml:space="preserve">erformance is </w:t>
            </w:r>
            <w:r w:rsidR="00257AAD" w:rsidRPr="00315936">
              <w:t xml:space="preserve">reported </w:t>
            </w:r>
            <w:r w:rsidR="00F929D1" w:rsidRPr="00315936">
              <w:t>monthly</w:t>
            </w:r>
            <w:r w:rsidR="00C1040E" w:rsidRPr="00315936">
              <w:t xml:space="preserve"> </w:t>
            </w:r>
            <w:r w:rsidRPr="00315936">
              <w:t>at the health service level</w:t>
            </w:r>
            <w:r w:rsidR="00F929D1" w:rsidRPr="00315936">
              <w:t>.</w:t>
            </w:r>
          </w:p>
          <w:p w14:paraId="24FEAF89" w14:textId="2A3EF89F" w:rsidR="00F929D1" w:rsidRPr="00315936" w:rsidRDefault="00F929D1">
            <w:pPr>
              <w:pStyle w:val="Tabletext"/>
              <w:rPr>
                <w:lang w:eastAsia="en-AU"/>
              </w:rPr>
            </w:pPr>
            <w:r w:rsidRPr="00315936">
              <w:t xml:space="preserve">Data are </w:t>
            </w:r>
            <w:r w:rsidR="00CF79CE" w:rsidRPr="00315936">
              <w:t>sourced</w:t>
            </w:r>
            <w:r w:rsidR="002870A4" w:rsidRPr="00315936">
              <w:t xml:space="preserve"> from</w:t>
            </w:r>
            <w:r w:rsidR="00C1040E" w:rsidRPr="00315936">
              <w:t xml:space="preserve"> </w:t>
            </w:r>
            <w:r w:rsidR="000B40BE">
              <w:t>the Elective Surgery Information System (ESIS)</w:t>
            </w:r>
            <w:r w:rsidRPr="00315936">
              <w:t xml:space="preserve">. </w:t>
            </w:r>
          </w:p>
        </w:tc>
      </w:tr>
    </w:tbl>
    <w:p w14:paraId="66BE8C3F" w14:textId="47DA3303" w:rsidR="007C0EE4" w:rsidRPr="00315936" w:rsidRDefault="007C0EE4" w:rsidP="008E7F78">
      <w:pPr>
        <w:pStyle w:val="Heading4"/>
      </w:pPr>
      <w:r>
        <w:t>Optimisation of surgical inpatient length of stay, including through use of virtual and home-based pre- and post-operative models of care </w:t>
      </w:r>
    </w:p>
    <w:tbl>
      <w:tblPr>
        <w:tblStyle w:val="TableGrid"/>
        <w:tblW w:w="10343" w:type="dxa"/>
        <w:tblLook w:val="04A0" w:firstRow="1" w:lastRow="0" w:firstColumn="1" w:lastColumn="0" w:noHBand="0" w:noVBand="1"/>
      </w:tblPr>
      <w:tblGrid>
        <w:gridCol w:w="1837"/>
        <w:gridCol w:w="8506"/>
      </w:tblGrid>
      <w:tr w:rsidR="007C0EE4" w:rsidRPr="00315936" w14:paraId="6E1550E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AC9D576" w14:textId="77777777" w:rsidR="007C0EE4" w:rsidRPr="00315936" w:rsidRDefault="007C0EE4">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4C0EC7D7" w14:textId="77777777" w:rsidR="007C0EE4" w:rsidRPr="00315936" w:rsidRDefault="007C0EE4">
            <w:pPr>
              <w:pStyle w:val="Tabletext"/>
              <w:rPr>
                <w:lang w:eastAsia="en-AU"/>
              </w:rPr>
            </w:pPr>
            <w:r w:rsidRPr="00315936">
              <w:rPr>
                <w:rFonts w:cs="Arial"/>
                <w:color w:val="000000"/>
                <w:szCs w:val="21"/>
                <w:shd w:val="clear" w:color="auto" w:fill="FFFFFF"/>
              </w:rPr>
              <w:t>Optimisation of surgical inpatient length of stay, including through use of virtual and home-based pre- and post-operative models of care</w:t>
            </w:r>
            <w:r w:rsidRPr="00315936">
              <w:rPr>
                <w:rStyle w:val="eop"/>
                <w:rFonts w:eastAsia="MS Gothic" w:cs="Arial"/>
                <w:color w:val="000000"/>
                <w:szCs w:val="21"/>
                <w:shd w:val="clear" w:color="auto" w:fill="FFFFFF"/>
              </w:rPr>
              <w:t> </w:t>
            </w:r>
          </w:p>
        </w:tc>
      </w:tr>
      <w:tr w:rsidR="007C0EE4" w:rsidRPr="00315936" w14:paraId="228985C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2CCB668" w14:textId="77777777" w:rsidR="007C0EE4" w:rsidRPr="00315936" w:rsidRDefault="007C0EE4">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0DAF8B8E" w14:textId="7301CF3E" w:rsidR="007C0EE4" w:rsidRPr="008C46AF" w:rsidRDefault="007C0EE4">
            <w:pPr>
              <w:pStyle w:val="Tabletext"/>
              <w:rPr>
                <w:rFonts w:eastAsia="Arial Nova"/>
              </w:rPr>
            </w:pPr>
            <w:r w:rsidRPr="00315936">
              <w:rPr>
                <w:rFonts w:eastAsia="Arial Nova"/>
              </w:rPr>
              <w:t>This measure</w:t>
            </w:r>
            <w:r w:rsidR="008C46AF">
              <w:rPr>
                <w:rFonts w:eastAsia="Arial Nova"/>
              </w:rPr>
              <w:t xml:space="preserve">s </w:t>
            </w:r>
            <w:r w:rsidRPr="00315936">
              <w:rPr>
                <w:rFonts w:eastAsia="Arial Nova"/>
              </w:rPr>
              <w:t xml:space="preserve">the reduction in average inpatient length of stay for planned surgery patients using virtual and home-based pre- and post-operative models of care. </w:t>
            </w:r>
          </w:p>
        </w:tc>
      </w:tr>
      <w:tr w:rsidR="007C0EE4" w:rsidRPr="00315936" w14:paraId="6341870A" w14:textId="77777777" w:rsidTr="008E1561">
        <w:trPr>
          <w:trHeight w:val="6032"/>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0DCF550" w14:textId="77777777" w:rsidR="007C0EE4" w:rsidRPr="00315936" w:rsidRDefault="007C0EE4">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07BBBA62" w14:textId="0443A869" w:rsidR="007C0EE4" w:rsidRPr="00A4286C" w:rsidRDefault="007C0EE4">
            <w:pPr>
              <w:spacing w:before="80" w:after="60" w:line="259" w:lineRule="auto"/>
              <w:rPr>
                <w:rFonts w:eastAsia="Arial Nova" w:cs="Arial"/>
                <w:color w:val="000000" w:themeColor="text1"/>
                <w:szCs w:val="21"/>
              </w:rPr>
            </w:pPr>
            <w:r w:rsidRPr="00A4286C">
              <w:rPr>
                <w:rFonts w:eastAsia="Arial Nova" w:cs="Arial"/>
                <w:color w:val="000000" w:themeColor="text1"/>
                <w:szCs w:val="21"/>
              </w:rPr>
              <w:t>This measure is calculated by comparing the average length of stay o</w:t>
            </w:r>
            <w:r w:rsidRPr="00A4286C">
              <w:rPr>
                <w:rFonts w:eastAsia="Arial Nova" w:cs="Arial"/>
                <w:szCs w:val="21"/>
              </w:rPr>
              <w:t>f in-scope planned surgery inpatient separations t</w:t>
            </w:r>
            <w:r w:rsidRPr="00A4286C">
              <w:rPr>
                <w:rFonts w:eastAsia="Arial Nova" w:cs="Arial"/>
                <w:color w:val="000000" w:themeColor="text1"/>
                <w:szCs w:val="21"/>
              </w:rPr>
              <w:t xml:space="preserve">o </w:t>
            </w:r>
            <w:r w:rsidR="00820DEB">
              <w:rPr>
                <w:rFonts w:eastAsia="Arial Nova" w:cs="Arial"/>
                <w:color w:val="000000" w:themeColor="text1"/>
                <w:szCs w:val="21"/>
              </w:rPr>
              <w:t>the prior year average</w:t>
            </w:r>
            <w:r w:rsidRPr="00A4286C">
              <w:rPr>
                <w:rFonts w:eastAsia="Arial Nova" w:cs="Arial"/>
                <w:color w:val="000000" w:themeColor="text1"/>
                <w:szCs w:val="21"/>
              </w:rPr>
              <w:t>.</w:t>
            </w:r>
          </w:p>
          <w:p w14:paraId="47E9FD8B" w14:textId="6A270446" w:rsidR="007C0EE4" w:rsidRPr="00A20EF2" w:rsidRDefault="007C0EE4">
            <w:pPr>
              <w:spacing w:before="80" w:after="60" w:line="259" w:lineRule="auto"/>
              <w:rPr>
                <w:rFonts w:eastAsia="Arial Nova"/>
              </w:rPr>
            </w:pPr>
            <w:r w:rsidRPr="27F44514">
              <w:rPr>
                <w:rFonts w:eastAsia="Arial Nova" w:cs="Arial"/>
              </w:rPr>
              <w:t xml:space="preserve">In-scope inpatient separations are those for </w:t>
            </w:r>
            <w:r w:rsidR="6210403B" w:rsidRPr="27F44514">
              <w:rPr>
                <w:rFonts w:eastAsia="Arial Nova" w:cs="Arial"/>
              </w:rPr>
              <w:t>which</w:t>
            </w:r>
            <w:r w:rsidR="6210403B" w:rsidRPr="00A4286C">
              <w:rPr>
                <w:rFonts w:eastAsia="Arial Nova"/>
              </w:rPr>
              <w:t xml:space="preserve"> a</w:t>
            </w:r>
            <w:r w:rsidRPr="00A4286C">
              <w:rPr>
                <w:rFonts w:eastAsia="Arial Nova"/>
              </w:rPr>
              <w:t xml:space="preserve"> matched</w:t>
            </w:r>
            <w:r w:rsidR="46170453">
              <w:rPr>
                <w:rFonts w:eastAsia="Arial Nova"/>
              </w:rPr>
              <w:t xml:space="preserve"> Elective Surgery Information System (</w:t>
            </w:r>
            <w:r w:rsidRPr="00A4286C">
              <w:rPr>
                <w:rFonts w:eastAsia="Arial Nova"/>
              </w:rPr>
              <w:t>ESIS</w:t>
            </w:r>
            <w:r w:rsidR="46170453">
              <w:rPr>
                <w:rFonts w:eastAsia="Arial Nova"/>
              </w:rPr>
              <w:t>)</w:t>
            </w:r>
            <w:r w:rsidRPr="00A4286C">
              <w:rPr>
                <w:rFonts w:eastAsia="Arial Nova"/>
              </w:rPr>
              <w:t xml:space="preserve"> waiting list episode exists</w:t>
            </w:r>
            <w:r w:rsidR="03930841">
              <w:rPr>
                <w:rFonts w:eastAsia="Arial Nova"/>
              </w:rPr>
              <w:t xml:space="preserve"> where the care type is</w:t>
            </w:r>
            <w:r w:rsidR="0866F8F9">
              <w:rPr>
                <w:rFonts w:eastAsia="Arial Nova"/>
              </w:rPr>
              <w:t xml:space="preserve"> </w:t>
            </w:r>
            <w:r w:rsidR="525447C5" w:rsidRPr="00886CEE">
              <w:rPr>
                <w:rFonts w:eastAsia="Arial Nova"/>
              </w:rPr>
              <w:t>4 – Acute care</w:t>
            </w:r>
            <w:r w:rsidR="37B72D10">
              <w:rPr>
                <w:rFonts w:eastAsia="Arial Nova"/>
              </w:rPr>
              <w:t xml:space="preserve"> and </w:t>
            </w:r>
            <w:r w:rsidR="24323521">
              <w:rPr>
                <w:rFonts w:eastAsia="Arial Nova"/>
              </w:rPr>
              <w:t>the</w:t>
            </w:r>
            <w:r w:rsidR="37B72D10">
              <w:rPr>
                <w:rFonts w:eastAsia="Arial Nova"/>
              </w:rPr>
              <w:t xml:space="preserve"> </w:t>
            </w:r>
            <w:proofErr w:type="spellStart"/>
            <w:r w:rsidR="24323521">
              <w:rPr>
                <w:rFonts w:eastAsia="Arial Nova"/>
              </w:rPr>
              <w:t>admtype</w:t>
            </w:r>
            <w:proofErr w:type="spellEnd"/>
            <w:r w:rsidR="37B72D10">
              <w:rPr>
                <w:rFonts w:eastAsia="Arial Nova"/>
              </w:rPr>
              <w:t xml:space="preserve"> </w:t>
            </w:r>
            <w:r w:rsidR="24323521">
              <w:rPr>
                <w:rFonts w:eastAsia="Arial Nova"/>
              </w:rPr>
              <w:t>is P -</w:t>
            </w:r>
            <w:r w:rsidR="3DE8305D">
              <w:rPr>
                <w:rFonts w:eastAsia="Arial Nova"/>
              </w:rPr>
              <w:t xml:space="preserve"> </w:t>
            </w:r>
            <w:r w:rsidR="37B72D10">
              <w:rPr>
                <w:rFonts w:eastAsia="Arial Nova"/>
              </w:rPr>
              <w:t>elective admission</w:t>
            </w:r>
            <w:r w:rsidR="3DE8305D">
              <w:rPr>
                <w:rFonts w:eastAsia="Arial Nova"/>
              </w:rPr>
              <w:t xml:space="preserve"> and</w:t>
            </w:r>
            <w:r w:rsidRPr="00F704CB">
              <w:rPr>
                <w:rFonts w:eastAsia="Arial Nova"/>
              </w:rPr>
              <w:t xml:space="preserve">, </w:t>
            </w:r>
            <w:r w:rsidRPr="00A4286C">
              <w:rPr>
                <w:rFonts w:eastAsia="Arial Nova"/>
              </w:rPr>
              <w:t xml:space="preserve">where the intended procedure is an ESIS-reportable procedure (excluding IP401 </w:t>
            </w:r>
            <w:r w:rsidR="2C584C5A" w:rsidRPr="3B6BEBFD">
              <w:rPr>
                <w:rFonts w:eastAsia="Arial Nova"/>
              </w:rPr>
              <w:t>(</w:t>
            </w:r>
            <w:r w:rsidRPr="00A4286C">
              <w:rPr>
                <w:rFonts w:eastAsia="Arial Nova"/>
              </w:rPr>
              <w:t>Gastroscopy</w:t>
            </w:r>
            <w:r w:rsidRPr="3B6BEBFD" w:rsidDel="007C0EE4">
              <w:rPr>
                <w:rFonts w:eastAsia="Arial Nova"/>
              </w:rPr>
              <w:t xml:space="preserve"> and</w:t>
            </w:r>
            <w:r w:rsidRPr="00A4286C">
              <w:rPr>
                <w:rFonts w:eastAsia="Arial Nova"/>
              </w:rPr>
              <w:t xml:space="preserve"> IP402 </w:t>
            </w:r>
            <w:r w:rsidR="50D93166" w:rsidRPr="3B6BEBFD">
              <w:rPr>
                <w:rFonts w:eastAsia="Arial Nova"/>
              </w:rPr>
              <w:t>(</w:t>
            </w:r>
            <w:r w:rsidRPr="00A4286C">
              <w:rPr>
                <w:rFonts w:eastAsia="Arial Nova"/>
              </w:rPr>
              <w:t>Colonoscopy</w:t>
            </w:r>
            <w:r w:rsidR="4C8E5E85" w:rsidRPr="3B6BEBFD">
              <w:rPr>
                <w:rFonts w:eastAsia="Arial Nova"/>
              </w:rPr>
              <w:t>)</w:t>
            </w:r>
            <w:r w:rsidR="65A6B7A2" w:rsidRPr="3B6BEBFD">
              <w:rPr>
                <w:rFonts w:eastAsia="Arial Nova"/>
              </w:rPr>
              <w:t xml:space="preserve">, </w:t>
            </w:r>
            <w:r w:rsidR="00003CA9">
              <w:rPr>
                <w:rFonts w:eastAsia="Arial Nova"/>
              </w:rPr>
              <w:fldChar w:fldCharType="begin"/>
            </w:r>
            <w:r w:rsidR="00003CA9">
              <w:rPr>
                <w:rFonts w:eastAsia="Arial Nova"/>
              </w:rPr>
              <w:instrText xml:space="preserve"> NOTEREF _Ref201833425 \f \h </w:instrText>
            </w:r>
            <w:r w:rsidR="00631FC8">
              <w:rPr>
                <w:rFonts w:eastAsia="Arial Nova"/>
              </w:rPr>
              <w:instrText xml:space="preserve"> \* MERGEFORMAT </w:instrText>
            </w:r>
            <w:r w:rsidR="00003CA9">
              <w:rPr>
                <w:rFonts w:eastAsia="Arial Nova"/>
              </w:rPr>
            </w:r>
            <w:r w:rsidR="00003CA9">
              <w:rPr>
                <w:rFonts w:eastAsia="Arial Nova"/>
              </w:rPr>
              <w:fldChar w:fldCharType="separate"/>
            </w:r>
            <w:r w:rsidR="14E90FA1" w:rsidRPr="00003CA9">
              <w:rPr>
                <w:rStyle w:val="EndnoteReference"/>
                <w:rFonts w:eastAsia="Arial Nova"/>
              </w:rPr>
              <w:t>xiii</w:t>
            </w:r>
            <w:r w:rsidR="00003CA9">
              <w:rPr>
                <w:rFonts w:eastAsia="Arial Nova"/>
              </w:rPr>
              <w:fldChar w:fldCharType="end"/>
            </w:r>
            <w:r w:rsidR="2D5567FB">
              <w:rPr>
                <w:rFonts w:eastAsia="Arial Nova"/>
              </w:rPr>
              <w:t xml:space="preserve"> </w:t>
            </w:r>
            <w:r w:rsidRPr="27F44514">
              <w:rPr>
                <w:rFonts w:eastAsia="Arial Nova" w:cs="Arial"/>
              </w:rPr>
              <w:t>and where the reason for removal is one of the following:</w:t>
            </w:r>
          </w:p>
          <w:p w14:paraId="76B0A352" w14:textId="77777777" w:rsidR="007C0EE4" w:rsidRPr="00592ADE" w:rsidRDefault="007C0EE4" w:rsidP="00DC7E53">
            <w:pPr>
              <w:pStyle w:val="Tablebullet1"/>
              <w:rPr>
                <w:rFonts w:eastAsia="Arial Nova"/>
                <w:color w:val="000000" w:themeColor="text1"/>
              </w:rPr>
            </w:pPr>
            <w:r w:rsidRPr="00592ADE">
              <w:rPr>
                <w:rFonts w:eastAsia="Arial Nova"/>
              </w:rPr>
              <w:t>W - Admitted to the intended campus and has received the awaited procedure</w:t>
            </w:r>
          </w:p>
          <w:p w14:paraId="71767B38" w14:textId="77777777" w:rsidR="007C0EE4" w:rsidRPr="00592ADE" w:rsidRDefault="007C0EE4" w:rsidP="00DC7E53">
            <w:pPr>
              <w:pStyle w:val="Tablebullet1"/>
              <w:rPr>
                <w:rFonts w:eastAsia="Arial Nova"/>
                <w:color w:val="000000" w:themeColor="text1"/>
              </w:rPr>
            </w:pPr>
            <w:r w:rsidRPr="00592ADE">
              <w:rPr>
                <w:rFonts w:eastAsia="Arial Nova"/>
              </w:rPr>
              <w:t>X - Admitted to another campus arranged by this campus/health service and has received the awaited procedure under contract or similar arrangement</w:t>
            </w:r>
          </w:p>
          <w:p w14:paraId="69620C0D" w14:textId="77777777" w:rsidR="007C0EE4" w:rsidRPr="00592ADE" w:rsidRDefault="007C0EE4" w:rsidP="00DC7E53">
            <w:pPr>
              <w:pStyle w:val="Tablebullet1"/>
              <w:rPr>
                <w:rFonts w:eastAsia="Arial Nova"/>
                <w:color w:val="000000" w:themeColor="text1"/>
              </w:rPr>
            </w:pPr>
            <w:r w:rsidRPr="00592ADE">
              <w:rPr>
                <w:rFonts w:eastAsia="Arial Nova"/>
              </w:rPr>
              <w:t>S - Admitted to another campus arranged by ESAS and has received the awaited procedure</w:t>
            </w:r>
          </w:p>
          <w:p w14:paraId="71754089" w14:textId="07D365A5" w:rsidR="007C0EE4" w:rsidRPr="00592ADE" w:rsidRDefault="007C0EE4" w:rsidP="00DC7E53">
            <w:pPr>
              <w:pStyle w:val="Tablebullet1"/>
              <w:rPr>
                <w:rFonts w:eastAsia="Arial Nova"/>
                <w:color w:val="000000" w:themeColor="text1"/>
              </w:rPr>
            </w:pPr>
            <w:r w:rsidRPr="00592ADE">
              <w:rPr>
                <w:rFonts w:eastAsia="Arial Nova"/>
              </w:rPr>
              <w:t>P - COVID-19 - Admitted to another campus arranged by this campus/health service and has received the awaited procedure under contract or similar arrangement due to the COVID-19 response</w:t>
            </w:r>
            <w:r w:rsidR="001A559A" w:rsidRPr="00592ADE">
              <w:rPr>
                <w:rFonts w:eastAsia="Arial Nova"/>
              </w:rPr>
              <w:t>.</w:t>
            </w:r>
            <w:r w:rsidRPr="00592ADE">
              <w:rPr>
                <w:rFonts w:eastAsia="Arial Nova"/>
              </w:rPr>
              <w:t xml:space="preserve"> </w:t>
            </w:r>
          </w:p>
          <w:p w14:paraId="55381319" w14:textId="25380FB5" w:rsidR="007C0EE4" w:rsidRPr="00315936" w:rsidRDefault="007C0EE4" w:rsidP="00767127">
            <w:pPr>
              <w:spacing w:before="80" w:after="60" w:line="259" w:lineRule="auto"/>
              <w:rPr>
                <w:rFonts w:ascii="Arial Nova" w:eastAsia="Arial Nova" w:hAnsi="Arial Nova" w:cs="Arial Nova"/>
                <w:color w:val="000000" w:themeColor="text1"/>
                <w:sz w:val="20"/>
              </w:rPr>
            </w:pPr>
            <w:r w:rsidRPr="00A4286C">
              <w:rPr>
                <w:rFonts w:eastAsia="Arial Nova" w:cs="Arial"/>
                <w:szCs w:val="21"/>
              </w:rPr>
              <w:t xml:space="preserve">Average length of stay is calculated </w:t>
            </w:r>
            <w:r w:rsidR="00803DB6">
              <w:rPr>
                <w:rFonts w:eastAsia="Arial Nova" w:cs="Arial"/>
                <w:szCs w:val="21"/>
              </w:rPr>
              <w:t>using</w:t>
            </w:r>
            <w:r w:rsidR="00803DB6" w:rsidRPr="00A4286C">
              <w:rPr>
                <w:rFonts w:eastAsia="Arial Nova" w:cs="Arial"/>
                <w:szCs w:val="21"/>
              </w:rPr>
              <w:t xml:space="preserve"> </w:t>
            </w:r>
            <w:r w:rsidRPr="00A4286C">
              <w:rPr>
                <w:rFonts w:eastAsia="Arial Nova" w:cs="Arial"/>
                <w:szCs w:val="21"/>
              </w:rPr>
              <w:t xml:space="preserve">the length of stay of planned surgery </w:t>
            </w:r>
            <w:r w:rsidRPr="00076BEC">
              <w:rPr>
                <w:rFonts w:eastAsia="Arial Nova" w:cs="Arial"/>
                <w:szCs w:val="21"/>
              </w:rPr>
              <w:t>acute</w:t>
            </w:r>
            <w:r w:rsidRPr="007051EE">
              <w:rPr>
                <w:rFonts w:eastAsia="Arial Nova" w:cs="Arial"/>
                <w:szCs w:val="21"/>
              </w:rPr>
              <w:t xml:space="preserve"> </w:t>
            </w:r>
            <w:r w:rsidRPr="00A4286C">
              <w:rPr>
                <w:rFonts w:eastAsia="Arial Nova" w:cs="Arial"/>
                <w:szCs w:val="21"/>
              </w:rPr>
              <w:t xml:space="preserve">inpatient separations, including any </w:t>
            </w:r>
            <w:r w:rsidRPr="00076BEC">
              <w:rPr>
                <w:rFonts w:eastAsia="Arial Nova" w:cs="Arial"/>
                <w:szCs w:val="21"/>
              </w:rPr>
              <w:t>acute</w:t>
            </w:r>
            <w:r w:rsidRPr="00A4286C">
              <w:rPr>
                <w:rFonts w:eastAsia="Arial Nova" w:cs="Arial"/>
                <w:szCs w:val="21"/>
              </w:rPr>
              <w:t xml:space="preserve"> transfers to facilities within the same health service only. Subacute and Hospital in the Home (HITH) length of stay are excluded.</w:t>
            </w:r>
            <w:r w:rsidR="00A01C7E">
              <w:rPr>
                <w:rFonts w:eastAsia="Arial Nova" w:cs="Arial"/>
                <w:szCs w:val="21"/>
              </w:rPr>
              <w:t xml:space="preserve"> Leave days with and without permission are also excluded.</w:t>
            </w:r>
            <w:r w:rsidR="00767127">
              <w:rPr>
                <w:rFonts w:eastAsia="Arial Nova" w:cs="Arial"/>
                <w:szCs w:val="21"/>
              </w:rPr>
              <w:t xml:space="preserve"> </w:t>
            </w:r>
            <w:r w:rsidRPr="00A4286C">
              <w:rPr>
                <w:rFonts w:eastAsia="Arial Nova" w:cs="Arial"/>
                <w:szCs w:val="21"/>
              </w:rPr>
              <w:t>The calculation of average length of stay excludes outliers</w:t>
            </w:r>
            <w:r>
              <w:rPr>
                <w:rFonts w:eastAsia="Arial Nova" w:cs="Arial"/>
                <w:szCs w:val="21"/>
              </w:rPr>
              <w:t>.</w:t>
            </w:r>
          </w:p>
        </w:tc>
      </w:tr>
      <w:tr w:rsidR="007C0EE4" w:rsidRPr="00315936" w14:paraId="2B3ADE7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3E6661E" w14:textId="77777777" w:rsidR="007C0EE4" w:rsidRPr="00315936" w:rsidRDefault="007C0EE4">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18E884C9" w14:textId="77777777" w:rsidR="007C0EE4" w:rsidRPr="00315936" w:rsidRDefault="007C0EE4">
            <w:pPr>
              <w:pStyle w:val="Tabletext"/>
              <w:rPr>
                <w:rFonts w:eastAsia="Arial Nova"/>
              </w:rPr>
            </w:pPr>
            <w:r w:rsidRPr="00315936">
              <w:rPr>
                <w:rFonts w:eastAsia="Arial Nova"/>
              </w:rPr>
              <w:t xml:space="preserve">Average length of stay of planned surgery acute inpatient separations. </w:t>
            </w:r>
          </w:p>
        </w:tc>
      </w:tr>
      <w:tr w:rsidR="007C0EE4" w:rsidRPr="00315936" w14:paraId="477794F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C759E6E" w14:textId="77777777" w:rsidR="007C0EE4" w:rsidRPr="00315936" w:rsidRDefault="007C0EE4">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74B869B" w14:textId="77777777" w:rsidR="007C0EE4" w:rsidRPr="00315936" w:rsidRDefault="007C0EE4">
            <w:pPr>
              <w:pStyle w:val="Tabletext"/>
              <w:rPr>
                <w:rFonts w:eastAsia="Arial Nova"/>
              </w:rPr>
            </w:pPr>
            <w:r w:rsidRPr="00315936">
              <w:rPr>
                <w:rFonts w:eastAsia="Arial Nova"/>
              </w:rPr>
              <w:t xml:space="preserve">N/A </w:t>
            </w:r>
          </w:p>
        </w:tc>
      </w:tr>
      <w:tr w:rsidR="007C0EE4" w:rsidRPr="00315936" w14:paraId="53C2CC1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19AAB76" w14:textId="77777777" w:rsidR="007C0EE4" w:rsidRPr="00315936" w:rsidRDefault="007C0EE4">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vAlign w:val="center"/>
          </w:tcPr>
          <w:p w14:paraId="35B09EA4" w14:textId="77777777" w:rsidR="007C0EE4" w:rsidRPr="00315936" w:rsidRDefault="007C0EE4">
            <w:pPr>
              <w:pStyle w:val="Tabletext"/>
            </w:pPr>
            <w:r w:rsidRPr="00315936">
              <w:rPr>
                <w:rFonts w:eastAsia="Arial Nova"/>
              </w:rPr>
              <w:t>2 per cent reduction in average length of stay of planned surgery inpatient separations compared to previous financial year.</w:t>
            </w:r>
          </w:p>
        </w:tc>
      </w:tr>
      <w:tr w:rsidR="007C0EE4" w:rsidRPr="00315936" w14:paraId="302140E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31BCE37" w14:textId="77777777" w:rsidR="007C0EE4" w:rsidRPr="00315936" w:rsidRDefault="007C0EE4">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0CC3019B" w14:textId="77777777" w:rsidR="007C0EE4" w:rsidRPr="00C107FF" w:rsidRDefault="007C0EE4">
            <w:pPr>
              <w:pStyle w:val="Tabletext"/>
              <w:rPr>
                <w:rFonts w:eastAsia="VIC"/>
              </w:rPr>
            </w:pPr>
            <w:r w:rsidRPr="00334E3A">
              <w:rPr>
                <w:rFonts w:eastAsia="Arial Nova"/>
              </w:rPr>
              <w:t>Greater than or equal to 2 per cent reduction</w:t>
            </w:r>
          </w:p>
        </w:tc>
      </w:tr>
      <w:tr w:rsidR="007C0EE4" w:rsidRPr="00315936" w14:paraId="25925EC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6C363C4" w14:textId="77777777" w:rsidR="007C0EE4" w:rsidRPr="00315936" w:rsidRDefault="007C0EE4">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10D71020" w14:textId="77777777" w:rsidR="007C0EE4" w:rsidRPr="00315936" w:rsidRDefault="007C0EE4">
            <w:pPr>
              <w:pStyle w:val="Tabletext"/>
              <w:rPr>
                <w:lang w:eastAsia="en-AU"/>
              </w:rPr>
            </w:pPr>
            <w:r w:rsidRPr="18ED453A">
              <w:rPr>
                <w:rFonts w:eastAsia="VIC"/>
              </w:rPr>
              <w:t>Less than 2 per cent reduction</w:t>
            </w:r>
          </w:p>
        </w:tc>
      </w:tr>
      <w:tr w:rsidR="007C0EE4" w:rsidRPr="00315936" w14:paraId="7B9091A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B4A2F16" w14:textId="77777777" w:rsidR="007C0EE4" w:rsidRPr="00315936" w:rsidRDefault="007C0EE4">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67FD4D6F" w14:textId="4981BAF8" w:rsidR="007C0EE4" w:rsidRPr="00315936" w:rsidRDefault="00B93CD2">
            <w:pPr>
              <w:pStyle w:val="Tabletext"/>
              <w:rPr>
                <w:lang w:eastAsia="en-AU"/>
              </w:rPr>
            </w:pPr>
            <w:proofErr w:type="gramStart"/>
            <w:r>
              <w:rPr>
                <w:rFonts w:eastAsia="Arial"/>
              </w:rPr>
              <w:t>For the purpose of</w:t>
            </w:r>
            <w:proofErr w:type="gramEnd"/>
            <w:r>
              <w:rPr>
                <w:rFonts w:eastAsia="Arial"/>
              </w:rPr>
              <w:t xml:space="preserve"> the performance risk assessment, i</w:t>
            </w:r>
            <w:r w:rsidR="007C0EE4" w:rsidRPr="00315936">
              <w:rPr>
                <w:rFonts w:eastAsia="Arial"/>
              </w:rPr>
              <w:t xml:space="preserve">mprovement is assessed against previous year’s performance </w:t>
            </w:r>
          </w:p>
        </w:tc>
      </w:tr>
      <w:tr w:rsidR="007C0EE4" w:rsidRPr="00315936" w14:paraId="7DF73FE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42FECC8" w14:textId="77777777" w:rsidR="007C0EE4" w:rsidRPr="00315936" w:rsidRDefault="007C0EE4">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6D9BBB73" w14:textId="691E789C" w:rsidR="007C0EE4" w:rsidRPr="00315936" w:rsidRDefault="007C0EE4">
            <w:pPr>
              <w:pStyle w:val="Tabletext"/>
              <w:rPr>
                <w:rFonts w:eastAsia="Arial"/>
              </w:rPr>
            </w:pPr>
            <w:r w:rsidRPr="18ED453A">
              <w:rPr>
                <w:rFonts w:eastAsia="Arial"/>
              </w:rPr>
              <w:t>Performance is reported monthly based on year</w:t>
            </w:r>
            <w:r>
              <w:rPr>
                <w:rFonts w:eastAsia="Arial"/>
              </w:rPr>
              <w:t>-</w:t>
            </w:r>
            <w:r w:rsidRPr="18ED453A">
              <w:rPr>
                <w:rFonts w:eastAsia="Arial"/>
              </w:rPr>
              <w:t>to</w:t>
            </w:r>
            <w:r>
              <w:rPr>
                <w:rFonts w:eastAsia="Arial"/>
              </w:rPr>
              <w:t>-</w:t>
            </w:r>
            <w:r w:rsidRPr="18ED453A">
              <w:rPr>
                <w:rFonts w:eastAsia="Arial"/>
              </w:rPr>
              <w:t>date results and annually at the health service level</w:t>
            </w:r>
          </w:p>
          <w:p w14:paraId="0A73224B" w14:textId="77777777" w:rsidR="007C0EE4" w:rsidRPr="00444EDE" w:rsidRDefault="007C0EE4">
            <w:pPr>
              <w:pStyle w:val="Tabletext"/>
              <w:rPr>
                <w:rFonts w:eastAsia="Arial"/>
              </w:rPr>
            </w:pPr>
            <w:r w:rsidRPr="00444EDE">
              <w:rPr>
                <w:rFonts w:eastAsia="Arial"/>
              </w:rPr>
              <w:t xml:space="preserve">Data are sourced from </w:t>
            </w:r>
            <w:r w:rsidRPr="00334E3A">
              <w:rPr>
                <w:rFonts w:eastAsia="Arial Nova"/>
              </w:rPr>
              <w:t>linked Victorian Admitted Episodes Dataset (VAED) and Elective Surgery Information System (ESIS).</w:t>
            </w:r>
          </w:p>
        </w:tc>
      </w:tr>
    </w:tbl>
    <w:p w14:paraId="136FC9EA" w14:textId="42A1CD74" w:rsidR="00140581" w:rsidRPr="00315936" w:rsidRDefault="00140581" w:rsidP="00140581">
      <w:pPr>
        <w:pStyle w:val="Heading3"/>
      </w:pPr>
      <w:bookmarkStart w:id="95" w:name="_Toc1902992572"/>
      <w:r w:rsidRPr="18ED453A">
        <w:t>Emergency care</w:t>
      </w:r>
      <w:bookmarkEnd w:id="95"/>
    </w:p>
    <w:p w14:paraId="766D2360" w14:textId="53F309AB" w:rsidR="009875D9" w:rsidRPr="00315936" w:rsidRDefault="009875D9" w:rsidP="008E7F78">
      <w:pPr>
        <w:pStyle w:val="Heading4"/>
      </w:pPr>
      <w:bookmarkStart w:id="96" w:name="_Toc1687765408"/>
      <w:r w:rsidRPr="00315936">
        <w:t>Percentage of patients transferred from ambulance to emergency department within 40 minutes</w:t>
      </w:r>
      <w:bookmarkEnd w:id="96"/>
    </w:p>
    <w:tbl>
      <w:tblPr>
        <w:tblStyle w:val="TableGrid"/>
        <w:tblW w:w="10343" w:type="dxa"/>
        <w:tblLook w:val="04A0" w:firstRow="1" w:lastRow="0" w:firstColumn="1" w:lastColumn="0" w:noHBand="0" w:noVBand="1"/>
      </w:tblPr>
      <w:tblGrid>
        <w:gridCol w:w="1837"/>
        <w:gridCol w:w="8506"/>
      </w:tblGrid>
      <w:tr w:rsidR="00C46B17" w:rsidRPr="00315936" w14:paraId="1CE46FE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9067D9A" w14:textId="4A82C8F8" w:rsidR="00C46B17"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490D4387" w14:textId="67AB61D2" w:rsidR="00C46B17" w:rsidRPr="00315936" w:rsidRDefault="31C3737D">
            <w:pPr>
              <w:pStyle w:val="Tabletext"/>
            </w:pPr>
            <w:r w:rsidRPr="00315936">
              <w:t xml:space="preserve">Percentage of patients transferred from ambulance to emergency department within 40 </w:t>
            </w:r>
            <w:proofErr w:type="spellStart"/>
            <w:r w:rsidRPr="00315936">
              <w:t>minutes</w:t>
            </w:r>
            <w:r w:rsidR="00E22352">
              <w:fldChar w:fldCharType="begin"/>
            </w:r>
            <w:r w:rsidR="00E22352">
              <w:instrText xml:space="preserve"> NOTEREF _Ref201833119 \f \h </w:instrText>
            </w:r>
            <w:r w:rsidR="00E22352">
              <w:fldChar w:fldCharType="separate"/>
            </w:r>
            <w:r w:rsidR="00E22352" w:rsidRPr="00E22352">
              <w:rPr>
                <w:rStyle w:val="EndnoteReference"/>
              </w:rPr>
              <w:t>v</w:t>
            </w:r>
            <w:proofErr w:type="spellEnd"/>
            <w:r w:rsidR="00E22352">
              <w:fldChar w:fldCharType="end"/>
            </w:r>
          </w:p>
        </w:tc>
      </w:tr>
      <w:tr w:rsidR="00C46B17" w:rsidRPr="00315936" w14:paraId="2165D52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2A6C7CB" w14:textId="77777777" w:rsidR="00C46B17" w:rsidRPr="00315936" w:rsidRDefault="00C46B17">
            <w:pPr>
              <w:pStyle w:val="Tabletext"/>
            </w:pPr>
            <w:r w:rsidRPr="00315936">
              <w:t>Description </w:t>
            </w:r>
          </w:p>
        </w:tc>
        <w:tc>
          <w:tcPr>
            <w:tcW w:w="8506" w:type="dxa"/>
            <w:tcBorders>
              <w:left w:val="single" w:sz="4" w:space="0" w:color="FFFFFF" w:themeColor="background1"/>
            </w:tcBorders>
          </w:tcPr>
          <w:p w14:paraId="20A8BF14" w14:textId="4D756787" w:rsidR="00BE2E7A" w:rsidRDefault="00BE2E7A">
            <w:pPr>
              <w:pStyle w:val="Tabletext"/>
            </w:pPr>
            <w:r w:rsidRPr="00315936">
              <w:t>This measure</w:t>
            </w:r>
            <w:r w:rsidR="007639A9">
              <w:t>s</w:t>
            </w:r>
            <w:r w:rsidRPr="00315936">
              <w:t xml:space="preserve"> the percentage of patients who were transferred from paramedic care to hospital emergency care within 40 minutes of ambulance arrival.</w:t>
            </w:r>
          </w:p>
          <w:p w14:paraId="104AD1F8" w14:textId="0D4B6685" w:rsidR="00C46B17" w:rsidRPr="00315936" w:rsidRDefault="00C46B17">
            <w:pPr>
              <w:pStyle w:val="Tabletext"/>
            </w:pPr>
            <w:r w:rsidRPr="00315936">
              <w:t xml:space="preserve">Timely </w:t>
            </w:r>
            <w:r w:rsidR="002435FD" w:rsidRPr="00315936">
              <w:t>handover of patients</w:t>
            </w:r>
            <w:r w:rsidR="00736514" w:rsidRPr="00315936">
              <w:t xml:space="preserve"> arriving via ambulance to hospital </w:t>
            </w:r>
            <w:r w:rsidR="000B40BE">
              <w:t>emergency departments</w:t>
            </w:r>
            <w:r w:rsidR="000B40BE" w:rsidRPr="00315936">
              <w:t xml:space="preserve"> </w:t>
            </w:r>
            <w:r w:rsidR="00736514" w:rsidRPr="00315936">
              <w:t xml:space="preserve">is crucial for </w:t>
            </w:r>
            <w:r w:rsidRPr="00315936">
              <w:t>delivering responsive and safe emergency care</w:t>
            </w:r>
            <w:r w:rsidR="00736514" w:rsidRPr="00315936">
              <w:t>. Improved performance in this area leads to better</w:t>
            </w:r>
            <w:r w:rsidRPr="00315936">
              <w:t xml:space="preserve"> patient outcomes</w:t>
            </w:r>
            <w:r w:rsidR="00736514" w:rsidRPr="00315936">
              <w:t xml:space="preserve"> by enab</w:t>
            </w:r>
            <w:r w:rsidR="00D0744A" w:rsidRPr="00315936">
              <w:t>ling faster assessment, diagnosis and treatment</w:t>
            </w:r>
            <w:r w:rsidR="00F21F79" w:rsidRPr="00315936">
              <w:t xml:space="preserve">. </w:t>
            </w:r>
          </w:p>
        </w:tc>
      </w:tr>
      <w:tr w:rsidR="00C46B17" w:rsidRPr="00315936" w14:paraId="01C6278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AAE627A" w14:textId="77777777" w:rsidR="00C46B17" w:rsidRPr="00315936" w:rsidRDefault="00C46B17">
            <w:pPr>
              <w:pStyle w:val="Tabletext"/>
            </w:pPr>
            <w:r w:rsidRPr="00315936">
              <w:t>Calculating performance</w:t>
            </w:r>
          </w:p>
        </w:tc>
        <w:tc>
          <w:tcPr>
            <w:tcW w:w="8506" w:type="dxa"/>
            <w:tcBorders>
              <w:left w:val="single" w:sz="4" w:space="0" w:color="FFFFFF" w:themeColor="background1"/>
            </w:tcBorders>
          </w:tcPr>
          <w:p w14:paraId="10209766" w14:textId="7F2D0E79" w:rsidR="007639A9" w:rsidRPr="00315936" w:rsidRDefault="007639A9" w:rsidP="007639A9">
            <w:pPr>
              <w:pStyle w:val="Tablebullet1"/>
              <w:numPr>
                <w:ilvl w:val="0"/>
                <w:numId w:val="0"/>
              </w:numPr>
            </w:pPr>
            <w:r>
              <w:t>The ED Departure Date (not Arrival Date) is used to identify presentations in scope for the reporting period</w:t>
            </w:r>
            <w:r w:rsidRPr="00315936">
              <w:t>.</w:t>
            </w:r>
          </w:p>
          <w:p w14:paraId="6F04B616" w14:textId="0615BA1E" w:rsidR="00C46B17" w:rsidRPr="00315936" w:rsidRDefault="00C46B17">
            <w:pPr>
              <w:pStyle w:val="Tabletext"/>
            </w:pPr>
            <w:r w:rsidRPr="00315936">
              <w:t>Ambulance patient transfer time is the total time from ambulance arrival at the hospital (‘at destination time’) to the physical transfer of the patient and handover of care to hospital staff (‘ambulance handover complete’).</w:t>
            </w:r>
          </w:p>
          <w:p w14:paraId="22CA6D0B" w14:textId="74413DEC" w:rsidR="00C46B17" w:rsidRPr="00315936" w:rsidRDefault="00C46B17">
            <w:pPr>
              <w:pStyle w:val="Tabletext"/>
            </w:pPr>
            <w:r w:rsidRPr="00315936">
              <w:t>The following Arrival Transport Mode (VEMD) codes are applied:</w:t>
            </w:r>
          </w:p>
          <w:p w14:paraId="4AC60CFF" w14:textId="77777777" w:rsidR="00C46B17" w:rsidRPr="00315936" w:rsidRDefault="00C46B17" w:rsidP="00F97044">
            <w:pPr>
              <w:pStyle w:val="Tablebullet1"/>
            </w:pPr>
            <w:r w:rsidRPr="00315936">
              <w:t>‘01’ Air Ambulance – excludes helicopter</w:t>
            </w:r>
          </w:p>
          <w:p w14:paraId="29FFEA4E" w14:textId="77777777" w:rsidR="00C46B17" w:rsidRPr="00315936" w:rsidRDefault="00C46B17" w:rsidP="008472F8">
            <w:pPr>
              <w:pStyle w:val="Tablebullet1"/>
            </w:pPr>
            <w:r w:rsidRPr="00315936">
              <w:t>‘02’ Helicopter</w:t>
            </w:r>
          </w:p>
          <w:p w14:paraId="5E17A20F" w14:textId="7AA16650" w:rsidR="006619C1" w:rsidRDefault="00B57558" w:rsidP="001A453F">
            <w:pPr>
              <w:pStyle w:val="Tablebullet1"/>
            </w:pPr>
            <w:r w:rsidRPr="00315936">
              <w:t>‘03’ Road Ambulance Service</w:t>
            </w:r>
            <w:r w:rsidR="008746AF">
              <w:t>.</w:t>
            </w:r>
          </w:p>
          <w:p w14:paraId="561D5F9F" w14:textId="31B71EBE" w:rsidR="005F61E9" w:rsidRPr="00315936" w:rsidRDefault="00C46B17" w:rsidP="004D0574">
            <w:pPr>
              <w:pStyle w:val="Tablebullet1"/>
              <w:numPr>
                <w:ilvl w:val="0"/>
                <w:numId w:val="0"/>
              </w:numPr>
            </w:pPr>
            <w:r w:rsidRPr="00315936">
              <w:t>Exclusion</w:t>
            </w:r>
            <w:r w:rsidR="00066866">
              <w:t>s</w:t>
            </w:r>
            <w:r w:rsidRPr="00315936">
              <w:t xml:space="preserve">: </w:t>
            </w:r>
          </w:p>
          <w:p w14:paraId="71CC5AEA" w14:textId="34D49B0B" w:rsidR="05F7AFCE" w:rsidRDefault="5A4CF145" w:rsidP="554FA974">
            <w:pPr>
              <w:pStyle w:val="Tablebullet1"/>
            </w:pPr>
            <w:r w:rsidRPr="55528ABA">
              <w:rPr>
                <w:rFonts w:eastAsia="Arial" w:cs="Arial"/>
              </w:rPr>
              <w:t xml:space="preserve">Ambulance Handover In </w:t>
            </w:r>
            <w:bookmarkStart w:id="97" w:name="_Int_VQUqHgxa"/>
            <w:proofErr w:type="gramStart"/>
            <w:r w:rsidRPr="55528ABA">
              <w:rPr>
                <w:rFonts w:eastAsia="Arial" w:cs="Arial"/>
              </w:rPr>
              <w:t>target</w:t>
            </w:r>
            <w:bookmarkEnd w:id="97"/>
            <w:proofErr w:type="gramEnd"/>
            <w:r w:rsidRPr="55528ABA">
              <w:rPr>
                <w:rFonts w:eastAsia="Arial" w:cs="Arial"/>
              </w:rPr>
              <w:t xml:space="preserve"> Flag = ‘U’ (Unknown)</w:t>
            </w:r>
          </w:p>
          <w:p w14:paraId="5B5A72DB" w14:textId="48F0CAC1" w:rsidR="05F7AFCE" w:rsidRDefault="05F7AFCE" w:rsidP="554FA974">
            <w:pPr>
              <w:pStyle w:val="Tablebullet1"/>
            </w:pPr>
            <w:r w:rsidRPr="554FA974">
              <w:rPr>
                <w:rFonts w:eastAsia="Arial" w:cs="Arial"/>
                <w:szCs w:val="21"/>
              </w:rPr>
              <w:t xml:space="preserve">Triage Category = ‘6’ </w:t>
            </w:r>
            <w:r w:rsidR="00D65D2D">
              <w:rPr>
                <w:rFonts w:eastAsia="Arial" w:cs="Arial"/>
                <w:szCs w:val="21"/>
              </w:rPr>
              <w:t>D</w:t>
            </w:r>
            <w:r w:rsidRPr="554FA974">
              <w:rPr>
                <w:rFonts w:eastAsia="Arial" w:cs="Arial"/>
                <w:szCs w:val="21"/>
              </w:rPr>
              <w:t>ead on arrival</w:t>
            </w:r>
          </w:p>
          <w:p w14:paraId="2168058F" w14:textId="3CD258E2" w:rsidR="00707B9A" w:rsidRPr="00336D2D" w:rsidRDefault="00707B9A" w:rsidP="554FA974">
            <w:pPr>
              <w:pStyle w:val="Tablebullet1"/>
            </w:pPr>
            <w:r>
              <w:rPr>
                <w:rFonts w:eastAsia="Times"/>
              </w:rPr>
              <w:t xml:space="preserve">Departure status code </w:t>
            </w:r>
            <w:r w:rsidR="00403108">
              <w:rPr>
                <w:rFonts w:eastAsia="Times"/>
              </w:rPr>
              <w:t>=</w:t>
            </w:r>
            <w:r>
              <w:rPr>
                <w:rFonts w:eastAsia="Times"/>
              </w:rPr>
              <w:t xml:space="preserve"> </w:t>
            </w:r>
            <w:r w:rsidR="00403108">
              <w:rPr>
                <w:rFonts w:eastAsia="Times"/>
              </w:rPr>
              <w:t>‘</w:t>
            </w:r>
            <w:r>
              <w:rPr>
                <w:rFonts w:eastAsia="Times"/>
              </w:rPr>
              <w:t>30</w:t>
            </w:r>
            <w:r w:rsidR="00403108">
              <w:rPr>
                <w:rFonts w:eastAsia="Times"/>
              </w:rPr>
              <w:t>’</w:t>
            </w:r>
            <w:r>
              <w:rPr>
                <w:rFonts w:eastAsia="Times"/>
              </w:rPr>
              <w:t xml:space="preserve"> </w:t>
            </w:r>
            <w:r w:rsidR="00403108">
              <w:rPr>
                <w:rFonts w:eastAsia="Times"/>
              </w:rPr>
              <w:t xml:space="preserve">Left after clinical advice regarding treatment options - </w:t>
            </w:r>
            <w:r>
              <w:rPr>
                <w:rFonts w:eastAsia="Times"/>
              </w:rPr>
              <w:t>GP co-located clinic</w:t>
            </w:r>
            <w:r w:rsidR="00403108">
              <w:rPr>
                <w:rFonts w:eastAsia="Times"/>
              </w:rPr>
              <w:t xml:space="preserve"> or PPCC</w:t>
            </w:r>
          </w:p>
          <w:p w14:paraId="5632AD4C" w14:textId="588772B7" w:rsidR="00F02FB3" w:rsidRDefault="00561E3C" w:rsidP="554FA974">
            <w:pPr>
              <w:pStyle w:val="Tablebullet1"/>
            </w:pPr>
            <w:r>
              <w:t>VVED presentations</w:t>
            </w:r>
          </w:p>
          <w:p w14:paraId="0866166C" w14:textId="5A1A64C0" w:rsidR="00933779" w:rsidRDefault="00F02FB3" w:rsidP="554FA974">
            <w:pPr>
              <w:pStyle w:val="Tablebullet1"/>
            </w:pPr>
            <w:r>
              <w:t>Other virtual care</w:t>
            </w:r>
            <w:r w:rsidR="00F541C1">
              <w:t xml:space="preserve"> presentations</w:t>
            </w:r>
            <w:r w:rsidR="008746AF">
              <w:t>.</w:t>
            </w:r>
          </w:p>
          <w:p w14:paraId="42459085" w14:textId="331718DA" w:rsidR="00C46B17" w:rsidRPr="00315936" w:rsidRDefault="00C46B17">
            <w:pPr>
              <w:pStyle w:val="Tabletext"/>
            </w:pPr>
            <w:r w:rsidRPr="00315936">
              <w:t xml:space="preserve">This </w:t>
            </w:r>
            <w:r w:rsidR="00C3016B" w:rsidRPr="00315936">
              <w:t>measure</w:t>
            </w:r>
            <w:r w:rsidRPr="00315936">
              <w:t xml:space="preserve"> is expressed as a percentage rounded to the nearest whole number (0.5 is rounded up).</w:t>
            </w:r>
          </w:p>
        </w:tc>
      </w:tr>
      <w:tr w:rsidR="00C46B17" w:rsidRPr="00315936" w14:paraId="0EFF44F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9E6CDB1" w14:textId="77777777" w:rsidR="00C46B17" w:rsidRPr="00315936" w:rsidRDefault="00C46B17">
            <w:pPr>
              <w:pStyle w:val="Tabletext"/>
            </w:pPr>
            <w:r w:rsidRPr="00315936">
              <w:t>Numerator</w:t>
            </w:r>
          </w:p>
        </w:tc>
        <w:tc>
          <w:tcPr>
            <w:tcW w:w="8506" w:type="dxa"/>
            <w:tcBorders>
              <w:left w:val="single" w:sz="4" w:space="0" w:color="FFFFFF" w:themeColor="background1"/>
            </w:tcBorders>
          </w:tcPr>
          <w:p w14:paraId="166DD7DF" w14:textId="159539FB" w:rsidR="00C46B17" w:rsidRPr="00315936" w:rsidRDefault="00C46B17">
            <w:pPr>
              <w:pStyle w:val="Tabletext"/>
            </w:pPr>
            <w:r w:rsidRPr="00315936">
              <w:t xml:space="preserve">Patients arriving by emergency ambulance who are transferred within 40 minutes to the </w:t>
            </w:r>
            <w:r w:rsidR="001A5330">
              <w:t>emergency department</w:t>
            </w:r>
          </w:p>
        </w:tc>
      </w:tr>
      <w:tr w:rsidR="00C46B17" w:rsidRPr="00315936" w14:paraId="3CB5F237"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2050E4B" w14:textId="77777777" w:rsidR="00C46B17" w:rsidRPr="00315936" w:rsidRDefault="00C46B17">
            <w:pPr>
              <w:pStyle w:val="Tabletext"/>
            </w:pPr>
            <w:r w:rsidRPr="00315936">
              <w:t>Denominator</w:t>
            </w:r>
          </w:p>
        </w:tc>
        <w:tc>
          <w:tcPr>
            <w:tcW w:w="8506" w:type="dxa"/>
            <w:tcBorders>
              <w:left w:val="single" w:sz="4" w:space="0" w:color="FFFFFF" w:themeColor="background1"/>
            </w:tcBorders>
          </w:tcPr>
          <w:p w14:paraId="4702424A" w14:textId="40043B83" w:rsidR="00C46B17" w:rsidRPr="00315936" w:rsidRDefault="4E030DEB">
            <w:pPr>
              <w:pStyle w:val="Tabletext"/>
            </w:pPr>
            <w:r>
              <w:t xml:space="preserve">All patients arriving by emergency ambulance who are transferred to the </w:t>
            </w:r>
            <w:r w:rsidR="7E852024">
              <w:t>emergency department</w:t>
            </w:r>
            <w:r w:rsidR="3FD07073">
              <w:t xml:space="preserve"> that are in scope of this measure as defined above.</w:t>
            </w:r>
          </w:p>
        </w:tc>
      </w:tr>
      <w:tr w:rsidR="00C46B17" w:rsidRPr="00315936" w14:paraId="1165AD7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B19FFF3" w14:textId="3CE20E0F" w:rsidR="00C46B17" w:rsidRPr="00315936" w:rsidRDefault="00C46B17">
            <w:pPr>
              <w:pStyle w:val="Tabletext"/>
            </w:pPr>
            <w:r w:rsidRPr="00315936">
              <w:t>Statewide</w:t>
            </w:r>
            <w:r w:rsidRPr="00315936" w:rsidDel="002B2730">
              <w:t xml:space="preserve"> t</w:t>
            </w:r>
            <w:r w:rsidRPr="00315936">
              <w:t>arget</w:t>
            </w:r>
          </w:p>
        </w:tc>
        <w:tc>
          <w:tcPr>
            <w:tcW w:w="8506" w:type="dxa"/>
            <w:tcBorders>
              <w:left w:val="single" w:sz="4" w:space="0" w:color="FFFFFF" w:themeColor="background1"/>
            </w:tcBorders>
          </w:tcPr>
          <w:p w14:paraId="11EC2F1C" w14:textId="0B805B32" w:rsidR="00F72949" w:rsidRDefault="00D97752" w:rsidP="00535D2B">
            <w:pPr>
              <w:pStyle w:val="Tabletext"/>
            </w:pPr>
            <w:r>
              <w:t>S</w:t>
            </w:r>
            <w:r w:rsidR="002B2730">
              <w:t>tatewide target</w:t>
            </w:r>
            <w:r>
              <w:t>:</w:t>
            </w:r>
            <w:r w:rsidR="004A3A43">
              <w:t xml:space="preserve"> g</w:t>
            </w:r>
            <w:r w:rsidR="004B10A5">
              <w:t xml:space="preserve">reater than or equal to </w:t>
            </w:r>
            <w:r w:rsidR="56DC0D1F">
              <w:t xml:space="preserve">80 per cent or </w:t>
            </w:r>
            <w:r w:rsidR="006A2004">
              <w:t>3</w:t>
            </w:r>
            <w:r w:rsidR="56DC0D1F">
              <w:t xml:space="preserve"> per cent improvement on prior year performance</w:t>
            </w:r>
            <w:r w:rsidR="006F0CCE">
              <w:t xml:space="preserve"> </w:t>
            </w:r>
            <w:r w:rsidR="56DC0D1F">
              <w:t>with progress expected towards 90 per cent</w:t>
            </w:r>
            <w:r w:rsidR="004A3A43">
              <w:t>.</w:t>
            </w:r>
          </w:p>
          <w:p w14:paraId="7EAA5A1A" w14:textId="3AEB3947" w:rsidR="0087770E" w:rsidRDefault="009821AE" w:rsidP="3F528552">
            <w:pPr>
              <w:pStyle w:val="Tabletext"/>
            </w:pPr>
            <w:r>
              <w:t xml:space="preserve">Tiered </w:t>
            </w:r>
            <w:r w:rsidR="004D1057">
              <w:t xml:space="preserve">performance targets </w:t>
            </w:r>
            <w:r w:rsidR="00A53F52">
              <w:t>are set for</w:t>
            </w:r>
            <w:r w:rsidR="004D1057">
              <w:t xml:space="preserve"> </w:t>
            </w:r>
            <w:r w:rsidR="00F32519">
              <w:t>individual</w:t>
            </w:r>
            <w:r w:rsidR="004D1057">
              <w:t xml:space="preserve"> </w:t>
            </w:r>
            <w:r>
              <w:t>h</w:t>
            </w:r>
            <w:r w:rsidR="0075167E">
              <w:t>ealth service c</w:t>
            </w:r>
            <w:r w:rsidR="004D1057">
              <w:t>am</w:t>
            </w:r>
            <w:r w:rsidR="00F32519">
              <w:t>puses</w:t>
            </w:r>
            <w:r w:rsidR="00A53F52">
              <w:t xml:space="preserve"> to encourage and recognise incremental improvement towards the overall statewide target</w:t>
            </w:r>
            <w:r w:rsidR="00030291">
              <w:t>:</w:t>
            </w:r>
          </w:p>
          <w:p w14:paraId="55C71774" w14:textId="2B1960FC" w:rsidR="000D2CAB" w:rsidRPr="00C926CC" w:rsidRDefault="000D2CAB" w:rsidP="004D30B0">
            <w:pPr>
              <w:pStyle w:val="Tablebullet1"/>
            </w:pPr>
            <w:r w:rsidRPr="00DD6429">
              <w:t xml:space="preserve">Tier 1: </w:t>
            </w:r>
            <w:r w:rsidR="00F602C4" w:rsidRPr="00DD6429">
              <w:t>Greater than or equal to 80 per cent</w:t>
            </w:r>
            <w:r w:rsidR="0085534B" w:rsidRPr="00DD6429">
              <w:t xml:space="preserve"> (i.</w:t>
            </w:r>
            <w:r w:rsidR="0085534B" w:rsidRPr="00C926CC">
              <w:t>e. maintain performance)</w:t>
            </w:r>
          </w:p>
          <w:p w14:paraId="7E8BF14F" w14:textId="4B5C46DC" w:rsidR="00F602C4" w:rsidRPr="00C926CC" w:rsidRDefault="00F602C4" w:rsidP="004D30B0">
            <w:pPr>
              <w:pStyle w:val="Tablebullet1"/>
            </w:pPr>
            <w:r w:rsidRPr="00C926CC">
              <w:t xml:space="preserve">Tier 2: 8 per cent improvement on </w:t>
            </w:r>
            <w:r w:rsidR="00B857B3" w:rsidRPr="00C926CC">
              <w:t>performance</w:t>
            </w:r>
            <w:r w:rsidR="00B27345" w:rsidRPr="00C926CC">
              <w:t xml:space="preserve"> from the same quarter of previous year</w:t>
            </w:r>
          </w:p>
          <w:p w14:paraId="2988A20C" w14:textId="4BAF61FD" w:rsidR="00B857B3" w:rsidRPr="00C926CC" w:rsidRDefault="00B857B3" w:rsidP="004D30B0">
            <w:pPr>
              <w:pStyle w:val="Tablebullet1"/>
            </w:pPr>
            <w:r w:rsidRPr="00C926CC">
              <w:t xml:space="preserve">Tier 3: </w:t>
            </w:r>
            <w:r w:rsidR="00AD052E" w:rsidRPr="00C926CC">
              <w:t>6 per cent improvement on performance</w:t>
            </w:r>
            <w:r w:rsidR="00AA6103" w:rsidRPr="00C926CC">
              <w:t xml:space="preserve"> from the same quarter of previous year</w:t>
            </w:r>
          </w:p>
          <w:p w14:paraId="2966025C" w14:textId="2BB65092" w:rsidR="00AD052E" w:rsidRPr="00C926CC" w:rsidRDefault="00AD052E" w:rsidP="004D30B0">
            <w:pPr>
              <w:pStyle w:val="Tablebullet1"/>
            </w:pPr>
            <w:r w:rsidRPr="00C926CC">
              <w:t>Tier 4: 4 per cent improvement on performance</w:t>
            </w:r>
            <w:r w:rsidR="00AA6103" w:rsidRPr="00C926CC">
              <w:t xml:space="preserve"> from the s</w:t>
            </w:r>
            <w:r w:rsidR="006562D8" w:rsidRPr="00C926CC">
              <w:t>ame quarter of previous year</w:t>
            </w:r>
            <w:r w:rsidR="004A3A43">
              <w:t>.</w:t>
            </w:r>
          </w:p>
          <w:p w14:paraId="2FC99C65" w14:textId="2860AAEA" w:rsidR="0075167E" w:rsidRDefault="00AD052E" w:rsidP="00535D2B">
            <w:pPr>
              <w:pStyle w:val="Tabletext"/>
            </w:pPr>
            <w:r>
              <w:t>Ambulance Victoria</w:t>
            </w:r>
            <w:r w:rsidR="00D90D7C">
              <w:t>:</w:t>
            </w:r>
            <w:r w:rsidR="004A3A43">
              <w:t xml:space="preserve"> </w:t>
            </w:r>
            <w:r w:rsidR="0080642D">
              <w:t xml:space="preserve">80 per cent or 3 per cent improvement on performance </w:t>
            </w:r>
            <w:r w:rsidR="003067FA">
              <w:t>from the same quarter of previous year</w:t>
            </w:r>
            <w:r w:rsidR="0080642D">
              <w:t xml:space="preserve"> with progress expected towards 90 per cent</w:t>
            </w:r>
          </w:p>
          <w:p w14:paraId="1F7CCA32" w14:textId="7CEA5BA0" w:rsidR="0075167E" w:rsidRPr="004B69E0" w:rsidRDefault="3C814893" w:rsidP="000B3782">
            <w:pPr>
              <w:pStyle w:val="Tabletext"/>
            </w:pPr>
            <w:r>
              <w:t xml:space="preserve">For annual </w:t>
            </w:r>
            <w:r w:rsidR="007D780C">
              <w:t>results</w:t>
            </w:r>
            <w:r>
              <w:t xml:space="preserve">, </w:t>
            </w:r>
            <w:r w:rsidR="002C6161">
              <w:t xml:space="preserve">percentage </w:t>
            </w:r>
            <w:r w:rsidR="006957A8">
              <w:t xml:space="preserve">improvement will be </w:t>
            </w:r>
            <w:r w:rsidR="00AC3AF3">
              <w:t xml:space="preserve">based on </w:t>
            </w:r>
            <w:r w:rsidR="6C03246C">
              <w:t xml:space="preserve">comparison with </w:t>
            </w:r>
            <w:r w:rsidR="2975AD8B">
              <w:t>the</w:t>
            </w:r>
            <w:r w:rsidR="006957A8">
              <w:t xml:space="preserve"> performance for the whole of the previous </w:t>
            </w:r>
            <w:r w:rsidR="5257C8B2">
              <w:t>financial</w:t>
            </w:r>
            <w:r w:rsidR="1F3A2E7D">
              <w:t xml:space="preserve"> </w:t>
            </w:r>
            <w:r w:rsidR="64CED591">
              <w:t>year.</w:t>
            </w:r>
          </w:p>
        </w:tc>
      </w:tr>
      <w:tr w:rsidR="00C46B17" w:rsidRPr="00315936" w14:paraId="3CF1C93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0408B0D" w14:textId="29424FBC" w:rsidR="00C46B17" w:rsidRPr="00315936" w:rsidRDefault="00C46B17">
            <w:pPr>
              <w:pStyle w:val="Tabletext"/>
            </w:pPr>
            <w:r w:rsidRPr="00315936">
              <w:t>Achieved</w:t>
            </w:r>
          </w:p>
        </w:tc>
        <w:tc>
          <w:tcPr>
            <w:tcW w:w="8506" w:type="dxa"/>
            <w:tcBorders>
              <w:left w:val="single" w:sz="4" w:space="0" w:color="FFFFFF" w:themeColor="background1"/>
            </w:tcBorders>
          </w:tcPr>
          <w:p w14:paraId="0E5EF45E" w14:textId="1A913985" w:rsidR="00F72949" w:rsidRDefault="0057256D" w:rsidP="00535D2B">
            <w:pPr>
              <w:pStyle w:val="Tabletext"/>
            </w:pPr>
            <w:r>
              <w:t>Statewide and Ambulance Victoria:</w:t>
            </w:r>
            <w:r w:rsidR="00FB4663">
              <w:t xml:space="preserve"> </w:t>
            </w:r>
            <w:r w:rsidR="40A182DB" w:rsidRPr="00D65D2D">
              <w:rPr>
                <w:rFonts w:eastAsia="Times"/>
              </w:rPr>
              <w:t xml:space="preserve">Greater than or equal to </w:t>
            </w:r>
            <w:r w:rsidR="61AD8867" w:rsidRPr="00D65D2D">
              <w:rPr>
                <w:rFonts w:eastAsia="Times"/>
              </w:rPr>
              <w:t>8</w:t>
            </w:r>
            <w:r w:rsidR="3327A067" w:rsidRPr="00D65D2D">
              <w:rPr>
                <w:rFonts w:eastAsia="Times"/>
              </w:rPr>
              <w:t xml:space="preserve">0 percent, or </w:t>
            </w:r>
            <w:r w:rsidR="004F7CEB" w:rsidRPr="00D65D2D">
              <w:rPr>
                <w:rFonts w:eastAsia="Times"/>
              </w:rPr>
              <w:t>3</w:t>
            </w:r>
            <w:r w:rsidR="241417C9" w:rsidRPr="00D65D2D">
              <w:rPr>
                <w:rFonts w:eastAsia="Times"/>
              </w:rPr>
              <w:t xml:space="preserve"> per cent</w:t>
            </w:r>
            <w:r w:rsidR="2AABB851" w:rsidRPr="00D65D2D">
              <w:rPr>
                <w:rFonts w:eastAsia="Times"/>
              </w:rPr>
              <w:t xml:space="preserve"> improvement on performance</w:t>
            </w:r>
            <w:r w:rsidR="004F7CEB" w:rsidRPr="00D65D2D">
              <w:rPr>
                <w:rFonts w:eastAsia="Times"/>
              </w:rPr>
              <w:t xml:space="preserve"> </w:t>
            </w:r>
            <w:r w:rsidR="003067FA" w:rsidRPr="00D65D2D">
              <w:rPr>
                <w:rFonts w:eastAsia="Times"/>
              </w:rPr>
              <w:t xml:space="preserve">from the same quarter </w:t>
            </w:r>
            <w:r w:rsidR="002C583A" w:rsidRPr="00D65D2D">
              <w:rPr>
                <w:rFonts w:eastAsia="Times"/>
              </w:rPr>
              <w:t xml:space="preserve">of previous year </w:t>
            </w:r>
          </w:p>
          <w:p w14:paraId="5BCFAB2B" w14:textId="1B0DF72C" w:rsidR="001B1C81" w:rsidRDefault="001B1C81" w:rsidP="00C41610">
            <w:pPr>
              <w:pStyle w:val="Tabletext"/>
            </w:pPr>
            <w:r>
              <w:t>Health service campuses:</w:t>
            </w:r>
          </w:p>
          <w:p w14:paraId="3A5470DB" w14:textId="77777777" w:rsidR="001B1C81" w:rsidRPr="00E35417" w:rsidRDefault="001B1C81" w:rsidP="00D65D2D">
            <w:pPr>
              <w:pStyle w:val="Tablebullet1"/>
            </w:pPr>
            <w:r w:rsidRPr="00E35417">
              <w:t>Tier 1: Greater than or equal to 80 per cent</w:t>
            </w:r>
          </w:p>
          <w:p w14:paraId="547A674F" w14:textId="31FFF44F" w:rsidR="001B1C81" w:rsidRPr="00E35417" w:rsidRDefault="001B1C81" w:rsidP="00D65D2D">
            <w:pPr>
              <w:pStyle w:val="Tablebullet1"/>
            </w:pPr>
            <w:r w:rsidRPr="00E35417">
              <w:t>Tier 2: Greater than or equal to 8 per cent improvement on performance</w:t>
            </w:r>
            <w:r w:rsidR="0021550F" w:rsidRPr="00E35417">
              <w:t xml:space="preserve"> from the same quarter of </w:t>
            </w:r>
            <w:r w:rsidR="001E0004" w:rsidRPr="00E35417">
              <w:t>previous year</w:t>
            </w:r>
          </w:p>
          <w:p w14:paraId="76DA3529" w14:textId="4D12C1C0" w:rsidR="001B1C81" w:rsidRPr="00E35417" w:rsidRDefault="001B1C81" w:rsidP="00D65D2D">
            <w:pPr>
              <w:pStyle w:val="Tablebullet1"/>
            </w:pPr>
            <w:r w:rsidRPr="00E35417">
              <w:t>Tier 3: Greater than or equal to 6 per cent improvement on performance</w:t>
            </w:r>
            <w:r w:rsidR="001E0004" w:rsidRPr="00E35417">
              <w:t xml:space="preserve"> from the same quarter of previous year</w:t>
            </w:r>
          </w:p>
          <w:p w14:paraId="17233696" w14:textId="31878CC1" w:rsidR="001B1C81" w:rsidRPr="004B69E0" w:rsidRDefault="001B1C81" w:rsidP="00D65D2D">
            <w:pPr>
              <w:pStyle w:val="Tablebullet1"/>
            </w:pPr>
            <w:r w:rsidRPr="00E35417">
              <w:t>Tier 4: Greater than or equal to 4 per cent improvement on performance</w:t>
            </w:r>
            <w:r w:rsidR="001E0004" w:rsidRPr="00E35417">
              <w:t xml:space="preserve"> from the same quarter of previous year</w:t>
            </w:r>
          </w:p>
        </w:tc>
      </w:tr>
      <w:tr w:rsidR="00C46B17" w:rsidRPr="00315936" w14:paraId="31A05FF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2C05F8E" w14:textId="5198C8CC" w:rsidR="00C46B17" w:rsidRPr="00315936" w:rsidRDefault="00C46B17">
            <w:pPr>
              <w:pStyle w:val="Tabletext"/>
            </w:pPr>
            <w:r w:rsidRPr="00315936">
              <w:t>Not achieved</w:t>
            </w:r>
          </w:p>
        </w:tc>
        <w:tc>
          <w:tcPr>
            <w:tcW w:w="8506" w:type="dxa"/>
            <w:tcBorders>
              <w:left w:val="single" w:sz="4" w:space="0" w:color="FFFFFF" w:themeColor="background1"/>
            </w:tcBorders>
          </w:tcPr>
          <w:p w14:paraId="1B83454A" w14:textId="18248C87" w:rsidR="00C46B17" w:rsidRDefault="0057256D" w:rsidP="00535D2B">
            <w:pPr>
              <w:pStyle w:val="Tabletext"/>
            </w:pPr>
            <w:r>
              <w:t>Statewide and Ambulance Victoria:</w:t>
            </w:r>
            <w:r w:rsidR="00FB4663">
              <w:t xml:space="preserve"> </w:t>
            </w:r>
            <w:r w:rsidR="209A82B1">
              <w:t xml:space="preserve">Less than 80 percent, </w:t>
            </w:r>
            <w:r w:rsidR="006D6C57">
              <w:t xml:space="preserve">and </w:t>
            </w:r>
            <w:r w:rsidR="209A82B1">
              <w:t xml:space="preserve">less than </w:t>
            </w:r>
            <w:r w:rsidR="004F7CEB">
              <w:t>3</w:t>
            </w:r>
            <w:r w:rsidR="209A82B1">
              <w:t xml:space="preserve"> per cent improvement on performance</w:t>
            </w:r>
            <w:r w:rsidR="004F7CEB">
              <w:t xml:space="preserve"> </w:t>
            </w:r>
            <w:r w:rsidR="006D6C57">
              <w:t xml:space="preserve">from the same quarter of previous year </w:t>
            </w:r>
          </w:p>
          <w:p w14:paraId="5A885EE4" w14:textId="77777777" w:rsidR="001B1C81" w:rsidRDefault="001B1C81" w:rsidP="00C41610">
            <w:pPr>
              <w:pStyle w:val="Tabletext"/>
            </w:pPr>
            <w:r>
              <w:t>Health service campuses:</w:t>
            </w:r>
          </w:p>
          <w:p w14:paraId="3CAD46D7" w14:textId="48B387B3" w:rsidR="001B1C81" w:rsidRPr="003C0F20" w:rsidRDefault="001B1C81" w:rsidP="00D65D2D">
            <w:pPr>
              <w:pStyle w:val="Tablebullet1"/>
            </w:pPr>
            <w:r w:rsidRPr="003C0F20">
              <w:t>Tier 1:</w:t>
            </w:r>
            <w:r w:rsidR="00813A4C" w:rsidRPr="003C0F20">
              <w:t xml:space="preserve"> Less than</w:t>
            </w:r>
            <w:r w:rsidRPr="003C0F20">
              <w:t xml:space="preserve"> 80 per cent</w:t>
            </w:r>
          </w:p>
          <w:p w14:paraId="5E83832A" w14:textId="7F0B53CA" w:rsidR="001B1C81" w:rsidRPr="003C0F20" w:rsidRDefault="001B1C81" w:rsidP="00D65D2D">
            <w:pPr>
              <w:pStyle w:val="Tablebullet1"/>
            </w:pPr>
            <w:r w:rsidRPr="003C0F20">
              <w:t xml:space="preserve">Tier 2: </w:t>
            </w:r>
            <w:r w:rsidR="00D12B58" w:rsidRPr="003C0F20">
              <w:t>Less than</w:t>
            </w:r>
            <w:r w:rsidRPr="003C0F20">
              <w:t xml:space="preserve"> 8 per cent improvement on performance</w:t>
            </w:r>
            <w:r w:rsidR="00534B3E" w:rsidRPr="003C0F20">
              <w:t xml:space="preserve"> from the same quarter of previous year</w:t>
            </w:r>
          </w:p>
          <w:p w14:paraId="764BD306" w14:textId="2B57AB3A" w:rsidR="001B1C81" w:rsidRPr="003C0F20" w:rsidRDefault="001B1C81" w:rsidP="00D65D2D">
            <w:pPr>
              <w:pStyle w:val="Tablebullet1"/>
            </w:pPr>
            <w:r w:rsidRPr="003C0F20">
              <w:t xml:space="preserve">Tier 3: </w:t>
            </w:r>
            <w:r w:rsidR="00D12B58" w:rsidRPr="003C0F20">
              <w:t>Less than</w:t>
            </w:r>
            <w:r w:rsidRPr="003C0F20">
              <w:t xml:space="preserve"> 6 per cent improvement on performance</w:t>
            </w:r>
            <w:r w:rsidR="00534B3E" w:rsidRPr="003C0F20">
              <w:t xml:space="preserve"> from the same quarter of previous year</w:t>
            </w:r>
          </w:p>
          <w:p w14:paraId="491E7CA3" w14:textId="156CE667" w:rsidR="001B1C81" w:rsidRPr="004B69E0" w:rsidRDefault="001B1C81" w:rsidP="00D65D2D">
            <w:pPr>
              <w:pStyle w:val="Tablebullet1"/>
            </w:pPr>
            <w:r w:rsidRPr="003C0F20">
              <w:t xml:space="preserve">Tier 4: </w:t>
            </w:r>
            <w:r w:rsidR="00D12B58" w:rsidRPr="003C0F20">
              <w:t>Less than</w:t>
            </w:r>
            <w:r w:rsidRPr="003C0F20">
              <w:t xml:space="preserve"> 4 per cent improvement on performance</w:t>
            </w:r>
            <w:r w:rsidR="00534B3E" w:rsidRPr="003C0F20">
              <w:t xml:space="preserve"> from the same quarter of previous year</w:t>
            </w:r>
          </w:p>
        </w:tc>
      </w:tr>
      <w:tr w:rsidR="00C46B17" w:rsidRPr="00315936" w14:paraId="2594997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F099EAE" w14:textId="77777777" w:rsidR="00C46B17" w:rsidRPr="00315936" w:rsidRDefault="00C46B17">
            <w:pPr>
              <w:pStyle w:val="Tabletext"/>
            </w:pPr>
            <w:r w:rsidRPr="00315936">
              <w:t>Improvement</w:t>
            </w:r>
          </w:p>
        </w:tc>
        <w:tc>
          <w:tcPr>
            <w:tcW w:w="8506" w:type="dxa"/>
            <w:tcBorders>
              <w:left w:val="single" w:sz="4" w:space="0" w:color="FFFFFF" w:themeColor="background1"/>
            </w:tcBorders>
          </w:tcPr>
          <w:p w14:paraId="1F193861" w14:textId="755C070F" w:rsidR="00C46B17" w:rsidRPr="00315936" w:rsidRDefault="00B93CD2">
            <w:pPr>
              <w:pStyle w:val="Tabletext"/>
            </w:pPr>
            <w:proofErr w:type="gramStart"/>
            <w:r>
              <w:t>For the purpose of</w:t>
            </w:r>
            <w:proofErr w:type="gramEnd"/>
            <w:r>
              <w:t xml:space="preserve"> the performance risk assessment, i</w:t>
            </w:r>
            <w:r w:rsidR="00C46B17" w:rsidRPr="00315936">
              <w:t>mprovement is calculated based on same time last year performance.</w:t>
            </w:r>
          </w:p>
        </w:tc>
      </w:tr>
      <w:tr w:rsidR="00C46B17" w:rsidRPr="00315936" w14:paraId="21AC7D88"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0CF1A01" w14:textId="77777777" w:rsidR="00C46B17" w:rsidRPr="00315936" w:rsidRDefault="00C46B17">
            <w:pPr>
              <w:pStyle w:val="Tabletext"/>
            </w:pPr>
            <w:r w:rsidRPr="00315936">
              <w:t>Frequency of reporting and data collection</w:t>
            </w:r>
          </w:p>
        </w:tc>
        <w:tc>
          <w:tcPr>
            <w:tcW w:w="8506" w:type="dxa"/>
            <w:tcBorders>
              <w:left w:val="single" w:sz="4" w:space="0" w:color="FFFFFF" w:themeColor="background1"/>
            </w:tcBorders>
          </w:tcPr>
          <w:p w14:paraId="48D53A2B" w14:textId="7D0EE7BC" w:rsidR="002A3E24" w:rsidRPr="00315936" w:rsidRDefault="005E5A3B">
            <w:pPr>
              <w:pStyle w:val="Tabletext"/>
            </w:pPr>
            <w:r w:rsidRPr="00315936">
              <w:t>Performance is reported monthly</w:t>
            </w:r>
            <w:r w:rsidR="00B93CD2">
              <w:t xml:space="preserve"> </w:t>
            </w:r>
            <w:r w:rsidRPr="00315936">
              <w:t xml:space="preserve">and annually at the campus level. </w:t>
            </w:r>
          </w:p>
          <w:p w14:paraId="526C5959" w14:textId="280E3AEA" w:rsidR="00C46B17" w:rsidRPr="00315936" w:rsidRDefault="005E5A3B">
            <w:pPr>
              <w:pStyle w:val="Tabletext"/>
            </w:pPr>
            <w:r w:rsidRPr="00315936">
              <w:t xml:space="preserve">Data are sourced from the </w:t>
            </w:r>
            <w:r w:rsidR="001A5330">
              <w:t>Victorian Emergency Minimum Dataset (VEMD)</w:t>
            </w:r>
            <w:r w:rsidR="002A3E24" w:rsidRPr="00315936">
              <w:t>.</w:t>
            </w:r>
            <w:r w:rsidRPr="00315936">
              <w:t xml:space="preserve"> </w:t>
            </w:r>
          </w:p>
        </w:tc>
      </w:tr>
    </w:tbl>
    <w:p w14:paraId="2056745A" w14:textId="2FBA5B11" w:rsidR="00671221" w:rsidRPr="00315936" w:rsidRDefault="00671221" w:rsidP="008E7F78">
      <w:pPr>
        <w:pStyle w:val="Heading4"/>
      </w:pPr>
      <w:bookmarkStart w:id="98" w:name="_Toc1348508944"/>
      <w:r w:rsidRPr="00315936">
        <w:t>Number of patients with a length of stay in the emergency department greater than 24 hours</w:t>
      </w:r>
      <w:bookmarkEnd w:id="98"/>
    </w:p>
    <w:tbl>
      <w:tblPr>
        <w:tblStyle w:val="TableGrid"/>
        <w:tblW w:w="10343" w:type="dxa"/>
        <w:tblLook w:val="04A0" w:firstRow="1" w:lastRow="0" w:firstColumn="1" w:lastColumn="0" w:noHBand="0" w:noVBand="1"/>
      </w:tblPr>
      <w:tblGrid>
        <w:gridCol w:w="1837"/>
        <w:gridCol w:w="8506"/>
      </w:tblGrid>
      <w:tr w:rsidR="00ED7105" w:rsidRPr="00315936" w14:paraId="4DEB8F9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FFFEA25" w14:textId="4DC8D303" w:rsidR="00ED7105"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37C64FAE" w14:textId="77777777" w:rsidR="00ED7105" w:rsidRPr="00315936" w:rsidRDefault="00ED7105">
            <w:pPr>
              <w:pStyle w:val="Tabletext"/>
            </w:pPr>
            <w:r w:rsidRPr="00315936">
              <w:t>Number of patients with a length of stay in the emergency department greater than 24 hours</w:t>
            </w:r>
          </w:p>
        </w:tc>
      </w:tr>
      <w:tr w:rsidR="00ED7105" w:rsidRPr="00315936" w14:paraId="21F3973F"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0EF80D8" w14:textId="77777777" w:rsidR="00ED7105" w:rsidRPr="00315936" w:rsidRDefault="00ED7105">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5F2ED022" w14:textId="28F06226" w:rsidR="00ED7105" w:rsidRPr="00315936" w:rsidRDefault="00ED7105">
            <w:pPr>
              <w:pStyle w:val="Tabletext"/>
              <w:rPr>
                <w:lang w:eastAsia="en-AU"/>
              </w:rPr>
            </w:pPr>
            <w:r w:rsidRPr="00315936">
              <w:t xml:space="preserve">This </w:t>
            </w:r>
            <w:r w:rsidR="00C3016B" w:rsidRPr="00315936">
              <w:t>measure</w:t>
            </w:r>
            <w:r w:rsidRPr="00315936">
              <w:t xml:space="preserve"> m</w:t>
            </w:r>
            <w:r w:rsidR="00D0744A" w:rsidRPr="00315936">
              <w:t>onitors</w:t>
            </w:r>
            <w:r w:rsidRPr="00315936">
              <w:t xml:space="preserve"> the tim</w:t>
            </w:r>
            <w:r w:rsidR="00D0744A" w:rsidRPr="00315936">
              <w:t>eliness of</w:t>
            </w:r>
            <w:r w:rsidRPr="00315936">
              <w:t xml:space="preserve"> </w:t>
            </w:r>
            <w:r w:rsidR="006443AB">
              <w:t xml:space="preserve">discharging or </w:t>
            </w:r>
            <w:r w:rsidRPr="00315936">
              <w:t>transfer</w:t>
            </w:r>
            <w:r w:rsidR="00D0744A" w:rsidRPr="00315936">
              <w:t>ring</w:t>
            </w:r>
            <w:r w:rsidRPr="00315936">
              <w:t xml:space="preserve"> </w:t>
            </w:r>
            <w:r w:rsidR="006443AB">
              <w:t xml:space="preserve">ED </w:t>
            </w:r>
            <w:r w:rsidRPr="00315936">
              <w:t>patients</w:t>
            </w:r>
            <w:r w:rsidR="006443AB">
              <w:t xml:space="preserve"> </w:t>
            </w:r>
            <w:r w:rsidRPr="00315936">
              <w:t>to an inpatient bed. It reflects the effectiveness of hospital patient flow processes and discharge planning.</w:t>
            </w:r>
          </w:p>
        </w:tc>
      </w:tr>
      <w:tr w:rsidR="00ED7105" w:rsidRPr="00315936" w14:paraId="5970703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8FE1F22" w14:textId="77777777" w:rsidR="00ED7105" w:rsidRPr="00315936" w:rsidRDefault="00ED7105">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6AC53C70" w14:textId="23F3D113" w:rsidR="00B13550" w:rsidRDefault="00B13550" w:rsidP="00A67D0D">
            <w:pPr>
              <w:pStyle w:val="Tabletext"/>
            </w:pPr>
            <w:bookmarkStart w:id="99" w:name="_Hlk50123300"/>
            <w:r>
              <w:t>Length of stay in ED is calculated as the departure date and time minus the arrival date and time (converted to hours)</w:t>
            </w:r>
            <w:r w:rsidR="00126308">
              <w:t>.</w:t>
            </w:r>
          </w:p>
          <w:p w14:paraId="05F4E915" w14:textId="36F77C0C" w:rsidR="00ED7105" w:rsidRPr="00315936" w:rsidRDefault="3976064A" w:rsidP="00A67D0D">
            <w:pPr>
              <w:pStyle w:val="Tabletext"/>
            </w:pPr>
            <w:r>
              <w:t xml:space="preserve">The </w:t>
            </w:r>
            <w:r w:rsidR="15AD33F7">
              <w:t xml:space="preserve">ED </w:t>
            </w:r>
            <w:r>
              <w:t xml:space="preserve">Departure Date (not Arrival Date) is used </w:t>
            </w:r>
            <w:r w:rsidR="00DB4C8D">
              <w:t xml:space="preserve">to identify presentations in scope </w:t>
            </w:r>
            <w:r w:rsidR="00041D4E">
              <w:t xml:space="preserve">for the reporting period. </w:t>
            </w:r>
          </w:p>
          <w:p w14:paraId="011EB501" w14:textId="072BEF29" w:rsidR="00AB174D" w:rsidRPr="00315936" w:rsidRDefault="00ED7105" w:rsidP="00AB174D">
            <w:pPr>
              <w:pStyle w:val="Tabletext"/>
            </w:pPr>
            <w:r w:rsidRPr="00315936">
              <w:t>Exclusion</w:t>
            </w:r>
            <w:r w:rsidR="00066866">
              <w:t>s</w:t>
            </w:r>
            <w:r w:rsidRPr="00315936">
              <w:t xml:space="preserve">: </w:t>
            </w:r>
          </w:p>
          <w:p w14:paraId="3F980771" w14:textId="51C6EFF5" w:rsidR="008D5A0B" w:rsidRPr="00CC06EC" w:rsidRDefault="005E5A3B" w:rsidP="00CC06EC">
            <w:pPr>
              <w:pStyle w:val="Tablebullet1"/>
            </w:pPr>
            <w:r w:rsidRPr="00315936">
              <w:t xml:space="preserve">Triage </w:t>
            </w:r>
            <w:r w:rsidR="008D5A0B" w:rsidRPr="00CC06EC">
              <w:t>category</w:t>
            </w:r>
            <w:r w:rsidR="00DE74AE">
              <w:t xml:space="preserve"> =</w:t>
            </w:r>
            <w:r w:rsidR="008D5A0B" w:rsidRPr="00CC06EC">
              <w:t xml:space="preserve"> </w:t>
            </w:r>
            <w:r w:rsidR="00DE74AE">
              <w:t>‘</w:t>
            </w:r>
            <w:r w:rsidR="008D5A0B" w:rsidRPr="00CC06EC">
              <w:t>6</w:t>
            </w:r>
            <w:r w:rsidR="00DE74AE">
              <w:t>’</w:t>
            </w:r>
            <w:r w:rsidR="008D5A0B" w:rsidRPr="00CC06EC">
              <w:t xml:space="preserve"> Dead on arrival</w:t>
            </w:r>
          </w:p>
          <w:p w14:paraId="241CA3FE" w14:textId="6944F1B2" w:rsidR="006D25E6" w:rsidRPr="00AA1615" w:rsidRDefault="003B6556" w:rsidP="00BC6D23">
            <w:pPr>
              <w:pStyle w:val="Tablebullet1"/>
            </w:pPr>
            <w:r>
              <w:rPr>
                <w:rFonts w:eastAsia="Times"/>
              </w:rPr>
              <w:t xml:space="preserve">Departure status code </w:t>
            </w:r>
            <w:r w:rsidR="0007458E">
              <w:rPr>
                <w:rFonts w:eastAsia="Times"/>
              </w:rPr>
              <w:t>=</w:t>
            </w:r>
            <w:r w:rsidR="00AA1615">
              <w:rPr>
                <w:rFonts w:eastAsia="Times"/>
              </w:rPr>
              <w:t xml:space="preserve"> </w:t>
            </w:r>
            <w:r w:rsidR="0007458E">
              <w:rPr>
                <w:rFonts w:eastAsia="Times"/>
              </w:rPr>
              <w:t>‘</w:t>
            </w:r>
            <w:r>
              <w:rPr>
                <w:rFonts w:eastAsia="Times"/>
              </w:rPr>
              <w:t>30</w:t>
            </w:r>
            <w:r w:rsidR="0007458E">
              <w:rPr>
                <w:rFonts w:eastAsia="Times"/>
              </w:rPr>
              <w:t>’</w:t>
            </w:r>
            <w:r>
              <w:rPr>
                <w:rFonts w:eastAsia="Times"/>
              </w:rPr>
              <w:t xml:space="preserve"> </w:t>
            </w:r>
            <w:r w:rsidR="0007458E">
              <w:rPr>
                <w:rFonts w:eastAsia="Times"/>
              </w:rPr>
              <w:t>Left a</w:t>
            </w:r>
            <w:r w:rsidR="00445262">
              <w:rPr>
                <w:rFonts w:eastAsia="Times"/>
              </w:rPr>
              <w:t xml:space="preserve">fter clinical advice regarding treatment options - </w:t>
            </w:r>
            <w:r>
              <w:rPr>
                <w:rFonts w:eastAsia="Times"/>
              </w:rPr>
              <w:t>GP co-located clinic</w:t>
            </w:r>
            <w:r w:rsidR="00DE74AE">
              <w:rPr>
                <w:rFonts w:eastAsia="Times"/>
              </w:rPr>
              <w:t xml:space="preserve"> or PPCC</w:t>
            </w:r>
          </w:p>
          <w:p w14:paraId="320DC866" w14:textId="77777777" w:rsidR="006473AE" w:rsidRDefault="003B4614" w:rsidP="00BC6D23">
            <w:pPr>
              <w:pStyle w:val="Tablebullet1"/>
            </w:pPr>
            <w:r>
              <w:t>VVED presentations</w:t>
            </w:r>
          </w:p>
          <w:p w14:paraId="2B779529" w14:textId="4C0F1C38" w:rsidR="00A24C96" w:rsidRDefault="006473AE" w:rsidP="00535D2B">
            <w:pPr>
              <w:pStyle w:val="Tablebullet1"/>
            </w:pPr>
            <w:r>
              <w:t>Other virtual care presentations</w:t>
            </w:r>
            <w:r w:rsidR="00FB4663">
              <w:t>.</w:t>
            </w:r>
            <w:r w:rsidR="003B4614">
              <w:t xml:space="preserve"> </w:t>
            </w:r>
            <w:bookmarkEnd w:id="99"/>
          </w:p>
          <w:p w14:paraId="1DCBC9D2" w14:textId="7CF70494" w:rsidR="00ED7105" w:rsidRPr="00315936" w:rsidRDefault="00ED7105">
            <w:pPr>
              <w:pStyle w:val="Tabletext"/>
              <w:rPr>
                <w:b/>
              </w:rPr>
            </w:pPr>
            <w:r w:rsidRPr="00315936">
              <w:rPr>
                <w:b/>
              </w:rPr>
              <w:t>Performance breach notification</w:t>
            </w:r>
          </w:p>
          <w:p w14:paraId="2E0A3A6F" w14:textId="7B91093E" w:rsidR="00ED7105" w:rsidRPr="00315936" w:rsidRDefault="79228C72">
            <w:pPr>
              <w:pStyle w:val="Tabletext"/>
              <w:rPr>
                <w:lang w:eastAsia="en-AU"/>
              </w:rPr>
            </w:pPr>
            <w:r>
              <w:t xml:space="preserve">If a patient has exceeded 24hrs length of stay in ED and the event </w:t>
            </w:r>
            <w:r w:rsidR="55ADE1AE">
              <w:t xml:space="preserve">was </w:t>
            </w:r>
            <w:r>
              <w:t xml:space="preserve">verified as accurate, the patient will be regarded as a breach for the purposes of </w:t>
            </w:r>
            <w:r w:rsidR="400C1BD1">
              <w:t>performance,</w:t>
            </w:r>
            <w:r>
              <w:t xml:space="preserve"> and a departmental notification procedure must be initiated by the health service.</w:t>
            </w:r>
          </w:p>
        </w:tc>
      </w:tr>
      <w:tr w:rsidR="00ED7105" w:rsidRPr="00315936" w14:paraId="01D1815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98CE6A9" w14:textId="77777777" w:rsidR="00ED7105" w:rsidRPr="00315936" w:rsidRDefault="00ED7105">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3D79B996" w14:textId="46F5D05E" w:rsidR="00ED7105" w:rsidRPr="00315936" w:rsidRDefault="3976064A">
            <w:pPr>
              <w:pStyle w:val="Tabletext"/>
              <w:rPr>
                <w:lang w:eastAsia="en-AU"/>
              </w:rPr>
            </w:pPr>
            <w:r>
              <w:t xml:space="preserve">Number of </w:t>
            </w:r>
            <w:r w:rsidR="328225AA">
              <w:t>emergency department presentations</w:t>
            </w:r>
            <w:r>
              <w:t xml:space="preserve"> with length of stay </w:t>
            </w:r>
            <w:r w:rsidR="01CC46FD">
              <w:t xml:space="preserve">in ED </w:t>
            </w:r>
            <w:r>
              <w:t>greater than 24 hours (1,440 minutes)</w:t>
            </w:r>
            <w:r w:rsidR="001E283A">
              <w:t>.</w:t>
            </w:r>
            <w:r>
              <w:t xml:space="preserve"> </w:t>
            </w:r>
          </w:p>
        </w:tc>
      </w:tr>
      <w:tr w:rsidR="00ED7105" w:rsidRPr="00315936" w14:paraId="5EB8E39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D5AC163" w14:textId="77777777" w:rsidR="00ED7105" w:rsidRPr="00315936" w:rsidRDefault="00ED7105">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7DB9DF4F" w14:textId="77777777" w:rsidR="00ED7105" w:rsidRPr="00315936" w:rsidRDefault="00ED7105">
            <w:pPr>
              <w:pStyle w:val="Tabletext"/>
              <w:rPr>
                <w:lang w:eastAsia="en-AU"/>
              </w:rPr>
            </w:pPr>
            <w:r w:rsidRPr="00315936">
              <w:rPr>
                <w:lang w:eastAsia="en-AU"/>
              </w:rPr>
              <w:t>N/A</w:t>
            </w:r>
          </w:p>
        </w:tc>
      </w:tr>
      <w:tr w:rsidR="00ED7105" w:rsidRPr="00315936" w14:paraId="30DF5F6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5FF13E7" w14:textId="77777777" w:rsidR="00ED7105" w:rsidRPr="00315936" w:rsidRDefault="00ED7105">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55AB8A24" w14:textId="77777777" w:rsidR="00ED7105" w:rsidRPr="00315936" w:rsidRDefault="00ED7105">
            <w:pPr>
              <w:pStyle w:val="Tabletext"/>
              <w:rPr>
                <w:lang w:eastAsia="en-AU"/>
              </w:rPr>
            </w:pPr>
            <w:r w:rsidRPr="00315936">
              <w:rPr>
                <w:lang w:eastAsia="en-AU"/>
              </w:rPr>
              <w:t>0</w:t>
            </w:r>
          </w:p>
        </w:tc>
      </w:tr>
      <w:tr w:rsidR="00ED7105" w:rsidRPr="00315936" w14:paraId="086D490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5504673" w14:textId="575F90E2" w:rsidR="00ED7105" w:rsidRPr="00315936" w:rsidRDefault="00ED7105">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23AB9484" w14:textId="7F0D10B7" w:rsidR="00ED7105" w:rsidRPr="00315936" w:rsidRDefault="00ED7105">
            <w:pPr>
              <w:pStyle w:val="Tabletext"/>
              <w:rPr>
                <w:lang w:eastAsia="en-AU"/>
              </w:rPr>
            </w:pPr>
            <w:r w:rsidRPr="00315936">
              <w:t>0</w:t>
            </w:r>
          </w:p>
        </w:tc>
      </w:tr>
      <w:tr w:rsidR="00ED7105" w:rsidRPr="00315936" w14:paraId="6FAF82B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3972014" w14:textId="07EFBA04" w:rsidR="00ED7105" w:rsidRPr="00315936" w:rsidRDefault="00ED7105">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37B6823F" w14:textId="0C62B746" w:rsidR="00ED7105" w:rsidRPr="00315936" w:rsidRDefault="00ED7105">
            <w:pPr>
              <w:pStyle w:val="Tabletext"/>
              <w:rPr>
                <w:lang w:eastAsia="en-AU"/>
              </w:rPr>
            </w:pPr>
            <w:r w:rsidRPr="00315936">
              <w:t>Greater than 0</w:t>
            </w:r>
          </w:p>
        </w:tc>
      </w:tr>
      <w:tr w:rsidR="00ED7105" w:rsidRPr="00315936" w14:paraId="2A57495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6DC1D4E" w14:textId="77777777" w:rsidR="00ED7105" w:rsidRPr="00315936" w:rsidRDefault="00ED7105">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155CF608" w14:textId="36A3FA5E" w:rsidR="00ED7105" w:rsidRPr="00315936" w:rsidRDefault="008344A5">
            <w:pPr>
              <w:pStyle w:val="Tabletext"/>
              <w:rPr>
                <w:lang w:eastAsia="en-AU"/>
              </w:rPr>
            </w:pPr>
            <w:proofErr w:type="gramStart"/>
            <w:r>
              <w:t>For the purpose of</w:t>
            </w:r>
            <w:proofErr w:type="gramEnd"/>
            <w:r>
              <w:t xml:space="preserve"> the performance risk assessment, i</w:t>
            </w:r>
            <w:r w:rsidR="00ED7105" w:rsidRPr="00315936">
              <w:t xml:space="preserve">mprovement is calculated based on </w:t>
            </w:r>
            <w:r w:rsidR="005345E0">
              <w:t>per</w:t>
            </w:r>
            <w:r w:rsidR="00596589">
              <w:t>formance from the same period</w:t>
            </w:r>
            <w:r w:rsidR="005229CE">
              <w:t xml:space="preserve"> (</w:t>
            </w:r>
            <w:r w:rsidR="00DE6D05">
              <w:t xml:space="preserve">quarter or </w:t>
            </w:r>
            <w:r w:rsidR="00A43448">
              <w:t>year)</w:t>
            </w:r>
            <w:r w:rsidR="00596589">
              <w:t xml:space="preserve"> in the previous year</w:t>
            </w:r>
            <w:r w:rsidR="005229CE">
              <w:t>.</w:t>
            </w:r>
          </w:p>
        </w:tc>
      </w:tr>
      <w:tr w:rsidR="00ED7105" w:rsidRPr="00315936" w14:paraId="1B9DE57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1A4ECBC" w14:textId="77777777" w:rsidR="00ED7105" w:rsidRPr="00315936" w:rsidRDefault="00ED7105">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3A8A3CD1" w14:textId="5094A045" w:rsidR="003E6882" w:rsidRPr="00315936" w:rsidRDefault="00ED7105">
            <w:pPr>
              <w:pStyle w:val="Tabletext"/>
            </w:pPr>
            <w:r w:rsidRPr="00315936">
              <w:t xml:space="preserve">Performance </w:t>
            </w:r>
            <w:r w:rsidR="002169F6">
              <w:t xml:space="preserve">is </w:t>
            </w:r>
            <w:r w:rsidR="008D5A0B" w:rsidRPr="00315936">
              <w:t>reported monthly and annually at the campus level</w:t>
            </w:r>
            <w:r w:rsidR="002169F6">
              <w:t>.</w:t>
            </w:r>
          </w:p>
          <w:p w14:paraId="70D0F6ED" w14:textId="5DC8D59E" w:rsidR="00ED7105" w:rsidRPr="00315936" w:rsidRDefault="00ED7105">
            <w:pPr>
              <w:pStyle w:val="Tabletext"/>
              <w:rPr>
                <w:lang w:eastAsia="en-AU"/>
              </w:rPr>
            </w:pPr>
            <w:r w:rsidRPr="00315936">
              <w:t>Data are</w:t>
            </w:r>
            <w:r w:rsidR="008D5A0B" w:rsidRPr="00315936">
              <w:t xml:space="preserve"> sourced from </w:t>
            </w:r>
            <w:r w:rsidR="001A5330" w:rsidRPr="00315936">
              <w:t xml:space="preserve">the </w:t>
            </w:r>
            <w:r w:rsidR="001A5330">
              <w:t>Victorian Emergency Minimum Dataset (VEMD)</w:t>
            </w:r>
            <w:r w:rsidR="001A5330" w:rsidRPr="00315936">
              <w:t>.</w:t>
            </w:r>
            <w:r w:rsidRPr="00315936">
              <w:t xml:space="preserve"> </w:t>
            </w:r>
          </w:p>
        </w:tc>
      </w:tr>
    </w:tbl>
    <w:p w14:paraId="7632C4BF" w14:textId="5CA6910A" w:rsidR="001F76CB" w:rsidRPr="00315936" w:rsidRDefault="00DC7658" w:rsidP="008E7F78">
      <w:pPr>
        <w:pStyle w:val="Heading4"/>
      </w:pPr>
      <w:bookmarkStart w:id="100" w:name="_Toc1392607794"/>
      <w:r w:rsidRPr="00315936">
        <w:t xml:space="preserve">Average ED length of stay </w:t>
      </w:r>
      <w:r w:rsidR="002E47BA">
        <w:t xml:space="preserve">for </w:t>
      </w:r>
      <w:r w:rsidRPr="00315936">
        <w:t>admitted</w:t>
      </w:r>
      <w:r w:rsidR="002E47BA">
        <w:t xml:space="preserve"> patients</w:t>
      </w:r>
      <w:r w:rsidRPr="00315936">
        <w:t>, in minutes</w:t>
      </w:r>
      <w:bookmarkEnd w:id="100"/>
    </w:p>
    <w:tbl>
      <w:tblPr>
        <w:tblStyle w:val="TableGrid"/>
        <w:tblW w:w="10343" w:type="dxa"/>
        <w:tblLook w:val="04A0" w:firstRow="1" w:lastRow="0" w:firstColumn="1" w:lastColumn="0" w:noHBand="0" w:noVBand="1"/>
      </w:tblPr>
      <w:tblGrid>
        <w:gridCol w:w="1837"/>
        <w:gridCol w:w="8506"/>
      </w:tblGrid>
      <w:tr w:rsidR="0073592E" w:rsidRPr="00315936" w14:paraId="7399BC4D" w14:textId="77777777" w:rsidTr="008E1561">
        <w:trPr>
          <w:trHeight w:val="499"/>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A6F177C" w14:textId="2D71042F" w:rsidR="0073592E" w:rsidRPr="00624626" w:rsidRDefault="00C3016B">
            <w:pPr>
              <w:pStyle w:val="Tablecolhead"/>
              <w:rPr>
                <w:b w:val="0"/>
                <w:bCs/>
                <w:lang w:eastAsia="en-AU"/>
              </w:rPr>
            </w:pPr>
            <w:r w:rsidRPr="00624626">
              <w:rPr>
                <w:b w:val="0"/>
                <w:bCs/>
                <w:lang w:eastAsia="en-AU"/>
              </w:rPr>
              <w:t>Measure</w:t>
            </w:r>
          </w:p>
        </w:tc>
        <w:tc>
          <w:tcPr>
            <w:tcW w:w="8506" w:type="dxa"/>
            <w:tcBorders>
              <w:left w:val="single" w:sz="4" w:space="0" w:color="FFFFFF" w:themeColor="background1"/>
            </w:tcBorders>
          </w:tcPr>
          <w:p w14:paraId="12E4EE61" w14:textId="50982B00" w:rsidR="00A67D0D" w:rsidRPr="00315936" w:rsidRDefault="7B2761E8" w:rsidP="00447F30">
            <w:pPr>
              <w:pStyle w:val="Tabletext"/>
            </w:pPr>
            <w:r>
              <w:t>Average</w:t>
            </w:r>
            <w:r w:rsidR="1E04DFEC">
              <w:t xml:space="preserve"> emergency department length of stay </w:t>
            </w:r>
            <w:r w:rsidR="00B103AF">
              <w:t>for</w:t>
            </w:r>
            <w:r w:rsidR="43D21044">
              <w:t xml:space="preserve"> </w:t>
            </w:r>
            <w:r w:rsidR="009B5BBE">
              <w:t xml:space="preserve">admitted </w:t>
            </w:r>
            <w:r w:rsidR="43D21044">
              <w:t>patients</w:t>
            </w:r>
            <w:r w:rsidR="104D0362">
              <w:t>, in minutes</w:t>
            </w:r>
          </w:p>
        </w:tc>
      </w:tr>
      <w:tr w:rsidR="0073592E" w:rsidRPr="00315936" w14:paraId="32CF8AF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BD9D799" w14:textId="77777777" w:rsidR="0073592E" w:rsidRPr="00624626" w:rsidRDefault="0073592E">
            <w:pPr>
              <w:pStyle w:val="Tablecolhead"/>
              <w:rPr>
                <w:b w:val="0"/>
                <w:bCs/>
                <w:lang w:eastAsia="en-AU"/>
              </w:rPr>
            </w:pPr>
            <w:r w:rsidRPr="00624626">
              <w:rPr>
                <w:b w:val="0"/>
                <w:bCs/>
                <w:lang w:eastAsia="en-AU"/>
              </w:rPr>
              <w:t>Description </w:t>
            </w:r>
          </w:p>
        </w:tc>
        <w:tc>
          <w:tcPr>
            <w:tcW w:w="8506" w:type="dxa"/>
            <w:tcBorders>
              <w:left w:val="single" w:sz="4" w:space="0" w:color="FFFFFF" w:themeColor="background1"/>
            </w:tcBorders>
          </w:tcPr>
          <w:p w14:paraId="0B9F0B0E" w14:textId="3F0AB3C7" w:rsidR="00227C00" w:rsidRDefault="00345ABD" w:rsidP="00345ABD">
            <w:pPr>
              <w:pStyle w:val="Tabletext"/>
              <w:rPr>
                <w:rFonts w:eastAsia="VIC"/>
              </w:rPr>
            </w:pPr>
            <w:r w:rsidRPr="00315936">
              <w:rPr>
                <w:rFonts w:eastAsia="VIC"/>
              </w:rPr>
              <w:t xml:space="preserve">This </w:t>
            </w:r>
            <w:r w:rsidR="00227C00" w:rsidRPr="554FA974">
              <w:rPr>
                <w:rFonts w:eastAsia="VIC"/>
              </w:rPr>
              <w:t xml:space="preserve">measures the </w:t>
            </w:r>
            <w:r w:rsidR="00227C00" w:rsidRPr="554FA974">
              <w:rPr>
                <w:rFonts w:eastAsia="Arial" w:cs="Arial"/>
              </w:rPr>
              <w:t>average length</w:t>
            </w:r>
            <w:r w:rsidR="00227C00" w:rsidRPr="554FA974">
              <w:rPr>
                <w:rFonts w:eastAsia="VIC"/>
              </w:rPr>
              <w:t xml:space="preserve"> of stay in ED for patients who were admitted to a ward</w:t>
            </w:r>
            <w:r w:rsidR="0048476E">
              <w:rPr>
                <w:rFonts w:eastAsia="VIC"/>
              </w:rPr>
              <w:t xml:space="preserve">, excluding </w:t>
            </w:r>
            <w:r w:rsidR="0048476E">
              <w:t>Short Stay Units (SSUs)</w:t>
            </w:r>
            <w:r w:rsidR="00227C00">
              <w:rPr>
                <w:rFonts w:eastAsia="VIC"/>
              </w:rPr>
              <w:t>.</w:t>
            </w:r>
          </w:p>
          <w:p w14:paraId="1F30EBB7" w14:textId="5D679CB2" w:rsidR="0073592E" w:rsidRPr="00315936" w:rsidRDefault="00227C00" w:rsidP="00227C00">
            <w:pPr>
              <w:pStyle w:val="Tabletext"/>
              <w:rPr>
                <w:lang w:eastAsia="en-AU"/>
              </w:rPr>
            </w:pPr>
            <w:r>
              <w:rPr>
                <w:rFonts w:eastAsia="VIC"/>
              </w:rPr>
              <w:t>It</w:t>
            </w:r>
            <w:r w:rsidRPr="00315936">
              <w:rPr>
                <w:rFonts w:eastAsia="VIC"/>
              </w:rPr>
              <w:t xml:space="preserve"> </w:t>
            </w:r>
            <w:r w:rsidR="00345ABD" w:rsidRPr="00315936">
              <w:rPr>
                <w:rFonts w:eastAsia="VIC"/>
              </w:rPr>
              <w:t>reflects continuous improvement in the efficiency of timely assessment and treatment</w:t>
            </w:r>
            <w:r w:rsidR="00D84D14" w:rsidRPr="00315936">
              <w:rPr>
                <w:rFonts w:eastAsia="VIC"/>
              </w:rPr>
              <w:t xml:space="preserve"> of patients in the ED</w:t>
            </w:r>
            <w:r>
              <w:rPr>
                <w:rFonts w:eastAsia="VIC"/>
              </w:rPr>
              <w:t xml:space="preserve"> and </w:t>
            </w:r>
            <w:r w:rsidR="00CC73C4" w:rsidRPr="00315936">
              <w:rPr>
                <w:rFonts w:eastAsia="VIC"/>
              </w:rPr>
              <w:t>encourages services to refine their processes</w:t>
            </w:r>
            <w:r w:rsidR="003473C9" w:rsidRPr="00315936">
              <w:rPr>
                <w:rFonts w:eastAsia="VIC"/>
              </w:rPr>
              <w:t xml:space="preserve"> across</w:t>
            </w:r>
            <w:r w:rsidR="00524D8C" w:rsidRPr="00315936">
              <w:rPr>
                <w:rFonts w:eastAsia="VIC"/>
              </w:rPr>
              <w:t xml:space="preserve"> their hospitals</w:t>
            </w:r>
            <w:r w:rsidR="00CC73C4" w:rsidRPr="00315936">
              <w:rPr>
                <w:rFonts w:eastAsia="VIC"/>
              </w:rPr>
              <w:t>, adopt best practices, and implement strategies that minimise the time admitted patients spend in the ED.</w:t>
            </w:r>
          </w:p>
        </w:tc>
      </w:tr>
      <w:tr w:rsidR="0073592E" w:rsidRPr="00315936" w14:paraId="1F0B3ED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F1239FB" w14:textId="77777777" w:rsidR="0073592E" w:rsidRPr="00624626" w:rsidRDefault="0073592E">
            <w:pPr>
              <w:pStyle w:val="Tablecolhead"/>
              <w:rPr>
                <w:b w:val="0"/>
                <w:bCs/>
                <w:lang w:eastAsia="en-AU"/>
              </w:rPr>
            </w:pPr>
            <w:r w:rsidRPr="00624626">
              <w:rPr>
                <w:b w:val="0"/>
                <w:bCs/>
                <w:lang w:eastAsia="en-AU"/>
              </w:rPr>
              <w:t>Calculating performance</w:t>
            </w:r>
          </w:p>
        </w:tc>
        <w:tc>
          <w:tcPr>
            <w:tcW w:w="8506" w:type="dxa"/>
            <w:tcBorders>
              <w:left w:val="single" w:sz="4" w:space="0" w:color="FFFFFF" w:themeColor="background1"/>
            </w:tcBorders>
          </w:tcPr>
          <w:p w14:paraId="070F0FFE" w14:textId="3D468280" w:rsidR="00CF5BCC" w:rsidRPr="00315936" w:rsidRDefault="00CF5BCC" w:rsidP="00270109">
            <w:pPr>
              <w:pStyle w:val="Tabletext"/>
            </w:pPr>
            <w:r>
              <w:t>Length of stay in ED is calculated as the departure date and time minus the arrival date and time (</w:t>
            </w:r>
            <w:r w:rsidR="00566190">
              <w:t>in minutes</w:t>
            </w:r>
            <w:r>
              <w:t>)</w:t>
            </w:r>
          </w:p>
          <w:p w14:paraId="0981A471" w14:textId="568ABD7F" w:rsidR="00D035DA" w:rsidRDefault="00D035DA" w:rsidP="00D035DA">
            <w:pPr>
              <w:pStyle w:val="Tabletext"/>
            </w:pPr>
            <w:r>
              <w:t>The ED Departure Date (not Arrival Date) is used to identify presentations in scope for the reporting period.</w:t>
            </w:r>
            <w:r w:rsidRPr="00315936">
              <w:t xml:space="preserve"> </w:t>
            </w:r>
          </w:p>
          <w:p w14:paraId="579A142E" w14:textId="6FCC6675" w:rsidR="0096127A" w:rsidRPr="00315936" w:rsidRDefault="128669B6" w:rsidP="00270109">
            <w:pPr>
              <w:pStyle w:val="Tabletext"/>
            </w:pPr>
            <w:r>
              <w:t>ED presentations in scope of this measure include the following</w:t>
            </w:r>
            <w:r w:rsidR="009469C6">
              <w:t>:</w:t>
            </w:r>
            <w:r w:rsidR="54A55E8E">
              <w:t xml:space="preserve"> </w:t>
            </w:r>
          </w:p>
          <w:p w14:paraId="75A28850" w14:textId="164AA19D" w:rsidR="0096127A" w:rsidRPr="00315936" w:rsidRDefault="251AFD34" w:rsidP="002823F4">
            <w:pPr>
              <w:pStyle w:val="Tablebullet1"/>
            </w:pPr>
            <w:r>
              <w:t xml:space="preserve">Presentations that departed ED during the reference period, </w:t>
            </w:r>
            <w:r w:rsidR="00D51976">
              <w:t xml:space="preserve">up to </w:t>
            </w:r>
            <w:r w:rsidR="009B2E62">
              <w:t>11:59pm on the</w:t>
            </w:r>
            <w:r>
              <w:t xml:space="preserve"> reference period end date</w:t>
            </w:r>
            <w:r w:rsidR="21381213">
              <w:t>.</w:t>
            </w:r>
          </w:p>
          <w:p w14:paraId="55772FCE" w14:textId="408E287A" w:rsidR="00492538" w:rsidRDefault="3D25069D" w:rsidP="002823F4">
            <w:pPr>
              <w:pStyle w:val="Tabletext"/>
            </w:pPr>
            <w:r>
              <w:t>The departure status code is any of the following:</w:t>
            </w:r>
          </w:p>
          <w:p w14:paraId="1C3F7311" w14:textId="420223CB" w:rsidR="006803B5" w:rsidRDefault="006803B5" w:rsidP="00836E49">
            <w:pPr>
              <w:pStyle w:val="Tablebullet1"/>
            </w:pPr>
            <w:r>
              <w:t>Tran</w:t>
            </w:r>
            <w:r w:rsidR="00D06532">
              <w:t>sfer to another hospital campus:</w:t>
            </w:r>
          </w:p>
          <w:p w14:paraId="7A809C84" w14:textId="2192EB5F" w:rsidR="0096127A" w:rsidRPr="00F401FA" w:rsidRDefault="1DB0E262" w:rsidP="00022AB4">
            <w:pPr>
              <w:pStyle w:val="DHTablebullet2"/>
            </w:pPr>
            <w:r w:rsidRPr="00F401FA">
              <w:t>‘17’ Mental Health</w:t>
            </w:r>
            <w:r w:rsidR="002F5765">
              <w:t xml:space="preserve"> bed at another </w:t>
            </w:r>
            <w:r w:rsidR="00613EAF">
              <w:t xml:space="preserve">hospital </w:t>
            </w:r>
            <w:r w:rsidR="002F5765">
              <w:t>campus</w:t>
            </w:r>
          </w:p>
          <w:p w14:paraId="33017B46" w14:textId="5E8F803F" w:rsidR="0096127A" w:rsidRPr="00F401FA" w:rsidRDefault="1DB0E262" w:rsidP="002823F4">
            <w:pPr>
              <w:pStyle w:val="Tablebullet2"/>
            </w:pPr>
            <w:r w:rsidRPr="00F401FA">
              <w:t xml:space="preserve">‘19’ </w:t>
            </w:r>
            <w:r w:rsidR="00400097">
              <w:t>Another hospital</w:t>
            </w:r>
            <w:r w:rsidR="00670261">
              <w:t xml:space="preserve"> campus</w:t>
            </w:r>
            <w:r w:rsidRPr="00F401FA">
              <w:t xml:space="preserve"> </w:t>
            </w:r>
          </w:p>
          <w:p w14:paraId="5AE30811" w14:textId="18ADA862" w:rsidR="0096127A" w:rsidRPr="0079080E" w:rsidRDefault="5DE9ECE3" w:rsidP="002823F4">
            <w:pPr>
              <w:pStyle w:val="Tablebullet2"/>
            </w:pPr>
            <w:r w:rsidRPr="0079080E">
              <w:t xml:space="preserve">‘20’ </w:t>
            </w:r>
            <w:r w:rsidR="00A51D6B" w:rsidRPr="0079080E">
              <w:t xml:space="preserve">Another </w:t>
            </w:r>
            <w:r w:rsidR="00A2297C" w:rsidRPr="0079080E">
              <w:t xml:space="preserve">hospital campus </w:t>
            </w:r>
            <w:r w:rsidR="014A3AB4" w:rsidRPr="0079080E">
              <w:t xml:space="preserve">- </w:t>
            </w:r>
            <w:r w:rsidRPr="0079080E">
              <w:t>ICU</w:t>
            </w:r>
          </w:p>
          <w:p w14:paraId="2ACA576D" w14:textId="2460F028" w:rsidR="0096127A" w:rsidRPr="0079080E" w:rsidRDefault="21F4FF2F" w:rsidP="0079080E">
            <w:pPr>
              <w:pStyle w:val="DHTablebullet2"/>
            </w:pPr>
            <w:r w:rsidRPr="0079080E">
              <w:t xml:space="preserve">‘21’ </w:t>
            </w:r>
            <w:r w:rsidR="00A2297C" w:rsidRPr="0079080E">
              <w:t>Another hospital campus</w:t>
            </w:r>
            <w:r w:rsidR="00E21E5F" w:rsidRPr="0079080E">
              <w:t xml:space="preserve"> -</w:t>
            </w:r>
            <w:r w:rsidR="4D3FA603" w:rsidRPr="0079080E">
              <w:t xml:space="preserve"> </w:t>
            </w:r>
            <w:r w:rsidRPr="0079080E">
              <w:t>CCU</w:t>
            </w:r>
          </w:p>
          <w:p w14:paraId="46A93537" w14:textId="1CF5DDB2" w:rsidR="006A12BA" w:rsidRPr="00004988" w:rsidRDefault="006A12BA" w:rsidP="00F26F04">
            <w:pPr>
              <w:pStyle w:val="Tablebullet1"/>
            </w:pPr>
            <w:r w:rsidRPr="00F26F04">
              <w:t>Same hospital campus</w:t>
            </w:r>
          </w:p>
          <w:p w14:paraId="48E1B8B1" w14:textId="0434347D" w:rsidR="0096127A" w:rsidRPr="00F401FA" w:rsidRDefault="1DB0E262" w:rsidP="002823F4">
            <w:pPr>
              <w:pStyle w:val="Tablebullet2"/>
            </w:pPr>
            <w:r w:rsidRPr="00F401FA">
              <w:t>‘14’ Medical Assess</w:t>
            </w:r>
            <w:r w:rsidR="008650A9">
              <w:t>ment</w:t>
            </w:r>
            <w:r w:rsidRPr="00F401FA">
              <w:t>. &amp; Planning Unit</w:t>
            </w:r>
          </w:p>
          <w:p w14:paraId="16773239" w14:textId="35E9F03F" w:rsidR="0096127A" w:rsidRPr="00F401FA" w:rsidRDefault="1DB0E262" w:rsidP="002823F4">
            <w:pPr>
              <w:pStyle w:val="Tablebullet2"/>
            </w:pPr>
            <w:r w:rsidRPr="00F401FA">
              <w:t>‘15’ ICU</w:t>
            </w:r>
            <w:r w:rsidR="00E21E5F" w:rsidRPr="0079080E">
              <w:t xml:space="preserve"> -</w:t>
            </w:r>
            <w:r w:rsidR="003D40DB">
              <w:t xml:space="preserve"> this campus </w:t>
            </w:r>
          </w:p>
          <w:p w14:paraId="0D0387C8" w14:textId="4237E759" w:rsidR="0096127A" w:rsidRPr="00F401FA" w:rsidRDefault="1DB0E262" w:rsidP="002823F4">
            <w:pPr>
              <w:pStyle w:val="Tablebullet2"/>
            </w:pPr>
            <w:r w:rsidRPr="00F401FA">
              <w:t>‘18’ Ward not elsewhere described</w:t>
            </w:r>
          </w:p>
          <w:p w14:paraId="5B7CB46F" w14:textId="694FBE9A" w:rsidR="0096127A" w:rsidRPr="00F401FA" w:rsidRDefault="1DB0E262" w:rsidP="002823F4">
            <w:pPr>
              <w:pStyle w:val="Tablebullet2"/>
            </w:pPr>
            <w:r w:rsidRPr="00F401FA">
              <w:t xml:space="preserve">‘22’ CCU </w:t>
            </w:r>
            <w:r w:rsidR="003D40DB">
              <w:t>-</w:t>
            </w:r>
            <w:r w:rsidRPr="00F401FA">
              <w:t xml:space="preserve"> this</w:t>
            </w:r>
            <w:r w:rsidR="003D40DB">
              <w:t xml:space="preserve"> campus</w:t>
            </w:r>
            <w:r w:rsidRPr="00F401FA">
              <w:t xml:space="preserve"> </w:t>
            </w:r>
          </w:p>
          <w:p w14:paraId="5A22E9AE" w14:textId="3BD518E8" w:rsidR="0096127A" w:rsidRPr="00F401FA" w:rsidRDefault="1DB0E262" w:rsidP="002823F4">
            <w:pPr>
              <w:pStyle w:val="Tablebullet2"/>
            </w:pPr>
            <w:r w:rsidRPr="00F401FA">
              <w:t>‘25’ Mental Health Obs</w:t>
            </w:r>
            <w:r w:rsidR="0032486B">
              <w:t>ervation</w:t>
            </w:r>
            <w:r w:rsidRPr="00F401FA">
              <w:t>/Assess Unit</w:t>
            </w:r>
          </w:p>
          <w:p w14:paraId="086B8C82" w14:textId="58FA621B" w:rsidR="0096127A" w:rsidRPr="00F401FA" w:rsidRDefault="1DB0E262" w:rsidP="002823F4">
            <w:pPr>
              <w:pStyle w:val="Tablebullet2"/>
            </w:pPr>
            <w:r w:rsidRPr="00F401FA">
              <w:t xml:space="preserve">‘26’ </w:t>
            </w:r>
            <w:r w:rsidR="003C1607">
              <w:t xml:space="preserve">Other </w:t>
            </w:r>
            <w:r w:rsidRPr="00F401FA">
              <w:t xml:space="preserve">Mental Health Bed </w:t>
            </w:r>
            <w:r w:rsidR="003C1607">
              <w:t>-</w:t>
            </w:r>
            <w:r w:rsidRPr="00F401FA">
              <w:t xml:space="preserve"> this </w:t>
            </w:r>
            <w:r w:rsidR="003C1607">
              <w:t>campus</w:t>
            </w:r>
          </w:p>
          <w:p w14:paraId="20FA17F8" w14:textId="77777777" w:rsidR="0096127A" w:rsidRPr="00F401FA" w:rsidRDefault="1DB0E262" w:rsidP="002823F4">
            <w:pPr>
              <w:pStyle w:val="Tablebullet2"/>
            </w:pPr>
            <w:r w:rsidRPr="00F401FA">
              <w:t>‘27’ Cardiac catheter laboratory</w:t>
            </w:r>
          </w:p>
          <w:p w14:paraId="13090EDA" w14:textId="11BFA400" w:rsidR="0096127A" w:rsidRPr="00F401FA" w:rsidRDefault="1DB0E262" w:rsidP="002823F4">
            <w:pPr>
              <w:pStyle w:val="Tablebullet2"/>
            </w:pPr>
            <w:r w:rsidRPr="00F401FA">
              <w:t>‘28’ Other operating theatre/procedure room</w:t>
            </w:r>
            <w:r w:rsidR="005A0485">
              <w:t>.</w:t>
            </w:r>
          </w:p>
          <w:p w14:paraId="58C39C3D" w14:textId="33384C4D" w:rsidR="00617168" w:rsidRDefault="2AC3B328" w:rsidP="00854E06">
            <w:pPr>
              <w:pStyle w:val="Tablebullet1"/>
              <w:numPr>
                <w:ilvl w:val="0"/>
                <w:numId w:val="0"/>
              </w:numPr>
            </w:pPr>
            <w:r>
              <w:t>Exclusions</w:t>
            </w:r>
            <w:r w:rsidR="21381213">
              <w:t>:</w:t>
            </w:r>
          </w:p>
          <w:p w14:paraId="4B97298F" w14:textId="77777777" w:rsidR="0096127A" w:rsidRPr="00315936" w:rsidRDefault="1DB0E262" w:rsidP="00FA36E9">
            <w:pPr>
              <w:pStyle w:val="Tablebullet1"/>
            </w:pPr>
            <w:r>
              <w:t>Triage Category code 6 (Dead on arrival)</w:t>
            </w:r>
          </w:p>
          <w:p w14:paraId="6B63CFBA" w14:textId="641D5127" w:rsidR="0083772E" w:rsidRDefault="007D1848" w:rsidP="001A74C0">
            <w:pPr>
              <w:pStyle w:val="Tablebullet1"/>
            </w:pPr>
            <w:r>
              <w:t>VVED presentations</w:t>
            </w:r>
          </w:p>
          <w:p w14:paraId="626763D6" w14:textId="7ACB35BA" w:rsidR="00EF3605" w:rsidRDefault="00EF3605" w:rsidP="001A74C0">
            <w:pPr>
              <w:pStyle w:val="Tablebullet1"/>
            </w:pPr>
            <w:r>
              <w:t>Other virtual care presentations.</w:t>
            </w:r>
          </w:p>
          <w:p w14:paraId="59474ABE" w14:textId="0463A256" w:rsidR="0073592E" w:rsidRPr="00315936" w:rsidRDefault="21381213" w:rsidP="00617168">
            <w:pPr>
              <w:pStyle w:val="Tabletext"/>
              <w:rPr>
                <w:lang w:eastAsia="en-AU"/>
              </w:rPr>
            </w:pPr>
            <w:r>
              <w:t xml:space="preserve">This </w:t>
            </w:r>
            <w:r w:rsidR="3C94C49E">
              <w:t>measure</w:t>
            </w:r>
            <w:r>
              <w:t xml:space="preserve"> is </w:t>
            </w:r>
            <w:r w:rsidR="3044CC1A">
              <w:t>reported</w:t>
            </w:r>
            <w:r>
              <w:t xml:space="preserve"> at the campus level</w:t>
            </w:r>
            <w:r w:rsidR="6D3672E6">
              <w:t xml:space="preserve"> and</w:t>
            </w:r>
            <w:r w:rsidR="579953E2">
              <w:t xml:space="preserve"> </w:t>
            </w:r>
            <w:r>
              <w:t xml:space="preserve">expressed as </w:t>
            </w:r>
            <w:r w:rsidR="00314572">
              <w:t xml:space="preserve">the </w:t>
            </w:r>
            <w:r>
              <w:t xml:space="preserve">number of </w:t>
            </w:r>
            <w:r w:rsidR="00AB277C">
              <w:t>completed minutes</w:t>
            </w:r>
            <w:r w:rsidR="000B7F98">
              <w:t xml:space="preserve"> rounded to zero decimal places</w:t>
            </w:r>
            <w:r>
              <w:t>.</w:t>
            </w:r>
          </w:p>
        </w:tc>
      </w:tr>
      <w:tr w:rsidR="0073592E" w:rsidRPr="00315936" w14:paraId="577E96E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D7622C3" w14:textId="77777777" w:rsidR="0073592E" w:rsidRPr="00624626" w:rsidRDefault="0073592E">
            <w:pPr>
              <w:pStyle w:val="Tablecolhead"/>
              <w:rPr>
                <w:b w:val="0"/>
                <w:bCs/>
                <w:lang w:eastAsia="en-AU"/>
              </w:rPr>
            </w:pPr>
            <w:r w:rsidRPr="00624626">
              <w:rPr>
                <w:b w:val="0"/>
                <w:bCs/>
                <w:lang w:eastAsia="en-AU"/>
              </w:rPr>
              <w:t>Numerator</w:t>
            </w:r>
          </w:p>
        </w:tc>
        <w:tc>
          <w:tcPr>
            <w:tcW w:w="8506" w:type="dxa"/>
            <w:tcBorders>
              <w:left w:val="single" w:sz="4" w:space="0" w:color="FFFFFF" w:themeColor="background1"/>
            </w:tcBorders>
          </w:tcPr>
          <w:p w14:paraId="08203ADB" w14:textId="11E215F1" w:rsidR="0073592E" w:rsidRPr="00315936" w:rsidRDefault="521ACEFD" w:rsidP="03643049">
            <w:pPr>
              <w:pStyle w:val="Tabletext"/>
              <w:rPr>
                <w:rFonts w:eastAsia="VIC"/>
              </w:rPr>
            </w:pPr>
            <w:r w:rsidRPr="03643049">
              <w:rPr>
                <w:rFonts w:eastAsia="VIC"/>
              </w:rPr>
              <w:t>ED length of stay for patients subsequently admitted to hospital</w:t>
            </w:r>
          </w:p>
        </w:tc>
      </w:tr>
      <w:tr w:rsidR="0073592E" w:rsidRPr="00315936" w14:paraId="5377965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6F4634" w14:textId="77777777" w:rsidR="0073592E" w:rsidRPr="00624626" w:rsidRDefault="0073592E">
            <w:pPr>
              <w:pStyle w:val="Tablecolhead"/>
              <w:rPr>
                <w:b w:val="0"/>
                <w:bCs/>
                <w:lang w:eastAsia="en-AU"/>
              </w:rPr>
            </w:pPr>
            <w:r w:rsidRPr="00624626">
              <w:rPr>
                <w:b w:val="0"/>
                <w:bCs/>
                <w:lang w:eastAsia="en-AU"/>
              </w:rPr>
              <w:t>Denominator</w:t>
            </w:r>
          </w:p>
        </w:tc>
        <w:tc>
          <w:tcPr>
            <w:tcW w:w="8506" w:type="dxa"/>
            <w:tcBorders>
              <w:left w:val="single" w:sz="4" w:space="0" w:color="FFFFFF" w:themeColor="background1"/>
            </w:tcBorders>
          </w:tcPr>
          <w:p w14:paraId="7DE4F428" w14:textId="245A78A3" w:rsidR="0073592E" w:rsidRPr="00315936" w:rsidRDefault="00985CB7" w:rsidP="00A67D0D">
            <w:pPr>
              <w:pStyle w:val="Tabletext"/>
            </w:pPr>
            <w:r w:rsidRPr="00315936">
              <w:rPr>
                <w:rFonts w:eastAsia="VIC"/>
              </w:rPr>
              <w:t>N/A</w:t>
            </w:r>
          </w:p>
        </w:tc>
      </w:tr>
      <w:tr w:rsidR="0073592E" w:rsidRPr="00315936" w14:paraId="1BF76B9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DD08D75" w14:textId="77777777" w:rsidR="0073592E" w:rsidRPr="00624626" w:rsidRDefault="0073592E">
            <w:pPr>
              <w:pStyle w:val="Tablecolhead"/>
              <w:rPr>
                <w:b w:val="0"/>
                <w:bCs/>
                <w:lang w:eastAsia="en-AU"/>
              </w:rPr>
            </w:pPr>
            <w:r w:rsidRPr="00624626">
              <w:rPr>
                <w:b w:val="0"/>
                <w:bCs/>
                <w:lang w:eastAsia="en-AU"/>
              </w:rPr>
              <w:t>Statewide target</w:t>
            </w:r>
          </w:p>
        </w:tc>
        <w:tc>
          <w:tcPr>
            <w:tcW w:w="8506" w:type="dxa"/>
            <w:tcBorders>
              <w:left w:val="single" w:sz="4" w:space="0" w:color="FFFFFF" w:themeColor="background1"/>
            </w:tcBorders>
          </w:tcPr>
          <w:p w14:paraId="43A96524" w14:textId="6D3201D0" w:rsidR="0073592E" w:rsidRDefault="00A27953" w:rsidP="00D04002">
            <w:pPr>
              <w:pStyle w:val="Tabletext"/>
              <w:spacing w:line="259" w:lineRule="auto"/>
            </w:pPr>
            <w:r>
              <w:rPr>
                <w:rFonts w:eastAsia="VIC"/>
              </w:rPr>
              <w:t>5</w:t>
            </w:r>
            <w:r w:rsidR="521ACEFD" w:rsidRPr="03643049">
              <w:rPr>
                <w:rFonts w:eastAsia="VIC"/>
              </w:rPr>
              <w:t xml:space="preserve"> per cent </w:t>
            </w:r>
            <w:r w:rsidR="0B85FAC8" w:rsidRPr="03643049">
              <w:rPr>
                <w:rFonts w:eastAsia="VIC"/>
              </w:rPr>
              <w:t xml:space="preserve">reduction </w:t>
            </w:r>
            <w:r w:rsidR="521ACEFD" w:rsidRPr="03643049">
              <w:rPr>
                <w:rFonts w:eastAsia="VIC"/>
              </w:rPr>
              <w:t xml:space="preserve">compared to same </w:t>
            </w:r>
            <w:r w:rsidR="00AB277C">
              <w:rPr>
                <w:rFonts w:eastAsia="VIC"/>
              </w:rPr>
              <w:t>period</w:t>
            </w:r>
            <w:r w:rsidR="521ACEFD" w:rsidRPr="03643049">
              <w:rPr>
                <w:rFonts w:eastAsia="VIC"/>
              </w:rPr>
              <w:t xml:space="preserve"> last year. </w:t>
            </w:r>
            <w:r w:rsidR="521ACEFD">
              <w:t>Health services that had an ED length of stay for admitted patients of</w:t>
            </w:r>
            <w:r w:rsidR="00A11865">
              <w:t xml:space="preserve"> </w:t>
            </w:r>
            <w:r w:rsidR="006C1944">
              <w:t>414</w:t>
            </w:r>
            <w:r w:rsidR="521ACEFD">
              <w:t xml:space="preserve"> minutes</w:t>
            </w:r>
            <w:r w:rsidR="008111F1">
              <w:t xml:space="preserve"> or less</w:t>
            </w:r>
            <w:r w:rsidR="521ACEFD">
              <w:t xml:space="preserve"> during the same </w:t>
            </w:r>
            <w:r w:rsidR="00AB277C">
              <w:t>period</w:t>
            </w:r>
            <w:r w:rsidR="521ACEFD">
              <w:t xml:space="preserve"> last year are expected to maintain this level of performance to achieve the target.</w:t>
            </w:r>
          </w:p>
          <w:p w14:paraId="34CF9E44" w14:textId="5DF8DB0E" w:rsidR="0073592E" w:rsidRPr="00315936" w:rsidRDefault="00612178" w:rsidP="00D04002">
            <w:pPr>
              <w:pStyle w:val="Tabletext"/>
              <w:spacing w:line="259" w:lineRule="auto"/>
            </w:pPr>
            <w:r>
              <w:t xml:space="preserve">Quarterly performances will be compared with performance for the same quarter in the previous year. Annual performance will be compared with </w:t>
            </w:r>
            <w:r w:rsidR="00316CDA">
              <w:t>performance for the whole of the previous year.</w:t>
            </w:r>
          </w:p>
        </w:tc>
      </w:tr>
      <w:tr w:rsidR="00E30B45" w:rsidRPr="00315936" w14:paraId="2D98525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1F0737D" w14:textId="3DE153A1" w:rsidR="00E30B45" w:rsidRPr="00624626" w:rsidRDefault="00E30B45" w:rsidP="00E30B45">
            <w:pPr>
              <w:pStyle w:val="Tablecolhead"/>
              <w:rPr>
                <w:b w:val="0"/>
                <w:bCs/>
                <w:lang w:eastAsia="en-AU"/>
              </w:rPr>
            </w:pPr>
            <w:r w:rsidRPr="00624626">
              <w:rPr>
                <w:b w:val="0"/>
                <w:bCs/>
                <w:lang w:eastAsia="en-AU"/>
              </w:rPr>
              <w:t>Achieved</w:t>
            </w:r>
          </w:p>
        </w:tc>
        <w:tc>
          <w:tcPr>
            <w:tcW w:w="8506" w:type="dxa"/>
            <w:tcBorders>
              <w:left w:val="single" w:sz="4" w:space="0" w:color="FFFFFF" w:themeColor="background1"/>
            </w:tcBorders>
          </w:tcPr>
          <w:p w14:paraId="708B5DBF" w14:textId="17CE1A76" w:rsidR="00E30B45" w:rsidRPr="00315936" w:rsidRDefault="001D7C3C" w:rsidP="00A67D0D">
            <w:pPr>
              <w:pStyle w:val="Tabletext"/>
            </w:pPr>
            <w:r>
              <w:rPr>
                <w:rFonts w:eastAsia="VIC"/>
              </w:rPr>
              <w:t xml:space="preserve">Average ED </w:t>
            </w:r>
            <w:r w:rsidR="001459D9">
              <w:rPr>
                <w:rFonts w:eastAsia="VIC"/>
              </w:rPr>
              <w:t>length of stay</w:t>
            </w:r>
            <w:r>
              <w:rPr>
                <w:rFonts w:eastAsia="VIC"/>
              </w:rPr>
              <w:t xml:space="preserve"> </w:t>
            </w:r>
            <w:r w:rsidR="00054F30">
              <w:rPr>
                <w:rFonts w:eastAsia="VIC"/>
              </w:rPr>
              <w:t>less</w:t>
            </w:r>
            <w:r w:rsidR="008E632B">
              <w:rPr>
                <w:rFonts w:eastAsia="VIC"/>
              </w:rPr>
              <w:t xml:space="preserve"> than </w:t>
            </w:r>
            <w:r w:rsidR="004039A1">
              <w:rPr>
                <w:rFonts w:eastAsia="VIC"/>
              </w:rPr>
              <w:t xml:space="preserve">or equal to </w:t>
            </w:r>
            <w:r w:rsidR="008E632B">
              <w:rPr>
                <w:rFonts w:eastAsia="VIC"/>
              </w:rPr>
              <w:t xml:space="preserve">414 minutes </w:t>
            </w:r>
            <w:r w:rsidR="00054F30">
              <w:rPr>
                <w:rFonts w:eastAsia="VIC"/>
              </w:rPr>
              <w:t xml:space="preserve">or </w:t>
            </w:r>
            <w:r w:rsidR="00CE5C72">
              <w:rPr>
                <w:rFonts w:eastAsia="VIC"/>
              </w:rPr>
              <w:t xml:space="preserve">at least 5 </w:t>
            </w:r>
            <w:r w:rsidR="00A300C5">
              <w:rPr>
                <w:rFonts w:eastAsia="VIC"/>
              </w:rPr>
              <w:t xml:space="preserve">per cent improvement </w:t>
            </w:r>
            <w:r w:rsidR="00CE5C72">
              <w:rPr>
                <w:rFonts w:eastAsia="VIC"/>
              </w:rPr>
              <w:t>on</w:t>
            </w:r>
            <w:r w:rsidR="00A300C5">
              <w:rPr>
                <w:rFonts w:eastAsia="VIC"/>
              </w:rPr>
              <w:t xml:space="preserve"> performance for the same </w:t>
            </w:r>
            <w:r w:rsidR="008F6E42">
              <w:rPr>
                <w:rFonts w:eastAsia="VIC"/>
              </w:rPr>
              <w:t xml:space="preserve">period (e.g. </w:t>
            </w:r>
            <w:r w:rsidR="00A300C5">
              <w:rPr>
                <w:rFonts w:eastAsia="VIC"/>
              </w:rPr>
              <w:t>quarter</w:t>
            </w:r>
            <w:r w:rsidR="008F6E42">
              <w:rPr>
                <w:rFonts w:eastAsia="VIC"/>
              </w:rPr>
              <w:t>)</w:t>
            </w:r>
            <w:r w:rsidR="00A300C5">
              <w:rPr>
                <w:rFonts w:eastAsia="VIC"/>
              </w:rPr>
              <w:t xml:space="preserve"> in the previous year</w:t>
            </w:r>
            <w:r w:rsidR="00CE5C72">
              <w:rPr>
                <w:rFonts w:eastAsia="VIC"/>
              </w:rPr>
              <w:t>.</w:t>
            </w:r>
            <w:r w:rsidR="008E632B">
              <w:rPr>
                <w:rFonts w:eastAsia="VIC"/>
              </w:rPr>
              <w:t xml:space="preserve"> </w:t>
            </w:r>
          </w:p>
        </w:tc>
      </w:tr>
      <w:tr w:rsidR="00E30B45" w:rsidRPr="00315936" w14:paraId="1D56061D" w14:textId="77777777" w:rsidTr="008E1561">
        <w:trPr>
          <w:trHeight w:val="287"/>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79B8116" w14:textId="397B6438" w:rsidR="00E30B45" w:rsidRPr="00624626" w:rsidRDefault="00E30B45" w:rsidP="00E30B45">
            <w:pPr>
              <w:pStyle w:val="Tablecolhead"/>
              <w:rPr>
                <w:b w:val="0"/>
                <w:bCs/>
                <w:lang w:eastAsia="en-AU"/>
              </w:rPr>
            </w:pPr>
            <w:r w:rsidRPr="00624626">
              <w:rPr>
                <w:b w:val="0"/>
                <w:bCs/>
                <w:lang w:eastAsia="en-AU"/>
              </w:rPr>
              <w:t>Not achieved</w:t>
            </w:r>
          </w:p>
        </w:tc>
        <w:tc>
          <w:tcPr>
            <w:tcW w:w="8506" w:type="dxa"/>
            <w:tcBorders>
              <w:left w:val="single" w:sz="4" w:space="0" w:color="FFFFFF" w:themeColor="background1"/>
            </w:tcBorders>
          </w:tcPr>
          <w:p w14:paraId="33B40CA6" w14:textId="522AF4E8" w:rsidR="00E30B45" w:rsidRPr="00315936" w:rsidRDefault="008A13CF" w:rsidP="00A67D0D">
            <w:pPr>
              <w:pStyle w:val="Tabletext"/>
            </w:pPr>
            <w:r>
              <w:rPr>
                <w:rFonts w:eastAsia="VIC"/>
              </w:rPr>
              <w:t xml:space="preserve">Average ED </w:t>
            </w:r>
            <w:r w:rsidR="001459D9">
              <w:rPr>
                <w:rFonts w:eastAsia="VIC"/>
              </w:rPr>
              <w:t xml:space="preserve">length of stay </w:t>
            </w:r>
            <w:r>
              <w:rPr>
                <w:rFonts w:eastAsia="VIC"/>
              </w:rPr>
              <w:t xml:space="preserve">greater than 414 minutes and less than 5 per cent improvement on performance for the same </w:t>
            </w:r>
            <w:r w:rsidR="008F6E42">
              <w:rPr>
                <w:rFonts w:eastAsia="VIC"/>
              </w:rPr>
              <w:t xml:space="preserve">period (e.g. </w:t>
            </w:r>
            <w:r>
              <w:rPr>
                <w:rFonts w:eastAsia="VIC"/>
              </w:rPr>
              <w:t>quarter</w:t>
            </w:r>
            <w:r w:rsidR="008F6E42">
              <w:rPr>
                <w:rFonts w:eastAsia="VIC"/>
              </w:rPr>
              <w:t>)</w:t>
            </w:r>
            <w:r>
              <w:rPr>
                <w:rFonts w:eastAsia="VIC"/>
              </w:rPr>
              <w:t xml:space="preserve"> in the previous year.</w:t>
            </w:r>
          </w:p>
        </w:tc>
      </w:tr>
      <w:tr w:rsidR="00A67D0D" w:rsidRPr="00315936" w14:paraId="3DBF778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68B932" w14:textId="77777777" w:rsidR="00A67D0D" w:rsidRPr="00624626" w:rsidRDefault="00A67D0D" w:rsidP="00A67D0D">
            <w:pPr>
              <w:pStyle w:val="Tablecolhead"/>
              <w:rPr>
                <w:b w:val="0"/>
                <w:bCs/>
                <w:lang w:eastAsia="en-AU"/>
              </w:rPr>
            </w:pPr>
            <w:r w:rsidRPr="00624626">
              <w:rPr>
                <w:b w:val="0"/>
                <w:bCs/>
                <w:lang w:eastAsia="en-AU"/>
              </w:rPr>
              <w:t>Improvement</w:t>
            </w:r>
          </w:p>
        </w:tc>
        <w:tc>
          <w:tcPr>
            <w:tcW w:w="8506" w:type="dxa"/>
            <w:tcBorders>
              <w:left w:val="single" w:sz="4" w:space="0" w:color="FFFFFF" w:themeColor="background1"/>
            </w:tcBorders>
          </w:tcPr>
          <w:p w14:paraId="02958943" w14:textId="0CDFF2C8" w:rsidR="00A67D0D" w:rsidRPr="00315936" w:rsidRDefault="00CF626B" w:rsidP="00A67D0D">
            <w:pPr>
              <w:pStyle w:val="Tabletext"/>
              <w:rPr>
                <w:lang w:eastAsia="en-AU"/>
              </w:rPr>
            </w:pPr>
            <w:proofErr w:type="gramStart"/>
            <w:r>
              <w:rPr>
                <w:rFonts w:eastAsia="VIC"/>
              </w:rPr>
              <w:t>For the purpose of</w:t>
            </w:r>
            <w:proofErr w:type="gramEnd"/>
            <w:r>
              <w:rPr>
                <w:rFonts w:eastAsia="VIC"/>
              </w:rPr>
              <w:t xml:space="preserve"> the performance risk assessment, i</w:t>
            </w:r>
            <w:r w:rsidR="00A67D0D" w:rsidRPr="00315936">
              <w:rPr>
                <w:rFonts w:eastAsia="VIC"/>
              </w:rPr>
              <w:t>mprovement is calculated based on same time last year performance.</w:t>
            </w:r>
          </w:p>
        </w:tc>
      </w:tr>
      <w:tr w:rsidR="00A67D0D" w:rsidRPr="00315936" w14:paraId="58D03B6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5585120" w14:textId="77777777" w:rsidR="00A67D0D" w:rsidRPr="00624626" w:rsidRDefault="00A67D0D" w:rsidP="00A67D0D">
            <w:pPr>
              <w:pStyle w:val="Tablecolhead"/>
              <w:rPr>
                <w:b w:val="0"/>
                <w:bCs/>
                <w:lang w:eastAsia="en-AU"/>
              </w:rPr>
            </w:pPr>
            <w:r w:rsidRPr="00624626">
              <w:rPr>
                <w:b w:val="0"/>
                <w:bCs/>
                <w:lang w:eastAsia="en-AU"/>
              </w:rPr>
              <w:t>Frequency of reporting and data collection</w:t>
            </w:r>
          </w:p>
        </w:tc>
        <w:tc>
          <w:tcPr>
            <w:tcW w:w="8506" w:type="dxa"/>
            <w:tcBorders>
              <w:left w:val="single" w:sz="4" w:space="0" w:color="FFFFFF" w:themeColor="background1"/>
            </w:tcBorders>
          </w:tcPr>
          <w:p w14:paraId="2E025FD1" w14:textId="77777777" w:rsidR="001A5330" w:rsidRDefault="008D5A0B" w:rsidP="00A67D0D">
            <w:pPr>
              <w:pStyle w:val="Tabletext"/>
              <w:rPr>
                <w:rFonts w:eastAsia="VIC"/>
              </w:rPr>
            </w:pPr>
            <w:r w:rsidRPr="00315936">
              <w:rPr>
                <w:rFonts w:eastAsia="VIC"/>
              </w:rPr>
              <w:t xml:space="preserve">Performance is reported </w:t>
            </w:r>
            <w:r w:rsidR="00EE17C7" w:rsidRPr="00315936">
              <w:rPr>
                <w:rFonts w:eastAsia="VIC"/>
              </w:rPr>
              <w:t xml:space="preserve">monthly, quarterly and annually at the campus level. </w:t>
            </w:r>
          </w:p>
          <w:p w14:paraId="582D317C" w14:textId="7FC9F688" w:rsidR="00A67D0D" w:rsidRPr="00315936" w:rsidRDefault="00EE17C7" w:rsidP="00A67D0D">
            <w:pPr>
              <w:pStyle w:val="Tabletext"/>
              <w:rPr>
                <w:lang w:eastAsia="en-AU"/>
              </w:rPr>
            </w:pPr>
            <w:r w:rsidRPr="00315936">
              <w:rPr>
                <w:rFonts w:eastAsia="VIC"/>
              </w:rPr>
              <w:t xml:space="preserve">Data are sourced from </w:t>
            </w:r>
            <w:r w:rsidR="001A5330" w:rsidRPr="00315936">
              <w:t xml:space="preserve">the </w:t>
            </w:r>
            <w:r w:rsidR="001A5330">
              <w:t>Victorian Emergency Minimum Dataset (VEMD)</w:t>
            </w:r>
            <w:r w:rsidRPr="00315936">
              <w:rPr>
                <w:rFonts w:eastAsia="VIC"/>
              </w:rPr>
              <w:t>.</w:t>
            </w:r>
          </w:p>
        </w:tc>
      </w:tr>
    </w:tbl>
    <w:p w14:paraId="206773C0" w14:textId="77777777" w:rsidR="00237087" w:rsidRPr="00AC0D08" w:rsidRDefault="00237087" w:rsidP="008E7F78">
      <w:pPr>
        <w:pStyle w:val="Heading4"/>
      </w:pPr>
      <w:bookmarkStart w:id="101" w:name="_Toc1339649489"/>
      <w:r w:rsidRPr="00AC0D08">
        <w:t xml:space="preserve">Average ED length of stay </w:t>
      </w:r>
      <w:r>
        <w:t xml:space="preserve">for </w:t>
      </w:r>
      <w:r w:rsidRPr="00AC0D08">
        <w:t>non-admitted</w:t>
      </w:r>
      <w:r>
        <w:t xml:space="preserve"> patients,</w:t>
      </w:r>
      <w:r w:rsidRPr="00AC0D08">
        <w:t xml:space="preserve"> in minutes</w:t>
      </w:r>
    </w:p>
    <w:tbl>
      <w:tblPr>
        <w:tblStyle w:val="TableGrid"/>
        <w:tblW w:w="10343" w:type="dxa"/>
        <w:tblLook w:val="04A0" w:firstRow="1" w:lastRow="0" w:firstColumn="1" w:lastColumn="0" w:noHBand="0" w:noVBand="1"/>
      </w:tblPr>
      <w:tblGrid>
        <w:gridCol w:w="1837"/>
        <w:gridCol w:w="8506"/>
      </w:tblGrid>
      <w:tr w:rsidR="00237087" w:rsidRPr="00315936" w14:paraId="09522672" w14:textId="77777777" w:rsidTr="008E1561">
        <w:trPr>
          <w:trHeight w:val="499"/>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EC5767D" w14:textId="77777777" w:rsidR="00237087" w:rsidRPr="00624626" w:rsidRDefault="00237087">
            <w:pPr>
              <w:pStyle w:val="Tablecolhead"/>
              <w:rPr>
                <w:b w:val="0"/>
                <w:bCs/>
                <w:lang w:eastAsia="en-AU"/>
              </w:rPr>
            </w:pPr>
            <w:r w:rsidRPr="00624626">
              <w:rPr>
                <w:b w:val="0"/>
                <w:bCs/>
                <w:lang w:eastAsia="en-AU"/>
              </w:rPr>
              <w:t>Measure</w:t>
            </w:r>
          </w:p>
        </w:tc>
        <w:tc>
          <w:tcPr>
            <w:tcW w:w="8506" w:type="dxa"/>
            <w:tcBorders>
              <w:left w:val="single" w:sz="4" w:space="0" w:color="FFFFFF" w:themeColor="background1"/>
            </w:tcBorders>
          </w:tcPr>
          <w:p w14:paraId="485F411F" w14:textId="082F0D44" w:rsidR="00237087" w:rsidRPr="00315936" w:rsidRDefault="00BA63B5">
            <w:pPr>
              <w:pStyle w:val="Tabletext"/>
            </w:pPr>
            <w:r w:rsidRPr="00BA63B5">
              <w:t>Average emergency department length of stay for non-admitted patients</w:t>
            </w:r>
          </w:p>
        </w:tc>
      </w:tr>
      <w:tr w:rsidR="00237087" w:rsidRPr="00315936" w14:paraId="05CF222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F999146" w14:textId="77777777" w:rsidR="00237087" w:rsidRPr="00624626" w:rsidRDefault="00237087">
            <w:pPr>
              <w:pStyle w:val="Tablecolhead"/>
              <w:rPr>
                <w:b w:val="0"/>
                <w:bCs/>
                <w:lang w:eastAsia="en-AU"/>
              </w:rPr>
            </w:pPr>
            <w:r w:rsidRPr="00624626">
              <w:rPr>
                <w:b w:val="0"/>
                <w:bCs/>
                <w:lang w:eastAsia="en-AU"/>
              </w:rPr>
              <w:t>Description </w:t>
            </w:r>
          </w:p>
        </w:tc>
        <w:tc>
          <w:tcPr>
            <w:tcW w:w="8506" w:type="dxa"/>
            <w:tcBorders>
              <w:left w:val="single" w:sz="4" w:space="0" w:color="FFFFFF" w:themeColor="background1"/>
            </w:tcBorders>
          </w:tcPr>
          <w:p w14:paraId="7D6A1ABA" w14:textId="32629F9D" w:rsidR="00961B0F" w:rsidRDefault="00961B0F" w:rsidP="00961B0F">
            <w:pPr>
              <w:pStyle w:val="Tabletext"/>
              <w:rPr>
                <w:rFonts w:eastAsia="VIC"/>
              </w:rPr>
            </w:pPr>
            <w:r w:rsidRPr="00315936">
              <w:rPr>
                <w:rFonts w:eastAsia="VIC"/>
              </w:rPr>
              <w:t xml:space="preserve">This </w:t>
            </w:r>
            <w:r w:rsidRPr="554FA974">
              <w:rPr>
                <w:rFonts w:eastAsia="VIC"/>
              </w:rPr>
              <w:t xml:space="preserve">measures the </w:t>
            </w:r>
            <w:r w:rsidRPr="554FA974">
              <w:rPr>
                <w:rFonts w:eastAsia="Arial" w:cs="Arial"/>
              </w:rPr>
              <w:t>average length</w:t>
            </w:r>
            <w:r w:rsidRPr="554FA974">
              <w:rPr>
                <w:rFonts w:eastAsia="VIC"/>
              </w:rPr>
              <w:t xml:space="preserve"> of stay in ED for patients who </w:t>
            </w:r>
            <w:r w:rsidR="006439EC" w:rsidRPr="03643049">
              <w:rPr>
                <w:rFonts w:eastAsia="VIC"/>
              </w:rPr>
              <w:t>were not subsequently admitted to hospital</w:t>
            </w:r>
            <w:r>
              <w:rPr>
                <w:rFonts w:eastAsia="VIC"/>
              </w:rPr>
              <w:t>.</w:t>
            </w:r>
          </w:p>
          <w:p w14:paraId="3BE9F214" w14:textId="77777777" w:rsidR="00BA63B5" w:rsidRPr="00BA63B5" w:rsidRDefault="00BA63B5" w:rsidP="00BA63B5">
            <w:pPr>
              <w:pStyle w:val="Tabletext"/>
              <w:rPr>
                <w:rFonts w:eastAsia="VIC"/>
              </w:rPr>
            </w:pPr>
            <w:r w:rsidRPr="00BA63B5">
              <w:rPr>
                <w:rFonts w:eastAsia="VIC"/>
              </w:rPr>
              <w:t>This measure reflects continuous improvement in the timely assessment, treatment, disposition and transfer of emergency patients who are not admitted and are discharged from the ED. It reflects the processes and models within the ED and effectiveness of hospital patient flow more broadly.</w:t>
            </w:r>
          </w:p>
          <w:p w14:paraId="589FCED8" w14:textId="18F8AC54" w:rsidR="00237087" w:rsidRPr="00315936" w:rsidRDefault="00BA63B5" w:rsidP="00BA63B5">
            <w:pPr>
              <w:pStyle w:val="Tabletext"/>
              <w:rPr>
                <w:lang w:eastAsia="en-AU"/>
              </w:rPr>
            </w:pPr>
            <w:r w:rsidRPr="00BA63B5">
              <w:rPr>
                <w:rFonts w:eastAsia="VIC"/>
              </w:rPr>
              <w:t>By focusing on this metric, health services aim to provide timely and high-quality care to patients to ensure their prompt assessment, treatment, and discharge. The measure encourages health services to streamline processes, optimise resource allocation, and adopt best practices that minimise waiting times and enhance patient flow</w:t>
            </w:r>
            <w:r w:rsidR="00237087" w:rsidRPr="00315936">
              <w:rPr>
                <w:rFonts w:eastAsia="VIC"/>
              </w:rPr>
              <w:t>.</w:t>
            </w:r>
          </w:p>
        </w:tc>
      </w:tr>
      <w:tr w:rsidR="00237087" w:rsidRPr="00315936" w14:paraId="656726E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65E7C19" w14:textId="77777777" w:rsidR="00237087" w:rsidRPr="00624626" w:rsidRDefault="00237087">
            <w:pPr>
              <w:pStyle w:val="Tablecolhead"/>
              <w:rPr>
                <w:b w:val="0"/>
                <w:bCs/>
                <w:lang w:eastAsia="en-AU"/>
              </w:rPr>
            </w:pPr>
            <w:r w:rsidRPr="00624626">
              <w:rPr>
                <w:b w:val="0"/>
                <w:bCs/>
                <w:lang w:eastAsia="en-AU"/>
              </w:rPr>
              <w:t>Calculating performance</w:t>
            </w:r>
          </w:p>
        </w:tc>
        <w:tc>
          <w:tcPr>
            <w:tcW w:w="8506" w:type="dxa"/>
            <w:tcBorders>
              <w:left w:val="single" w:sz="4" w:space="0" w:color="FFFFFF" w:themeColor="background1"/>
            </w:tcBorders>
          </w:tcPr>
          <w:p w14:paraId="1DD60A15" w14:textId="2E35C157" w:rsidR="00306032" w:rsidRDefault="00306032" w:rsidP="00BA63B5">
            <w:pPr>
              <w:pStyle w:val="Tabletext"/>
            </w:pPr>
            <w:r>
              <w:t>Length of stay in ED is calculated as the departure date and time minus the arrival date and time (</w:t>
            </w:r>
            <w:r w:rsidR="00746532">
              <w:t>in minutes</w:t>
            </w:r>
            <w:r>
              <w:t>).</w:t>
            </w:r>
          </w:p>
          <w:p w14:paraId="303B2AC5" w14:textId="148FF954" w:rsidR="00BA63B5" w:rsidRPr="00315936" w:rsidRDefault="00D035DA" w:rsidP="00BA63B5">
            <w:pPr>
              <w:pStyle w:val="Tabletext"/>
            </w:pPr>
            <w:r>
              <w:t>The ED Departure Date (not Arrival Date) is used to identify presentations in scope for the reporting period</w:t>
            </w:r>
            <w:r w:rsidR="00BA63B5">
              <w:t>.</w:t>
            </w:r>
            <w:r w:rsidR="003F7E6A">
              <w:t xml:space="preserve"> </w:t>
            </w:r>
            <w:r w:rsidR="00FC3649">
              <w:t>The scope includes p</w:t>
            </w:r>
            <w:r w:rsidR="003F7E6A">
              <w:t>resentations that departed ED during the reference period, up to 11:59pm on the reference period end date.</w:t>
            </w:r>
          </w:p>
          <w:p w14:paraId="68E48C93" w14:textId="77777777" w:rsidR="00BA63B5" w:rsidRDefault="00BA63B5" w:rsidP="00BA63B5">
            <w:pPr>
              <w:pStyle w:val="Tabletext"/>
              <w:rPr>
                <w:rFonts w:eastAsia="VIC"/>
              </w:rPr>
            </w:pPr>
            <w:r w:rsidRPr="00315936">
              <w:rPr>
                <w:rFonts w:eastAsia="VIC"/>
              </w:rPr>
              <w:t>The following Departure status (VEMD) codes are applied:</w:t>
            </w:r>
          </w:p>
          <w:p w14:paraId="2A11B76F" w14:textId="7C13E0D1" w:rsidR="00277A2A" w:rsidRPr="00315936" w:rsidRDefault="00277A2A" w:rsidP="00B43DDA">
            <w:pPr>
              <w:pStyle w:val="Tablebullet1"/>
              <w:rPr>
                <w:rFonts w:eastAsia="VIC"/>
              </w:rPr>
            </w:pPr>
            <w:r>
              <w:rPr>
                <w:rFonts w:eastAsia="VIC"/>
              </w:rPr>
              <w:t>Return to usual residence:</w:t>
            </w:r>
          </w:p>
          <w:p w14:paraId="30A211ED" w14:textId="77777777" w:rsidR="00BA63B5" w:rsidRDefault="00BA63B5" w:rsidP="00277A2A">
            <w:pPr>
              <w:pStyle w:val="DHTablebullet2"/>
              <w:rPr>
                <w:rFonts w:eastAsia="VIC"/>
              </w:rPr>
            </w:pPr>
            <w:r w:rsidRPr="00315936">
              <w:rPr>
                <w:rFonts w:eastAsia="VIC"/>
              </w:rPr>
              <w:t>‘1’ Home</w:t>
            </w:r>
          </w:p>
          <w:p w14:paraId="184F997F" w14:textId="77777777" w:rsidR="00F32174" w:rsidRPr="00315936" w:rsidRDefault="00F32174" w:rsidP="00B43DDA">
            <w:pPr>
              <w:pStyle w:val="DHTablebullet2"/>
              <w:rPr>
                <w:rFonts w:eastAsia="VIC"/>
              </w:rPr>
            </w:pPr>
            <w:r w:rsidRPr="00315936">
              <w:rPr>
                <w:rFonts w:eastAsia="VIC"/>
              </w:rPr>
              <w:t>‘12’ Correctional/Custodial Facility</w:t>
            </w:r>
          </w:p>
          <w:p w14:paraId="69E7F810" w14:textId="0EFDDA72" w:rsidR="00F32174" w:rsidRDefault="00DD5A5E" w:rsidP="00277A2A">
            <w:pPr>
              <w:pStyle w:val="DHTablebullet2"/>
              <w:rPr>
                <w:rFonts w:eastAsia="VIC"/>
              </w:rPr>
            </w:pPr>
            <w:r>
              <w:rPr>
                <w:rFonts w:eastAsia="VIC"/>
              </w:rPr>
              <w:t>‘</w:t>
            </w:r>
            <w:r w:rsidR="00B74998" w:rsidRPr="00315936">
              <w:rPr>
                <w:rFonts w:eastAsia="VIC"/>
              </w:rPr>
              <w:t>23’ Mental Health Residential Facility</w:t>
            </w:r>
          </w:p>
          <w:p w14:paraId="6DEB7301" w14:textId="77777777" w:rsidR="00B74998" w:rsidRPr="00315936" w:rsidRDefault="00B74998" w:rsidP="00B43DDA">
            <w:pPr>
              <w:pStyle w:val="DHTablebullet2"/>
              <w:rPr>
                <w:rFonts w:eastAsia="VIC"/>
              </w:rPr>
            </w:pPr>
            <w:r w:rsidRPr="00315936">
              <w:rPr>
                <w:rFonts w:eastAsia="VIC"/>
              </w:rPr>
              <w:t>‘24’ Residential care facility</w:t>
            </w:r>
          </w:p>
          <w:p w14:paraId="67410928" w14:textId="0C8B6086" w:rsidR="00B74998" w:rsidRPr="00315936" w:rsidRDefault="00A963A8" w:rsidP="00A963A8">
            <w:pPr>
              <w:pStyle w:val="Tablebullet1"/>
              <w:rPr>
                <w:rFonts w:eastAsia="VIC"/>
              </w:rPr>
            </w:pPr>
            <w:r>
              <w:rPr>
                <w:rFonts w:eastAsia="VIC"/>
              </w:rPr>
              <w:t>Departed before treatment completed:</w:t>
            </w:r>
          </w:p>
          <w:p w14:paraId="54968A43" w14:textId="77777777" w:rsidR="00BA63B5" w:rsidRPr="00315936" w:rsidRDefault="00BA63B5" w:rsidP="00B43DDA">
            <w:pPr>
              <w:pStyle w:val="DHTablebullet2"/>
              <w:rPr>
                <w:rFonts w:eastAsia="VIC"/>
              </w:rPr>
            </w:pPr>
            <w:r w:rsidRPr="3F528552">
              <w:rPr>
                <w:rFonts w:eastAsia="VIC"/>
              </w:rPr>
              <w:t>‘5’ Left at own risk after treatment started</w:t>
            </w:r>
          </w:p>
          <w:p w14:paraId="2E430C06" w14:textId="77777777" w:rsidR="00BA63B5" w:rsidRPr="00315936" w:rsidRDefault="00BA63B5" w:rsidP="00B43DDA">
            <w:pPr>
              <w:pStyle w:val="DHTablebullet2"/>
              <w:rPr>
                <w:rFonts w:eastAsia="VIC"/>
              </w:rPr>
            </w:pPr>
            <w:r w:rsidRPr="00315936">
              <w:rPr>
                <w:rFonts w:eastAsia="VIC"/>
              </w:rPr>
              <w:t>‘7’ Died within ED</w:t>
            </w:r>
          </w:p>
          <w:p w14:paraId="3FCAA077" w14:textId="23DB6363" w:rsidR="00BA63B5" w:rsidRPr="00315936" w:rsidRDefault="00BA63B5" w:rsidP="00B43DDA">
            <w:pPr>
              <w:pStyle w:val="DHTablebullet2"/>
              <w:rPr>
                <w:rFonts w:eastAsia="VIC"/>
              </w:rPr>
            </w:pPr>
            <w:r w:rsidRPr="00315936">
              <w:rPr>
                <w:rFonts w:eastAsia="VIC"/>
              </w:rPr>
              <w:t xml:space="preserve">‘10’ Left </w:t>
            </w:r>
            <w:r w:rsidR="00C73DEF">
              <w:rPr>
                <w:rFonts w:eastAsia="VIC"/>
              </w:rPr>
              <w:t xml:space="preserve">after clinical advice regarding </w:t>
            </w:r>
            <w:r w:rsidR="001E77EA">
              <w:rPr>
                <w:rFonts w:eastAsia="VIC"/>
              </w:rPr>
              <w:t>treatment</w:t>
            </w:r>
            <w:r w:rsidRPr="00315936">
              <w:rPr>
                <w:rFonts w:eastAsia="VIC"/>
              </w:rPr>
              <w:t xml:space="preserve"> </w:t>
            </w:r>
            <w:r w:rsidR="001E77EA">
              <w:rPr>
                <w:rFonts w:eastAsia="VIC"/>
              </w:rPr>
              <w:t>o</w:t>
            </w:r>
            <w:r w:rsidRPr="00315936">
              <w:rPr>
                <w:rFonts w:eastAsia="VIC"/>
              </w:rPr>
              <w:t>ptions</w:t>
            </w:r>
          </w:p>
          <w:p w14:paraId="5B7ABA50" w14:textId="53FD66BC" w:rsidR="00BA63B5" w:rsidRPr="00315936" w:rsidRDefault="00BA63B5" w:rsidP="00B43DDA">
            <w:pPr>
              <w:pStyle w:val="DHTablebullet2"/>
              <w:rPr>
                <w:rFonts w:eastAsia="VIC"/>
              </w:rPr>
            </w:pPr>
            <w:r w:rsidRPr="00315936">
              <w:rPr>
                <w:rFonts w:eastAsia="VIC"/>
              </w:rPr>
              <w:t>‘11’ Left at own risk</w:t>
            </w:r>
            <w:r w:rsidR="00BA4339">
              <w:rPr>
                <w:rFonts w:eastAsia="VIC"/>
              </w:rPr>
              <w:t>,</w:t>
            </w:r>
            <w:r w:rsidRPr="00315936">
              <w:rPr>
                <w:rFonts w:eastAsia="VIC"/>
              </w:rPr>
              <w:t xml:space="preserve"> without treatment</w:t>
            </w:r>
            <w:r w:rsidR="00FB5B3F">
              <w:rPr>
                <w:rFonts w:eastAsia="VIC"/>
              </w:rPr>
              <w:t>.</w:t>
            </w:r>
          </w:p>
          <w:p w14:paraId="33201404" w14:textId="1D789BD9" w:rsidR="00BA63B5" w:rsidRPr="00315936" w:rsidRDefault="00BA63B5" w:rsidP="00BA63B5">
            <w:pPr>
              <w:pStyle w:val="Tabletext"/>
            </w:pPr>
            <w:r>
              <w:t>Exclusions:</w:t>
            </w:r>
          </w:p>
          <w:p w14:paraId="2CA48E0F" w14:textId="57A1149E" w:rsidR="00BA63B5" w:rsidRPr="00315936" w:rsidRDefault="00BA63B5" w:rsidP="00BA63B5">
            <w:pPr>
              <w:pStyle w:val="Tablebullet1"/>
            </w:pPr>
            <w:r w:rsidRPr="00315936">
              <w:t xml:space="preserve">Triage Category code </w:t>
            </w:r>
            <w:r w:rsidR="00D57AC0">
              <w:t>‘</w:t>
            </w:r>
            <w:r w:rsidRPr="00315936">
              <w:t>6</w:t>
            </w:r>
            <w:r w:rsidR="00D57AC0">
              <w:t>’</w:t>
            </w:r>
            <w:r w:rsidRPr="00315936">
              <w:t xml:space="preserve"> Dead on arrival</w:t>
            </w:r>
          </w:p>
          <w:p w14:paraId="36896E46" w14:textId="1B05787A" w:rsidR="00944AE7" w:rsidRDefault="000D6169" w:rsidP="00944AE7">
            <w:pPr>
              <w:pStyle w:val="Tablebullet1"/>
            </w:pPr>
            <w:r>
              <w:t>VVED presentations</w:t>
            </w:r>
          </w:p>
          <w:p w14:paraId="2C26B701" w14:textId="780D43FC" w:rsidR="00BB2113" w:rsidRDefault="004C32EB" w:rsidP="00944AE7">
            <w:pPr>
              <w:pStyle w:val="Tablebullet1"/>
            </w:pPr>
            <w:r>
              <w:rPr>
                <w:rFonts w:eastAsia="Arial" w:cs="Arial"/>
                <w:szCs w:val="21"/>
              </w:rPr>
              <w:t>Other virtual care presentations.</w:t>
            </w:r>
          </w:p>
          <w:p w14:paraId="55B68CBC" w14:textId="5A526F04" w:rsidR="00C77712" w:rsidRPr="00315936" w:rsidRDefault="00C77712" w:rsidP="00C24A2D">
            <w:pPr>
              <w:pStyle w:val="Tablebullet1"/>
            </w:pPr>
            <w:r>
              <w:t xml:space="preserve">SSUs because </w:t>
            </w:r>
            <w:r w:rsidR="00C24A2D">
              <w:t>they</w:t>
            </w:r>
            <w:r>
              <w:t xml:space="preserve"> are considered an admitted service.</w:t>
            </w:r>
          </w:p>
          <w:p w14:paraId="3DF1195F" w14:textId="4D92F54C" w:rsidR="00237087" w:rsidRPr="00315936" w:rsidRDefault="00BA63B5" w:rsidP="00BA63B5">
            <w:pPr>
              <w:pStyle w:val="Tabletext"/>
              <w:rPr>
                <w:lang w:eastAsia="en-AU"/>
              </w:rPr>
            </w:pPr>
            <w:r w:rsidRPr="00315936">
              <w:t xml:space="preserve">This measure is </w:t>
            </w:r>
            <w:r w:rsidR="008E09A3">
              <w:t>reported</w:t>
            </w:r>
            <w:r w:rsidRPr="00315936">
              <w:t xml:space="preserve"> at the campus level and</w:t>
            </w:r>
            <w:r w:rsidRPr="00315936" w:rsidDel="00AF7DA0">
              <w:t xml:space="preserve"> </w:t>
            </w:r>
            <w:r w:rsidR="00B83593">
              <w:t>expressed as the number of completed minutes rounded to zero decimal places</w:t>
            </w:r>
            <w:r w:rsidR="00237087">
              <w:t>.</w:t>
            </w:r>
          </w:p>
        </w:tc>
      </w:tr>
      <w:tr w:rsidR="00237087" w:rsidRPr="00315936" w14:paraId="1BA6E86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14D54FF" w14:textId="77777777" w:rsidR="00237087" w:rsidRPr="00624626" w:rsidRDefault="00237087">
            <w:pPr>
              <w:pStyle w:val="Tablecolhead"/>
              <w:rPr>
                <w:b w:val="0"/>
                <w:bCs/>
                <w:lang w:eastAsia="en-AU"/>
              </w:rPr>
            </w:pPr>
            <w:r w:rsidRPr="00624626">
              <w:rPr>
                <w:b w:val="0"/>
                <w:bCs/>
                <w:lang w:eastAsia="en-AU"/>
              </w:rPr>
              <w:t>Numerator</w:t>
            </w:r>
          </w:p>
        </w:tc>
        <w:tc>
          <w:tcPr>
            <w:tcW w:w="8506" w:type="dxa"/>
            <w:tcBorders>
              <w:left w:val="single" w:sz="4" w:space="0" w:color="FFFFFF" w:themeColor="background1"/>
            </w:tcBorders>
          </w:tcPr>
          <w:p w14:paraId="4EC2A0FD" w14:textId="6A883487" w:rsidR="00237087" w:rsidRPr="00315936" w:rsidRDefault="00465FBC">
            <w:pPr>
              <w:pStyle w:val="Tabletext"/>
              <w:rPr>
                <w:rFonts w:eastAsia="VIC"/>
              </w:rPr>
            </w:pPr>
            <w:r w:rsidRPr="03643049">
              <w:rPr>
                <w:rFonts w:eastAsia="VIC"/>
              </w:rPr>
              <w:t>ED length of stay for patients who were not subsequently admitted to hospital</w:t>
            </w:r>
          </w:p>
        </w:tc>
      </w:tr>
      <w:tr w:rsidR="00237087" w:rsidRPr="00315936" w14:paraId="46191AF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D2E4667" w14:textId="77777777" w:rsidR="00237087" w:rsidRPr="00624626" w:rsidRDefault="00237087">
            <w:pPr>
              <w:pStyle w:val="Tablecolhead"/>
              <w:rPr>
                <w:b w:val="0"/>
                <w:bCs/>
                <w:lang w:eastAsia="en-AU"/>
              </w:rPr>
            </w:pPr>
            <w:r w:rsidRPr="00624626">
              <w:rPr>
                <w:b w:val="0"/>
                <w:bCs/>
                <w:lang w:eastAsia="en-AU"/>
              </w:rPr>
              <w:t>Denominator</w:t>
            </w:r>
          </w:p>
        </w:tc>
        <w:tc>
          <w:tcPr>
            <w:tcW w:w="8506" w:type="dxa"/>
            <w:tcBorders>
              <w:left w:val="single" w:sz="4" w:space="0" w:color="FFFFFF" w:themeColor="background1"/>
            </w:tcBorders>
          </w:tcPr>
          <w:p w14:paraId="234FC3D9" w14:textId="77777777" w:rsidR="00237087" w:rsidRPr="00315936" w:rsidRDefault="00237087">
            <w:pPr>
              <w:pStyle w:val="Tabletext"/>
            </w:pPr>
            <w:r w:rsidRPr="00315936">
              <w:rPr>
                <w:rFonts w:eastAsia="VIC"/>
              </w:rPr>
              <w:t>N/A</w:t>
            </w:r>
          </w:p>
        </w:tc>
      </w:tr>
      <w:tr w:rsidR="00465FBC" w:rsidRPr="00315936" w14:paraId="7355D4C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C2D8732" w14:textId="77777777" w:rsidR="00465FBC" w:rsidRPr="00624626" w:rsidRDefault="00465FBC" w:rsidP="00465FBC">
            <w:pPr>
              <w:pStyle w:val="Tablecolhead"/>
              <w:rPr>
                <w:b w:val="0"/>
                <w:bCs/>
                <w:lang w:eastAsia="en-AU"/>
              </w:rPr>
            </w:pPr>
            <w:r w:rsidRPr="00624626">
              <w:rPr>
                <w:b w:val="0"/>
                <w:bCs/>
                <w:lang w:eastAsia="en-AU"/>
              </w:rPr>
              <w:t>Statewide target</w:t>
            </w:r>
          </w:p>
        </w:tc>
        <w:tc>
          <w:tcPr>
            <w:tcW w:w="8506" w:type="dxa"/>
            <w:tcBorders>
              <w:left w:val="single" w:sz="4" w:space="0" w:color="FFFFFF" w:themeColor="background1"/>
            </w:tcBorders>
          </w:tcPr>
          <w:p w14:paraId="09A86BD9" w14:textId="6A6CF30A" w:rsidR="00465FBC" w:rsidRDefault="00465FBC" w:rsidP="00465FBC">
            <w:pPr>
              <w:pStyle w:val="Tabletext"/>
              <w:keepNext/>
            </w:pPr>
            <w:r w:rsidRPr="18ED453A">
              <w:rPr>
                <w:rFonts w:eastAsia="VIC"/>
              </w:rPr>
              <w:t xml:space="preserve">3 per cent reduction compared to same </w:t>
            </w:r>
            <w:r w:rsidR="00597B4F">
              <w:rPr>
                <w:rFonts w:eastAsia="VIC"/>
              </w:rPr>
              <w:t>period</w:t>
            </w:r>
            <w:r w:rsidRPr="18ED453A">
              <w:rPr>
                <w:rFonts w:eastAsia="VIC"/>
              </w:rPr>
              <w:t xml:space="preserve"> last year. </w:t>
            </w:r>
            <w:r>
              <w:t xml:space="preserve">Health services that had an </w:t>
            </w:r>
            <w:r w:rsidR="00B41610">
              <w:t xml:space="preserve">average </w:t>
            </w:r>
            <w:r>
              <w:t xml:space="preserve">ED length of stay for non-admitted patients of 240 minutes or less during the same </w:t>
            </w:r>
            <w:r w:rsidR="00597B4F">
              <w:t>period</w:t>
            </w:r>
            <w:r>
              <w:t xml:space="preserve"> last year</w:t>
            </w:r>
            <w:r w:rsidRPr="18ED453A">
              <w:rPr>
                <w:b/>
                <w:bCs/>
                <w:sz w:val="22"/>
                <w:szCs w:val="22"/>
              </w:rPr>
              <w:t xml:space="preserve"> </w:t>
            </w:r>
            <w:r>
              <w:t>are expected to maintain this level of performance to achieve the target.</w:t>
            </w:r>
          </w:p>
          <w:p w14:paraId="1D3E1FC7" w14:textId="77777777" w:rsidR="00465FBC" w:rsidRPr="00315936" w:rsidRDefault="00465FBC" w:rsidP="00465FBC">
            <w:pPr>
              <w:pStyle w:val="Tabletext"/>
              <w:spacing w:line="259" w:lineRule="auto"/>
            </w:pPr>
            <w:r>
              <w:t>Quarterly performances will be compared with performance for the same quarter in the previous year. Annual performance will be compared with performance for the whole of the previous year.</w:t>
            </w:r>
          </w:p>
        </w:tc>
      </w:tr>
      <w:tr w:rsidR="00465FBC" w:rsidRPr="00315936" w14:paraId="61CAEFA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ECFEA8C" w14:textId="77777777" w:rsidR="00465FBC" w:rsidRPr="00624626" w:rsidRDefault="00465FBC" w:rsidP="00465FBC">
            <w:pPr>
              <w:pStyle w:val="Tablecolhead"/>
              <w:rPr>
                <w:b w:val="0"/>
                <w:bCs/>
                <w:lang w:eastAsia="en-AU"/>
              </w:rPr>
            </w:pPr>
            <w:r w:rsidRPr="00624626">
              <w:rPr>
                <w:b w:val="0"/>
                <w:bCs/>
                <w:lang w:eastAsia="en-AU"/>
              </w:rPr>
              <w:t>Achieved</w:t>
            </w:r>
          </w:p>
        </w:tc>
        <w:tc>
          <w:tcPr>
            <w:tcW w:w="8506" w:type="dxa"/>
            <w:tcBorders>
              <w:left w:val="single" w:sz="4" w:space="0" w:color="FFFFFF" w:themeColor="background1"/>
            </w:tcBorders>
          </w:tcPr>
          <w:p w14:paraId="4965CF35" w14:textId="48C9AA49" w:rsidR="00465FBC" w:rsidRPr="00315936" w:rsidRDefault="00465FBC" w:rsidP="00465FBC">
            <w:pPr>
              <w:pStyle w:val="Tabletext"/>
            </w:pPr>
            <w:r>
              <w:rPr>
                <w:rFonts w:eastAsia="VIC"/>
              </w:rPr>
              <w:t xml:space="preserve">Average ED </w:t>
            </w:r>
            <w:r w:rsidR="00B41610">
              <w:rPr>
                <w:rFonts w:eastAsia="VIC"/>
              </w:rPr>
              <w:t>length or stay</w:t>
            </w:r>
            <w:r>
              <w:rPr>
                <w:rFonts w:eastAsia="VIC"/>
              </w:rPr>
              <w:t xml:space="preserve"> less than </w:t>
            </w:r>
            <w:r w:rsidR="00241F0C">
              <w:rPr>
                <w:rFonts w:eastAsia="VIC"/>
              </w:rPr>
              <w:t xml:space="preserve">or equal to </w:t>
            </w:r>
            <w:r>
              <w:rPr>
                <w:rFonts w:eastAsia="VIC"/>
              </w:rPr>
              <w:t>240 minutes or at least 3 per cent improvement on performance for the same period (e.g. quarter) in the previous year.</w:t>
            </w:r>
          </w:p>
        </w:tc>
      </w:tr>
      <w:tr w:rsidR="00465FBC" w:rsidRPr="00315936" w14:paraId="66E67AEF" w14:textId="77777777" w:rsidTr="008E1561">
        <w:trPr>
          <w:trHeight w:val="287"/>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157E95A" w14:textId="77777777" w:rsidR="00465FBC" w:rsidRPr="00624626" w:rsidRDefault="00465FBC" w:rsidP="00465FBC">
            <w:pPr>
              <w:pStyle w:val="Tablecolhead"/>
              <w:rPr>
                <w:b w:val="0"/>
                <w:bCs/>
                <w:lang w:eastAsia="en-AU"/>
              </w:rPr>
            </w:pPr>
            <w:r w:rsidRPr="00624626">
              <w:rPr>
                <w:b w:val="0"/>
                <w:bCs/>
                <w:lang w:eastAsia="en-AU"/>
              </w:rPr>
              <w:t>Not achieved</w:t>
            </w:r>
          </w:p>
        </w:tc>
        <w:tc>
          <w:tcPr>
            <w:tcW w:w="8506" w:type="dxa"/>
            <w:tcBorders>
              <w:left w:val="single" w:sz="4" w:space="0" w:color="FFFFFF" w:themeColor="background1"/>
            </w:tcBorders>
          </w:tcPr>
          <w:p w14:paraId="649FF0D1" w14:textId="7253359A" w:rsidR="00465FBC" w:rsidRPr="00315936" w:rsidRDefault="00465FBC" w:rsidP="00E36E53">
            <w:pPr>
              <w:pStyle w:val="Tabletext"/>
              <w:keepNext/>
            </w:pPr>
            <w:r>
              <w:rPr>
                <w:rFonts w:eastAsia="VIC"/>
              </w:rPr>
              <w:t xml:space="preserve">Average ED </w:t>
            </w:r>
            <w:r w:rsidR="00B41610">
              <w:rPr>
                <w:rFonts w:eastAsia="VIC"/>
              </w:rPr>
              <w:t>length or stay</w:t>
            </w:r>
            <w:r>
              <w:rPr>
                <w:rFonts w:eastAsia="VIC"/>
              </w:rPr>
              <w:t xml:space="preserve"> greater than 240 minutes and less than 3 per cent improvement on performance for the same period (e.g. quarter) in the previous year.</w:t>
            </w:r>
          </w:p>
        </w:tc>
      </w:tr>
      <w:tr w:rsidR="00465FBC" w:rsidRPr="00315936" w14:paraId="7EEC7AC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3070A14" w14:textId="77777777" w:rsidR="00465FBC" w:rsidRPr="00624626" w:rsidRDefault="00465FBC" w:rsidP="00465FBC">
            <w:pPr>
              <w:pStyle w:val="Tablecolhead"/>
              <w:rPr>
                <w:b w:val="0"/>
                <w:bCs/>
                <w:lang w:eastAsia="en-AU"/>
              </w:rPr>
            </w:pPr>
            <w:r w:rsidRPr="00624626">
              <w:rPr>
                <w:b w:val="0"/>
                <w:bCs/>
                <w:lang w:eastAsia="en-AU"/>
              </w:rPr>
              <w:t>Improvement</w:t>
            </w:r>
          </w:p>
        </w:tc>
        <w:tc>
          <w:tcPr>
            <w:tcW w:w="8506" w:type="dxa"/>
            <w:tcBorders>
              <w:left w:val="single" w:sz="4" w:space="0" w:color="FFFFFF" w:themeColor="background1"/>
            </w:tcBorders>
          </w:tcPr>
          <w:p w14:paraId="301A6048" w14:textId="20D56413" w:rsidR="00465FBC" w:rsidRPr="00315936" w:rsidRDefault="00944AE7" w:rsidP="00465FBC">
            <w:pPr>
              <w:pStyle w:val="Tabletext"/>
              <w:rPr>
                <w:lang w:eastAsia="en-AU"/>
              </w:rPr>
            </w:pPr>
            <w:proofErr w:type="gramStart"/>
            <w:r>
              <w:rPr>
                <w:rFonts w:eastAsia="VIC"/>
              </w:rPr>
              <w:t>For the purpose of</w:t>
            </w:r>
            <w:proofErr w:type="gramEnd"/>
            <w:r>
              <w:rPr>
                <w:rFonts w:eastAsia="VIC"/>
              </w:rPr>
              <w:t xml:space="preserve"> the performance risk assessment, i</w:t>
            </w:r>
            <w:r w:rsidR="00465FBC" w:rsidRPr="00315936">
              <w:rPr>
                <w:rFonts w:eastAsia="VIC"/>
              </w:rPr>
              <w:t xml:space="preserve">mprovement is calculated based on same </w:t>
            </w:r>
            <w:r w:rsidR="007F5C77">
              <w:rPr>
                <w:rFonts w:eastAsia="VIC"/>
              </w:rPr>
              <w:t>period</w:t>
            </w:r>
            <w:r w:rsidR="00465FBC" w:rsidRPr="00315936">
              <w:rPr>
                <w:rFonts w:eastAsia="VIC"/>
              </w:rPr>
              <w:t xml:space="preserve"> last year performance.</w:t>
            </w:r>
          </w:p>
        </w:tc>
      </w:tr>
      <w:tr w:rsidR="00465FBC" w:rsidRPr="00315936" w14:paraId="0EE69A64"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12F0F37" w14:textId="77777777" w:rsidR="00465FBC" w:rsidRPr="00624626" w:rsidRDefault="00465FBC" w:rsidP="00465FBC">
            <w:pPr>
              <w:pStyle w:val="Tablecolhead"/>
              <w:rPr>
                <w:b w:val="0"/>
                <w:bCs/>
                <w:lang w:eastAsia="en-AU"/>
              </w:rPr>
            </w:pPr>
            <w:r w:rsidRPr="00624626">
              <w:rPr>
                <w:b w:val="0"/>
                <w:bCs/>
                <w:lang w:eastAsia="en-AU"/>
              </w:rPr>
              <w:t>Frequency of reporting and data collection</w:t>
            </w:r>
          </w:p>
        </w:tc>
        <w:tc>
          <w:tcPr>
            <w:tcW w:w="8506" w:type="dxa"/>
            <w:tcBorders>
              <w:left w:val="single" w:sz="4" w:space="0" w:color="FFFFFF" w:themeColor="background1"/>
            </w:tcBorders>
          </w:tcPr>
          <w:p w14:paraId="6391C196" w14:textId="6F7D7C3A" w:rsidR="00465FBC" w:rsidRPr="00315936" w:rsidRDefault="00465FBC" w:rsidP="00465FBC">
            <w:pPr>
              <w:pStyle w:val="Tabletext"/>
              <w:keepNext/>
              <w:rPr>
                <w:rFonts w:eastAsia="VIC"/>
              </w:rPr>
            </w:pPr>
            <w:r w:rsidRPr="00315936">
              <w:rPr>
                <w:rFonts w:eastAsia="VIC"/>
              </w:rPr>
              <w:t xml:space="preserve">Performance is reported </w:t>
            </w:r>
            <w:r w:rsidR="00944AE7" w:rsidRPr="00315936">
              <w:rPr>
                <w:rFonts w:eastAsia="VIC"/>
              </w:rPr>
              <w:t>monthly</w:t>
            </w:r>
            <w:r w:rsidR="00944AE7">
              <w:rPr>
                <w:rFonts w:eastAsia="VIC"/>
              </w:rPr>
              <w:t>,</w:t>
            </w:r>
            <w:r w:rsidR="00944AE7" w:rsidRPr="00315936">
              <w:rPr>
                <w:rFonts w:eastAsia="VIC"/>
              </w:rPr>
              <w:t xml:space="preserve"> quarterly</w:t>
            </w:r>
            <w:r w:rsidRPr="00315936">
              <w:rPr>
                <w:rFonts w:eastAsia="VIC"/>
              </w:rPr>
              <w:t xml:space="preserve"> and annually at the campus level.</w:t>
            </w:r>
          </w:p>
          <w:p w14:paraId="41705E83" w14:textId="77777777" w:rsidR="00465FBC" w:rsidRPr="00315936" w:rsidRDefault="00465FBC" w:rsidP="00465FBC">
            <w:pPr>
              <w:pStyle w:val="Tabletext"/>
              <w:rPr>
                <w:lang w:eastAsia="en-AU"/>
              </w:rPr>
            </w:pPr>
            <w:r w:rsidRPr="00315936">
              <w:rPr>
                <w:rFonts w:eastAsia="VIC"/>
              </w:rPr>
              <w:t xml:space="preserve">Data are sourced from </w:t>
            </w:r>
            <w:r w:rsidRPr="00315936">
              <w:t xml:space="preserve">the </w:t>
            </w:r>
            <w:r>
              <w:t>Victorian Emergency Minimum Dataset (VEMD)</w:t>
            </w:r>
            <w:r w:rsidRPr="58AE7E44">
              <w:rPr>
                <w:rFonts w:eastAsia="VIC"/>
              </w:rPr>
              <w:t>.</w:t>
            </w:r>
          </w:p>
        </w:tc>
      </w:tr>
    </w:tbl>
    <w:p w14:paraId="50086DB8" w14:textId="688F4681" w:rsidR="00140581" w:rsidRDefault="00140581" w:rsidP="00B00402">
      <w:pPr>
        <w:pStyle w:val="Heading3"/>
      </w:pPr>
      <w:bookmarkStart w:id="102" w:name="_Toc1158170083"/>
      <w:bookmarkEnd w:id="101"/>
      <w:r w:rsidRPr="00315936">
        <w:t>Mental health</w:t>
      </w:r>
      <w:bookmarkEnd w:id="102"/>
    </w:p>
    <w:p w14:paraId="66F74CF3" w14:textId="35A3282C" w:rsidR="00464E49" w:rsidRDefault="00464E49" w:rsidP="00E36E53">
      <w:pPr>
        <w:pStyle w:val="Heading4"/>
        <w:rPr>
          <w:rFonts w:ascii="Cambria" w:hAnsi="Cambria" w:cs="Cambria"/>
          <w:lang w:eastAsia="en-AU"/>
        </w:rPr>
      </w:pPr>
      <w:r w:rsidRPr="000A4C6F">
        <w:rPr>
          <w:lang w:val="en-US" w:eastAsia="en-AU"/>
        </w:rPr>
        <w:t>Percentage of mental health-related emergency department presentations with a length of stay of less than four hours</w:t>
      </w:r>
      <w:r w:rsidRPr="00315936">
        <w:rPr>
          <w:rFonts w:ascii="Cambria" w:hAnsi="Cambria" w:cs="Cambria"/>
          <w:lang w:eastAsia="en-AU"/>
        </w:rPr>
        <w:t> </w:t>
      </w:r>
    </w:p>
    <w:tbl>
      <w:tblPr>
        <w:tblStyle w:val="TableGrid"/>
        <w:tblW w:w="10343" w:type="dxa"/>
        <w:tblLook w:val="04A0" w:firstRow="1" w:lastRow="0" w:firstColumn="1" w:lastColumn="0" w:noHBand="0" w:noVBand="1"/>
      </w:tblPr>
      <w:tblGrid>
        <w:gridCol w:w="1837"/>
        <w:gridCol w:w="8506"/>
      </w:tblGrid>
      <w:tr w:rsidR="00B44BDA" w:rsidRPr="00315936" w14:paraId="1D13398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5D905CB" w14:textId="77777777" w:rsidR="00B44BDA" w:rsidRPr="00315936" w:rsidRDefault="00B44BDA">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61BFFB29" w14:textId="77777777" w:rsidR="00B44BDA" w:rsidRPr="00315936" w:rsidRDefault="00B44BDA">
            <w:pPr>
              <w:pStyle w:val="Tabletext"/>
              <w:rPr>
                <w:rFonts w:ascii="Cambria" w:hAnsi="Cambria" w:cs="Cambria"/>
                <w:lang w:eastAsia="en-AU"/>
              </w:rPr>
            </w:pPr>
            <w:r w:rsidRPr="00315936">
              <w:rPr>
                <w:lang w:val="en-US" w:eastAsia="en-AU"/>
              </w:rPr>
              <w:t>Percentage of mental health-related emergency department presentations with a length of stay of less than four hours</w:t>
            </w:r>
            <w:r w:rsidRPr="00315936">
              <w:rPr>
                <w:rFonts w:ascii="Cambria" w:hAnsi="Cambria" w:cs="Cambria"/>
                <w:lang w:eastAsia="en-AU"/>
              </w:rPr>
              <w:t> </w:t>
            </w:r>
          </w:p>
        </w:tc>
      </w:tr>
      <w:tr w:rsidR="00B44BDA" w:rsidRPr="00315936" w14:paraId="6B09301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591A2AB" w14:textId="77777777" w:rsidR="00B44BDA" w:rsidRPr="00315936" w:rsidRDefault="00B44BDA">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0EC6BED5" w14:textId="77777777" w:rsidR="00737D90" w:rsidRDefault="00737D90">
            <w:pPr>
              <w:pStyle w:val="Tabletext"/>
            </w:pPr>
            <w:r w:rsidRPr="00315936">
              <w:t xml:space="preserve">Percentage of mental health–related presentations to Victorian emergency departments with a length of stay of less than four hours. </w:t>
            </w:r>
          </w:p>
          <w:p w14:paraId="3F1A3251" w14:textId="77777777" w:rsidR="00B44BDA" w:rsidRPr="00315936" w:rsidRDefault="00B44BDA">
            <w:pPr>
              <w:pStyle w:val="Tabletext"/>
            </w:pPr>
            <w:r w:rsidRPr="00315936">
              <w:t>This</w:t>
            </w:r>
            <w:r w:rsidRPr="00315936" w:rsidDel="000514CA">
              <w:t xml:space="preserve"> </w:t>
            </w:r>
            <w:r w:rsidRPr="00315936">
              <w:t>measures the effectiveness of emergency department processes and patient flow. The measure aims to encourage more timely management of people presenting to emergency department for mental health-related reasons who are admitted to the hospital, referred to another hospital or departed within four hours. </w:t>
            </w:r>
          </w:p>
        </w:tc>
      </w:tr>
      <w:tr w:rsidR="00B44BDA" w:rsidRPr="00315936" w14:paraId="1896AD3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A875E1D" w14:textId="77777777" w:rsidR="00B44BDA" w:rsidRPr="00315936" w:rsidRDefault="00B44BDA">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1627790B" w14:textId="0D55EC71" w:rsidR="00737D90" w:rsidRDefault="00737D90" w:rsidP="00737D90">
            <w:pPr>
              <w:pStyle w:val="Tabletext"/>
            </w:pPr>
            <w:r>
              <w:t>The ED Departure Date (not Arrival Date) is used to identify presentations in scope for the reporting period.</w:t>
            </w:r>
          </w:p>
          <w:p w14:paraId="6A7DFBE6" w14:textId="7E3585EF" w:rsidR="00BF49FF" w:rsidRPr="00315936" w:rsidRDefault="00BF49FF" w:rsidP="00737D90">
            <w:pPr>
              <w:pStyle w:val="Tabletext"/>
            </w:pPr>
            <w:r>
              <w:t>Length of stay in ED is calculated as the departure date and time minus the arrival date and time (converted to hours).</w:t>
            </w:r>
          </w:p>
          <w:p w14:paraId="2A3CFEC2" w14:textId="77777777" w:rsidR="00B44BDA" w:rsidRPr="00315936" w:rsidRDefault="00B44BDA">
            <w:pPr>
              <w:pStyle w:val="Tabletext"/>
            </w:pPr>
            <w:r w:rsidRPr="00315936">
              <w:t xml:space="preserve">Mental health-related emergency department presentations include </w:t>
            </w:r>
            <w:r>
              <w:t>those</w:t>
            </w:r>
            <w:r w:rsidRPr="00315936">
              <w:t xml:space="preserve"> flagged with any one of the following: </w:t>
            </w:r>
          </w:p>
          <w:p w14:paraId="010615EC" w14:textId="0FC532F7" w:rsidR="00B44BDA" w:rsidRPr="00315936" w:rsidRDefault="00B44BDA" w:rsidP="008C057D">
            <w:pPr>
              <w:pStyle w:val="Tablebullet1"/>
            </w:pPr>
            <w:r w:rsidRPr="00315936">
              <w:t>A ‘referred by’ code of: </w:t>
            </w:r>
          </w:p>
          <w:p w14:paraId="6183B01C" w14:textId="77777777" w:rsidR="00B44BDA" w:rsidRPr="00315936" w:rsidRDefault="00B44BDA" w:rsidP="008C057D">
            <w:pPr>
              <w:pStyle w:val="Tablebullet2"/>
            </w:pPr>
            <w:r w:rsidRPr="00680103">
              <w:t>16</w:t>
            </w:r>
            <w:r w:rsidRPr="00315936">
              <w:t>: Mental health telephone assessment/advisory line </w:t>
            </w:r>
          </w:p>
          <w:p w14:paraId="140816EA" w14:textId="77777777" w:rsidR="00B44BDA" w:rsidRPr="00315936" w:rsidRDefault="00B44BDA" w:rsidP="008C057D">
            <w:pPr>
              <w:pStyle w:val="Tablebullet2"/>
            </w:pPr>
            <w:r w:rsidRPr="00315936">
              <w:t>18: Other mental health staff </w:t>
            </w:r>
          </w:p>
          <w:p w14:paraId="19D7DD3D" w14:textId="6127C1A2" w:rsidR="009F61D9" w:rsidRPr="00315936" w:rsidRDefault="00B44BDA" w:rsidP="008C057D">
            <w:pPr>
              <w:pStyle w:val="Tablebullet2"/>
            </w:pPr>
            <w:r w:rsidRPr="00FA00F6">
              <w:t xml:space="preserve">21: Apprehended under the </w:t>
            </w:r>
            <w:r w:rsidRPr="008C057D">
              <w:rPr>
                <w:i/>
                <w:iCs/>
              </w:rPr>
              <w:t>Mental Health and Wellbeing Act 2022</w:t>
            </w:r>
            <w:r w:rsidRPr="00FA00F6">
              <w:t xml:space="preserve"> –</w:t>
            </w:r>
            <w:r>
              <w:t xml:space="preserve"> </w:t>
            </w:r>
            <w:r w:rsidR="00A52886">
              <w:t>P</w:t>
            </w:r>
            <w:r w:rsidRPr="00B92D5D">
              <w:t>olice</w:t>
            </w:r>
            <w:r w:rsidR="00B006DA">
              <w:t>/P</w:t>
            </w:r>
            <w:r w:rsidRPr="00B92D5D">
              <w:t xml:space="preserve">rotective </w:t>
            </w:r>
            <w:r w:rsidR="00B006DA">
              <w:t>S</w:t>
            </w:r>
            <w:r w:rsidRPr="00B92D5D">
              <w:t xml:space="preserve">ervices </w:t>
            </w:r>
            <w:r w:rsidR="00B006DA">
              <w:t>O</w:t>
            </w:r>
            <w:r w:rsidRPr="00B92D5D">
              <w:t xml:space="preserve">fficer </w:t>
            </w:r>
          </w:p>
          <w:p w14:paraId="30DAED31" w14:textId="77777777" w:rsidR="00B44BDA" w:rsidRPr="00315936" w:rsidRDefault="00B44BDA" w:rsidP="008C057D">
            <w:pPr>
              <w:pStyle w:val="Tablebullet1"/>
            </w:pPr>
            <w:r w:rsidRPr="00315936">
              <w:t>A ‘human intent’ code of: </w:t>
            </w:r>
          </w:p>
          <w:p w14:paraId="3F4836A4" w14:textId="77777777" w:rsidR="00B44BDA" w:rsidRPr="00315936" w:rsidRDefault="00B44BDA" w:rsidP="008C057D">
            <w:pPr>
              <w:pStyle w:val="Tablebullet2"/>
            </w:pPr>
            <w:r w:rsidRPr="00315936">
              <w:t>18: Intentional self-harm – non-suicidal self-injury </w:t>
            </w:r>
          </w:p>
          <w:p w14:paraId="506502A6" w14:textId="77777777" w:rsidR="00B44BDA" w:rsidRPr="00315936" w:rsidRDefault="00B44BDA" w:rsidP="008C057D">
            <w:pPr>
              <w:pStyle w:val="Tablebullet2"/>
            </w:pPr>
            <w:r w:rsidRPr="00315936">
              <w:t>19: Intentional self-harm – suicide attempt </w:t>
            </w:r>
          </w:p>
          <w:p w14:paraId="4E2388AC" w14:textId="77777777" w:rsidR="00B44BDA" w:rsidRPr="00315936" w:rsidRDefault="00B44BDA" w:rsidP="008C057D">
            <w:pPr>
              <w:pStyle w:val="Tablebullet2"/>
            </w:pPr>
            <w:r w:rsidRPr="00315936">
              <w:t>20: Intentional self-harm – suicidal intent cannot be determined </w:t>
            </w:r>
          </w:p>
          <w:p w14:paraId="443F1DAE" w14:textId="77777777" w:rsidR="00B44BDA" w:rsidRPr="00315936" w:rsidRDefault="00B44BDA" w:rsidP="008C057D">
            <w:pPr>
              <w:pStyle w:val="Tablebullet1"/>
            </w:pPr>
            <w:r w:rsidRPr="00315936">
              <w:t>A primary or other diagnosis of: </w:t>
            </w:r>
          </w:p>
          <w:p w14:paraId="446264F7" w14:textId="77777777" w:rsidR="00B44BDA" w:rsidRPr="00315936" w:rsidRDefault="00B44BDA" w:rsidP="008C057D">
            <w:pPr>
              <w:pStyle w:val="Tablebullet2"/>
            </w:pPr>
            <w:r w:rsidRPr="00315936">
              <w:t>F01-F99: Mental and behavioural disorders </w:t>
            </w:r>
          </w:p>
          <w:p w14:paraId="0DC83FE2" w14:textId="77777777" w:rsidR="00B44BDA" w:rsidRPr="00315936" w:rsidRDefault="00B44BDA" w:rsidP="008C057D">
            <w:pPr>
              <w:pStyle w:val="Tablebullet2"/>
            </w:pPr>
            <w:r w:rsidRPr="00315936">
              <w:t>Z004: General psychiatric examination, not elsewhere classified </w:t>
            </w:r>
          </w:p>
          <w:p w14:paraId="56478702" w14:textId="77777777" w:rsidR="00B44BDA" w:rsidRPr="00315936" w:rsidRDefault="00B44BDA" w:rsidP="008C057D">
            <w:pPr>
              <w:pStyle w:val="Tablebullet2"/>
            </w:pPr>
            <w:r w:rsidRPr="00315936">
              <w:t>Z046: General psychiatric examination, requested by authority </w:t>
            </w:r>
          </w:p>
          <w:p w14:paraId="111343A0" w14:textId="77777777" w:rsidR="00B44BDA" w:rsidRPr="00315936" w:rsidRDefault="00B44BDA" w:rsidP="008C057D">
            <w:pPr>
              <w:pStyle w:val="Tablebullet2"/>
            </w:pPr>
            <w:r w:rsidRPr="00315936">
              <w:t>Z915: Personal history of self-harm </w:t>
            </w:r>
          </w:p>
          <w:p w14:paraId="33659E41" w14:textId="77777777" w:rsidR="008C057D" w:rsidRDefault="00B44BDA" w:rsidP="008C057D">
            <w:pPr>
              <w:pStyle w:val="Tablebullet2"/>
            </w:pPr>
            <w:r w:rsidRPr="00315936">
              <w:t>R4581: Suicidal ideation</w:t>
            </w:r>
          </w:p>
          <w:p w14:paraId="044650EE" w14:textId="77777777" w:rsidR="008C057D" w:rsidRPr="00BC1AE5" w:rsidRDefault="008C057D" w:rsidP="00AC70EF">
            <w:pPr>
              <w:pStyle w:val="Tablebullet2"/>
            </w:pPr>
            <w:r w:rsidRPr="00BC1AE5">
              <w:t>R4582: Homicidal ideation</w:t>
            </w:r>
          </w:p>
          <w:p w14:paraId="2B161A2F" w14:textId="7D1F0DB1" w:rsidR="00B44BDA" w:rsidRPr="00BC1AE5" w:rsidRDefault="008C057D" w:rsidP="00AC70EF">
            <w:pPr>
              <w:pStyle w:val="Tablebullet2"/>
            </w:pPr>
            <w:r w:rsidRPr="00BC1AE5">
              <w:t>R4589: Attempted self-injury (harm) or symptoms involving emotional state, other</w:t>
            </w:r>
            <w:r w:rsidR="00B44BDA" w:rsidRPr="00BC1AE5">
              <w:t> </w:t>
            </w:r>
          </w:p>
          <w:p w14:paraId="09F73460" w14:textId="77777777" w:rsidR="00B44BDA" w:rsidRPr="00BC1AE5" w:rsidRDefault="00B44BDA" w:rsidP="008C057D">
            <w:pPr>
              <w:pStyle w:val="Tablebullet1"/>
            </w:pPr>
            <w:r w:rsidRPr="00BC1AE5">
              <w:t>The ‘seen by mental health practitioner’ date/time field is not null  </w:t>
            </w:r>
          </w:p>
          <w:p w14:paraId="6BA0FC4C" w14:textId="77777777" w:rsidR="00B44BDA" w:rsidRPr="00BC1AE5" w:rsidRDefault="00B44BDA" w:rsidP="008C057D">
            <w:pPr>
              <w:pStyle w:val="Tablebullet1"/>
            </w:pPr>
            <w:r w:rsidRPr="00BC1AE5">
              <w:t>A ‘departure status’ code of: </w:t>
            </w:r>
          </w:p>
          <w:p w14:paraId="19FBDD02" w14:textId="77777777" w:rsidR="00B44BDA" w:rsidRPr="00BC1AE5" w:rsidRDefault="00B44BDA" w:rsidP="008C057D">
            <w:pPr>
              <w:pStyle w:val="Tablebullet2"/>
            </w:pPr>
            <w:r w:rsidRPr="00BC1AE5">
              <w:t>17: Mental health bed at another hospital campus </w:t>
            </w:r>
          </w:p>
          <w:p w14:paraId="6E5A50B1" w14:textId="77777777" w:rsidR="00B44BDA" w:rsidRPr="00BC1AE5" w:rsidRDefault="00B44BDA" w:rsidP="008C057D">
            <w:pPr>
              <w:pStyle w:val="Tablebullet2"/>
            </w:pPr>
            <w:r w:rsidRPr="00BC1AE5">
              <w:t>23: Mental health residential facility </w:t>
            </w:r>
          </w:p>
          <w:p w14:paraId="19D694A2" w14:textId="77777777" w:rsidR="00B44BDA" w:rsidRPr="00BC1AE5" w:rsidRDefault="00B44BDA" w:rsidP="008C057D">
            <w:pPr>
              <w:pStyle w:val="Tablebullet2"/>
            </w:pPr>
            <w:r w:rsidRPr="00BC1AE5">
              <w:t>25: Mental health observation / assessment unit </w:t>
            </w:r>
          </w:p>
          <w:p w14:paraId="5810C7EB" w14:textId="77777777" w:rsidR="00B44BDA" w:rsidRPr="00BC1AE5" w:rsidRDefault="00B44BDA" w:rsidP="008C057D">
            <w:pPr>
              <w:pStyle w:val="Tablebullet2"/>
            </w:pPr>
            <w:r w:rsidRPr="00BC1AE5">
              <w:t>26: Other mental health bed – this campus</w:t>
            </w:r>
          </w:p>
          <w:p w14:paraId="2470D56A" w14:textId="59313936" w:rsidR="6744A406" w:rsidRDefault="64AF8905" w:rsidP="6744A406">
            <w:pPr>
              <w:pStyle w:val="Tablebullet2"/>
            </w:pPr>
            <w:r>
              <w:t xml:space="preserve">31: Mental health and </w:t>
            </w:r>
            <w:proofErr w:type="spellStart"/>
            <w:r>
              <w:t>AoD</w:t>
            </w:r>
            <w:proofErr w:type="spellEnd"/>
            <w:r>
              <w:t xml:space="preserve"> hub short stay unit</w:t>
            </w:r>
          </w:p>
          <w:p w14:paraId="5ACCF1DF" w14:textId="1EB37C67" w:rsidR="00356EB8" w:rsidRDefault="054ED135" w:rsidP="008C057D">
            <w:pPr>
              <w:pStyle w:val="Tablebullet1"/>
            </w:pPr>
            <w:r>
              <w:t>A ‘referred to on departure’ code of ‘11’: Mental Health Community Service</w:t>
            </w:r>
          </w:p>
          <w:p w14:paraId="4A9CEF5E" w14:textId="35496D56" w:rsidR="00B44BDA" w:rsidRPr="00D079B2" w:rsidRDefault="24BD7979" w:rsidP="00004ACC">
            <w:pPr>
              <w:pStyle w:val="Tabletext"/>
              <w:rPr>
                <w:rFonts w:eastAsia="VIC"/>
              </w:rPr>
            </w:pPr>
            <w:r>
              <w:t>Exclusions:</w:t>
            </w:r>
          </w:p>
          <w:p w14:paraId="1F0BAB3D" w14:textId="2C1FA42A" w:rsidR="00B44BDA" w:rsidRPr="008C057D" w:rsidRDefault="24BD7979" w:rsidP="008C057D">
            <w:pPr>
              <w:pStyle w:val="Tablebullet1"/>
              <w:rPr>
                <w:rFonts w:eastAsia="VIC"/>
              </w:rPr>
            </w:pPr>
            <w:r w:rsidRPr="008C057D">
              <w:rPr>
                <w:rFonts w:eastAsia="VIC"/>
              </w:rPr>
              <w:t xml:space="preserve">Triage Category '6' Dead on Arrival. </w:t>
            </w:r>
          </w:p>
          <w:p w14:paraId="615ADC8B" w14:textId="18DD0969" w:rsidR="00B44BDA" w:rsidRPr="008C057D" w:rsidRDefault="00780C3F" w:rsidP="008C057D">
            <w:pPr>
              <w:pStyle w:val="Tablebullet1"/>
              <w:rPr>
                <w:rFonts w:eastAsia="VIC"/>
              </w:rPr>
            </w:pPr>
            <w:r w:rsidRPr="008C057D">
              <w:rPr>
                <w:rFonts w:eastAsia="VIC"/>
              </w:rPr>
              <w:t>VVED presentations</w:t>
            </w:r>
          </w:p>
          <w:p w14:paraId="4367F55B" w14:textId="71646FAF" w:rsidR="0053255B" w:rsidRPr="008C057D" w:rsidRDefault="004958C8" w:rsidP="008C057D">
            <w:pPr>
              <w:pStyle w:val="Tablebullet1"/>
              <w:rPr>
                <w:rFonts w:eastAsia="VIC"/>
              </w:rPr>
            </w:pPr>
            <w:r w:rsidRPr="008C057D">
              <w:rPr>
                <w:rFonts w:eastAsia="VIC"/>
              </w:rPr>
              <w:t>Other virtual care presentations</w:t>
            </w:r>
          </w:p>
          <w:p w14:paraId="53A7744F" w14:textId="11357774" w:rsidR="00B44BDA" w:rsidRPr="008C057D" w:rsidRDefault="00643F75" w:rsidP="008C057D">
            <w:pPr>
              <w:pStyle w:val="Tablebullet1"/>
              <w:rPr>
                <w:rFonts w:eastAsia="VIC"/>
              </w:rPr>
            </w:pPr>
            <w:r w:rsidRPr="008C057D">
              <w:rPr>
                <w:rFonts w:eastAsia="VIC"/>
              </w:rPr>
              <w:t>P</w:t>
            </w:r>
            <w:r w:rsidR="24BD7979" w:rsidRPr="008C057D">
              <w:rPr>
                <w:rFonts w:eastAsia="VIC"/>
              </w:rPr>
              <w:t xml:space="preserve">resentations to </w:t>
            </w:r>
            <w:r w:rsidR="00456089" w:rsidRPr="008C057D">
              <w:rPr>
                <w:rFonts w:eastAsia="VIC"/>
              </w:rPr>
              <w:t xml:space="preserve">Victorian Heart Hospital, </w:t>
            </w:r>
            <w:r w:rsidR="24BD7979" w:rsidRPr="008C057D">
              <w:rPr>
                <w:rFonts w:eastAsia="VIC"/>
              </w:rPr>
              <w:t>Mercy Women's, Royal Women's and Eye and Ear emergency departments</w:t>
            </w:r>
            <w:r w:rsidR="00011E8B" w:rsidRPr="008C057D">
              <w:rPr>
                <w:rFonts w:eastAsia="VIC"/>
              </w:rPr>
              <w:t>.</w:t>
            </w:r>
          </w:p>
          <w:p w14:paraId="1F5EF2D6" w14:textId="0D7071E3" w:rsidR="00B44BDA" w:rsidRPr="00315936" w:rsidRDefault="008408D6">
            <w:pPr>
              <w:pStyle w:val="Tabletext"/>
            </w:pPr>
            <w:r w:rsidRPr="00315936">
              <w:t xml:space="preserve">This measure is </w:t>
            </w:r>
            <w:r w:rsidR="00FA631B">
              <w:t>reported</w:t>
            </w:r>
            <w:r w:rsidR="00FA631B" w:rsidRPr="00315936">
              <w:t xml:space="preserve"> </w:t>
            </w:r>
            <w:r w:rsidRPr="00315936">
              <w:t>at the campus level</w:t>
            </w:r>
            <w:r w:rsidR="00A7107B">
              <w:t>.</w:t>
            </w:r>
            <w:r w:rsidRPr="00315936">
              <w:t xml:space="preserve"> </w:t>
            </w:r>
          </w:p>
        </w:tc>
      </w:tr>
      <w:tr w:rsidR="00B44BDA" w:rsidRPr="00315936" w14:paraId="3C1DF23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77F2C81" w14:textId="77777777" w:rsidR="00B44BDA" w:rsidRPr="00315936" w:rsidRDefault="00B44BDA">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14DB4CCC" w14:textId="77777777" w:rsidR="00B44BDA" w:rsidRPr="00315936" w:rsidRDefault="00B44BDA">
            <w:pPr>
              <w:pStyle w:val="Tabletext"/>
            </w:pPr>
            <w:r w:rsidRPr="00315936">
              <w:t>Number of mental health-related emergency department presentations where arrival to departure was less than four hours. </w:t>
            </w:r>
          </w:p>
        </w:tc>
      </w:tr>
      <w:tr w:rsidR="00B44BDA" w:rsidRPr="00315936" w14:paraId="2DCF608C"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3E22C74" w14:textId="77777777" w:rsidR="00B44BDA" w:rsidRPr="00315936" w:rsidRDefault="00B44BDA">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76D03D5F" w14:textId="77777777" w:rsidR="00B44BDA" w:rsidRPr="00315936" w:rsidRDefault="00B44BDA">
            <w:pPr>
              <w:pStyle w:val="Tabletext"/>
            </w:pPr>
            <w:r w:rsidRPr="00315936">
              <w:t>Number of mental health-related emergency department presentations. </w:t>
            </w:r>
          </w:p>
        </w:tc>
      </w:tr>
      <w:tr w:rsidR="00B44BDA" w:rsidRPr="00315936" w14:paraId="258165F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B7983B" w14:textId="77777777" w:rsidR="00B44BDA" w:rsidRPr="00315936" w:rsidRDefault="00B44BDA">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2957B9D8" w14:textId="77777777" w:rsidR="00B44BDA" w:rsidRPr="00315936" w:rsidRDefault="00B44BDA">
            <w:pPr>
              <w:pStyle w:val="Tabletext"/>
            </w:pPr>
            <w:r w:rsidRPr="00315936">
              <w:t>65 per cent</w:t>
            </w:r>
          </w:p>
        </w:tc>
      </w:tr>
      <w:tr w:rsidR="00B44BDA" w:rsidRPr="00315936" w14:paraId="3800625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0318E0B" w14:textId="77777777" w:rsidR="00B44BDA" w:rsidRPr="00315936" w:rsidRDefault="00B44BDA">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3823299E" w14:textId="77777777" w:rsidR="00B44BDA" w:rsidRPr="00315936" w:rsidRDefault="00B44BDA">
            <w:pPr>
              <w:pStyle w:val="Tabletext"/>
            </w:pPr>
            <w:r w:rsidRPr="00315936">
              <w:t>Greater than or equal to 65 per cent</w:t>
            </w:r>
          </w:p>
        </w:tc>
      </w:tr>
      <w:tr w:rsidR="00B44BDA" w:rsidRPr="00315936" w14:paraId="21ACA60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1C9C2E8" w14:textId="77777777" w:rsidR="00B44BDA" w:rsidRPr="00315936" w:rsidRDefault="00B44BDA">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3446F834" w14:textId="77777777" w:rsidR="00B44BDA" w:rsidRPr="00315936" w:rsidRDefault="00B44BDA">
            <w:pPr>
              <w:pStyle w:val="Tabletext"/>
            </w:pPr>
            <w:r w:rsidRPr="00315936">
              <w:t>Less than 65 per cent</w:t>
            </w:r>
          </w:p>
        </w:tc>
      </w:tr>
      <w:tr w:rsidR="00B44BDA" w:rsidRPr="00315936" w14:paraId="1B3E125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76A41CB" w14:textId="77777777" w:rsidR="00B44BDA" w:rsidRPr="00315936" w:rsidRDefault="00B44BDA">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426AEE20" w14:textId="41E37F52" w:rsidR="00B44BDA" w:rsidRPr="00315936" w:rsidRDefault="00944AE7">
            <w:pPr>
              <w:pStyle w:val="Tabletext"/>
              <w:rPr>
                <w:lang w:eastAsia="en-AU"/>
              </w:rPr>
            </w:pPr>
            <w:proofErr w:type="gramStart"/>
            <w:r>
              <w:rPr>
                <w:lang w:val="en-US" w:eastAsia="en-AU"/>
              </w:rPr>
              <w:t>For the purpose of</w:t>
            </w:r>
            <w:proofErr w:type="gramEnd"/>
            <w:r>
              <w:rPr>
                <w:lang w:val="en-US" w:eastAsia="en-AU"/>
              </w:rPr>
              <w:t xml:space="preserve"> the performance risk assessment, i</w:t>
            </w:r>
            <w:r w:rsidR="00B44BDA" w:rsidRPr="00315936">
              <w:rPr>
                <w:lang w:val="en-US" w:eastAsia="en-AU"/>
              </w:rPr>
              <w:t xml:space="preserve">mprovement is calculated based on same </w:t>
            </w:r>
            <w:r w:rsidR="00BB4E8A">
              <w:rPr>
                <w:lang w:val="en-US" w:eastAsia="en-AU"/>
              </w:rPr>
              <w:t>period</w:t>
            </w:r>
            <w:r w:rsidR="00B44BDA" w:rsidRPr="00315936">
              <w:rPr>
                <w:lang w:val="en-US" w:eastAsia="en-AU"/>
              </w:rPr>
              <w:t xml:space="preserve"> last </w:t>
            </w:r>
            <w:proofErr w:type="gramStart"/>
            <w:r w:rsidR="00B44BDA" w:rsidRPr="00315936">
              <w:rPr>
                <w:lang w:val="en-US" w:eastAsia="en-AU"/>
              </w:rPr>
              <w:t>year</w:t>
            </w:r>
            <w:proofErr w:type="gramEnd"/>
            <w:r w:rsidR="00B44BDA" w:rsidRPr="00315936">
              <w:rPr>
                <w:lang w:val="en-US" w:eastAsia="en-AU"/>
              </w:rPr>
              <w:t xml:space="preserve"> performance.</w:t>
            </w:r>
            <w:r w:rsidR="00B44BDA" w:rsidRPr="00315936">
              <w:rPr>
                <w:rFonts w:ascii="Cambria" w:hAnsi="Cambria" w:cs="Cambria"/>
                <w:lang w:eastAsia="en-AU"/>
              </w:rPr>
              <w:t> </w:t>
            </w:r>
          </w:p>
        </w:tc>
      </w:tr>
      <w:tr w:rsidR="00B44BDA" w:rsidRPr="00315936" w14:paraId="04CEF8D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751C5AE" w14:textId="77777777" w:rsidR="00B44BDA" w:rsidRPr="00315936" w:rsidRDefault="00B44BDA">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571981A5" w14:textId="72BEC70D" w:rsidR="00B44BDA" w:rsidRPr="00315936" w:rsidRDefault="00B44BDA">
            <w:pPr>
              <w:pStyle w:val="Tabletext"/>
              <w:rPr>
                <w:lang w:val="en-US" w:eastAsia="en-AU"/>
              </w:rPr>
            </w:pPr>
            <w:r w:rsidRPr="00315936">
              <w:rPr>
                <w:lang w:val="en-US" w:eastAsia="en-AU"/>
              </w:rPr>
              <w:t>Performance is reported monthly, quarterly and annually.</w:t>
            </w:r>
          </w:p>
          <w:p w14:paraId="088F8431" w14:textId="77777777" w:rsidR="00B44BDA" w:rsidRPr="00315936" w:rsidRDefault="00B44BDA">
            <w:pPr>
              <w:pStyle w:val="Tabletext"/>
              <w:rPr>
                <w:lang w:eastAsia="en-AU"/>
              </w:rPr>
            </w:pPr>
            <w:r w:rsidRPr="00315936">
              <w:rPr>
                <w:szCs w:val="18"/>
                <w:lang w:eastAsia="en-AU"/>
              </w:rPr>
              <w:t xml:space="preserve">Data are sourced from </w:t>
            </w:r>
            <w:r w:rsidRPr="00315936">
              <w:t xml:space="preserve">the </w:t>
            </w:r>
            <w:r>
              <w:t>Victorian Emergency Minimum Dataset (VEMD)</w:t>
            </w:r>
            <w:r w:rsidRPr="00315936">
              <w:t>.</w:t>
            </w:r>
          </w:p>
        </w:tc>
      </w:tr>
    </w:tbl>
    <w:p w14:paraId="31F9D47B" w14:textId="77777777" w:rsidR="00B44BDA" w:rsidRPr="00236F6E" w:rsidRDefault="00B44BDA" w:rsidP="00E36E53">
      <w:pPr>
        <w:pStyle w:val="Body"/>
      </w:pPr>
    </w:p>
    <w:p w14:paraId="1F22B451" w14:textId="1FC589B2" w:rsidR="002F5726" w:rsidRDefault="002F5726" w:rsidP="008E7F78">
      <w:pPr>
        <w:pStyle w:val="Heading4"/>
        <w:rPr>
          <w:rStyle w:val="eop"/>
        </w:rPr>
      </w:pPr>
      <w:r w:rsidRPr="00BC1AE5">
        <w:t>Percentage of departures from emergency departments to a mental health bed within 8 hours</w:t>
      </w:r>
      <w:r w:rsidRPr="686ABE5A">
        <w:t> </w:t>
      </w:r>
    </w:p>
    <w:tbl>
      <w:tblPr>
        <w:tblStyle w:val="TableGrid"/>
        <w:tblW w:w="10343" w:type="dxa"/>
        <w:tblLook w:val="04A0" w:firstRow="1" w:lastRow="0" w:firstColumn="1" w:lastColumn="0" w:noHBand="0" w:noVBand="1"/>
      </w:tblPr>
      <w:tblGrid>
        <w:gridCol w:w="1837"/>
        <w:gridCol w:w="8506"/>
      </w:tblGrid>
      <w:tr w:rsidR="004D3F3E" w14:paraId="14488D7C"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9F62512" w14:textId="77777777" w:rsidR="002F5726" w:rsidRDefault="002F5726">
            <w:pPr>
              <w:pStyle w:val="Tablecolhead"/>
              <w:keepNext/>
              <w:rPr>
                <w:b w:val="0"/>
                <w:lang w:eastAsia="en-AU"/>
              </w:rPr>
            </w:pPr>
            <w:r w:rsidRPr="686ABE5A">
              <w:rPr>
                <w:b w:val="0"/>
                <w:lang w:eastAsia="en-AU"/>
              </w:rPr>
              <w:t>Measure</w:t>
            </w:r>
          </w:p>
        </w:tc>
        <w:tc>
          <w:tcPr>
            <w:tcW w:w="8506" w:type="dxa"/>
            <w:tcBorders>
              <w:left w:val="single" w:sz="4" w:space="0" w:color="FFFFFF" w:themeColor="background1"/>
            </w:tcBorders>
          </w:tcPr>
          <w:p w14:paraId="32F8F7D6" w14:textId="77777777" w:rsidR="002F5726" w:rsidRDefault="002F5726">
            <w:pPr>
              <w:pStyle w:val="Tabletext"/>
              <w:keepNext/>
              <w:rPr>
                <w:lang w:eastAsia="en-AU"/>
              </w:rPr>
            </w:pPr>
            <w:r w:rsidRPr="686ABE5A">
              <w:rPr>
                <w:rFonts w:cs="Arial"/>
                <w:color w:val="000000" w:themeColor="text1"/>
              </w:rPr>
              <w:t>Percentage of departures from emergency departments to a mental health bed within 8 hours</w:t>
            </w:r>
            <w:r w:rsidRPr="686ABE5A">
              <w:rPr>
                <w:rStyle w:val="eop"/>
                <w:rFonts w:eastAsia="MS Gothic" w:cs="Arial"/>
                <w:color w:val="000000" w:themeColor="text1"/>
              </w:rPr>
              <w:t> </w:t>
            </w:r>
          </w:p>
        </w:tc>
      </w:tr>
      <w:tr w:rsidR="002F5726" w14:paraId="53506CB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E687F20" w14:textId="77777777" w:rsidR="002F5726" w:rsidRDefault="002F5726">
            <w:pPr>
              <w:pStyle w:val="Tablecolhead"/>
              <w:keepNext/>
              <w:rPr>
                <w:b w:val="0"/>
                <w:lang w:eastAsia="en-AU"/>
              </w:rPr>
            </w:pPr>
            <w:r w:rsidRPr="686ABE5A">
              <w:rPr>
                <w:b w:val="0"/>
                <w:lang w:eastAsia="en-AU"/>
              </w:rPr>
              <w:t>Description </w:t>
            </w:r>
          </w:p>
        </w:tc>
        <w:tc>
          <w:tcPr>
            <w:tcW w:w="8506" w:type="dxa"/>
            <w:tcBorders>
              <w:left w:val="single" w:sz="4" w:space="0" w:color="FFFFFF" w:themeColor="background1"/>
            </w:tcBorders>
          </w:tcPr>
          <w:p w14:paraId="269CB167" w14:textId="31668782" w:rsidR="00C534AC" w:rsidRDefault="00C534AC">
            <w:pPr>
              <w:pStyle w:val="Tabletext"/>
              <w:keepNext/>
              <w:rPr>
                <w:rFonts w:cs="Arial"/>
                <w:szCs w:val="21"/>
                <w:lang w:eastAsia="en-AU"/>
              </w:rPr>
            </w:pPr>
            <w:r>
              <w:rPr>
                <w:lang w:eastAsia="en-AU"/>
              </w:rPr>
              <w:t>P</w:t>
            </w:r>
            <w:r w:rsidRPr="686ABE5A">
              <w:rPr>
                <w:lang w:eastAsia="en-AU"/>
              </w:rPr>
              <w:t xml:space="preserve">ercentage of emergency department </w:t>
            </w:r>
            <w:r w:rsidRPr="007715B2">
              <w:rPr>
                <w:rFonts w:cs="Arial"/>
                <w:szCs w:val="21"/>
                <w:lang w:eastAsia="en-AU"/>
              </w:rPr>
              <w:t>presentations departing to a mental health bed within 8 hours of arrival to the emergency department.</w:t>
            </w:r>
          </w:p>
          <w:p w14:paraId="49E1C77D" w14:textId="4779CC3A" w:rsidR="002F5726" w:rsidRDefault="002F5726">
            <w:pPr>
              <w:pStyle w:val="Tabletext"/>
              <w:keepNext/>
              <w:rPr>
                <w:rFonts w:ascii="Segoe UI" w:hAnsi="Segoe UI"/>
                <w:sz w:val="18"/>
                <w:szCs w:val="18"/>
                <w:lang w:eastAsia="en-AU"/>
              </w:rPr>
            </w:pPr>
            <w:r w:rsidRPr="686ABE5A">
              <w:rPr>
                <w:lang w:val="en-US" w:eastAsia="en-AU"/>
              </w:rPr>
              <w:t>Mental health services provide a clear and consistent point of entry 24 hours a day, seven days a week, linking consumers and carers to appropriately qualified and experienced mental health professionals, or the right care and supports where a mental health service response is not required.</w:t>
            </w:r>
            <w:r w:rsidRPr="686ABE5A">
              <w:rPr>
                <w:rFonts w:ascii="Cambria" w:hAnsi="Cambria" w:cs="Cambria"/>
                <w:lang w:eastAsia="en-AU"/>
              </w:rPr>
              <w:t> </w:t>
            </w:r>
          </w:p>
          <w:p w14:paraId="75AEF095" w14:textId="77777777" w:rsidR="002F5726" w:rsidRDefault="002F5726">
            <w:pPr>
              <w:pStyle w:val="Tabletext"/>
              <w:keepNext/>
              <w:rPr>
                <w:lang w:eastAsia="en-AU"/>
              </w:rPr>
            </w:pPr>
            <w:r w:rsidRPr="686ABE5A">
              <w:rPr>
                <w:lang w:val="en-US" w:eastAsia="en-AU"/>
              </w:rPr>
              <w:t>Monitoring access and response times is an important measure for how clinical models are being developed and implemented in the mental health triage system, to improve triage outcomes and identify areas for service and/or system improvement.</w:t>
            </w:r>
            <w:r w:rsidRPr="686ABE5A">
              <w:rPr>
                <w:rFonts w:ascii="Cambria" w:hAnsi="Cambria" w:cs="Cambria"/>
                <w:lang w:eastAsia="en-AU"/>
              </w:rPr>
              <w:t> </w:t>
            </w:r>
          </w:p>
        </w:tc>
      </w:tr>
      <w:tr w:rsidR="002F5726" w14:paraId="0F8589DD"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F680B4A" w14:textId="77777777" w:rsidR="002F5726" w:rsidRDefault="002F5726">
            <w:pPr>
              <w:pStyle w:val="Tablecolhead"/>
              <w:rPr>
                <w:b w:val="0"/>
                <w:lang w:eastAsia="en-AU"/>
              </w:rPr>
            </w:pPr>
            <w:r w:rsidRPr="686ABE5A">
              <w:rPr>
                <w:b w:val="0"/>
                <w:lang w:eastAsia="en-AU"/>
              </w:rPr>
              <w:t>Calculating performance</w:t>
            </w:r>
          </w:p>
        </w:tc>
        <w:tc>
          <w:tcPr>
            <w:tcW w:w="8506" w:type="dxa"/>
            <w:tcBorders>
              <w:left w:val="single" w:sz="4" w:space="0" w:color="FFFFFF" w:themeColor="background1"/>
            </w:tcBorders>
          </w:tcPr>
          <w:p w14:paraId="688E1AC8" w14:textId="48A71AAB" w:rsidR="00C534AC" w:rsidRDefault="00C534AC" w:rsidP="00C534AC">
            <w:pPr>
              <w:pStyle w:val="Tabletext"/>
            </w:pPr>
            <w:r>
              <w:t>The ED Departure Date (not Arrival Date) is used to identify presentations in scope for the reporting period.</w:t>
            </w:r>
          </w:p>
          <w:p w14:paraId="2EA64CAA" w14:textId="00B96CC0" w:rsidR="00C534AC" w:rsidRDefault="00C534AC" w:rsidP="00C534AC">
            <w:pPr>
              <w:pStyle w:val="Tabletext"/>
            </w:pPr>
            <w:r>
              <w:t>Length of stay in ED is calculated as the departure date and time minus the arrival date and time (converted to hours).</w:t>
            </w:r>
          </w:p>
          <w:p w14:paraId="4A005CAF" w14:textId="1723BF65" w:rsidR="00CA7B51" w:rsidRDefault="00CA7B51" w:rsidP="00C534AC">
            <w:pPr>
              <w:pStyle w:val="Tabletext"/>
            </w:pPr>
            <w:r>
              <w:t xml:space="preserve">The scope of this measure includes ED presentations that departed ED </w:t>
            </w:r>
            <w:r w:rsidR="006E32D4">
              <w:t xml:space="preserve">during the reference period, up to 11:59 PM on the reference period end date. </w:t>
            </w:r>
          </w:p>
          <w:p w14:paraId="2831E37A" w14:textId="18F1504F" w:rsidR="00934FB4" w:rsidRPr="00315936" w:rsidRDefault="00934FB4" w:rsidP="00C534AC">
            <w:pPr>
              <w:pStyle w:val="Tabletext"/>
            </w:pPr>
            <w:r>
              <w:t xml:space="preserve">Departures to a </w:t>
            </w:r>
            <w:r w:rsidR="00D539CC">
              <w:t>mental health bed are identified as those with one of the following:</w:t>
            </w:r>
          </w:p>
          <w:p w14:paraId="354D6519" w14:textId="77777777" w:rsidR="00C534AC" w:rsidRPr="00315936" w:rsidRDefault="00C534AC" w:rsidP="00C534AC">
            <w:pPr>
              <w:pStyle w:val="Tablebullet1"/>
            </w:pPr>
            <w:r w:rsidRPr="00315936">
              <w:t>A ‘departure status’ code of: </w:t>
            </w:r>
          </w:p>
          <w:p w14:paraId="752C3F47" w14:textId="77777777" w:rsidR="00C534AC" w:rsidRPr="00315936" w:rsidRDefault="00C534AC" w:rsidP="00C534AC">
            <w:pPr>
              <w:pStyle w:val="Tablebullet2"/>
            </w:pPr>
            <w:r w:rsidRPr="00315936">
              <w:t>17: Mental health bed at another hospital campus </w:t>
            </w:r>
          </w:p>
          <w:p w14:paraId="3D8486C5" w14:textId="77777777" w:rsidR="00C534AC" w:rsidRPr="00315936" w:rsidRDefault="00C534AC" w:rsidP="00C534AC">
            <w:pPr>
              <w:pStyle w:val="Tablebullet2"/>
            </w:pPr>
            <w:r w:rsidRPr="00315936">
              <w:t>23: Mental health residential facility </w:t>
            </w:r>
          </w:p>
          <w:p w14:paraId="203316B3" w14:textId="77777777" w:rsidR="00C534AC" w:rsidRPr="00315936" w:rsidRDefault="00C534AC" w:rsidP="00C534AC">
            <w:pPr>
              <w:pStyle w:val="Tablebullet2"/>
            </w:pPr>
            <w:r w:rsidRPr="00315936">
              <w:t>25: Mental health observation / assessment unit </w:t>
            </w:r>
          </w:p>
          <w:p w14:paraId="1A8B0487" w14:textId="75CC24B2" w:rsidR="00BE3EAC" w:rsidRPr="00315936" w:rsidRDefault="00C534AC" w:rsidP="0030119F">
            <w:pPr>
              <w:pStyle w:val="Tablebullet2"/>
            </w:pPr>
            <w:r w:rsidRPr="00315936">
              <w:t>26: Other mental health bed – this campus</w:t>
            </w:r>
            <w:r w:rsidR="00BE3EAC">
              <w:t>.</w:t>
            </w:r>
          </w:p>
          <w:p w14:paraId="2359343D" w14:textId="2F74AB18" w:rsidR="002F5726" w:rsidRPr="00EA430A" w:rsidRDefault="70639E67" w:rsidP="554FA974">
            <w:pPr>
              <w:pStyle w:val="Tabletext"/>
              <w:ind w:right="113"/>
              <w:rPr>
                <w:rFonts w:eastAsia="VIC" w:cs="Arial"/>
                <w:szCs w:val="21"/>
              </w:rPr>
            </w:pPr>
            <w:r w:rsidRPr="00EA430A">
              <w:rPr>
                <w:rFonts w:eastAsia="VIC" w:cs="Arial"/>
                <w:szCs w:val="21"/>
              </w:rPr>
              <w:t>Exclusions:</w:t>
            </w:r>
          </w:p>
          <w:p w14:paraId="23854307" w14:textId="32B3D671" w:rsidR="002F5726" w:rsidRPr="00EA430A" w:rsidRDefault="70639E67" w:rsidP="00EA430A">
            <w:pPr>
              <w:pStyle w:val="Tablebullet1"/>
              <w:rPr>
                <w:rFonts w:eastAsia="VIC" w:cs="Arial"/>
                <w:color w:val="000000" w:themeColor="text1"/>
                <w:szCs w:val="21"/>
              </w:rPr>
            </w:pPr>
            <w:r w:rsidRPr="003D3F86">
              <w:rPr>
                <w:rFonts w:eastAsia="VIC"/>
              </w:rPr>
              <w:t xml:space="preserve">Triage Category '6' Dead on Arrival. </w:t>
            </w:r>
          </w:p>
          <w:p w14:paraId="71DEE8BB" w14:textId="23BF81C5" w:rsidR="002B7B00" w:rsidRPr="00535D2B" w:rsidRDefault="00780C3F">
            <w:pPr>
              <w:pStyle w:val="Tablebullet1"/>
              <w:rPr>
                <w:rFonts w:ascii="VIC" w:eastAsia="VIC" w:hAnsi="VIC" w:cs="VIC"/>
                <w:sz w:val="20"/>
              </w:rPr>
            </w:pPr>
            <w:r>
              <w:rPr>
                <w:rFonts w:eastAsia="VIC"/>
              </w:rPr>
              <w:t>VVED presentations</w:t>
            </w:r>
          </w:p>
          <w:p w14:paraId="38BD652F" w14:textId="7EF58463" w:rsidR="0005326D" w:rsidRPr="0005326D" w:rsidRDefault="00BB0A1A">
            <w:pPr>
              <w:pStyle w:val="Tablebullet1"/>
              <w:rPr>
                <w:rFonts w:ascii="VIC" w:eastAsia="VIC" w:hAnsi="VIC" w:cs="VIC"/>
                <w:sz w:val="20"/>
              </w:rPr>
            </w:pPr>
            <w:r>
              <w:rPr>
                <w:rFonts w:eastAsia="VIC"/>
              </w:rPr>
              <w:t>Other virtual care presentations.</w:t>
            </w:r>
            <w:r w:rsidR="009934D6">
              <w:rPr>
                <w:rFonts w:eastAsia="VIC"/>
              </w:rPr>
              <w:t xml:space="preserve"> </w:t>
            </w:r>
          </w:p>
          <w:p w14:paraId="7FDA07B7" w14:textId="1488822F" w:rsidR="002F5726" w:rsidRPr="00EA40F1" w:rsidRDefault="00D932F4">
            <w:pPr>
              <w:pStyle w:val="Tablebullet1"/>
              <w:rPr>
                <w:rFonts w:ascii="VIC" w:eastAsia="VIC" w:hAnsi="VIC" w:cs="VIC"/>
                <w:sz w:val="20"/>
              </w:rPr>
            </w:pPr>
            <w:r>
              <w:rPr>
                <w:rFonts w:eastAsia="VIC"/>
              </w:rPr>
              <w:t>P</w:t>
            </w:r>
            <w:r w:rsidR="70639E67" w:rsidRPr="00CD6D6D">
              <w:rPr>
                <w:rFonts w:eastAsia="VIC"/>
              </w:rPr>
              <w:t xml:space="preserve">resentations to </w:t>
            </w:r>
            <w:r w:rsidR="00456089">
              <w:rPr>
                <w:rFonts w:eastAsia="VIC"/>
              </w:rPr>
              <w:t xml:space="preserve">Victorian Heart Hospital, </w:t>
            </w:r>
            <w:r w:rsidR="70639E67" w:rsidRPr="00CD6D6D">
              <w:rPr>
                <w:rFonts w:eastAsia="VIC"/>
              </w:rPr>
              <w:t>Mercy Women's, Royal Women's and Eye and Ear emergency</w:t>
            </w:r>
          </w:p>
          <w:p w14:paraId="5D4A8963" w14:textId="37FDB5F1" w:rsidR="002F5726" w:rsidRDefault="00EA40F1" w:rsidP="00EA40F1">
            <w:pPr>
              <w:pStyle w:val="Tabletext"/>
              <w:rPr>
                <w:rFonts w:ascii="VIC" w:eastAsia="VIC" w:hAnsi="VIC" w:cs="VIC"/>
                <w:sz w:val="20"/>
              </w:rPr>
            </w:pPr>
            <w:r w:rsidRPr="00315936">
              <w:t xml:space="preserve">This measure is </w:t>
            </w:r>
            <w:r w:rsidR="00B0172B">
              <w:t>reported</w:t>
            </w:r>
            <w:r w:rsidR="00B0172B" w:rsidRPr="00315936">
              <w:t xml:space="preserve"> </w:t>
            </w:r>
            <w:r w:rsidRPr="00315936">
              <w:t>at the campus level</w:t>
            </w:r>
            <w:r w:rsidR="0078113B">
              <w:t xml:space="preserve"> with results rounded to zero decimal places</w:t>
            </w:r>
            <w:r w:rsidR="00A7107B">
              <w:t>.</w:t>
            </w:r>
            <w:r w:rsidRPr="00315936">
              <w:t xml:space="preserve"> </w:t>
            </w:r>
          </w:p>
        </w:tc>
      </w:tr>
      <w:tr w:rsidR="002F5726" w14:paraId="73977C9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106902C" w14:textId="77777777" w:rsidR="002F5726" w:rsidRDefault="002F5726">
            <w:pPr>
              <w:pStyle w:val="Tablecolhead"/>
              <w:rPr>
                <w:b w:val="0"/>
                <w:lang w:eastAsia="en-AU"/>
              </w:rPr>
            </w:pPr>
            <w:r w:rsidRPr="686ABE5A">
              <w:rPr>
                <w:b w:val="0"/>
                <w:lang w:eastAsia="en-AU"/>
              </w:rPr>
              <w:t>Numerator</w:t>
            </w:r>
          </w:p>
        </w:tc>
        <w:tc>
          <w:tcPr>
            <w:tcW w:w="8506" w:type="dxa"/>
            <w:tcBorders>
              <w:left w:val="single" w:sz="4" w:space="0" w:color="FFFFFF" w:themeColor="background1"/>
            </w:tcBorders>
          </w:tcPr>
          <w:p w14:paraId="43D593E4" w14:textId="77777777" w:rsidR="002F5726" w:rsidRDefault="002F5726">
            <w:pPr>
              <w:pStyle w:val="Tabletext"/>
              <w:rPr>
                <w:lang w:eastAsia="en-AU"/>
              </w:rPr>
            </w:pPr>
            <w:r w:rsidRPr="686ABE5A">
              <w:rPr>
                <w:lang w:val="en-US" w:eastAsia="en-AU"/>
              </w:rPr>
              <w:t xml:space="preserve">Number of emergency department presentations transferred to a mental health bed within 8 hours of arrival.  </w:t>
            </w:r>
          </w:p>
        </w:tc>
      </w:tr>
      <w:tr w:rsidR="002F5726" w14:paraId="0F8FBBC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593F391" w14:textId="77777777" w:rsidR="002F5726" w:rsidRDefault="002F5726">
            <w:pPr>
              <w:pStyle w:val="Tablecolhead"/>
              <w:rPr>
                <w:b w:val="0"/>
                <w:lang w:eastAsia="en-AU"/>
              </w:rPr>
            </w:pPr>
            <w:r w:rsidRPr="686ABE5A">
              <w:rPr>
                <w:b w:val="0"/>
                <w:lang w:eastAsia="en-AU"/>
              </w:rPr>
              <w:t>Denominator</w:t>
            </w:r>
          </w:p>
        </w:tc>
        <w:tc>
          <w:tcPr>
            <w:tcW w:w="8506" w:type="dxa"/>
            <w:tcBorders>
              <w:left w:val="single" w:sz="4" w:space="0" w:color="FFFFFF" w:themeColor="background1"/>
            </w:tcBorders>
          </w:tcPr>
          <w:p w14:paraId="67F3D06C" w14:textId="77777777" w:rsidR="002F5726" w:rsidRDefault="002F5726">
            <w:pPr>
              <w:pStyle w:val="Tabletext"/>
              <w:rPr>
                <w:lang w:eastAsia="en-AU"/>
              </w:rPr>
            </w:pPr>
            <w:r w:rsidRPr="686ABE5A">
              <w:rPr>
                <w:lang w:val="en-US" w:eastAsia="en-AU"/>
              </w:rPr>
              <w:t xml:space="preserve">Number of emergency department presentations that were transferred to a mental health bed. </w:t>
            </w:r>
          </w:p>
        </w:tc>
      </w:tr>
      <w:tr w:rsidR="002F5726" w14:paraId="59401ED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82323B3" w14:textId="77777777" w:rsidR="002F5726" w:rsidRDefault="002F5726">
            <w:pPr>
              <w:pStyle w:val="Tablecolhead"/>
              <w:rPr>
                <w:b w:val="0"/>
                <w:lang w:eastAsia="en-AU"/>
              </w:rPr>
            </w:pPr>
            <w:r w:rsidRPr="686ABE5A">
              <w:rPr>
                <w:b w:val="0"/>
                <w:lang w:eastAsia="en-AU"/>
              </w:rPr>
              <w:t>Statewide target</w:t>
            </w:r>
          </w:p>
        </w:tc>
        <w:tc>
          <w:tcPr>
            <w:tcW w:w="8506" w:type="dxa"/>
            <w:tcBorders>
              <w:left w:val="single" w:sz="4" w:space="0" w:color="FFFFFF" w:themeColor="background1"/>
            </w:tcBorders>
          </w:tcPr>
          <w:p w14:paraId="171D472C" w14:textId="77777777" w:rsidR="002F5726" w:rsidRDefault="002F5726">
            <w:pPr>
              <w:pStyle w:val="Tabletext"/>
              <w:rPr>
                <w:lang w:eastAsia="en-AU"/>
              </w:rPr>
            </w:pPr>
            <w:r w:rsidRPr="686ABE5A">
              <w:rPr>
                <w:lang w:val="en-US" w:eastAsia="en-AU"/>
              </w:rPr>
              <w:t>80 per cent</w:t>
            </w:r>
            <w:r w:rsidRPr="686ABE5A">
              <w:rPr>
                <w:rFonts w:ascii="Cambria" w:hAnsi="Cambria" w:cs="Cambria"/>
                <w:lang w:eastAsia="en-AU"/>
              </w:rPr>
              <w:t> </w:t>
            </w:r>
          </w:p>
        </w:tc>
      </w:tr>
      <w:tr w:rsidR="002F5726" w14:paraId="229EF29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BEC700F" w14:textId="77777777" w:rsidR="002F5726" w:rsidRDefault="002F5726">
            <w:pPr>
              <w:pStyle w:val="Tablecolhead"/>
              <w:rPr>
                <w:b w:val="0"/>
                <w:lang w:eastAsia="en-AU"/>
              </w:rPr>
            </w:pPr>
            <w:r w:rsidRPr="686ABE5A">
              <w:rPr>
                <w:b w:val="0"/>
                <w:lang w:eastAsia="en-AU"/>
              </w:rPr>
              <w:t>Achieved</w:t>
            </w:r>
          </w:p>
        </w:tc>
        <w:tc>
          <w:tcPr>
            <w:tcW w:w="8506" w:type="dxa"/>
            <w:tcBorders>
              <w:left w:val="single" w:sz="4" w:space="0" w:color="FFFFFF" w:themeColor="background1"/>
            </w:tcBorders>
          </w:tcPr>
          <w:p w14:paraId="0893A148" w14:textId="77777777" w:rsidR="002F5726" w:rsidRDefault="002F5726">
            <w:pPr>
              <w:pStyle w:val="Tabletext"/>
              <w:rPr>
                <w:lang w:eastAsia="en-AU"/>
              </w:rPr>
            </w:pPr>
            <w:r w:rsidRPr="686ABE5A">
              <w:rPr>
                <w:lang w:val="en-US" w:eastAsia="en-AU"/>
              </w:rPr>
              <w:t>Greater than or equal to 80 per cent</w:t>
            </w:r>
            <w:r w:rsidRPr="686ABE5A">
              <w:rPr>
                <w:rFonts w:ascii="Cambria" w:hAnsi="Cambria" w:cs="Cambria"/>
                <w:lang w:eastAsia="en-AU"/>
              </w:rPr>
              <w:t> </w:t>
            </w:r>
          </w:p>
        </w:tc>
      </w:tr>
      <w:tr w:rsidR="002F5726" w14:paraId="01B72B1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6CE585C" w14:textId="77777777" w:rsidR="002F5726" w:rsidRDefault="002F5726">
            <w:pPr>
              <w:pStyle w:val="Tablecolhead"/>
              <w:rPr>
                <w:b w:val="0"/>
                <w:lang w:eastAsia="en-AU"/>
              </w:rPr>
            </w:pPr>
            <w:r w:rsidRPr="686ABE5A">
              <w:rPr>
                <w:b w:val="0"/>
                <w:lang w:eastAsia="en-AU"/>
              </w:rPr>
              <w:t>Not achieved</w:t>
            </w:r>
          </w:p>
        </w:tc>
        <w:tc>
          <w:tcPr>
            <w:tcW w:w="8506" w:type="dxa"/>
            <w:tcBorders>
              <w:left w:val="single" w:sz="4" w:space="0" w:color="FFFFFF" w:themeColor="background1"/>
            </w:tcBorders>
          </w:tcPr>
          <w:p w14:paraId="7520ADC4" w14:textId="77777777" w:rsidR="002F5726" w:rsidRDefault="002F5726">
            <w:pPr>
              <w:pStyle w:val="Tabletext"/>
              <w:rPr>
                <w:lang w:eastAsia="en-AU"/>
              </w:rPr>
            </w:pPr>
            <w:r w:rsidRPr="686ABE5A">
              <w:rPr>
                <w:lang w:val="en-US" w:eastAsia="en-AU"/>
              </w:rPr>
              <w:t>Less than 80 per cent</w:t>
            </w:r>
            <w:r w:rsidRPr="686ABE5A">
              <w:rPr>
                <w:rFonts w:ascii="Cambria" w:hAnsi="Cambria" w:cs="Cambria"/>
                <w:lang w:eastAsia="en-AU"/>
              </w:rPr>
              <w:t> </w:t>
            </w:r>
          </w:p>
        </w:tc>
      </w:tr>
      <w:tr w:rsidR="002F5726" w14:paraId="03C1528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AFC168C" w14:textId="77777777" w:rsidR="002F5726" w:rsidRDefault="002F5726">
            <w:pPr>
              <w:pStyle w:val="Tablecolhead"/>
              <w:rPr>
                <w:b w:val="0"/>
                <w:lang w:eastAsia="en-AU"/>
              </w:rPr>
            </w:pPr>
            <w:r w:rsidRPr="686ABE5A">
              <w:rPr>
                <w:b w:val="0"/>
                <w:lang w:eastAsia="en-AU"/>
              </w:rPr>
              <w:t>Improvement</w:t>
            </w:r>
          </w:p>
        </w:tc>
        <w:tc>
          <w:tcPr>
            <w:tcW w:w="8506" w:type="dxa"/>
            <w:tcBorders>
              <w:left w:val="single" w:sz="4" w:space="0" w:color="FFFFFF" w:themeColor="background1"/>
            </w:tcBorders>
          </w:tcPr>
          <w:p w14:paraId="63F9DDDD" w14:textId="64F56B6D" w:rsidR="002F5726" w:rsidRDefault="003915D7">
            <w:pPr>
              <w:pStyle w:val="Tabletext"/>
              <w:rPr>
                <w:lang w:eastAsia="en-AU"/>
              </w:rPr>
            </w:pPr>
            <w:proofErr w:type="gramStart"/>
            <w:r>
              <w:rPr>
                <w:lang w:val="en-US" w:eastAsia="en-AU"/>
              </w:rPr>
              <w:t>For the purpose of</w:t>
            </w:r>
            <w:proofErr w:type="gramEnd"/>
            <w:r>
              <w:rPr>
                <w:lang w:val="en-US" w:eastAsia="en-AU"/>
              </w:rPr>
              <w:t xml:space="preserve"> the performance risk assessment, i</w:t>
            </w:r>
            <w:r w:rsidR="002F5726" w:rsidRPr="686ABE5A">
              <w:rPr>
                <w:lang w:val="en-US" w:eastAsia="en-AU"/>
              </w:rPr>
              <w:t xml:space="preserve">mprovement is calculated based on same </w:t>
            </w:r>
            <w:r w:rsidR="006738BA">
              <w:rPr>
                <w:lang w:val="en-US" w:eastAsia="en-AU"/>
              </w:rPr>
              <w:t>period</w:t>
            </w:r>
            <w:r w:rsidR="002F5726" w:rsidRPr="686ABE5A">
              <w:rPr>
                <w:lang w:val="en-US" w:eastAsia="en-AU"/>
              </w:rPr>
              <w:t xml:space="preserve"> last </w:t>
            </w:r>
            <w:proofErr w:type="gramStart"/>
            <w:r w:rsidR="002F5726" w:rsidRPr="686ABE5A">
              <w:rPr>
                <w:lang w:val="en-US" w:eastAsia="en-AU"/>
              </w:rPr>
              <w:t>year</w:t>
            </w:r>
            <w:proofErr w:type="gramEnd"/>
            <w:r w:rsidR="002F5726" w:rsidRPr="686ABE5A">
              <w:rPr>
                <w:lang w:val="en-US" w:eastAsia="en-AU"/>
              </w:rPr>
              <w:t xml:space="preserve"> performance.</w:t>
            </w:r>
            <w:r w:rsidR="002F5726" w:rsidRPr="686ABE5A">
              <w:rPr>
                <w:rFonts w:ascii="Cambria" w:hAnsi="Cambria" w:cs="Cambria"/>
                <w:lang w:eastAsia="en-AU"/>
              </w:rPr>
              <w:t> </w:t>
            </w:r>
          </w:p>
        </w:tc>
      </w:tr>
      <w:tr w:rsidR="002F5726" w14:paraId="2811876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A871C4B" w14:textId="77777777" w:rsidR="002F5726" w:rsidRDefault="002F5726">
            <w:pPr>
              <w:pStyle w:val="Tablecolhead"/>
              <w:rPr>
                <w:b w:val="0"/>
                <w:lang w:eastAsia="en-AU"/>
              </w:rPr>
            </w:pPr>
            <w:r w:rsidRPr="686ABE5A">
              <w:rPr>
                <w:b w:val="0"/>
                <w:lang w:eastAsia="en-AU"/>
              </w:rPr>
              <w:t>Frequency of reporting and data collection</w:t>
            </w:r>
          </w:p>
        </w:tc>
        <w:tc>
          <w:tcPr>
            <w:tcW w:w="8506" w:type="dxa"/>
            <w:tcBorders>
              <w:left w:val="single" w:sz="4" w:space="0" w:color="FFFFFF" w:themeColor="background1"/>
            </w:tcBorders>
          </w:tcPr>
          <w:p w14:paraId="1C5545A3" w14:textId="67022062" w:rsidR="002F5726" w:rsidRDefault="002F5726">
            <w:pPr>
              <w:pStyle w:val="Tabletext"/>
              <w:rPr>
                <w:lang w:val="en-US" w:eastAsia="en-AU"/>
              </w:rPr>
            </w:pPr>
            <w:r w:rsidRPr="55528ABA">
              <w:rPr>
                <w:lang w:val="en-US" w:eastAsia="en-AU"/>
              </w:rPr>
              <w:t xml:space="preserve">Performance is reported monthly, </w:t>
            </w:r>
            <w:r w:rsidR="27081196" w:rsidRPr="55528ABA">
              <w:rPr>
                <w:lang w:val="en-US" w:eastAsia="en-AU"/>
              </w:rPr>
              <w:t>quarterly,</w:t>
            </w:r>
            <w:r w:rsidRPr="55528ABA">
              <w:rPr>
                <w:lang w:val="en-US" w:eastAsia="en-AU"/>
              </w:rPr>
              <w:t xml:space="preserve"> and annually.</w:t>
            </w:r>
          </w:p>
          <w:p w14:paraId="0E5D3045" w14:textId="77777777" w:rsidR="002F5726" w:rsidRDefault="002F5726">
            <w:pPr>
              <w:pStyle w:val="Tabletext"/>
              <w:rPr>
                <w:lang w:eastAsia="en-AU"/>
              </w:rPr>
            </w:pPr>
            <w:r w:rsidRPr="686ABE5A">
              <w:rPr>
                <w:lang w:eastAsia="en-AU"/>
              </w:rPr>
              <w:t xml:space="preserve">Data are sourced from </w:t>
            </w:r>
            <w:r>
              <w:t>the Victorian Emergency Minimum Dataset (VEMD).</w:t>
            </w:r>
          </w:p>
        </w:tc>
      </w:tr>
    </w:tbl>
    <w:p w14:paraId="46DC2F78" w14:textId="4E21DCA0" w:rsidR="0082352B" w:rsidRPr="00315936" w:rsidRDefault="755E87E8" w:rsidP="008E7F78">
      <w:pPr>
        <w:pStyle w:val="Heading4"/>
      </w:pPr>
      <w:r w:rsidRPr="686ABE5A">
        <w:t>Number of admitted mental health occupied bed days</w:t>
      </w:r>
    </w:p>
    <w:tbl>
      <w:tblPr>
        <w:tblStyle w:val="TableGrid"/>
        <w:tblW w:w="10343" w:type="dxa"/>
        <w:tblLook w:val="04A0" w:firstRow="1" w:lastRow="0" w:firstColumn="1" w:lastColumn="0" w:noHBand="0" w:noVBand="1"/>
      </w:tblPr>
      <w:tblGrid>
        <w:gridCol w:w="1837"/>
        <w:gridCol w:w="8506"/>
      </w:tblGrid>
      <w:tr w:rsidR="007B4887" w:rsidRPr="00315936" w14:paraId="2B18BBB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211F945" w14:textId="3479D490" w:rsidR="00186950" w:rsidRPr="00315936" w:rsidRDefault="00C3016B" w:rsidP="001A453F">
            <w:pPr>
              <w:pStyle w:val="Tablecolhead"/>
              <w:keepNext/>
              <w:rPr>
                <w:b w:val="0"/>
                <w:lang w:eastAsia="en-AU"/>
              </w:rPr>
            </w:pPr>
            <w:r w:rsidRPr="00315936">
              <w:rPr>
                <w:b w:val="0"/>
                <w:lang w:eastAsia="en-AU"/>
              </w:rPr>
              <w:t>Measure</w:t>
            </w:r>
          </w:p>
        </w:tc>
        <w:tc>
          <w:tcPr>
            <w:tcW w:w="8506" w:type="dxa"/>
            <w:tcBorders>
              <w:left w:val="single" w:sz="4" w:space="0" w:color="FFFFFF" w:themeColor="background1"/>
            </w:tcBorders>
          </w:tcPr>
          <w:p w14:paraId="130676DF" w14:textId="18122A1E" w:rsidR="686ABE5A" w:rsidRDefault="686ABE5A" w:rsidP="002D13DE">
            <w:pPr>
              <w:pStyle w:val="Tabletext"/>
              <w:rPr>
                <w:rFonts w:eastAsia="Arial"/>
              </w:rPr>
            </w:pPr>
            <w:r w:rsidRPr="686ABE5A">
              <w:rPr>
                <w:rFonts w:eastAsia="Arial"/>
              </w:rPr>
              <w:t>Number of admitted mental health occupied bed days</w:t>
            </w:r>
          </w:p>
        </w:tc>
      </w:tr>
      <w:tr w:rsidR="00ED61B3" w:rsidRPr="00315936" w14:paraId="4F18DA8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EE654A3" w14:textId="77777777" w:rsidR="004D2D42" w:rsidRPr="00315936" w:rsidRDefault="004D2D42" w:rsidP="001A453F">
            <w:pPr>
              <w:pStyle w:val="Tablecolhead"/>
              <w:keepNext/>
              <w:rPr>
                <w:b w:val="0"/>
                <w:lang w:eastAsia="en-AU"/>
              </w:rPr>
            </w:pPr>
            <w:r w:rsidRPr="00315936">
              <w:rPr>
                <w:b w:val="0"/>
                <w:lang w:eastAsia="en-AU"/>
              </w:rPr>
              <w:t>Description </w:t>
            </w:r>
          </w:p>
        </w:tc>
        <w:tc>
          <w:tcPr>
            <w:tcW w:w="8506" w:type="dxa"/>
            <w:tcBorders>
              <w:left w:val="single" w:sz="4" w:space="0" w:color="FFFFFF" w:themeColor="background1"/>
            </w:tcBorders>
          </w:tcPr>
          <w:p w14:paraId="752F2E43" w14:textId="77777777" w:rsidR="00427776" w:rsidRPr="00315936" w:rsidRDefault="00427776" w:rsidP="00CD6D6D">
            <w:pPr>
              <w:pStyle w:val="Tabletext"/>
              <w:rPr>
                <w:rFonts w:eastAsia="Arial"/>
              </w:rPr>
            </w:pPr>
            <w:r w:rsidRPr="686ABE5A">
              <w:rPr>
                <w:rFonts w:eastAsia="Arial"/>
              </w:rPr>
              <w:t>This measure calculates the number of occupied bed days within mental health inpatient units and secure extended care units (SECU).</w:t>
            </w:r>
          </w:p>
          <w:p w14:paraId="1549E668" w14:textId="5DD9C007" w:rsidR="004D2D42" w:rsidRPr="003078AC" w:rsidRDefault="001B3C0E" w:rsidP="002D13DE">
            <w:pPr>
              <w:pStyle w:val="Tabletext"/>
              <w:rPr>
                <w:rFonts w:eastAsia="Arial"/>
              </w:rPr>
            </w:pPr>
            <w:r w:rsidRPr="002D13DE">
              <w:rPr>
                <w:rFonts w:eastAsia="Arial"/>
              </w:rPr>
              <w:t>Occu</w:t>
            </w:r>
            <w:r w:rsidR="00074B3B" w:rsidRPr="002D13DE">
              <w:rPr>
                <w:rFonts w:eastAsia="Arial"/>
              </w:rPr>
              <w:t xml:space="preserve">pied bed days are used by the department to </w:t>
            </w:r>
            <w:r w:rsidR="001468CC" w:rsidRPr="002D13DE">
              <w:rPr>
                <w:rFonts w:eastAsia="Arial"/>
              </w:rPr>
              <w:t xml:space="preserve">monitor current levels of </w:t>
            </w:r>
            <w:r w:rsidR="003A2324" w:rsidRPr="002D13DE">
              <w:rPr>
                <w:rFonts w:eastAsia="Arial"/>
              </w:rPr>
              <w:t>mental health activity and operational beds.</w:t>
            </w:r>
          </w:p>
        </w:tc>
      </w:tr>
      <w:tr w:rsidR="00ED61B3" w:rsidRPr="00315936" w14:paraId="5E58C8C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854AF6" w14:textId="77777777" w:rsidR="004D2D42" w:rsidRPr="00315936" w:rsidRDefault="004D2D42" w:rsidP="004D2D42">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34658BBE" w14:textId="050DD491" w:rsidR="00326601" w:rsidRDefault="00326601" w:rsidP="007E702A">
            <w:pPr>
              <w:pStyle w:val="Tabletext"/>
              <w:rPr>
                <w:rFonts w:eastAsia="Arial" w:cs="Arial"/>
              </w:rPr>
            </w:pPr>
            <w:r w:rsidRPr="007E702A">
              <w:rPr>
                <w:rFonts w:eastAsia="Arial"/>
              </w:rPr>
              <w:t xml:space="preserve">Occupied bed days </w:t>
            </w:r>
            <w:r w:rsidR="006D48FC" w:rsidRPr="007E702A">
              <w:rPr>
                <w:rFonts w:eastAsia="Arial"/>
              </w:rPr>
              <w:t xml:space="preserve">(including </w:t>
            </w:r>
            <w:r w:rsidRPr="007E702A">
              <w:rPr>
                <w:rFonts w:eastAsia="Arial"/>
              </w:rPr>
              <w:t>leave days</w:t>
            </w:r>
            <w:r w:rsidR="006D48FC" w:rsidRPr="007E702A">
              <w:rPr>
                <w:rFonts w:eastAsia="Arial"/>
              </w:rPr>
              <w:t>)</w:t>
            </w:r>
            <w:r w:rsidRPr="007E702A">
              <w:rPr>
                <w:rFonts w:eastAsia="Arial"/>
              </w:rPr>
              <w:t xml:space="preserve"> per admission event are calculated by taking the difference in minutes between the start date and time and end date and time, </w:t>
            </w:r>
            <w:r w:rsidR="00667CDB">
              <w:rPr>
                <w:rFonts w:eastAsia="Arial"/>
              </w:rPr>
              <w:t>and</w:t>
            </w:r>
            <w:r w:rsidR="00667CDB" w:rsidRPr="007E702A">
              <w:rPr>
                <w:rFonts w:eastAsia="Arial"/>
              </w:rPr>
              <w:t xml:space="preserve"> </w:t>
            </w:r>
            <w:r w:rsidRPr="007E702A">
              <w:rPr>
                <w:rFonts w:eastAsia="Arial"/>
              </w:rPr>
              <w:t>converting the time difference to days</w:t>
            </w:r>
            <w:r w:rsidR="0017419F" w:rsidRPr="007E702A">
              <w:rPr>
                <w:rFonts w:eastAsia="Arial"/>
              </w:rPr>
              <w:t xml:space="preserve">, including part days. </w:t>
            </w:r>
            <w:r w:rsidR="00BB008F" w:rsidRPr="007E702A">
              <w:rPr>
                <w:rFonts w:eastAsia="Arial"/>
              </w:rPr>
              <w:t xml:space="preserve">For example, </w:t>
            </w:r>
            <w:r w:rsidR="007745DD" w:rsidRPr="007E702A">
              <w:rPr>
                <w:rFonts w:eastAsia="Arial"/>
              </w:rPr>
              <w:t>36 hours convert</w:t>
            </w:r>
            <w:r w:rsidR="001E626C">
              <w:rPr>
                <w:rFonts w:eastAsia="Arial"/>
              </w:rPr>
              <w:t>s</w:t>
            </w:r>
            <w:r w:rsidR="007745DD" w:rsidRPr="007E702A">
              <w:rPr>
                <w:rFonts w:eastAsia="Arial"/>
              </w:rPr>
              <w:t xml:space="preserve"> to 1.5 days.</w:t>
            </w:r>
            <w:r w:rsidRPr="007E702A">
              <w:rPr>
                <w:rFonts w:eastAsia="Arial"/>
              </w:rPr>
              <w:t xml:space="preserve"> </w:t>
            </w:r>
            <w:r w:rsidRPr="3F528552">
              <w:rPr>
                <w:rFonts w:eastAsia="Arial" w:cs="Arial"/>
              </w:rPr>
              <w:t xml:space="preserve"> </w:t>
            </w:r>
          </w:p>
          <w:p w14:paraId="5606505C" w14:textId="3D9ACD06" w:rsidR="004D2D42" w:rsidRPr="007E702A" w:rsidRDefault="446F8537" w:rsidP="007E702A">
            <w:pPr>
              <w:pStyle w:val="Tabletext"/>
              <w:rPr>
                <w:rFonts w:eastAsia="Arial"/>
              </w:rPr>
            </w:pPr>
            <w:r w:rsidRPr="007E702A">
              <w:rPr>
                <w:rFonts w:eastAsia="Arial"/>
              </w:rPr>
              <w:t xml:space="preserve">Mental health inpatient units and SECUs are determined at the CMI/ODS subcentre level. </w:t>
            </w:r>
          </w:p>
          <w:p w14:paraId="6FEE1850" w14:textId="749FB7E8" w:rsidR="004D2D42" w:rsidRPr="007E702A" w:rsidRDefault="446F8537" w:rsidP="007E702A">
            <w:pPr>
              <w:pStyle w:val="Tabletext"/>
              <w:rPr>
                <w:rFonts w:eastAsia="Arial"/>
              </w:rPr>
            </w:pPr>
            <w:r w:rsidRPr="007E702A">
              <w:rPr>
                <w:rFonts w:eastAsia="Arial"/>
              </w:rPr>
              <w:t xml:space="preserve">The following bed types are excluded from the calculation: </w:t>
            </w:r>
          </w:p>
          <w:p w14:paraId="42034227" w14:textId="77EE5CA7" w:rsidR="004D2D42" w:rsidRPr="00CD6D6D" w:rsidRDefault="446F8537" w:rsidP="00CD6D6D">
            <w:pPr>
              <w:pStyle w:val="Tablebullet1"/>
              <w:rPr>
                <w:rFonts w:eastAsia="Arial"/>
              </w:rPr>
            </w:pPr>
            <w:r w:rsidRPr="00CD6D6D">
              <w:rPr>
                <w:rFonts w:eastAsia="Arial"/>
              </w:rPr>
              <w:t xml:space="preserve">Sub-contracted private beds - excluding the Women’s Recovery Network, and </w:t>
            </w:r>
          </w:p>
          <w:p w14:paraId="1F997CE3" w14:textId="1E1187F1" w:rsidR="004D2D42" w:rsidRPr="00C6447E" w:rsidRDefault="446F8537" w:rsidP="00CD6D6D">
            <w:pPr>
              <w:pStyle w:val="Tablebullet1"/>
              <w:rPr>
                <w:rFonts w:eastAsia="Arial" w:cs="Arial"/>
                <w:sz w:val="22"/>
                <w:szCs w:val="22"/>
              </w:rPr>
            </w:pPr>
            <w:r w:rsidRPr="00CD6D6D">
              <w:rPr>
                <w:rFonts w:eastAsia="Arial"/>
              </w:rPr>
              <w:t>The Victorian Institute of Forensic Mental Health</w:t>
            </w:r>
            <w:r w:rsidR="00F137DB">
              <w:rPr>
                <w:rFonts w:eastAsia="Arial"/>
              </w:rPr>
              <w:t>.</w:t>
            </w:r>
          </w:p>
        </w:tc>
      </w:tr>
      <w:tr w:rsidR="00ED61B3" w:rsidRPr="00315936" w14:paraId="2900B47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F1C9DD2" w14:textId="77777777" w:rsidR="00347551" w:rsidRPr="00315936" w:rsidRDefault="00347551" w:rsidP="00347551">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57DF34FD" w14:textId="00865A59" w:rsidR="00347551" w:rsidRPr="00326601" w:rsidRDefault="440EB785" w:rsidP="002D13DE">
            <w:pPr>
              <w:pStyle w:val="Tabletext"/>
              <w:rPr>
                <w:rFonts w:eastAsia="Arial"/>
              </w:rPr>
            </w:pPr>
            <w:r w:rsidRPr="686ABE5A">
              <w:rPr>
                <w:rFonts w:eastAsia="Arial"/>
                <w:lang w:val="en-US"/>
              </w:rPr>
              <w:t xml:space="preserve">The number of occupied bed days within mental health inpatient units and secure extended care units (SECU), including leave </w:t>
            </w:r>
            <w:r w:rsidR="009258DF">
              <w:rPr>
                <w:rFonts w:eastAsia="Arial"/>
                <w:lang w:val="en-US"/>
              </w:rPr>
              <w:t xml:space="preserve">days </w:t>
            </w:r>
            <w:r w:rsidRPr="686ABE5A">
              <w:rPr>
                <w:rFonts w:eastAsia="Arial"/>
                <w:lang w:val="en-US"/>
              </w:rPr>
              <w:t xml:space="preserve">and same day admissions. </w:t>
            </w:r>
          </w:p>
        </w:tc>
      </w:tr>
      <w:tr w:rsidR="00ED61B3" w:rsidRPr="00315936" w14:paraId="1A2BC4D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B18EC70" w14:textId="77777777" w:rsidR="00347551" w:rsidRPr="00315936" w:rsidRDefault="00347551" w:rsidP="00347551">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2633540A" w14:textId="3D8FEF35" w:rsidR="00347551" w:rsidRPr="00315936" w:rsidRDefault="2931F962" w:rsidP="686ABE5A">
            <w:pPr>
              <w:pStyle w:val="Tabletext"/>
              <w:spacing w:line="259" w:lineRule="auto"/>
              <w:rPr>
                <w:rFonts w:eastAsia="Arial" w:cs="Arial"/>
                <w:lang w:val="en-US" w:eastAsia="en-AU"/>
              </w:rPr>
            </w:pPr>
            <w:r w:rsidRPr="686ABE5A">
              <w:rPr>
                <w:rFonts w:eastAsia="Arial" w:cs="Arial"/>
                <w:lang w:val="en-US" w:eastAsia="en-AU"/>
              </w:rPr>
              <w:t>N/A</w:t>
            </w:r>
          </w:p>
        </w:tc>
      </w:tr>
      <w:tr w:rsidR="00ED61B3" w:rsidRPr="00315936" w14:paraId="17B7044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C2A872E" w14:textId="77777777" w:rsidR="00186950" w:rsidRPr="00315936" w:rsidRDefault="00186950">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57E1E65F" w14:textId="5036FB8E" w:rsidR="686ABE5A" w:rsidRDefault="00431FCD" w:rsidP="686ABE5A">
            <w:pPr>
              <w:rPr>
                <w:rFonts w:eastAsia="Arial" w:cs="Arial"/>
                <w:sz w:val="22"/>
                <w:szCs w:val="22"/>
              </w:rPr>
            </w:pPr>
            <w:r w:rsidRPr="00315936">
              <w:t xml:space="preserve">As agreed in the </w:t>
            </w:r>
            <w:proofErr w:type="spellStart"/>
            <w:r w:rsidRPr="00315936">
              <w:t>SoP</w:t>
            </w:r>
            <w:proofErr w:type="spellEnd"/>
            <w:r w:rsidRPr="00315936">
              <w:t xml:space="preserve"> for each health </w:t>
            </w:r>
            <w:r w:rsidRPr="00315936">
              <w:rPr>
                <w:rFonts w:eastAsia="Arial"/>
              </w:rPr>
              <w:t>service</w:t>
            </w:r>
          </w:p>
        </w:tc>
      </w:tr>
      <w:tr w:rsidR="00ED61B3" w:rsidRPr="00315936" w14:paraId="2C40063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32B0515" w14:textId="77777777" w:rsidR="00697D50" w:rsidRPr="00315936" w:rsidRDefault="00697D50" w:rsidP="00697D50">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18E33A39" w14:textId="145D6EC3" w:rsidR="00697D50" w:rsidRDefault="00697D50" w:rsidP="00697D50">
            <w:pPr>
              <w:rPr>
                <w:rFonts w:eastAsia="Arial" w:cs="Arial"/>
                <w:sz w:val="22"/>
                <w:szCs w:val="22"/>
              </w:rPr>
            </w:pPr>
            <w:r w:rsidRPr="00E65A9B">
              <w:rPr>
                <w:rFonts w:eastAsia="Aptos"/>
              </w:rPr>
              <w:t>Greater than or equal to health service target</w:t>
            </w:r>
          </w:p>
        </w:tc>
      </w:tr>
      <w:tr w:rsidR="00ED61B3" w:rsidRPr="00315936" w14:paraId="7B82885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F3C73A2" w14:textId="77777777" w:rsidR="00697D50" w:rsidRPr="00315936" w:rsidRDefault="00697D50" w:rsidP="00697D50">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E85E343" w14:textId="53C6D3E2" w:rsidR="00697D50" w:rsidRDefault="00697D50" w:rsidP="00697D50">
            <w:pPr>
              <w:rPr>
                <w:rFonts w:eastAsia="Arial" w:cs="Arial"/>
                <w:sz w:val="22"/>
                <w:szCs w:val="22"/>
              </w:rPr>
            </w:pPr>
            <w:r w:rsidRPr="00E65A9B">
              <w:rPr>
                <w:rFonts w:eastAsia="Aptos"/>
              </w:rPr>
              <w:t>Less than health service target</w:t>
            </w:r>
          </w:p>
        </w:tc>
      </w:tr>
      <w:tr w:rsidR="00ED61B3" w:rsidRPr="00315936" w14:paraId="0E428B9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9B59972" w14:textId="77777777" w:rsidR="00990A4A" w:rsidRPr="00315936" w:rsidRDefault="00990A4A" w:rsidP="00990A4A">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26CC7F76" w14:textId="0E8019A1" w:rsidR="00990A4A" w:rsidRPr="00315936" w:rsidRDefault="28AFB1FE" w:rsidP="002059D3">
            <w:pPr>
              <w:pStyle w:val="Tabletext"/>
              <w:rPr>
                <w:rFonts w:eastAsia="Arial" w:cs="Arial"/>
              </w:rPr>
            </w:pPr>
            <w:proofErr w:type="gramStart"/>
            <w:r w:rsidRPr="002D13DE">
              <w:rPr>
                <w:rFonts w:eastAsia="Arial"/>
              </w:rPr>
              <w:t>For the purpose of</w:t>
            </w:r>
            <w:proofErr w:type="gramEnd"/>
            <w:r w:rsidRPr="002D13DE">
              <w:rPr>
                <w:rFonts w:eastAsia="Arial"/>
              </w:rPr>
              <w:t xml:space="preserve"> the performance risk assessment, improvement is based on same period last year performance   </w:t>
            </w:r>
            <w:r w:rsidRPr="686ABE5A">
              <w:rPr>
                <w:rFonts w:eastAsia="Arial" w:cs="Arial"/>
              </w:rPr>
              <w:t xml:space="preserve"> </w:t>
            </w:r>
          </w:p>
        </w:tc>
      </w:tr>
      <w:tr w:rsidR="00ED61B3" w:rsidRPr="00315936" w14:paraId="2EEC972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9F0E7E9" w14:textId="77777777" w:rsidR="00990A4A" w:rsidRPr="00315936" w:rsidRDefault="00990A4A" w:rsidP="00990A4A">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49E4A21D" w14:textId="3680C84C" w:rsidR="00990A4A" w:rsidRPr="00315936" w:rsidRDefault="11658BEF" w:rsidP="002D13DE">
            <w:pPr>
              <w:pStyle w:val="Tabletext"/>
              <w:rPr>
                <w:rFonts w:eastAsia="Arial"/>
              </w:rPr>
            </w:pPr>
            <w:r w:rsidRPr="686ABE5A">
              <w:rPr>
                <w:rFonts w:eastAsia="Arial"/>
              </w:rPr>
              <w:t xml:space="preserve">Performance is reported quarterly and annually by Designated Mental Health Service.  </w:t>
            </w:r>
          </w:p>
          <w:p w14:paraId="19FD8BE5" w14:textId="56035F69" w:rsidR="00990A4A" w:rsidRPr="00315936" w:rsidRDefault="11658BEF" w:rsidP="002059D3">
            <w:pPr>
              <w:pStyle w:val="Tabletext"/>
              <w:rPr>
                <w:rFonts w:eastAsia="Arial" w:cs="Arial"/>
              </w:rPr>
            </w:pPr>
            <w:r w:rsidRPr="686ABE5A">
              <w:rPr>
                <w:rFonts w:eastAsia="Arial"/>
              </w:rPr>
              <w:t>Data are sourced from the Client Management Interface (CMI)/</w:t>
            </w:r>
            <w:r w:rsidR="00CF02AF">
              <w:br/>
            </w:r>
            <w:r w:rsidRPr="686ABE5A">
              <w:rPr>
                <w:rFonts w:eastAsia="Arial"/>
              </w:rPr>
              <w:t xml:space="preserve">Operational Data Store (ODS). </w:t>
            </w:r>
            <w:r w:rsidRPr="686ABE5A">
              <w:rPr>
                <w:rFonts w:eastAsia="Arial" w:cs="Arial"/>
              </w:rPr>
              <w:t xml:space="preserve"> </w:t>
            </w:r>
          </w:p>
        </w:tc>
      </w:tr>
    </w:tbl>
    <w:p w14:paraId="6F629457" w14:textId="1B23A601" w:rsidR="00D502A7" w:rsidRDefault="00D502A7" w:rsidP="008E7F78">
      <w:pPr>
        <w:pStyle w:val="Heading4"/>
      </w:pPr>
      <w:r w:rsidRPr="00BC1AE5">
        <w:t xml:space="preserve">Number of community mental health </w:t>
      </w:r>
      <w:r w:rsidR="002555D8" w:rsidRPr="00BC1AE5">
        <w:t>service hours</w:t>
      </w:r>
    </w:p>
    <w:tbl>
      <w:tblPr>
        <w:tblStyle w:val="TableGrid"/>
        <w:tblW w:w="10343" w:type="dxa"/>
        <w:tblLook w:val="04A0" w:firstRow="1" w:lastRow="0" w:firstColumn="1" w:lastColumn="0" w:noHBand="0" w:noVBand="1"/>
      </w:tblPr>
      <w:tblGrid>
        <w:gridCol w:w="1837"/>
        <w:gridCol w:w="8506"/>
      </w:tblGrid>
      <w:tr w:rsidR="002555D8" w:rsidRPr="00315936" w14:paraId="1ADC3298"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85AFE68" w14:textId="77777777" w:rsidR="002555D8" w:rsidRPr="00315936" w:rsidRDefault="002555D8">
            <w:pPr>
              <w:pStyle w:val="Tablecolhead"/>
              <w:keepNext/>
              <w:rPr>
                <w:b w:val="0"/>
                <w:lang w:eastAsia="en-AU"/>
              </w:rPr>
            </w:pPr>
            <w:r w:rsidRPr="00315936">
              <w:rPr>
                <w:b w:val="0"/>
                <w:lang w:eastAsia="en-AU"/>
              </w:rPr>
              <w:t>Measure</w:t>
            </w:r>
          </w:p>
        </w:tc>
        <w:tc>
          <w:tcPr>
            <w:tcW w:w="8506" w:type="dxa"/>
            <w:tcBorders>
              <w:left w:val="single" w:sz="4" w:space="0" w:color="FFFFFF" w:themeColor="background1"/>
            </w:tcBorders>
          </w:tcPr>
          <w:p w14:paraId="15DEAE94" w14:textId="64AE3B79" w:rsidR="002555D8" w:rsidRDefault="002555D8" w:rsidP="007E702A">
            <w:pPr>
              <w:pStyle w:val="Tabletext"/>
              <w:rPr>
                <w:rFonts w:eastAsia="Arial"/>
              </w:rPr>
            </w:pPr>
            <w:r w:rsidRPr="686ABE5A">
              <w:rPr>
                <w:rFonts w:eastAsia="Arial"/>
              </w:rPr>
              <w:t xml:space="preserve">Number of </w:t>
            </w:r>
            <w:r w:rsidR="008E0078">
              <w:rPr>
                <w:rFonts w:eastAsia="Arial"/>
              </w:rPr>
              <w:t xml:space="preserve">community mental health service hours </w:t>
            </w:r>
          </w:p>
        </w:tc>
      </w:tr>
      <w:tr w:rsidR="002555D8" w:rsidRPr="00315936" w14:paraId="128A79D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C8DA7FF" w14:textId="77777777" w:rsidR="002555D8" w:rsidRPr="00315936" w:rsidRDefault="002555D8">
            <w:pPr>
              <w:pStyle w:val="Tablecolhead"/>
              <w:keepNext/>
              <w:rPr>
                <w:b w:val="0"/>
                <w:lang w:eastAsia="en-AU"/>
              </w:rPr>
            </w:pPr>
            <w:r w:rsidRPr="00315936">
              <w:rPr>
                <w:b w:val="0"/>
                <w:lang w:eastAsia="en-AU"/>
              </w:rPr>
              <w:t>Description </w:t>
            </w:r>
          </w:p>
        </w:tc>
        <w:tc>
          <w:tcPr>
            <w:tcW w:w="8506" w:type="dxa"/>
            <w:tcBorders>
              <w:left w:val="single" w:sz="4" w:space="0" w:color="FFFFFF" w:themeColor="background1"/>
            </w:tcBorders>
          </w:tcPr>
          <w:p w14:paraId="31728CA6" w14:textId="6BDDB89F" w:rsidR="002555D8" w:rsidRPr="00315936" w:rsidRDefault="000B6B8D" w:rsidP="007E702A">
            <w:pPr>
              <w:pStyle w:val="Tabletext"/>
              <w:rPr>
                <w:rFonts w:eastAsia="Arial"/>
              </w:rPr>
            </w:pPr>
            <w:r w:rsidRPr="000B6B8D">
              <w:rPr>
                <w:rFonts w:eastAsia="Arial"/>
              </w:rPr>
              <w:t>Service hours are a key component of the Policy and Funding Guidelines</w:t>
            </w:r>
            <w:r w:rsidR="008E641B">
              <w:rPr>
                <w:rFonts w:eastAsia="Arial"/>
              </w:rPr>
              <w:t xml:space="preserve"> for Victorian health services</w:t>
            </w:r>
            <w:r w:rsidRPr="000B6B8D">
              <w:rPr>
                <w:rFonts w:eastAsia="Arial"/>
              </w:rPr>
              <w:t xml:space="preserve">, which articulates the performance and financial framework within which government-funded health sector entities operate. They are a reference for funded organisations regarding the parameters that they are expected to work to and within, as well as the funding linked to various services, </w:t>
            </w:r>
            <w:proofErr w:type="gramStart"/>
            <w:r w:rsidRPr="000B6B8D">
              <w:rPr>
                <w:rFonts w:eastAsia="Arial"/>
              </w:rPr>
              <w:t>in order to</w:t>
            </w:r>
            <w:proofErr w:type="gramEnd"/>
            <w:r w:rsidRPr="000B6B8D">
              <w:rPr>
                <w:rFonts w:eastAsia="Arial"/>
              </w:rPr>
              <w:t xml:space="preserve"> achieve the expected outcomes of the Victorian Government.</w:t>
            </w:r>
          </w:p>
        </w:tc>
      </w:tr>
      <w:tr w:rsidR="002555D8" w:rsidRPr="00315936" w14:paraId="3A941A1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5704BFF" w14:textId="77777777" w:rsidR="002555D8" w:rsidRPr="00315936" w:rsidRDefault="002555D8">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19A79E2D" w14:textId="704EA762" w:rsidR="00265D25" w:rsidRPr="00265D25" w:rsidRDefault="002555D8" w:rsidP="007E702A">
            <w:pPr>
              <w:pStyle w:val="Tabletext"/>
              <w:rPr>
                <w:rFonts w:eastAsia="Arial"/>
              </w:rPr>
            </w:pPr>
            <w:r w:rsidRPr="686ABE5A">
              <w:rPr>
                <w:rFonts w:eastAsia="Arial"/>
              </w:rPr>
              <w:t xml:space="preserve">This measure calculates the number </w:t>
            </w:r>
            <w:r w:rsidR="00265D25" w:rsidRPr="00265D25">
              <w:rPr>
                <w:rFonts w:eastAsia="Arial"/>
              </w:rPr>
              <w:t>of service hours, by sector, excluding (a) Bouverie Centre contacts, (b) contacts reported against inpatient or residential services and (c) block funded and PHN commissioned programs.   </w:t>
            </w:r>
          </w:p>
          <w:p w14:paraId="4E6BECA7" w14:textId="77777777" w:rsidR="00265D25" w:rsidRPr="00265D25" w:rsidRDefault="32209352" w:rsidP="007E702A">
            <w:pPr>
              <w:pStyle w:val="Tabletext"/>
              <w:rPr>
                <w:rFonts w:eastAsia="Arial"/>
              </w:rPr>
            </w:pPr>
            <w:r w:rsidRPr="55528ABA">
              <w:rPr>
                <w:rFonts w:eastAsia="Arial"/>
              </w:rPr>
              <w:t xml:space="preserve">Step 1: Select reportable contacts that have occurred in the applicable </w:t>
            </w:r>
            <w:bookmarkStart w:id="103" w:name="_Int_dHveqv1N"/>
            <w:proofErr w:type="gramStart"/>
            <w:r w:rsidRPr="55528ABA">
              <w:rPr>
                <w:rFonts w:eastAsia="Arial"/>
              </w:rPr>
              <w:t>time period</w:t>
            </w:r>
            <w:bookmarkEnd w:id="103"/>
            <w:proofErr w:type="gramEnd"/>
            <w:r w:rsidRPr="55528ABA">
              <w:rPr>
                <w:rFonts w:eastAsia="Arial"/>
              </w:rPr>
              <w:t>.  </w:t>
            </w:r>
          </w:p>
          <w:p w14:paraId="1D62A760" w14:textId="77777777" w:rsidR="00265D25" w:rsidRPr="00265D25" w:rsidRDefault="00265D25" w:rsidP="007E702A">
            <w:pPr>
              <w:pStyle w:val="Tabletext"/>
              <w:rPr>
                <w:rFonts w:eastAsia="Arial"/>
              </w:rPr>
            </w:pPr>
            <w:r w:rsidRPr="00265D25">
              <w:rPr>
                <w:rFonts w:eastAsia="Arial"/>
              </w:rPr>
              <w:t>Apply the following exclusions: </w:t>
            </w:r>
          </w:p>
          <w:p w14:paraId="6CBBC625" w14:textId="64C54AAC" w:rsidR="00265D25" w:rsidRPr="002059D3" w:rsidRDefault="00265D25" w:rsidP="002059D3">
            <w:pPr>
              <w:pStyle w:val="Tablebullet1"/>
              <w:rPr>
                <w:rFonts w:eastAsia="Arial"/>
              </w:rPr>
            </w:pPr>
            <w:r w:rsidRPr="002059D3">
              <w:rPr>
                <w:rFonts w:eastAsia="Arial"/>
              </w:rPr>
              <w:t>Contacts reported by The Bouverie Centre (campus code 5910)</w:t>
            </w:r>
            <w:r w:rsidRPr="00076BEC">
              <w:rPr>
                <w:rFonts w:eastAsia="Arial"/>
                <w:strike/>
              </w:rPr>
              <w:t xml:space="preserve"> </w:t>
            </w:r>
          </w:p>
          <w:p w14:paraId="7AAD6316" w14:textId="6FC5714E" w:rsidR="00265D25" w:rsidRPr="002059D3" w:rsidRDefault="00265D25" w:rsidP="002059D3">
            <w:pPr>
              <w:pStyle w:val="Tablebullet1"/>
              <w:rPr>
                <w:rFonts w:eastAsia="Arial"/>
              </w:rPr>
            </w:pPr>
            <w:r w:rsidRPr="002059D3">
              <w:rPr>
                <w:rFonts w:eastAsia="Arial"/>
              </w:rPr>
              <w:t>Contacts reported against CMI/ODS subcentres that the department has identified as ‘block funded’.  </w:t>
            </w:r>
          </w:p>
          <w:p w14:paraId="68BF47B0" w14:textId="7703284F" w:rsidR="00265D25" w:rsidRPr="002059D3" w:rsidRDefault="00265D25" w:rsidP="002059D3">
            <w:pPr>
              <w:pStyle w:val="Tablebullet1"/>
              <w:rPr>
                <w:rFonts w:eastAsia="Arial"/>
              </w:rPr>
            </w:pPr>
            <w:r w:rsidRPr="002059D3">
              <w:rPr>
                <w:rFonts w:eastAsia="Arial"/>
              </w:rPr>
              <w:t>Contacts reported against CMI/ODS subcentres with a setting flag other than ‘community’.  </w:t>
            </w:r>
          </w:p>
          <w:p w14:paraId="0D2E1F28" w14:textId="6FEFE1D0" w:rsidR="00265D25" w:rsidRPr="002059D3" w:rsidRDefault="00265D25" w:rsidP="002059D3">
            <w:pPr>
              <w:pStyle w:val="Tablebullet1"/>
              <w:rPr>
                <w:rFonts w:eastAsia="Arial"/>
              </w:rPr>
            </w:pPr>
            <w:r w:rsidRPr="002059D3">
              <w:rPr>
                <w:rFonts w:eastAsia="Arial"/>
              </w:rPr>
              <w:t>Contacts reported against programs with the funding source of ‘costing’, ‘DHHS block funded’ or ‘PHN commissioned’.  </w:t>
            </w:r>
          </w:p>
          <w:p w14:paraId="4DFE9482" w14:textId="1711E909" w:rsidR="002555D8" w:rsidRPr="00315936" w:rsidRDefault="00265D25" w:rsidP="007E702A">
            <w:pPr>
              <w:pStyle w:val="Tabletext"/>
              <w:rPr>
                <w:rFonts w:eastAsia="Arial"/>
              </w:rPr>
            </w:pPr>
            <w:r w:rsidRPr="00265D25">
              <w:rPr>
                <w:rFonts w:eastAsia="Arial"/>
              </w:rPr>
              <w:t>Step 2: Sum the duration of in-scope contacts (in hours) and adjust for group session contacts. For group session contacts, multiply contact duration (in hours) by number of healthcare professionals present and divide by the number of consumers involved. </w:t>
            </w:r>
          </w:p>
        </w:tc>
      </w:tr>
      <w:tr w:rsidR="002555D8" w:rsidRPr="00315936" w14:paraId="28BE63BF"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EBAB109" w14:textId="77777777" w:rsidR="002555D8" w:rsidRPr="00315936" w:rsidRDefault="002555D8">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51D663C5" w14:textId="617A0F86" w:rsidR="002555D8" w:rsidRPr="00315936" w:rsidRDefault="00F30FEB">
            <w:pPr>
              <w:pStyle w:val="Tabletext"/>
              <w:rPr>
                <w:rFonts w:eastAsia="Arial" w:cs="Arial"/>
              </w:rPr>
            </w:pPr>
            <w:r w:rsidRPr="00F30FEB">
              <w:rPr>
                <w:rFonts w:eastAsia="Arial" w:cs="Arial"/>
              </w:rPr>
              <w:t>Number of community mental health service hours, adjusted for group session contacts.</w:t>
            </w:r>
          </w:p>
        </w:tc>
      </w:tr>
      <w:tr w:rsidR="002555D8" w:rsidRPr="00315936" w14:paraId="382DEFB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B054E6F" w14:textId="77777777" w:rsidR="002555D8" w:rsidRPr="00315936" w:rsidRDefault="002555D8">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059ECD12" w14:textId="77777777" w:rsidR="002555D8" w:rsidRPr="00315936" w:rsidRDefault="002555D8">
            <w:pPr>
              <w:pStyle w:val="Tabletext"/>
              <w:spacing w:line="259" w:lineRule="auto"/>
              <w:rPr>
                <w:rFonts w:eastAsia="Arial" w:cs="Arial"/>
                <w:lang w:val="en-US" w:eastAsia="en-AU"/>
              </w:rPr>
            </w:pPr>
            <w:r w:rsidRPr="686ABE5A">
              <w:rPr>
                <w:rFonts w:eastAsia="Arial" w:cs="Arial"/>
                <w:lang w:val="en-US" w:eastAsia="en-AU"/>
              </w:rPr>
              <w:t>N/A</w:t>
            </w:r>
          </w:p>
        </w:tc>
      </w:tr>
      <w:tr w:rsidR="002555D8" w:rsidRPr="00315936" w14:paraId="251393E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5527149" w14:textId="77777777" w:rsidR="002555D8" w:rsidRPr="00315936" w:rsidRDefault="002555D8">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56D0D8A2" w14:textId="506F6E36" w:rsidR="002555D8" w:rsidRDefault="00F15D40">
            <w:pPr>
              <w:rPr>
                <w:rFonts w:eastAsia="Arial" w:cs="Arial"/>
                <w:sz w:val="22"/>
                <w:szCs w:val="22"/>
              </w:rPr>
            </w:pPr>
            <w:r w:rsidRPr="00315936">
              <w:t xml:space="preserve">As agreed in the </w:t>
            </w:r>
            <w:proofErr w:type="spellStart"/>
            <w:r w:rsidRPr="00315936">
              <w:t>SoP</w:t>
            </w:r>
            <w:proofErr w:type="spellEnd"/>
            <w:r w:rsidRPr="00315936">
              <w:t xml:space="preserve"> for each health </w:t>
            </w:r>
            <w:r w:rsidRPr="00315936">
              <w:rPr>
                <w:rFonts w:eastAsia="Arial"/>
              </w:rPr>
              <w:t>service</w:t>
            </w:r>
          </w:p>
        </w:tc>
      </w:tr>
      <w:tr w:rsidR="00697D50" w:rsidRPr="00315936" w14:paraId="31A87228"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B1D983F" w14:textId="77777777" w:rsidR="00697D50" w:rsidRPr="00315936" w:rsidRDefault="00697D50" w:rsidP="00697D50">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3966A3D8" w14:textId="7C242E5E" w:rsidR="00697D50" w:rsidRDefault="00697D50" w:rsidP="00697D50">
            <w:pPr>
              <w:rPr>
                <w:rFonts w:eastAsia="Arial" w:cs="Arial"/>
                <w:sz w:val="22"/>
                <w:szCs w:val="22"/>
              </w:rPr>
            </w:pPr>
            <w:r w:rsidRPr="00E65A9B">
              <w:rPr>
                <w:rFonts w:eastAsia="Aptos"/>
              </w:rPr>
              <w:t>Greater than or equal to health service target</w:t>
            </w:r>
          </w:p>
        </w:tc>
      </w:tr>
      <w:tr w:rsidR="00697D50" w:rsidRPr="00315936" w14:paraId="54DE07D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6303675" w14:textId="77777777" w:rsidR="00697D50" w:rsidRPr="00315936" w:rsidRDefault="00697D50" w:rsidP="00697D50">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2A5FCC0" w14:textId="04F4E2D6" w:rsidR="00697D50" w:rsidRDefault="00697D50" w:rsidP="00697D50">
            <w:pPr>
              <w:rPr>
                <w:rFonts w:eastAsia="Arial" w:cs="Arial"/>
                <w:sz w:val="22"/>
                <w:szCs w:val="22"/>
              </w:rPr>
            </w:pPr>
            <w:r w:rsidRPr="00E65A9B">
              <w:rPr>
                <w:rFonts w:eastAsia="Aptos"/>
              </w:rPr>
              <w:t>Less than health service target</w:t>
            </w:r>
          </w:p>
        </w:tc>
      </w:tr>
      <w:tr w:rsidR="002555D8" w:rsidRPr="00315936" w14:paraId="6CD59CD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4DFEF37" w14:textId="77777777" w:rsidR="002555D8" w:rsidRPr="00315936" w:rsidRDefault="002555D8">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7DE8F395" w14:textId="77777777" w:rsidR="002555D8" w:rsidRPr="00315936" w:rsidRDefault="002555D8" w:rsidP="002059D3">
            <w:pPr>
              <w:pStyle w:val="Tabletext"/>
              <w:rPr>
                <w:rFonts w:eastAsia="Arial" w:cs="Arial"/>
              </w:rPr>
            </w:pPr>
            <w:proofErr w:type="gramStart"/>
            <w:r w:rsidRPr="686ABE5A">
              <w:rPr>
                <w:rFonts w:eastAsia="Arial"/>
              </w:rPr>
              <w:t>For the purpose of</w:t>
            </w:r>
            <w:proofErr w:type="gramEnd"/>
            <w:r w:rsidRPr="686ABE5A">
              <w:rPr>
                <w:rFonts w:eastAsia="Arial"/>
              </w:rPr>
              <w:t xml:space="preserve"> the performance risk assessment, improvement is based on same period last year performance   </w:t>
            </w:r>
            <w:r w:rsidRPr="686ABE5A">
              <w:rPr>
                <w:rFonts w:eastAsia="Arial" w:cs="Arial"/>
              </w:rPr>
              <w:t xml:space="preserve"> </w:t>
            </w:r>
          </w:p>
        </w:tc>
      </w:tr>
      <w:tr w:rsidR="002555D8" w:rsidRPr="00315936" w14:paraId="6F7ADF9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9EE5B0A" w14:textId="77777777" w:rsidR="002555D8" w:rsidRPr="00315936" w:rsidRDefault="002555D8">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2827695F" w14:textId="77777777" w:rsidR="002555D8" w:rsidRPr="00315936" w:rsidRDefault="002555D8" w:rsidP="007E702A">
            <w:pPr>
              <w:pStyle w:val="Tabletext"/>
              <w:rPr>
                <w:rFonts w:eastAsia="Arial"/>
              </w:rPr>
            </w:pPr>
            <w:r w:rsidRPr="686ABE5A">
              <w:rPr>
                <w:rFonts w:eastAsia="Arial"/>
              </w:rPr>
              <w:t xml:space="preserve">Performance is reported quarterly and annually by Designated Mental Health Service.  </w:t>
            </w:r>
          </w:p>
          <w:p w14:paraId="0B023A15" w14:textId="3400AA9E" w:rsidR="002555D8" w:rsidRPr="00315936" w:rsidRDefault="002555D8" w:rsidP="002059D3">
            <w:pPr>
              <w:pStyle w:val="Tabletext"/>
              <w:rPr>
                <w:rFonts w:eastAsia="Arial" w:cs="Arial"/>
              </w:rPr>
            </w:pPr>
            <w:r w:rsidRPr="686ABE5A">
              <w:rPr>
                <w:rFonts w:eastAsia="Arial"/>
              </w:rPr>
              <w:t>Data are sourced from the Client Management Interface (CMI)/</w:t>
            </w:r>
            <w:r>
              <w:br/>
            </w:r>
            <w:r w:rsidRPr="686ABE5A">
              <w:rPr>
                <w:rFonts w:eastAsia="Arial"/>
              </w:rPr>
              <w:t xml:space="preserve">Operational Data Store (ODS). </w:t>
            </w:r>
            <w:r w:rsidRPr="686ABE5A">
              <w:rPr>
                <w:rFonts w:eastAsia="Arial" w:cs="Arial"/>
              </w:rPr>
              <w:t xml:space="preserve"> </w:t>
            </w:r>
          </w:p>
        </w:tc>
      </w:tr>
    </w:tbl>
    <w:p w14:paraId="2870A838" w14:textId="04F23E78" w:rsidR="00140581" w:rsidRPr="00315936" w:rsidRDefault="00140581" w:rsidP="00140581">
      <w:pPr>
        <w:pStyle w:val="Heading3"/>
      </w:pPr>
      <w:bookmarkStart w:id="104" w:name="_Toc147002728"/>
      <w:r w:rsidRPr="00315936">
        <w:t>Specialist clinics</w:t>
      </w:r>
      <w:bookmarkEnd w:id="104"/>
    </w:p>
    <w:p w14:paraId="4304105D" w14:textId="086E3FEA" w:rsidR="005032A4" w:rsidRPr="00315936" w:rsidRDefault="00D93031" w:rsidP="00EC29B6">
      <w:pPr>
        <w:pStyle w:val="Body"/>
      </w:pPr>
      <w:r w:rsidRPr="00315936">
        <w:t xml:space="preserve">Specialist clinic performance </w:t>
      </w:r>
      <w:r w:rsidR="00C3016B" w:rsidRPr="00315936">
        <w:t>measure</w:t>
      </w:r>
      <w:r w:rsidRPr="00315936">
        <w:t>s aim to improve performance in managing access for patients who are referred to a specialist clinic by a GP or external specialist. Manag</w:t>
      </w:r>
      <w:r w:rsidR="009E0888">
        <w:t>ing</w:t>
      </w:r>
      <w:r w:rsidRPr="00315936">
        <w:t xml:space="preserve"> patient referrals to specialist clinics, including </w:t>
      </w:r>
      <w:r w:rsidR="00D54526" w:rsidRPr="00315936">
        <w:t xml:space="preserve">appointment </w:t>
      </w:r>
      <w:r w:rsidRPr="00315936">
        <w:t>allocation should be provided in accordance with</w:t>
      </w:r>
      <w:r w:rsidR="001D71FE" w:rsidRPr="00315936">
        <w:t xml:space="preserve"> </w:t>
      </w:r>
      <w:r w:rsidR="001D71FE" w:rsidRPr="2ECFC544">
        <w:rPr>
          <w:i/>
          <w:iCs/>
        </w:rPr>
        <w:t>Managing referrals</w:t>
      </w:r>
      <w:r w:rsidR="0049634A" w:rsidRPr="2ECFC544">
        <w:rPr>
          <w:i/>
          <w:iCs/>
        </w:rPr>
        <w:t xml:space="preserve"> to non-admitted</w:t>
      </w:r>
      <w:r w:rsidR="00471D69" w:rsidRPr="2ECFC544">
        <w:rPr>
          <w:i/>
          <w:iCs/>
        </w:rPr>
        <w:t xml:space="preserve"> specialist </w:t>
      </w:r>
      <w:r w:rsidR="00431699" w:rsidRPr="2ECFC544">
        <w:rPr>
          <w:i/>
          <w:iCs/>
        </w:rPr>
        <w:t>services in</w:t>
      </w:r>
      <w:r w:rsidR="00B30ED2" w:rsidRPr="2ECFC544">
        <w:rPr>
          <w:i/>
          <w:iCs/>
        </w:rPr>
        <w:t xml:space="preserve"> Victorian</w:t>
      </w:r>
      <w:r w:rsidR="002C6356" w:rsidRPr="2ECFC544">
        <w:rPr>
          <w:i/>
          <w:iCs/>
        </w:rPr>
        <w:t xml:space="preserve"> public health services</w:t>
      </w:r>
      <w:r w:rsidR="00683805" w:rsidRPr="2ECFC544">
        <w:rPr>
          <w:i/>
          <w:iCs/>
        </w:rPr>
        <w:t xml:space="preserve"> policy</w:t>
      </w:r>
      <w:r w:rsidR="00892088" w:rsidRPr="00315936">
        <w:t>.</w:t>
      </w:r>
      <w:r w:rsidR="002D13DE">
        <w:rPr>
          <w:rStyle w:val="EndnoteReference"/>
        </w:rPr>
        <w:endnoteReference w:id="16"/>
      </w:r>
      <w:r w:rsidR="002D13DE">
        <w:t xml:space="preserve"> </w:t>
      </w:r>
    </w:p>
    <w:p w14:paraId="5F65E022" w14:textId="65228C44" w:rsidR="00D21DDC" w:rsidRPr="00315936" w:rsidRDefault="0082352B" w:rsidP="008E7F78">
      <w:pPr>
        <w:pStyle w:val="Heading4"/>
      </w:pPr>
      <w:bookmarkStart w:id="105" w:name="_Toc1567851633"/>
      <w:r w:rsidRPr="00387BC3">
        <w:t>Percentage of patients referred by a GP or external specialist who attended a first appointment within the recommended timeframe</w:t>
      </w:r>
      <w:bookmarkEnd w:id="105"/>
    </w:p>
    <w:tbl>
      <w:tblPr>
        <w:tblStyle w:val="TableGrid"/>
        <w:tblW w:w="10343" w:type="dxa"/>
        <w:tblLook w:val="04A0" w:firstRow="1" w:lastRow="0" w:firstColumn="1" w:lastColumn="0" w:noHBand="0" w:noVBand="1"/>
      </w:tblPr>
      <w:tblGrid>
        <w:gridCol w:w="1837"/>
        <w:gridCol w:w="8506"/>
      </w:tblGrid>
      <w:tr w:rsidR="00256158" w:rsidRPr="00315936" w14:paraId="1C176E6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57F4B81" w14:textId="6B1F7265" w:rsidR="00256158"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1F8067B6" w14:textId="72B8467E" w:rsidR="00256158" w:rsidRPr="00315936" w:rsidRDefault="00256158">
            <w:pPr>
              <w:pStyle w:val="Tabletext"/>
            </w:pPr>
            <w:r w:rsidRPr="00315936">
              <w:t>Percentage of patients referred by a GP or external specialist who attended a first appointment within the recommended timeframe</w:t>
            </w:r>
          </w:p>
        </w:tc>
      </w:tr>
      <w:tr w:rsidR="00BA0420" w:rsidRPr="00315936" w14:paraId="628DFD2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9F37BF3" w14:textId="77777777" w:rsidR="00BA0420" w:rsidRPr="00315936" w:rsidRDefault="00BA0420" w:rsidP="00BA0420">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vAlign w:val="bottom"/>
          </w:tcPr>
          <w:p w14:paraId="1CE6EFE6" w14:textId="69EC4DAD" w:rsidR="00CC1243" w:rsidRPr="00315936" w:rsidRDefault="000557F6" w:rsidP="00BA0420">
            <w:pPr>
              <w:pStyle w:val="Tabletext"/>
              <w:rPr>
                <w:lang w:eastAsia="en-AU"/>
              </w:rPr>
            </w:pPr>
            <w:r w:rsidRPr="00315936">
              <w:t>Th</w:t>
            </w:r>
            <w:r w:rsidR="000770B1">
              <w:t>is</w:t>
            </w:r>
            <w:r w:rsidRPr="00315936">
              <w:t xml:space="preserve"> </w:t>
            </w:r>
            <w:r w:rsidR="00C3016B" w:rsidRPr="00315936">
              <w:t>measure</w:t>
            </w:r>
            <w:r w:rsidR="000770B1">
              <w:t>s</w:t>
            </w:r>
            <w:r w:rsidRPr="00315936">
              <w:t xml:space="preserve"> the proportion</w:t>
            </w:r>
            <w:r w:rsidR="00BA0420" w:rsidRPr="00315936">
              <w:t xml:space="preserve"> of patients referred by a GP or external specialist who attended a first appointment within </w:t>
            </w:r>
            <w:r w:rsidRPr="00315936">
              <w:t>the recommended timeframe</w:t>
            </w:r>
            <w:r w:rsidR="000F6BA4" w:rsidRPr="00315936">
              <w:t xml:space="preserve"> for the</w:t>
            </w:r>
            <w:r w:rsidR="00E51F13" w:rsidRPr="00315936">
              <w:t xml:space="preserve"> relevant</w:t>
            </w:r>
            <w:r w:rsidR="000F6BA4" w:rsidRPr="00315936">
              <w:t xml:space="preserve"> </w:t>
            </w:r>
            <w:r w:rsidR="00946AD4" w:rsidRPr="00315936">
              <w:t>clinical priority category</w:t>
            </w:r>
            <w:r w:rsidR="00DC5D59" w:rsidRPr="00315936">
              <w:t xml:space="preserve"> (</w:t>
            </w:r>
            <w:r w:rsidR="00C60456">
              <w:t xml:space="preserve">30 days for </w:t>
            </w:r>
            <w:r w:rsidR="009B52FE">
              <w:t>urgent</w:t>
            </w:r>
            <w:r w:rsidR="009A68F2">
              <w:t xml:space="preserve"> appointments</w:t>
            </w:r>
            <w:r w:rsidR="009B52FE">
              <w:t xml:space="preserve"> </w:t>
            </w:r>
            <w:r w:rsidR="009A68F2">
              <w:t>and</w:t>
            </w:r>
            <w:r w:rsidR="009B52FE">
              <w:t xml:space="preserve"> </w:t>
            </w:r>
            <w:r w:rsidR="00C60456">
              <w:t xml:space="preserve">365 days for </w:t>
            </w:r>
            <w:r w:rsidR="00DC5D59" w:rsidRPr="00315936">
              <w:t>routine</w:t>
            </w:r>
            <w:r w:rsidR="009A68F2">
              <w:t xml:space="preserve"> appointments</w:t>
            </w:r>
            <w:r w:rsidR="00DC5D59" w:rsidRPr="00315936">
              <w:t>)</w:t>
            </w:r>
            <w:r w:rsidR="003C619B" w:rsidRPr="00315936">
              <w:t xml:space="preserve"> for non</w:t>
            </w:r>
            <w:r w:rsidR="0035658C" w:rsidRPr="00315936">
              <w:t>-admitted acute services</w:t>
            </w:r>
            <w:r w:rsidR="00946AD4" w:rsidRPr="00315936">
              <w:t>.</w:t>
            </w:r>
          </w:p>
        </w:tc>
      </w:tr>
      <w:tr w:rsidR="00BA0420" w:rsidRPr="00315936" w14:paraId="4A6DAF6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C34CC20" w14:textId="77777777" w:rsidR="00BA0420" w:rsidRPr="00315936" w:rsidRDefault="00BA0420" w:rsidP="00BA0420">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252DC937" w14:textId="4FE513CA" w:rsidR="000557F6" w:rsidRPr="00FA193C" w:rsidRDefault="00BA0420" w:rsidP="000557F6">
            <w:pPr>
              <w:pStyle w:val="Tabletext"/>
            </w:pPr>
            <w:r w:rsidRPr="00315936">
              <w:t xml:space="preserve">The </w:t>
            </w:r>
            <w:r w:rsidR="00C3016B" w:rsidRPr="00315936">
              <w:t>measure</w:t>
            </w:r>
            <w:r w:rsidRPr="00315936">
              <w:t xml:space="preserve"> </w:t>
            </w:r>
            <w:r w:rsidR="000557F6" w:rsidRPr="00315936">
              <w:t xml:space="preserve">includes all </w:t>
            </w:r>
            <w:r w:rsidRPr="00315936">
              <w:t xml:space="preserve">patients referred </w:t>
            </w:r>
            <w:r w:rsidR="000557F6" w:rsidRPr="00315936">
              <w:t>from either</w:t>
            </w:r>
            <w:r w:rsidRPr="00315936">
              <w:t xml:space="preserve"> a GP or external specialist who attended a first appointment </w:t>
            </w:r>
            <w:r w:rsidR="000557F6" w:rsidRPr="00315936">
              <w:t xml:space="preserve">during </w:t>
            </w:r>
            <w:r w:rsidR="00AD58A7">
              <w:t>the reference period</w:t>
            </w:r>
            <w:r w:rsidR="000557F6" w:rsidRPr="00315936">
              <w:t xml:space="preserve"> or </w:t>
            </w:r>
            <w:r w:rsidR="00AD58A7">
              <w:t>whose</w:t>
            </w:r>
            <w:r w:rsidR="000557F6" w:rsidRPr="00315936">
              <w:t xml:space="preserve"> first appointment booked date </w:t>
            </w:r>
            <w:r w:rsidR="008A7350">
              <w:t>was during the reference period</w:t>
            </w:r>
            <w:r w:rsidR="00F14553">
              <w:t xml:space="preserve">, </w:t>
            </w:r>
            <w:r w:rsidR="00F14553" w:rsidRPr="00FA193C">
              <w:t>whichever date is earlier</w:t>
            </w:r>
            <w:r w:rsidR="000557F6" w:rsidRPr="00FA193C">
              <w:t>.</w:t>
            </w:r>
          </w:p>
          <w:p w14:paraId="688D139A" w14:textId="7FCE9461" w:rsidR="000557F6" w:rsidRPr="00FA193C" w:rsidRDefault="000557F6" w:rsidP="000557F6">
            <w:pPr>
              <w:pStyle w:val="Tabletext"/>
            </w:pPr>
            <w:r w:rsidRPr="00DC235B">
              <w:t xml:space="preserve">This </w:t>
            </w:r>
            <w:r w:rsidR="00C3016B" w:rsidRPr="00DC235B">
              <w:t>measure</w:t>
            </w:r>
            <w:r w:rsidRPr="00DC235B">
              <w:t xml:space="preserve"> </w:t>
            </w:r>
            <w:r w:rsidR="00456089" w:rsidRPr="00DC235B">
              <w:t>in</w:t>
            </w:r>
            <w:r w:rsidRPr="00DC235B">
              <w:t>cludes patients</w:t>
            </w:r>
            <w:r w:rsidR="00161AE5" w:rsidRPr="00DC235B">
              <w:t xml:space="preserve"> who failed to attend </w:t>
            </w:r>
            <w:r w:rsidRPr="00DC235B">
              <w:t>a scheduled appointment.</w:t>
            </w:r>
          </w:p>
          <w:p w14:paraId="4362D9F1" w14:textId="4E609191" w:rsidR="00BA0420" w:rsidRDefault="000557F6" w:rsidP="00BA0420">
            <w:pPr>
              <w:pStyle w:val="Tabletext"/>
            </w:pPr>
            <w:r w:rsidRPr="00FA193C">
              <w:t xml:space="preserve">The waiting time for a first appointment is the number of days between the Referral in Received Date and </w:t>
            </w:r>
            <w:r w:rsidR="00C67AED" w:rsidRPr="00FA193C">
              <w:t xml:space="preserve">either </w:t>
            </w:r>
            <w:r w:rsidRPr="00FA193C">
              <w:t xml:space="preserve">the </w:t>
            </w:r>
            <w:r w:rsidR="00CE4FFF" w:rsidRPr="00FA193C">
              <w:t xml:space="preserve">first </w:t>
            </w:r>
            <w:r w:rsidRPr="00FA193C">
              <w:t xml:space="preserve">Contact Date/Time </w:t>
            </w:r>
            <w:r w:rsidR="00213613" w:rsidRPr="00FA193C">
              <w:t>within a</w:t>
            </w:r>
            <w:r w:rsidR="00CE4FFF" w:rsidRPr="00FA193C">
              <w:t>n episode of care</w:t>
            </w:r>
            <w:r w:rsidRPr="00315936">
              <w:t xml:space="preserve"> or </w:t>
            </w:r>
            <w:r w:rsidR="00CE4FFF">
              <w:t>the</w:t>
            </w:r>
            <w:r w:rsidRPr="00315936">
              <w:t xml:space="preserve"> First Appointment Booked Date, whichever occurs first</w:t>
            </w:r>
            <w:r w:rsidR="00BA0420" w:rsidRPr="00315936">
              <w:t>.</w:t>
            </w:r>
          </w:p>
          <w:p w14:paraId="240A9E3A" w14:textId="2040CFA0" w:rsidR="003110CE" w:rsidRDefault="003110CE" w:rsidP="00BA0420">
            <w:pPr>
              <w:pStyle w:val="Tabletext"/>
            </w:pPr>
            <w:r>
              <w:t xml:space="preserve">Patients in scope for this measure </w:t>
            </w:r>
            <w:r w:rsidR="00281E18">
              <w:t>must satisfy the following criteria</w:t>
            </w:r>
            <w:r w:rsidR="00784A8E">
              <w:t>:</w:t>
            </w:r>
          </w:p>
          <w:p w14:paraId="300B3CE6" w14:textId="62C3CF54" w:rsidR="00784A8E" w:rsidRDefault="00202F21" w:rsidP="007E702A">
            <w:pPr>
              <w:pStyle w:val="Tablebullet1"/>
            </w:pPr>
            <w:r>
              <w:t>Referral In Clinical Urgency Category</w:t>
            </w:r>
            <w:r w:rsidR="00E13C24">
              <w:t xml:space="preserve"> </w:t>
            </w:r>
            <w:r w:rsidR="00736BD8">
              <w:t>is:</w:t>
            </w:r>
          </w:p>
          <w:p w14:paraId="7783664B" w14:textId="77777777" w:rsidR="00E13C24" w:rsidRDefault="00E13C24" w:rsidP="007E702A">
            <w:pPr>
              <w:pStyle w:val="DHTablebullet2"/>
            </w:pPr>
            <w:r>
              <w:t>‘1’ Urgent</w:t>
            </w:r>
          </w:p>
          <w:p w14:paraId="328C84A5" w14:textId="77777777" w:rsidR="00E13C24" w:rsidRDefault="00E13C24" w:rsidP="007E702A">
            <w:pPr>
              <w:pStyle w:val="DHTablebullet2"/>
            </w:pPr>
            <w:r>
              <w:t>‘2’ Routine</w:t>
            </w:r>
          </w:p>
          <w:p w14:paraId="06692B52" w14:textId="3F348334" w:rsidR="00E13C24" w:rsidRDefault="002E0313" w:rsidP="007E702A">
            <w:pPr>
              <w:pStyle w:val="Tablebullet1"/>
            </w:pPr>
            <w:r>
              <w:t>Referral In</w:t>
            </w:r>
            <w:r w:rsidR="007B5CF2">
              <w:t xml:space="preserve"> Service Type</w:t>
            </w:r>
            <w:r w:rsidR="00736BD8">
              <w:t xml:space="preserve"> is:</w:t>
            </w:r>
          </w:p>
          <w:p w14:paraId="18060589" w14:textId="77777777" w:rsidR="007A173A" w:rsidRDefault="007A173A" w:rsidP="007E702A">
            <w:pPr>
              <w:pStyle w:val="DHTablebullet2"/>
            </w:pPr>
            <w:r>
              <w:t>‘201’ GP</w:t>
            </w:r>
          </w:p>
          <w:p w14:paraId="69F6F380" w14:textId="77777777" w:rsidR="002C3151" w:rsidRDefault="00DA20BA" w:rsidP="00CD514A">
            <w:pPr>
              <w:pStyle w:val="DHTablebullet2"/>
            </w:pPr>
            <w:r>
              <w:t>‘202’ Specialist</w:t>
            </w:r>
            <w:r w:rsidR="000B3DA1">
              <w:t>.</w:t>
            </w:r>
          </w:p>
          <w:p w14:paraId="1087F278" w14:textId="03700BA6" w:rsidR="00B570AA" w:rsidRPr="00315936" w:rsidRDefault="004D2DDF" w:rsidP="00535D2B">
            <w:pPr>
              <w:pStyle w:val="DHTablebullet2"/>
              <w:numPr>
                <w:ilvl w:val="0"/>
                <w:numId w:val="0"/>
              </w:numPr>
            </w:pPr>
            <w:r>
              <w:t xml:space="preserve">The </w:t>
            </w:r>
            <w:r w:rsidR="00153D9E">
              <w:t>measure is reported at the health service level.</w:t>
            </w:r>
          </w:p>
        </w:tc>
      </w:tr>
      <w:tr w:rsidR="00BA0420" w:rsidRPr="00315936" w14:paraId="4292A574"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CEEB2AB" w14:textId="77777777" w:rsidR="00BA0420" w:rsidRPr="00315936" w:rsidRDefault="00BA0420" w:rsidP="00BA0420">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1C49496D" w14:textId="2A5C5D7C" w:rsidR="00BA0420" w:rsidRPr="00AC34D9" w:rsidRDefault="00B47D29" w:rsidP="00BA0420">
            <w:pPr>
              <w:pStyle w:val="Tabletext"/>
            </w:pPr>
            <w:r w:rsidRPr="00315936">
              <w:t xml:space="preserve">The number of </w:t>
            </w:r>
            <w:r w:rsidR="00BA0420" w:rsidRPr="00315936">
              <w:t xml:space="preserve">patients referred </w:t>
            </w:r>
            <w:r w:rsidRPr="00315936">
              <w:t>by</w:t>
            </w:r>
            <w:r w:rsidR="00BA0420" w:rsidRPr="00315936">
              <w:t xml:space="preserve"> a GP or external specialist</w:t>
            </w:r>
            <w:r w:rsidRPr="00315936">
              <w:t>,</w:t>
            </w:r>
            <w:r w:rsidR="00BA0420" w:rsidRPr="00315936">
              <w:t xml:space="preserve"> who </w:t>
            </w:r>
            <w:r w:rsidR="002824B1">
              <w:t>had a</w:t>
            </w:r>
            <w:r w:rsidR="00D065EC">
              <w:t xml:space="preserve"> first appointment </w:t>
            </w:r>
            <w:r w:rsidR="00AA6B83" w:rsidRPr="00315936">
              <w:t xml:space="preserve">within </w:t>
            </w:r>
            <w:r w:rsidR="003325CA" w:rsidRPr="00315936">
              <w:t xml:space="preserve">the </w:t>
            </w:r>
            <w:r w:rsidR="00BC51A0">
              <w:t>clinically</w:t>
            </w:r>
            <w:r w:rsidR="003325CA" w:rsidRPr="00315936">
              <w:t xml:space="preserve"> recommended timeframe</w:t>
            </w:r>
            <w:r w:rsidR="00817817">
              <w:t>.</w:t>
            </w:r>
          </w:p>
        </w:tc>
      </w:tr>
      <w:tr w:rsidR="00BA0420" w:rsidRPr="00315936" w14:paraId="24B3993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EE2183A" w14:textId="77777777" w:rsidR="00BA0420" w:rsidRPr="00315936" w:rsidRDefault="00BA0420" w:rsidP="00BA0420">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2C82EAF" w14:textId="4577E2BC" w:rsidR="00BA0420" w:rsidRPr="00AC34D9" w:rsidRDefault="00BA0420" w:rsidP="00BA0420">
            <w:pPr>
              <w:pStyle w:val="Tabletext"/>
            </w:pPr>
            <w:r w:rsidRPr="00315936">
              <w:t xml:space="preserve">The number of patients referred by a GP or external </w:t>
            </w:r>
            <w:r w:rsidR="00817817">
              <w:t>s</w:t>
            </w:r>
            <w:r w:rsidR="00B57C75" w:rsidRPr="00315936">
              <w:t>pecialist</w:t>
            </w:r>
            <w:r w:rsidRPr="00315936">
              <w:t xml:space="preserve">, who </w:t>
            </w:r>
            <w:r w:rsidR="00B57C75" w:rsidRPr="00315936">
              <w:t>attended</w:t>
            </w:r>
            <w:r w:rsidRPr="00315936">
              <w:t xml:space="preserve"> a first appointment, or </w:t>
            </w:r>
            <w:r w:rsidR="00B57C75" w:rsidRPr="00315936">
              <w:t xml:space="preserve">had a </w:t>
            </w:r>
            <w:r w:rsidRPr="00315936">
              <w:t xml:space="preserve">first appointment booked date </w:t>
            </w:r>
            <w:r w:rsidR="00FD61CA">
              <w:t>during the reference</w:t>
            </w:r>
            <w:r w:rsidRPr="00315936">
              <w:t xml:space="preserve"> period.</w:t>
            </w:r>
          </w:p>
        </w:tc>
      </w:tr>
      <w:tr w:rsidR="00256158" w:rsidRPr="00315936" w14:paraId="34BB884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90A6C57" w14:textId="77777777" w:rsidR="00256158" w:rsidRPr="00315936" w:rsidRDefault="00256158">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3FEAFB68" w14:textId="2D742ACC" w:rsidR="00256158" w:rsidRPr="00315936" w:rsidRDefault="00E94E5A">
            <w:pPr>
              <w:pStyle w:val="Tabletext"/>
              <w:rPr>
                <w:lang w:eastAsia="en-AU"/>
              </w:rPr>
            </w:pPr>
            <w:r w:rsidRPr="00315936">
              <w:t>95</w:t>
            </w:r>
            <w:r w:rsidR="00A67D0D" w:rsidRPr="00315936">
              <w:t xml:space="preserve"> per cent</w:t>
            </w:r>
          </w:p>
        </w:tc>
      </w:tr>
      <w:tr w:rsidR="001373D9" w:rsidRPr="00315936" w14:paraId="4BFB304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96871FA" w14:textId="77777777" w:rsidR="001373D9" w:rsidRPr="00315936" w:rsidRDefault="001373D9" w:rsidP="001373D9">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56E9374C" w14:textId="0A8B2CE7" w:rsidR="001373D9" w:rsidRPr="00315936" w:rsidRDefault="00C94572" w:rsidP="001373D9">
            <w:pPr>
              <w:pStyle w:val="Tabletext"/>
              <w:rPr>
                <w:lang w:eastAsia="en-AU"/>
              </w:rPr>
            </w:pPr>
            <w:r>
              <w:t>Greater than or e</w:t>
            </w:r>
            <w:r w:rsidR="001373D9" w:rsidRPr="00315936">
              <w:t xml:space="preserve">qual to </w:t>
            </w:r>
            <w:r w:rsidR="00E94E5A" w:rsidRPr="00315936">
              <w:t>95</w:t>
            </w:r>
            <w:r w:rsidR="00A67D0D" w:rsidRPr="00315936">
              <w:t xml:space="preserve"> per cent</w:t>
            </w:r>
          </w:p>
        </w:tc>
      </w:tr>
      <w:tr w:rsidR="001373D9" w:rsidRPr="00315936" w14:paraId="197A07B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E78138B" w14:textId="77777777" w:rsidR="001373D9" w:rsidRPr="00315936" w:rsidRDefault="001373D9" w:rsidP="001373D9">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5F92B015" w14:textId="4B11DA86" w:rsidR="001373D9" w:rsidRPr="00315936" w:rsidRDefault="001373D9" w:rsidP="001373D9">
            <w:pPr>
              <w:pStyle w:val="Tabletext"/>
              <w:rPr>
                <w:lang w:eastAsia="en-AU"/>
              </w:rPr>
            </w:pPr>
            <w:r w:rsidRPr="00315936">
              <w:t xml:space="preserve">Less than </w:t>
            </w:r>
            <w:r w:rsidR="00E94E5A" w:rsidRPr="00315936">
              <w:t>95</w:t>
            </w:r>
            <w:r w:rsidR="00A67D0D" w:rsidRPr="00315936">
              <w:t xml:space="preserve"> per cent</w:t>
            </w:r>
          </w:p>
        </w:tc>
      </w:tr>
      <w:tr w:rsidR="00E94E5A" w:rsidRPr="00315936" w14:paraId="45222AB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987F65C" w14:textId="77777777" w:rsidR="00E94E5A" w:rsidRPr="00315936" w:rsidRDefault="00E94E5A" w:rsidP="00E94E5A">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70032EAA" w14:textId="433AA5C8" w:rsidR="00E94E5A" w:rsidRPr="00315936" w:rsidRDefault="00E94E5A" w:rsidP="00E94E5A">
            <w:pPr>
              <w:pStyle w:val="Tabletext"/>
              <w:rPr>
                <w:lang w:eastAsia="en-AU"/>
              </w:rPr>
            </w:pPr>
            <w:proofErr w:type="gramStart"/>
            <w:r w:rsidRPr="00315936">
              <w:t>For the purpose of</w:t>
            </w:r>
            <w:proofErr w:type="gramEnd"/>
            <w:r w:rsidRPr="00315936">
              <w:t xml:space="preserve"> the performance risk assessment, improvement is compared to same time last year performance.</w:t>
            </w:r>
          </w:p>
        </w:tc>
      </w:tr>
      <w:tr w:rsidR="00E94E5A" w:rsidRPr="00315936" w14:paraId="7C7AD71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ACD8B2B" w14:textId="77777777" w:rsidR="00E94E5A" w:rsidRPr="00315936" w:rsidRDefault="00E94E5A" w:rsidP="00E94E5A">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3BF6CCC9" w14:textId="79F5D753" w:rsidR="00E94E5A" w:rsidRPr="00315936" w:rsidRDefault="00E94E5A" w:rsidP="00E94E5A">
            <w:pPr>
              <w:pStyle w:val="Tabletext"/>
            </w:pPr>
            <w:r w:rsidRPr="00315936">
              <w:t xml:space="preserve">Performance is </w:t>
            </w:r>
            <w:r w:rsidR="009E21A3" w:rsidRPr="00315936">
              <w:t>reported monthly</w:t>
            </w:r>
            <w:r w:rsidR="007D645A" w:rsidRPr="00315936">
              <w:t>.</w:t>
            </w:r>
            <w:r w:rsidR="009E21A3" w:rsidRPr="00315936">
              <w:t xml:space="preserve"> </w:t>
            </w:r>
          </w:p>
          <w:p w14:paraId="4A60BE8C" w14:textId="0A08CC6C" w:rsidR="00E94E5A" w:rsidRPr="00315936" w:rsidRDefault="00E94E5A" w:rsidP="00E94E5A">
            <w:pPr>
              <w:pStyle w:val="Tabletext"/>
              <w:rPr>
                <w:lang w:eastAsia="en-AU"/>
              </w:rPr>
            </w:pPr>
            <w:r w:rsidRPr="00315936">
              <w:t>Data are</w:t>
            </w:r>
            <w:r w:rsidR="009E21A3" w:rsidRPr="00315936">
              <w:t xml:space="preserve"> sourced from</w:t>
            </w:r>
            <w:r w:rsidRPr="00315936">
              <w:t xml:space="preserve"> </w:t>
            </w:r>
            <w:r w:rsidR="00EE7E49">
              <w:t xml:space="preserve">the Victorian Integrated </w:t>
            </w:r>
            <w:r w:rsidR="009F16A9">
              <w:t>Non-Admitted Health (VINAH) Minimum Dataset</w:t>
            </w:r>
            <w:r w:rsidRPr="00315936">
              <w:t xml:space="preserve">. </w:t>
            </w:r>
          </w:p>
        </w:tc>
      </w:tr>
    </w:tbl>
    <w:p w14:paraId="0FE648FA" w14:textId="108A66FB" w:rsidR="00140581" w:rsidRPr="00315936" w:rsidRDefault="00140581" w:rsidP="00140581">
      <w:pPr>
        <w:pStyle w:val="Heading3"/>
      </w:pPr>
      <w:bookmarkStart w:id="106" w:name="_Toc1611405236"/>
      <w:r w:rsidRPr="00315936">
        <w:t>Home based care</w:t>
      </w:r>
      <w:bookmarkEnd w:id="106"/>
    </w:p>
    <w:p w14:paraId="7E2C19A9" w14:textId="582736CD" w:rsidR="00022590" w:rsidRPr="00315936" w:rsidRDefault="00850922" w:rsidP="008E7F78">
      <w:pPr>
        <w:pStyle w:val="Heading4"/>
      </w:pPr>
      <w:bookmarkStart w:id="107" w:name="_Toc1098099762"/>
      <w:r w:rsidRPr="00315936">
        <w:t>Percentage of admitted bed days delivered at home</w:t>
      </w:r>
      <w:bookmarkEnd w:id="107"/>
    </w:p>
    <w:tbl>
      <w:tblPr>
        <w:tblStyle w:val="TableGrid"/>
        <w:tblW w:w="10343" w:type="dxa"/>
        <w:tblLook w:val="04A0" w:firstRow="1" w:lastRow="0" w:firstColumn="1" w:lastColumn="0" w:noHBand="0" w:noVBand="1"/>
      </w:tblPr>
      <w:tblGrid>
        <w:gridCol w:w="1837"/>
        <w:gridCol w:w="8506"/>
      </w:tblGrid>
      <w:tr w:rsidR="00BC1A43" w:rsidRPr="00315936" w14:paraId="2C48B2E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D8E4B9C" w14:textId="20E33EE6" w:rsidR="00BC1A43"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16F76775" w14:textId="439DCD1A" w:rsidR="00BC1A43" w:rsidRPr="00315936" w:rsidRDefault="00BC1A43">
            <w:pPr>
              <w:pStyle w:val="Tabletext"/>
              <w:rPr>
                <w:lang w:eastAsia="en-AU"/>
              </w:rPr>
            </w:pPr>
            <w:r w:rsidRPr="00315936">
              <w:rPr>
                <w:rFonts w:eastAsia="VIC"/>
              </w:rPr>
              <w:t>Percentage of admitted bed days delivered at home</w:t>
            </w:r>
          </w:p>
        </w:tc>
      </w:tr>
      <w:tr w:rsidR="00BC1A43" w:rsidRPr="00315936" w14:paraId="675366B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C03C84A" w14:textId="77777777" w:rsidR="00BC1A43" w:rsidRPr="00315936" w:rsidRDefault="00BC1A43">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3827BB90" w14:textId="67527985" w:rsidR="00BC1A43" w:rsidRPr="00315936" w:rsidRDefault="00BC1A43">
            <w:pPr>
              <w:pStyle w:val="Tabletext"/>
              <w:rPr>
                <w:lang w:eastAsia="en-AU"/>
              </w:rPr>
            </w:pPr>
            <w:r w:rsidRPr="00315936">
              <w:rPr>
                <w:color w:val="000000"/>
                <w:shd w:val="clear" w:color="auto" w:fill="FFFFFF"/>
              </w:rPr>
              <w:t>This measure</w:t>
            </w:r>
            <w:r w:rsidR="006269B3">
              <w:rPr>
                <w:color w:val="000000"/>
                <w:shd w:val="clear" w:color="auto" w:fill="FFFFFF"/>
              </w:rPr>
              <w:t>s</w:t>
            </w:r>
            <w:r w:rsidRPr="00315936" w:rsidDel="006269B3">
              <w:rPr>
                <w:color w:val="000000"/>
                <w:shd w:val="clear" w:color="auto" w:fill="FFFFFF"/>
              </w:rPr>
              <w:t xml:space="preserve"> </w:t>
            </w:r>
            <w:r w:rsidRPr="00315936">
              <w:rPr>
                <w:color w:val="000000"/>
                <w:shd w:val="clear" w:color="auto" w:fill="FFFFFF"/>
              </w:rPr>
              <w:t>the proportion of total admitted bed days that are delivered to patients in their usual place of residence.</w:t>
            </w:r>
          </w:p>
        </w:tc>
      </w:tr>
      <w:tr w:rsidR="00BC1A43" w:rsidRPr="00315936" w14:paraId="1BF54C94"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599624A" w14:textId="77777777" w:rsidR="00BC1A43" w:rsidRPr="00315936" w:rsidRDefault="00BC1A43">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58515759" w14:textId="45213214" w:rsidR="007E415D" w:rsidRDefault="000C40FD">
            <w:pPr>
              <w:pStyle w:val="Tabletext"/>
              <w:rPr>
                <w:rFonts w:cs="Calibri"/>
                <w:color w:val="000000"/>
                <w:bdr w:val="none" w:sz="0" w:space="0" w:color="auto" w:frame="1"/>
                <w:lang w:eastAsia="en-AU"/>
              </w:rPr>
            </w:pPr>
            <w:r>
              <w:rPr>
                <w:rFonts w:cs="Calibri"/>
                <w:color w:val="000000"/>
                <w:bdr w:val="none" w:sz="0" w:space="0" w:color="auto" w:frame="1"/>
                <w:lang w:eastAsia="en-AU"/>
              </w:rPr>
              <w:t xml:space="preserve">The scope of the measure includes all </w:t>
            </w:r>
            <w:r w:rsidR="005D09EA">
              <w:rPr>
                <w:rFonts w:cs="Calibri"/>
                <w:color w:val="000000"/>
                <w:bdr w:val="none" w:sz="0" w:space="0" w:color="auto" w:frame="1"/>
                <w:lang w:eastAsia="en-AU"/>
              </w:rPr>
              <w:t xml:space="preserve">inpatient episodes </w:t>
            </w:r>
            <w:r w:rsidR="006903F0">
              <w:rPr>
                <w:rFonts w:cs="Calibri"/>
                <w:color w:val="000000"/>
                <w:bdr w:val="none" w:sz="0" w:space="0" w:color="auto" w:frame="1"/>
                <w:lang w:eastAsia="en-AU"/>
              </w:rPr>
              <w:t xml:space="preserve">with </w:t>
            </w:r>
            <w:r w:rsidR="0020430C">
              <w:rPr>
                <w:rFonts w:cs="Calibri"/>
                <w:color w:val="000000"/>
                <w:bdr w:val="none" w:sz="0" w:space="0" w:color="auto" w:frame="1"/>
                <w:lang w:eastAsia="en-AU"/>
              </w:rPr>
              <w:t>no</w:t>
            </w:r>
            <w:r w:rsidR="006903F0">
              <w:rPr>
                <w:rFonts w:cs="Calibri"/>
                <w:color w:val="000000"/>
                <w:bdr w:val="none" w:sz="0" w:space="0" w:color="auto" w:frame="1"/>
                <w:lang w:eastAsia="en-AU"/>
              </w:rPr>
              <w:t xml:space="preserve"> exclusions</w:t>
            </w:r>
            <w:r w:rsidR="0020430C">
              <w:rPr>
                <w:rFonts w:cs="Calibri"/>
                <w:color w:val="000000"/>
                <w:bdr w:val="none" w:sz="0" w:space="0" w:color="auto" w:frame="1"/>
                <w:lang w:eastAsia="en-AU"/>
              </w:rPr>
              <w:t>.</w:t>
            </w:r>
          </w:p>
          <w:p w14:paraId="3CE19F51" w14:textId="07FA63EF" w:rsidR="00BC1A43" w:rsidRPr="00315936" w:rsidRDefault="007212CD" w:rsidP="007E415D">
            <w:pPr>
              <w:pStyle w:val="Tabletext"/>
              <w:rPr>
                <w:rFonts w:ascii="Calibri" w:hAnsi="Calibri"/>
                <w:lang w:eastAsia="en-AU"/>
              </w:rPr>
            </w:pPr>
            <w:r>
              <w:rPr>
                <w:bdr w:val="none" w:sz="0" w:space="0" w:color="auto" w:frame="1"/>
                <w:lang w:eastAsia="en-AU"/>
              </w:rPr>
              <w:t>‘Total b</w:t>
            </w:r>
            <w:r w:rsidR="00BC1A43" w:rsidRPr="00315936">
              <w:rPr>
                <w:bdr w:val="none" w:sz="0" w:space="0" w:color="auto" w:frame="1"/>
                <w:lang w:eastAsia="en-AU"/>
              </w:rPr>
              <w:t xml:space="preserve">ed days’ are </w:t>
            </w:r>
            <w:r w:rsidR="005F6BD4">
              <w:rPr>
                <w:bdr w:val="none" w:sz="0" w:space="0" w:color="auto" w:frame="1"/>
                <w:lang w:eastAsia="en-AU"/>
              </w:rPr>
              <w:t>the</w:t>
            </w:r>
            <w:r w:rsidR="006E5F5B">
              <w:rPr>
                <w:bdr w:val="none" w:sz="0" w:space="0" w:color="auto" w:frame="1"/>
                <w:lang w:eastAsia="en-AU"/>
              </w:rPr>
              <w:t xml:space="preserve"> number of </w:t>
            </w:r>
            <w:r w:rsidR="005F6BD4">
              <w:rPr>
                <w:bdr w:val="none" w:sz="0" w:space="0" w:color="auto" w:frame="1"/>
                <w:lang w:eastAsia="en-AU"/>
              </w:rPr>
              <w:t>midnights</w:t>
            </w:r>
            <w:r w:rsidR="00416406">
              <w:rPr>
                <w:bdr w:val="none" w:sz="0" w:space="0" w:color="auto" w:frame="1"/>
                <w:lang w:eastAsia="en-AU"/>
              </w:rPr>
              <w:t xml:space="preserve"> during which a patient receiving admitted care occupies </w:t>
            </w:r>
            <w:r w:rsidR="002068EC">
              <w:rPr>
                <w:bdr w:val="none" w:sz="0" w:space="0" w:color="auto" w:frame="1"/>
                <w:lang w:eastAsia="en-AU"/>
              </w:rPr>
              <w:t>an inpatient bed at the health service.</w:t>
            </w:r>
            <w:r w:rsidR="00E54F7B">
              <w:rPr>
                <w:bdr w:val="none" w:sz="0" w:space="0" w:color="auto" w:frame="1"/>
                <w:lang w:eastAsia="en-AU"/>
              </w:rPr>
              <w:t xml:space="preserve"> Leave with or without permission are excluded from total bed days.</w:t>
            </w:r>
          </w:p>
          <w:p w14:paraId="36A9BBC5" w14:textId="297049A3" w:rsidR="00BC1A43" w:rsidRPr="00315936" w:rsidRDefault="00BC1A43" w:rsidP="007E415D">
            <w:pPr>
              <w:pStyle w:val="Tablebullet1"/>
              <w:numPr>
                <w:ilvl w:val="0"/>
                <w:numId w:val="0"/>
              </w:numPr>
              <w:rPr>
                <w:rFonts w:ascii="Calibri" w:hAnsi="Calibri"/>
                <w:lang w:eastAsia="en-AU"/>
              </w:rPr>
            </w:pPr>
            <w:r w:rsidRPr="00315936">
              <w:rPr>
                <w:bdr w:val="none" w:sz="0" w:space="0" w:color="auto" w:frame="1"/>
                <w:lang w:eastAsia="en-AU"/>
              </w:rPr>
              <w:t>‘</w:t>
            </w:r>
            <w:r w:rsidR="00464D3F">
              <w:rPr>
                <w:bdr w:val="none" w:sz="0" w:space="0" w:color="auto" w:frame="1"/>
                <w:lang w:eastAsia="en-AU"/>
              </w:rPr>
              <w:t>Bed days delivered a</w:t>
            </w:r>
            <w:r w:rsidRPr="00315936">
              <w:rPr>
                <w:bdr w:val="none" w:sz="0" w:space="0" w:color="auto" w:frame="1"/>
                <w:lang w:eastAsia="en-AU"/>
              </w:rPr>
              <w:t xml:space="preserve">t home’ are </w:t>
            </w:r>
            <w:r w:rsidR="007212CD">
              <w:rPr>
                <w:bdr w:val="none" w:sz="0" w:space="0" w:color="auto" w:frame="1"/>
                <w:lang w:eastAsia="en-AU"/>
              </w:rPr>
              <w:t>identified</w:t>
            </w:r>
            <w:r w:rsidR="007212CD" w:rsidRPr="00315936">
              <w:rPr>
                <w:bdr w:val="none" w:sz="0" w:space="0" w:color="auto" w:frame="1"/>
                <w:lang w:eastAsia="en-AU"/>
              </w:rPr>
              <w:t xml:space="preserve"> </w:t>
            </w:r>
            <w:r w:rsidRPr="00315936">
              <w:rPr>
                <w:bdr w:val="none" w:sz="0" w:space="0" w:color="auto" w:frame="1"/>
                <w:lang w:eastAsia="en-AU"/>
              </w:rPr>
              <w:t>as those in which ‘Accommodation type’ at midnight is coded as ‘4 – Hospital in the Home (HITH).’</w:t>
            </w:r>
          </w:p>
          <w:p w14:paraId="0A132814" w14:textId="7EC3FC7E" w:rsidR="00BC1A43" w:rsidRPr="00315936" w:rsidRDefault="00BC1A43" w:rsidP="007E415D">
            <w:pPr>
              <w:pStyle w:val="Tablebullet1"/>
              <w:numPr>
                <w:ilvl w:val="0"/>
                <w:numId w:val="0"/>
              </w:numPr>
              <w:rPr>
                <w:lang w:eastAsia="en-AU"/>
              </w:rPr>
            </w:pPr>
            <w:r w:rsidRPr="00315936">
              <w:rPr>
                <w:bdr w:val="none" w:sz="0" w:space="0" w:color="auto" w:frame="1"/>
                <w:lang w:eastAsia="en-AU"/>
              </w:rPr>
              <w:t xml:space="preserve">Same-day patients who are transferred </w:t>
            </w:r>
            <w:r w:rsidR="00C65073">
              <w:rPr>
                <w:bdr w:val="none" w:sz="0" w:space="0" w:color="auto" w:frame="1"/>
                <w:lang w:eastAsia="en-AU"/>
              </w:rPr>
              <w:t>to HITH accommodation</w:t>
            </w:r>
            <w:r w:rsidR="00C65073" w:rsidRPr="00315936">
              <w:rPr>
                <w:bdr w:val="none" w:sz="0" w:space="0" w:color="auto" w:frame="1"/>
                <w:lang w:eastAsia="en-AU"/>
              </w:rPr>
              <w:t xml:space="preserve"> </w:t>
            </w:r>
            <w:r w:rsidRPr="00315936">
              <w:rPr>
                <w:bdr w:val="none" w:sz="0" w:space="0" w:color="auto" w:frame="1"/>
                <w:lang w:eastAsia="en-AU"/>
              </w:rPr>
              <w:t xml:space="preserve">before separation, or whose entire </w:t>
            </w:r>
            <w:r w:rsidR="002C1E57">
              <w:rPr>
                <w:bdr w:val="none" w:sz="0" w:space="0" w:color="auto" w:frame="1"/>
                <w:lang w:eastAsia="en-AU"/>
              </w:rPr>
              <w:t>accommodation</w:t>
            </w:r>
            <w:r w:rsidR="00230EBF">
              <w:rPr>
                <w:bdr w:val="none" w:sz="0" w:space="0" w:color="auto" w:frame="1"/>
                <w:lang w:eastAsia="en-AU"/>
              </w:rPr>
              <w:t xml:space="preserve"> type</w:t>
            </w:r>
            <w:r w:rsidRPr="00315936">
              <w:rPr>
                <w:bdr w:val="none" w:sz="0" w:space="0" w:color="auto" w:frame="1"/>
                <w:lang w:eastAsia="en-AU"/>
              </w:rPr>
              <w:t xml:space="preserve"> is </w:t>
            </w:r>
            <w:r w:rsidR="002C1E57">
              <w:rPr>
                <w:bdr w:val="none" w:sz="0" w:space="0" w:color="auto" w:frame="1"/>
                <w:lang w:eastAsia="en-AU"/>
              </w:rPr>
              <w:t>HITH</w:t>
            </w:r>
            <w:r w:rsidRPr="00315936">
              <w:rPr>
                <w:bdr w:val="none" w:sz="0" w:space="0" w:color="auto" w:frame="1"/>
                <w:lang w:eastAsia="en-AU"/>
              </w:rPr>
              <w:t xml:space="preserve"> will </w:t>
            </w:r>
            <w:r w:rsidR="00230EBF">
              <w:rPr>
                <w:bdr w:val="none" w:sz="0" w:space="0" w:color="auto" w:frame="1"/>
                <w:lang w:eastAsia="en-AU"/>
              </w:rPr>
              <w:t xml:space="preserve">be included in scope and </w:t>
            </w:r>
            <w:r w:rsidR="00D352BD">
              <w:rPr>
                <w:bdr w:val="none" w:sz="0" w:space="0" w:color="auto" w:frame="1"/>
                <w:lang w:eastAsia="en-AU"/>
              </w:rPr>
              <w:t xml:space="preserve">will </w:t>
            </w:r>
            <w:r w:rsidRPr="00315936">
              <w:rPr>
                <w:bdr w:val="none" w:sz="0" w:space="0" w:color="auto" w:frame="1"/>
                <w:lang w:eastAsia="en-AU"/>
              </w:rPr>
              <w:t>have their bed day</w:t>
            </w:r>
            <w:r w:rsidR="003A3654">
              <w:rPr>
                <w:bdr w:val="none" w:sz="0" w:space="0" w:color="auto" w:frame="1"/>
                <w:lang w:eastAsia="en-AU"/>
              </w:rPr>
              <w:t>(s)</w:t>
            </w:r>
            <w:r w:rsidRPr="00315936">
              <w:rPr>
                <w:bdr w:val="none" w:sz="0" w:space="0" w:color="auto" w:frame="1"/>
                <w:lang w:eastAsia="en-AU"/>
              </w:rPr>
              <w:t xml:space="preserve"> recorded as ‘at home’.</w:t>
            </w:r>
          </w:p>
        </w:tc>
      </w:tr>
      <w:tr w:rsidR="00BC1A43" w:rsidRPr="00315936" w14:paraId="5B68619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C877DEB" w14:textId="77777777" w:rsidR="00BC1A43" w:rsidRPr="00315936" w:rsidRDefault="00BC1A43">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64F66408" w14:textId="77777777" w:rsidR="00BC1A43" w:rsidRPr="00315936" w:rsidRDefault="00BC1A43">
            <w:pPr>
              <w:pStyle w:val="Tabletext"/>
              <w:rPr>
                <w:lang w:eastAsia="en-AU"/>
              </w:rPr>
            </w:pPr>
            <w:r w:rsidRPr="00315936">
              <w:rPr>
                <w:rFonts w:eastAsia="VIC"/>
                <w:color w:val="242424"/>
              </w:rPr>
              <w:t>Total number of bed days delivered at home</w:t>
            </w:r>
          </w:p>
        </w:tc>
      </w:tr>
      <w:tr w:rsidR="00BC1A43" w:rsidRPr="00315936" w14:paraId="0080C99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E73EFA3" w14:textId="77777777" w:rsidR="00BC1A43" w:rsidRPr="00315936" w:rsidRDefault="00BC1A43">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50BD12A3" w14:textId="77777777" w:rsidR="00BC1A43" w:rsidRPr="00315936" w:rsidRDefault="00BC1A43">
            <w:pPr>
              <w:pStyle w:val="Tabletext"/>
              <w:rPr>
                <w:lang w:eastAsia="en-AU"/>
              </w:rPr>
            </w:pPr>
            <w:r w:rsidRPr="00315936">
              <w:rPr>
                <w:rFonts w:eastAsia="VIC"/>
                <w:color w:val="242424"/>
              </w:rPr>
              <w:t>Total number of bed days delivered</w:t>
            </w:r>
          </w:p>
        </w:tc>
      </w:tr>
      <w:tr w:rsidR="00BC1A43" w:rsidRPr="00315936" w14:paraId="28BEF81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7C164B0" w14:textId="77777777" w:rsidR="00BC1A43" w:rsidRPr="00315936" w:rsidRDefault="00BC1A43">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0140A9CE" w14:textId="4F7FF0AC" w:rsidR="00BC1A43" w:rsidRPr="00315936" w:rsidRDefault="008E04E3">
            <w:pPr>
              <w:pStyle w:val="Tabletext"/>
              <w:rPr>
                <w:rFonts w:ascii="Aptos" w:eastAsia="Aptos" w:hAnsi="Aptos" w:cs="Aptos"/>
                <w:sz w:val="24"/>
                <w:szCs w:val="24"/>
              </w:rPr>
            </w:pPr>
            <w:r w:rsidRPr="00315936">
              <w:t xml:space="preserve">As agreed in the </w:t>
            </w:r>
            <w:proofErr w:type="spellStart"/>
            <w:r w:rsidRPr="00315936">
              <w:t>SoP</w:t>
            </w:r>
            <w:proofErr w:type="spellEnd"/>
            <w:r w:rsidRPr="00315936">
              <w:t xml:space="preserve"> for each health service</w:t>
            </w:r>
          </w:p>
        </w:tc>
      </w:tr>
      <w:tr w:rsidR="00BC1A43" w:rsidRPr="00315936" w14:paraId="70AE411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874399D" w14:textId="0911A039" w:rsidR="00BC1A43" w:rsidRPr="00315936" w:rsidRDefault="009F0405">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0DD2F283" w14:textId="56A2FF6C" w:rsidR="00BC1A43" w:rsidRPr="00315936" w:rsidRDefault="66DE7039">
            <w:pPr>
              <w:pStyle w:val="Tabletext"/>
              <w:rPr>
                <w:rFonts w:eastAsia="VIC"/>
              </w:rPr>
            </w:pPr>
            <w:r w:rsidRPr="00E65A9B">
              <w:rPr>
                <w:rFonts w:eastAsia="Aptos"/>
              </w:rPr>
              <w:t>Greater than or equal to health service target</w:t>
            </w:r>
          </w:p>
        </w:tc>
      </w:tr>
      <w:tr w:rsidR="00BC1A43" w:rsidRPr="00315936" w14:paraId="4AEC144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803DD5B" w14:textId="3300B87B" w:rsidR="00BC1A43" w:rsidRPr="00315936" w:rsidRDefault="009F0405">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774FC957" w14:textId="5BCEE4DE" w:rsidR="00BC1A43" w:rsidRPr="00315936" w:rsidRDefault="6CA44D23">
            <w:pPr>
              <w:pStyle w:val="Tabletext"/>
              <w:rPr>
                <w:rFonts w:eastAsia="VIC"/>
              </w:rPr>
            </w:pPr>
            <w:r w:rsidRPr="00E65A9B">
              <w:rPr>
                <w:rFonts w:eastAsia="Aptos"/>
              </w:rPr>
              <w:t>Less than health service target</w:t>
            </w:r>
          </w:p>
        </w:tc>
      </w:tr>
      <w:tr w:rsidR="00BC1A43" w:rsidRPr="00315936" w14:paraId="426772EC"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A645F87" w14:textId="77777777" w:rsidR="00BC1A43" w:rsidRPr="00315936" w:rsidRDefault="00BC1A43">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07B1932A" w14:textId="6E9208AC" w:rsidR="00BC1A43" w:rsidRPr="00315936" w:rsidRDefault="003B0A6B" w:rsidP="00CB6F3F">
            <w:pPr>
              <w:pStyle w:val="Tabletext"/>
              <w:spacing w:line="259" w:lineRule="auto"/>
              <w:rPr>
                <w:lang w:eastAsia="en-AU"/>
              </w:rPr>
            </w:pPr>
            <w:proofErr w:type="gramStart"/>
            <w:r>
              <w:rPr>
                <w:rFonts w:eastAsia="VIC"/>
              </w:rPr>
              <w:t>For the purpose of</w:t>
            </w:r>
            <w:proofErr w:type="gramEnd"/>
            <w:r>
              <w:rPr>
                <w:rFonts w:eastAsia="VIC"/>
              </w:rPr>
              <w:t xml:space="preserve"> the performance risk assessment, i</w:t>
            </w:r>
            <w:r w:rsidR="00BC1A43" w:rsidRPr="4A3EC911">
              <w:rPr>
                <w:rFonts w:eastAsia="VIC"/>
              </w:rPr>
              <w:t xml:space="preserve">mprovement is assessed against the previous </w:t>
            </w:r>
            <w:r w:rsidR="42B4E63A" w:rsidRPr="4A3EC911">
              <w:rPr>
                <w:rFonts w:eastAsia="VIC"/>
              </w:rPr>
              <w:t>year</w:t>
            </w:r>
            <w:r w:rsidR="1E77553C" w:rsidRPr="4A3EC911">
              <w:rPr>
                <w:rFonts w:eastAsia="VIC"/>
              </w:rPr>
              <w:t>’s</w:t>
            </w:r>
            <w:r w:rsidR="00BC1A43" w:rsidRPr="4A3EC911">
              <w:rPr>
                <w:rFonts w:eastAsia="VIC"/>
              </w:rPr>
              <w:t xml:space="preserve"> performance.</w:t>
            </w:r>
          </w:p>
        </w:tc>
      </w:tr>
      <w:tr w:rsidR="00BC1A43" w:rsidRPr="00315936" w14:paraId="6DE1339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5B09836" w14:textId="77777777" w:rsidR="00BC1A43" w:rsidRPr="00315936" w:rsidRDefault="00BC1A43">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32CC063E" w14:textId="21595647" w:rsidR="00BC1A43" w:rsidRPr="00315936" w:rsidRDefault="00BC1A43">
            <w:pPr>
              <w:pStyle w:val="Tabletext"/>
            </w:pPr>
            <w:r w:rsidRPr="00315936">
              <w:t xml:space="preserve">Performance is </w:t>
            </w:r>
            <w:r w:rsidR="009E21A3" w:rsidRPr="00315936">
              <w:t>reported quarterly and annually at the health service level.</w:t>
            </w:r>
          </w:p>
          <w:p w14:paraId="34C11220" w14:textId="5814745C" w:rsidR="00BC1A43" w:rsidRPr="00315936" w:rsidRDefault="00BC1A43" w:rsidP="002A3E24">
            <w:pPr>
              <w:pStyle w:val="Tablebullet1"/>
              <w:numPr>
                <w:ilvl w:val="0"/>
                <w:numId w:val="0"/>
              </w:numPr>
              <w:ind w:left="227" w:hanging="227"/>
            </w:pPr>
            <w:r w:rsidRPr="00315936">
              <w:t xml:space="preserve">Data </w:t>
            </w:r>
            <w:r w:rsidR="009E21A3" w:rsidRPr="00315936">
              <w:t xml:space="preserve">are sourced </w:t>
            </w:r>
            <w:r w:rsidRPr="00315936">
              <w:t>from</w:t>
            </w:r>
            <w:r w:rsidR="002A7D5D" w:rsidRPr="00315936">
              <w:t xml:space="preserve"> </w:t>
            </w:r>
            <w:r w:rsidR="00126CDF">
              <w:t>the Victorian Admitted Episodes Dataset (VAED).</w:t>
            </w:r>
            <w:r w:rsidR="00126CDF" w:rsidRPr="00315936">
              <w:t xml:space="preserve"> </w:t>
            </w:r>
          </w:p>
        </w:tc>
      </w:tr>
    </w:tbl>
    <w:p w14:paraId="78071126" w14:textId="4229D617" w:rsidR="00140581" w:rsidRPr="00315936" w:rsidRDefault="00140581" w:rsidP="00140581">
      <w:pPr>
        <w:pStyle w:val="Heading3"/>
      </w:pPr>
      <w:bookmarkStart w:id="108" w:name="_Toc91792769"/>
      <w:r w:rsidRPr="00315936">
        <w:t>Ambulance Victoria</w:t>
      </w:r>
      <w:bookmarkEnd w:id="108"/>
    </w:p>
    <w:p w14:paraId="4C84BDE3" w14:textId="19B21D5A" w:rsidR="00A166FD" w:rsidRDefault="00A166FD" w:rsidP="008E7F78">
      <w:pPr>
        <w:pStyle w:val="Heading4"/>
      </w:pPr>
      <w:bookmarkStart w:id="109" w:name="_Toc2044746889"/>
      <w:r w:rsidRPr="00315936">
        <w:t>Percentage of emergency (Code 1) incidents</w:t>
      </w:r>
      <w:r>
        <w:t xml:space="preserve"> (modified Secondary Triage call start time)</w:t>
      </w:r>
      <w:r w:rsidRPr="00315936">
        <w:t xml:space="preserve"> responded to within 15 minutes</w:t>
      </w:r>
      <w:r w:rsidR="00A303F1">
        <w:t xml:space="preserve"> </w:t>
      </w:r>
    </w:p>
    <w:tbl>
      <w:tblPr>
        <w:tblStyle w:val="TableGrid"/>
        <w:tblW w:w="10343" w:type="dxa"/>
        <w:tblLook w:val="04A0" w:firstRow="1" w:lastRow="0" w:firstColumn="1" w:lastColumn="0" w:noHBand="0" w:noVBand="1"/>
      </w:tblPr>
      <w:tblGrid>
        <w:gridCol w:w="1837"/>
        <w:gridCol w:w="8506"/>
      </w:tblGrid>
      <w:tr w:rsidR="00A166FD" w:rsidRPr="00315936" w14:paraId="048C568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0ED87DA" w14:textId="77777777" w:rsidR="00A166FD" w:rsidRPr="00315936" w:rsidRDefault="00A166FD">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33815AFC" w14:textId="7FE0D7A2" w:rsidR="00A166FD" w:rsidRPr="00315936" w:rsidRDefault="00A166FD">
            <w:pPr>
              <w:pStyle w:val="Tabletext"/>
              <w:rPr>
                <w:lang w:eastAsia="en-AU"/>
              </w:rPr>
            </w:pPr>
            <w:r w:rsidRPr="00315936">
              <w:t>Percentage of emergency (Code 1) incidents</w:t>
            </w:r>
            <w:r w:rsidR="00046F5C">
              <w:t xml:space="preserve"> (modified Secondary Triage call start time)</w:t>
            </w:r>
            <w:r w:rsidRPr="00315936">
              <w:t xml:space="preserve"> responded to within 15 minutes</w:t>
            </w:r>
            <w:r w:rsidR="00D14BA0">
              <w:t xml:space="preserve"> </w:t>
            </w:r>
            <w:r w:rsidR="00036D6F">
              <w:fldChar w:fldCharType="begin"/>
            </w:r>
            <w:r w:rsidR="00036D6F">
              <w:instrText xml:space="preserve"> NOTEREF _Ref201303719 \f \h </w:instrText>
            </w:r>
            <w:r w:rsidR="00A23420">
              <w:instrText xml:space="preserve"> \* MERGEFORMAT </w:instrText>
            </w:r>
            <w:r w:rsidR="00036D6F">
              <w:fldChar w:fldCharType="separate"/>
            </w:r>
            <w:r w:rsidR="00036D6F" w:rsidRPr="00036D6F">
              <w:rPr>
                <w:rStyle w:val="EndnoteReference"/>
              </w:rPr>
              <w:t>ix</w:t>
            </w:r>
            <w:r w:rsidR="00036D6F">
              <w:fldChar w:fldCharType="end"/>
            </w:r>
            <w:r w:rsidR="007B4887">
              <w:fldChar w:fldCharType="begin"/>
            </w:r>
            <w:r w:rsidR="007B4887">
              <w:instrText xml:space="preserve"> NOTEREF _Ref201303719 \f \h </w:instrText>
            </w:r>
            <w:r w:rsidR="00A23420">
              <w:instrText xml:space="preserve"> \* MERGEFORMAT </w:instrText>
            </w:r>
            <w:r w:rsidR="007B4887">
              <w:fldChar w:fldCharType="separate"/>
            </w:r>
            <w:r w:rsidR="007B4887">
              <w:fldChar w:fldCharType="end"/>
            </w:r>
            <w:r w:rsidR="007B4887" w:rsidDel="007B4887">
              <w:t xml:space="preserve"> </w:t>
            </w:r>
          </w:p>
        </w:tc>
      </w:tr>
      <w:tr w:rsidR="00A166FD" w:rsidRPr="00315936" w14:paraId="60A3F6B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6DF79DB" w14:textId="77777777" w:rsidR="00A166FD" w:rsidRPr="00315936" w:rsidRDefault="00A166FD">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1652805E" w14:textId="1210C047" w:rsidR="00A166FD" w:rsidRPr="00315936" w:rsidRDefault="00A166FD">
            <w:pPr>
              <w:pStyle w:val="Tabletext"/>
            </w:pPr>
            <w:r w:rsidRPr="00315936">
              <w:t>Statewide response times are a</w:t>
            </w:r>
            <w:r w:rsidR="002201A7">
              <w:t>n indicator</w:t>
            </w:r>
            <w:r w:rsidRPr="00315936">
              <w:t xml:space="preserve"> of the provision of accessible and effective ambulance service to communities.</w:t>
            </w:r>
          </w:p>
          <w:p w14:paraId="334138D1" w14:textId="77777777" w:rsidR="00F44F93" w:rsidRDefault="00A166FD">
            <w:pPr>
              <w:pStyle w:val="Tabletext"/>
            </w:pPr>
            <w:r w:rsidRPr="00315936">
              <w:t>Code 1 incidents are potentially life threatening and are time-critical, requiring a lights and sirens response.</w:t>
            </w:r>
          </w:p>
          <w:p w14:paraId="76136203" w14:textId="620CD295" w:rsidR="001E74E8" w:rsidRPr="00315936" w:rsidRDefault="001E74E8">
            <w:pPr>
              <w:pStyle w:val="Tabletext"/>
            </w:pPr>
            <w:r>
              <w:t xml:space="preserve">Some Code 1 </w:t>
            </w:r>
            <w:r w:rsidR="0035132A">
              <w:t xml:space="preserve">incidents involve a </w:t>
            </w:r>
            <w:r w:rsidR="00667D57">
              <w:t>‘</w:t>
            </w:r>
            <w:r w:rsidR="0035132A">
              <w:t>modified Secondary Triage call start time</w:t>
            </w:r>
            <w:r w:rsidR="00667D57">
              <w:t>’</w:t>
            </w:r>
            <w:r w:rsidR="0035132A">
              <w:t xml:space="preserve">, where the initial </w:t>
            </w:r>
            <w:r w:rsidR="00E92012">
              <w:t xml:space="preserve">triple zero (000) </w:t>
            </w:r>
            <w:r w:rsidR="00667D57">
              <w:t>call is redirected to secondary triage</w:t>
            </w:r>
            <w:r w:rsidR="00FD4B9C">
              <w:t xml:space="preserve"> for further assessment. If the incident is subsequently deemed a priority, it is classified as Code 1</w:t>
            </w:r>
            <w:r w:rsidR="00B332FC">
              <w:t xml:space="preserve">. In these cases, the response time is measured from the point at which secondary triage confirms the Code 1 classification, rather than </w:t>
            </w:r>
            <w:r w:rsidR="00E3646E">
              <w:t xml:space="preserve">the time of the initial call. </w:t>
            </w:r>
          </w:p>
        </w:tc>
      </w:tr>
      <w:tr w:rsidR="00A166FD" w:rsidRPr="00315936" w14:paraId="08A09B0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D3C1EF3" w14:textId="77777777" w:rsidR="00A166FD" w:rsidRPr="00315936" w:rsidRDefault="00A166FD">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567C15A9" w14:textId="5E4538FA" w:rsidR="00A166FD" w:rsidRPr="00315936" w:rsidRDefault="00A166FD">
            <w:pPr>
              <w:pStyle w:val="Tabletext"/>
            </w:pPr>
            <w:r>
              <w:t xml:space="preserve">Response time </w:t>
            </w:r>
            <w:r w:rsidR="27316F60">
              <w:t>is calculated as</w:t>
            </w:r>
            <w:r>
              <w:t xml:space="preserve"> the time from a triple zero (000) call being answered by the Emergency Services Telecommunications Authority (ESTA)</w:t>
            </w:r>
            <w:r w:rsidR="1CD9DE11">
              <w:t xml:space="preserve"> o</w:t>
            </w:r>
            <w:r w:rsidR="7F1B90DB">
              <w:t>r</w:t>
            </w:r>
            <w:r w:rsidR="15B7E5BF">
              <w:t xml:space="preserve"> when</w:t>
            </w:r>
            <w:r w:rsidR="36B9041A">
              <w:t xml:space="preserve"> Ambulance Victoria’s Triage Services identifies the call</w:t>
            </w:r>
            <w:r w:rsidR="294701DC">
              <w:t xml:space="preserve"> requires a Code 1 response</w:t>
            </w:r>
            <w:r w:rsidR="7013D066">
              <w:t>,</w:t>
            </w:r>
            <w:r w:rsidR="62132628">
              <w:t xml:space="preserve"> </w:t>
            </w:r>
            <w:r>
              <w:t>to the time an Ambulance Victoria paramedic, community emergency response team or ambulance community officer</w:t>
            </w:r>
            <w:r w:rsidR="27316F60">
              <w:t xml:space="preserve"> first arrives at the incident scene</w:t>
            </w:r>
            <w:r>
              <w:t>.</w:t>
            </w:r>
            <w:r w:rsidR="2797FE29">
              <w:t xml:space="preserve"> </w:t>
            </w:r>
          </w:p>
          <w:p w14:paraId="7157D5E0" w14:textId="20F79438" w:rsidR="00A166FD" w:rsidRPr="00315936" w:rsidRDefault="00A166FD">
            <w:pPr>
              <w:pStyle w:val="Tabletext"/>
            </w:pPr>
            <w:r w:rsidRPr="00315936">
              <w:t xml:space="preserve">This </w:t>
            </w:r>
            <w:r w:rsidR="008B6B05">
              <w:t>indicator</w:t>
            </w:r>
            <w:r w:rsidRPr="00315936">
              <w:t xml:space="preserve"> applies to all emergency road Code 1 incidents </w:t>
            </w:r>
            <w:r w:rsidR="00DB2297">
              <w:t>to which a response had been dispatched</w:t>
            </w:r>
            <w:r w:rsidRPr="00315936">
              <w:t>.</w:t>
            </w:r>
          </w:p>
          <w:p w14:paraId="51B4D847" w14:textId="0ED6AFD5" w:rsidR="00A166FD" w:rsidRPr="00315936" w:rsidRDefault="00A166FD">
            <w:pPr>
              <w:pStyle w:val="Tabletext"/>
            </w:pPr>
            <w:r w:rsidRPr="00315936">
              <w:t xml:space="preserve">This </w:t>
            </w:r>
            <w:r w:rsidR="008B6B05">
              <w:t>indicator</w:t>
            </w:r>
            <w:r w:rsidRPr="00315936">
              <w:t xml:space="preserve"> excludes:</w:t>
            </w:r>
          </w:p>
          <w:p w14:paraId="5A863616" w14:textId="77777777" w:rsidR="006D73ED" w:rsidRDefault="00A166FD" w:rsidP="000F444E">
            <w:pPr>
              <w:pStyle w:val="Tablebullet1"/>
            </w:pPr>
            <w:r w:rsidRPr="00315936">
              <w:t>incidents for which the response time was recorded as</w:t>
            </w:r>
            <w:r w:rsidR="0086359E">
              <w:t xml:space="preserve"> negative,</w:t>
            </w:r>
            <w:r w:rsidRPr="00315936">
              <w:t xml:space="preserve"> greater than 2 hours</w:t>
            </w:r>
            <w:r w:rsidR="00277D0E">
              <w:t xml:space="preserve"> </w:t>
            </w:r>
          </w:p>
          <w:p w14:paraId="18471618" w14:textId="331F3CA8" w:rsidR="00E659FD" w:rsidRDefault="004A72D9" w:rsidP="000F444E">
            <w:pPr>
              <w:pStyle w:val="Tablebullet1"/>
            </w:pPr>
            <w:r>
              <w:t xml:space="preserve">incidents </w:t>
            </w:r>
            <w:r w:rsidR="002051E9">
              <w:t>with</w:t>
            </w:r>
            <w:r w:rsidR="00A166FD" w:rsidRPr="00315936">
              <w:t xml:space="preserve"> missing time stamps</w:t>
            </w:r>
            <w:r w:rsidR="00E659FD">
              <w:t xml:space="preserve"> </w:t>
            </w:r>
          </w:p>
          <w:p w14:paraId="5E7C9907" w14:textId="77777777" w:rsidR="00D576D3" w:rsidRDefault="00E659FD" w:rsidP="00D576D3">
            <w:pPr>
              <w:pStyle w:val="Tablebullet1"/>
            </w:pPr>
            <w:r w:rsidRPr="00E659FD">
              <w:t>incidents with negative response times</w:t>
            </w:r>
            <w:r w:rsidR="00D576D3">
              <w:t xml:space="preserve"> </w:t>
            </w:r>
          </w:p>
          <w:p w14:paraId="18017020" w14:textId="77777777" w:rsidR="00BF6FA2" w:rsidRDefault="00D576D3" w:rsidP="00D576D3">
            <w:pPr>
              <w:pStyle w:val="Tablebullet1"/>
            </w:pPr>
            <w:r w:rsidRPr="00D576D3">
              <w:t xml:space="preserve">incidents where the first responding team is a Remote Area Nurse or a Public Access Defibrillator, or where the team is based in Pooncarie or Wentworth New South Wales </w:t>
            </w:r>
          </w:p>
          <w:p w14:paraId="069E8D52" w14:textId="483F684C" w:rsidR="00BF3156" w:rsidRDefault="00A166FD">
            <w:pPr>
              <w:pStyle w:val="Tablebullet1"/>
            </w:pPr>
            <w:r w:rsidRPr="00315936">
              <w:t xml:space="preserve">responses to ambulance incidents by </w:t>
            </w:r>
            <w:r w:rsidR="000721AE">
              <w:t>Fire Rescue Victoria</w:t>
            </w:r>
            <w:r w:rsidRPr="00315936">
              <w:t>, the Country Fire Authority, NSW Ambulance Service, and remote area nurses</w:t>
            </w:r>
          </w:p>
          <w:p w14:paraId="41DF1774" w14:textId="2F98E6C9" w:rsidR="00A166FD" w:rsidRDefault="00A166FD">
            <w:pPr>
              <w:pStyle w:val="Tablebullet1"/>
            </w:pPr>
            <w:r w:rsidRPr="00315936">
              <w:t>responses by air ambulance resources.</w:t>
            </w:r>
          </w:p>
          <w:p w14:paraId="78803FC5" w14:textId="77777777" w:rsidR="00281D33" w:rsidRPr="00D576D3" w:rsidRDefault="00281D33" w:rsidP="00281D33">
            <w:pPr>
              <w:pStyle w:val="Tablebullet1"/>
            </w:pPr>
            <w:r w:rsidRPr="00BF6FA2">
              <w:t>response records with other data quality issues. This may include records where data cannot be verified.</w:t>
            </w:r>
          </w:p>
          <w:p w14:paraId="538E5DC1" w14:textId="77777777" w:rsidR="00281D33" w:rsidRPr="00315936" w:rsidRDefault="00281D33" w:rsidP="00076BEC">
            <w:pPr>
              <w:pStyle w:val="Tablebullet1"/>
              <w:numPr>
                <w:ilvl w:val="0"/>
                <w:numId w:val="0"/>
              </w:numPr>
              <w:ind w:left="227"/>
            </w:pPr>
          </w:p>
          <w:p w14:paraId="142DC9AF" w14:textId="77777777" w:rsidR="00155898" w:rsidRDefault="00A166FD">
            <w:pPr>
              <w:pStyle w:val="Tabletext"/>
            </w:pPr>
            <w:r w:rsidRPr="00315936">
              <w:t xml:space="preserve">This </w:t>
            </w:r>
            <w:r w:rsidR="0074177A">
              <w:t>indicator</w:t>
            </w:r>
            <w:r w:rsidRPr="00315936">
              <w:t xml:space="preserve"> is expressed as a percentage to one decimal place.</w:t>
            </w:r>
          </w:p>
          <w:p w14:paraId="2693A152" w14:textId="54FDE602" w:rsidR="00620643" w:rsidRPr="00315936" w:rsidRDefault="00620643">
            <w:pPr>
              <w:pStyle w:val="Tabletext"/>
              <w:rPr>
                <w:lang w:eastAsia="en-AU"/>
              </w:rPr>
            </w:pPr>
            <w:r>
              <w:t xml:space="preserve">For incidents with a modified Secondary Triage call start time, the response time begins when secondary triage confirms the incident </w:t>
            </w:r>
            <w:r w:rsidR="00AF4EE8">
              <w:t>as a Code 1 priority, rather than the initial triple zero (000) call.</w:t>
            </w:r>
          </w:p>
        </w:tc>
      </w:tr>
      <w:tr w:rsidR="00A166FD" w:rsidRPr="00315936" w14:paraId="7825A78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4677BDD" w14:textId="77777777" w:rsidR="00A166FD" w:rsidRPr="00315936" w:rsidRDefault="00A166FD">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6107827C" w14:textId="52AA5CB2" w:rsidR="00A166FD" w:rsidRPr="00315936" w:rsidRDefault="00066718">
            <w:pPr>
              <w:pStyle w:val="Tabletext"/>
              <w:rPr>
                <w:lang w:eastAsia="en-AU"/>
              </w:rPr>
            </w:pPr>
            <w:r>
              <w:t>N</w:t>
            </w:r>
            <w:r w:rsidR="00382738">
              <w:t>umber</w:t>
            </w:r>
            <w:r w:rsidR="00A166FD" w:rsidRPr="00315936">
              <w:t xml:space="preserve"> of emergency road Code 1 incident</w:t>
            </w:r>
            <w:r w:rsidR="004F2523">
              <w:t>s</w:t>
            </w:r>
            <w:r w:rsidR="00A166FD" w:rsidRPr="00315936">
              <w:t xml:space="preserve"> responded to</w:t>
            </w:r>
            <w:r w:rsidR="00E37B48">
              <w:t xml:space="preserve">, </w:t>
            </w:r>
            <w:r w:rsidR="00540337">
              <w:t xml:space="preserve">adjusted for changes in Secondary Triage call start times, where arrival </w:t>
            </w:r>
            <w:r w:rsidR="000A6F07">
              <w:t>occurred</w:t>
            </w:r>
            <w:r w:rsidR="00A166FD" w:rsidRPr="00315936">
              <w:t xml:space="preserve"> within 15 minutes</w:t>
            </w:r>
            <w:r w:rsidR="00E46BEF">
              <w:t xml:space="preserve"> </w:t>
            </w:r>
          </w:p>
        </w:tc>
      </w:tr>
      <w:tr w:rsidR="00A166FD" w:rsidRPr="00315936" w14:paraId="36963C6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7992077" w14:textId="77777777" w:rsidR="00A166FD" w:rsidRPr="00315936" w:rsidRDefault="00A166FD">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287F4C13" w14:textId="2B6DC760" w:rsidR="00A166FD" w:rsidRPr="00315936" w:rsidRDefault="00066718">
            <w:pPr>
              <w:pStyle w:val="Tabletext"/>
              <w:rPr>
                <w:lang w:eastAsia="en-AU"/>
              </w:rPr>
            </w:pPr>
            <w:r>
              <w:t>N</w:t>
            </w:r>
            <w:r w:rsidR="00A166FD" w:rsidRPr="00315936">
              <w:t xml:space="preserve">umber of emergency road Code 1 incidents </w:t>
            </w:r>
            <w:r w:rsidR="00DB2297">
              <w:t>to which a response had been dispatched</w:t>
            </w:r>
            <w:r w:rsidR="00A166FD" w:rsidRPr="00315936">
              <w:t xml:space="preserve"> </w:t>
            </w:r>
          </w:p>
        </w:tc>
      </w:tr>
      <w:tr w:rsidR="00A166FD" w:rsidRPr="00315936" w14:paraId="7B3273A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C976061" w14:textId="77777777" w:rsidR="00A166FD" w:rsidRPr="00315936" w:rsidRDefault="00A166FD">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16594ED8" w14:textId="2E739746" w:rsidR="00A166FD" w:rsidRPr="00315936" w:rsidRDefault="00046F5C">
            <w:pPr>
              <w:pStyle w:val="Tabletext"/>
              <w:rPr>
                <w:lang w:eastAsia="en-AU"/>
              </w:rPr>
            </w:pPr>
            <w:r>
              <w:t>90</w:t>
            </w:r>
            <w:r w:rsidR="00A166FD" w:rsidRPr="00315936">
              <w:t xml:space="preserve"> per cent</w:t>
            </w:r>
            <w:r w:rsidR="00A166FD">
              <w:t xml:space="preserve"> or</w:t>
            </w:r>
            <w:r w:rsidR="00AD1E30">
              <w:t xml:space="preserve"> 4 per cent</w:t>
            </w:r>
            <w:r w:rsidR="00A166FD">
              <w:t xml:space="preserve"> improvement o</w:t>
            </w:r>
            <w:r w:rsidR="004E4405">
              <w:t>n performance</w:t>
            </w:r>
            <w:r w:rsidR="2E86B53F">
              <w:t xml:space="preserve"> from the same period last year</w:t>
            </w:r>
          </w:p>
        </w:tc>
      </w:tr>
      <w:tr w:rsidR="00A166FD" w:rsidRPr="00315936" w14:paraId="265AF2B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98AEC69" w14:textId="77777777" w:rsidR="00A166FD" w:rsidRPr="00315936" w:rsidRDefault="00A166FD">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419C5AFA" w14:textId="50F707CD" w:rsidR="00A166FD" w:rsidRPr="00315936" w:rsidRDefault="001F01B4">
            <w:pPr>
              <w:pStyle w:val="Tabletext"/>
            </w:pPr>
            <w:r>
              <w:t>G</w:t>
            </w:r>
            <w:r w:rsidR="00A166FD" w:rsidRPr="00315936">
              <w:t xml:space="preserve">reater than </w:t>
            </w:r>
            <w:r>
              <w:t>or equal to</w:t>
            </w:r>
            <w:r w:rsidR="00A166FD" w:rsidRPr="00315936">
              <w:t xml:space="preserve"> </w:t>
            </w:r>
            <w:r w:rsidR="00AD12B2">
              <w:t>90</w:t>
            </w:r>
            <w:r w:rsidR="00A166FD" w:rsidRPr="00315936">
              <w:t xml:space="preserve"> per cent</w:t>
            </w:r>
            <w:r w:rsidR="003171F6">
              <w:t xml:space="preserve"> or 4 per cent improvement on performance from the same period last year</w:t>
            </w:r>
          </w:p>
        </w:tc>
      </w:tr>
      <w:tr w:rsidR="00A166FD" w:rsidRPr="00315936" w14:paraId="0ED495B7"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A1D9A9E" w14:textId="77777777" w:rsidR="00A166FD" w:rsidRPr="00315936" w:rsidRDefault="00A166FD">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CC14DDB" w14:textId="55FD0E53" w:rsidR="00A166FD" w:rsidRPr="00315936" w:rsidRDefault="00A166FD">
            <w:pPr>
              <w:pStyle w:val="Tabletext"/>
            </w:pPr>
            <w:r w:rsidRPr="00315936">
              <w:t xml:space="preserve">Less than </w:t>
            </w:r>
            <w:r w:rsidR="00AD12B2">
              <w:t>90</w:t>
            </w:r>
            <w:r w:rsidRPr="00315936">
              <w:t xml:space="preserve"> per cent</w:t>
            </w:r>
            <w:r w:rsidR="003A65BF">
              <w:t xml:space="preserve"> </w:t>
            </w:r>
            <w:r w:rsidR="00090AD3">
              <w:t>and</w:t>
            </w:r>
            <w:r w:rsidR="003A65BF">
              <w:t xml:space="preserve"> </w:t>
            </w:r>
            <w:r w:rsidR="00090AD3">
              <w:t>below</w:t>
            </w:r>
            <w:r w:rsidR="003A65BF">
              <w:t xml:space="preserve"> 4 per cent improvement</w:t>
            </w:r>
          </w:p>
        </w:tc>
      </w:tr>
      <w:tr w:rsidR="00A166FD" w:rsidRPr="00315936" w14:paraId="0268B9D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C804814" w14:textId="77777777" w:rsidR="00A166FD" w:rsidRPr="00315936" w:rsidRDefault="00A166FD">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3059DC64" w14:textId="3F5CFB43" w:rsidR="00A166FD" w:rsidRPr="00315936" w:rsidRDefault="00A166FD">
            <w:pPr>
              <w:pStyle w:val="Tabletext"/>
              <w:rPr>
                <w:lang w:eastAsia="en-AU"/>
              </w:rPr>
            </w:pPr>
            <w:proofErr w:type="gramStart"/>
            <w:r w:rsidRPr="00315936">
              <w:t>For the purpose of</w:t>
            </w:r>
            <w:proofErr w:type="gramEnd"/>
            <w:r w:rsidRPr="00315936">
              <w:t xml:space="preserve"> the performance risk assessment, improvement is compared to </w:t>
            </w:r>
            <w:r w:rsidR="00A6748E">
              <w:t xml:space="preserve">performance at the </w:t>
            </w:r>
            <w:r w:rsidRPr="00315936">
              <w:t xml:space="preserve">same </w:t>
            </w:r>
            <w:r w:rsidR="009609A5">
              <w:t>period</w:t>
            </w:r>
            <w:r w:rsidRPr="00315936">
              <w:t xml:space="preserve"> last year</w:t>
            </w:r>
            <w:r w:rsidR="00A6748E">
              <w:t xml:space="preserve"> (Monthly, quarterly </w:t>
            </w:r>
            <w:r w:rsidR="00AD12B2">
              <w:t>and annually).</w:t>
            </w:r>
          </w:p>
        </w:tc>
      </w:tr>
      <w:tr w:rsidR="00A166FD" w:rsidRPr="00315936" w14:paraId="448EDB48"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6AEABA7" w14:textId="77777777" w:rsidR="00A166FD" w:rsidRPr="00315936" w:rsidRDefault="00A166FD">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75FBD5C5" w14:textId="6CB30682" w:rsidR="00A166FD" w:rsidRPr="00315936" w:rsidRDefault="00A166FD">
            <w:pPr>
              <w:pStyle w:val="Tabletext"/>
              <w:rPr>
                <w:b/>
                <w:bCs/>
                <w:i/>
                <w:iCs/>
              </w:rPr>
            </w:pPr>
            <w:r w:rsidRPr="00315936">
              <w:t>Performance is reported monthly.</w:t>
            </w:r>
          </w:p>
          <w:p w14:paraId="5944EEED" w14:textId="77777777" w:rsidR="00A166FD" w:rsidRPr="00315936" w:rsidRDefault="00A166FD">
            <w:pPr>
              <w:pStyle w:val="Tabletext"/>
              <w:rPr>
                <w:lang w:eastAsia="en-AU"/>
              </w:rPr>
            </w:pPr>
            <w:r w:rsidRPr="00315936">
              <w:t xml:space="preserve">Data are sourced by Ambulance Victoria </w:t>
            </w:r>
          </w:p>
        </w:tc>
      </w:tr>
    </w:tbl>
    <w:p w14:paraId="719A885B" w14:textId="481A82F2" w:rsidR="00865C68" w:rsidRPr="00315936" w:rsidRDefault="00865C68" w:rsidP="008E7F78">
      <w:pPr>
        <w:pStyle w:val="Heading4"/>
      </w:pPr>
      <w:r w:rsidRPr="00315936">
        <w:t>Percentage of emergency (Code 1) incidents responded to within 15 minutes</w:t>
      </w:r>
      <w:bookmarkEnd w:id="109"/>
    </w:p>
    <w:tbl>
      <w:tblPr>
        <w:tblStyle w:val="TableGrid"/>
        <w:tblW w:w="10343" w:type="dxa"/>
        <w:tblLook w:val="04A0" w:firstRow="1" w:lastRow="0" w:firstColumn="1" w:lastColumn="0" w:noHBand="0" w:noVBand="1"/>
      </w:tblPr>
      <w:tblGrid>
        <w:gridCol w:w="1837"/>
        <w:gridCol w:w="8506"/>
      </w:tblGrid>
      <w:tr w:rsidR="00C64C50" w:rsidRPr="00315936" w14:paraId="31B40E13"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925DECE" w14:textId="0BCEB9AA" w:rsidR="00C64C50"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3CE17E38" w14:textId="22CDF9DA" w:rsidR="00C64C50" w:rsidRPr="00315936" w:rsidRDefault="00C64C50">
            <w:pPr>
              <w:pStyle w:val="Tabletext"/>
              <w:rPr>
                <w:lang w:eastAsia="en-AU"/>
              </w:rPr>
            </w:pPr>
            <w:r w:rsidRPr="00315936">
              <w:t>Percentage of emergency (Code 1) incidents responded to within 15 minutes</w:t>
            </w:r>
            <w:r w:rsidR="00876388">
              <w:t xml:space="preserve"> </w:t>
            </w:r>
            <w:r w:rsidR="00036D6F">
              <w:fldChar w:fldCharType="begin"/>
            </w:r>
            <w:r w:rsidR="00036D6F">
              <w:instrText xml:space="preserve"> NOTEREF _Ref201303719 \f \h </w:instrText>
            </w:r>
            <w:r w:rsidR="00036D6F">
              <w:fldChar w:fldCharType="separate"/>
            </w:r>
            <w:r w:rsidR="00036D6F" w:rsidRPr="00036D6F">
              <w:rPr>
                <w:rStyle w:val="EndnoteReference"/>
              </w:rPr>
              <w:t>ix</w:t>
            </w:r>
            <w:r w:rsidR="00036D6F">
              <w:fldChar w:fldCharType="end"/>
            </w:r>
            <w:r w:rsidR="00CA6B2D">
              <w:fldChar w:fldCharType="begin"/>
            </w:r>
            <w:r w:rsidR="00CA6B2D">
              <w:instrText xml:space="preserve"> NOTEREF _Ref201303719 \f \h </w:instrText>
            </w:r>
            <w:r w:rsidR="00CA6B2D">
              <w:fldChar w:fldCharType="separate"/>
            </w:r>
            <w:r w:rsidR="00CA6B2D">
              <w:fldChar w:fldCharType="end"/>
            </w:r>
          </w:p>
        </w:tc>
      </w:tr>
      <w:tr w:rsidR="00C64C50" w:rsidRPr="00315936" w14:paraId="1249AEC8"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38CBFAC" w14:textId="77777777" w:rsidR="00C64C50" w:rsidRPr="00315936" w:rsidRDefault="00C64C50">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29A22258" w14:textId="23D572C2" w:rsidR="00C64C50" w:rsidRPr="00315936" w:rsidRDefault="00C64C50">
            <w:pPr>
              <w:pStyle w:val="Tabletext"/>
            </w:pPr>
            <w:r w:rsidRPr="00315936">
              <w:t xml:space="preserve">Statewide response times are a </w:t>
            </w:r>
            <w:r w:rsidR="00C3016B" w:rsidRPr="00315936">
              <w:t>measure</w:t>
            </w:r>
            <w:r w:rsidRPr="00315936">
              <w:t xml:space="preserve"> of the provision of accessible and effective ambulance service to communities.</w:t>
            </w:r>
          </w:p>
          <w:p w14:paraId="4C0C6348" w14:textId="77777777" w:rsidR="00C64C50" w:rsidRPr="00315936" w:rsidRDefault="00C64C50">
            <w:pPr>
              <w:pStyle w:val="Tabletext"/>
              <w:rPr>
                <w:lang w:eastAsia="en-AU"/>
              </w:rPr>
            </w:pPr>
            <w:r w:rsidRPr="00315936">
              <w:t>Code 1 incidents are potentially life threatening and are time-critical, requiring a lights and sirens response.</w:t>
            </w:r>
          </w:p>
        </w:tc>
      </w:tr>
      <w:tr w:rsidR="00C64C50" w:rsidRPr="00315936" w14:paraId="6C90616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FC2D82B" w14:textId="77777777" w:rsidR="00C64C50" w:rsidRPr="00315936" w:rsidRDefault="00C64C50">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60EBB539" w14:textId="130281AF" w:rsidR="00C64C50" w:rsidRPr="00315936" w:rsidRDefault="00C64C50">
            <w:pPr>
              <w:pStyle w:val="Tabletext"/>
            </w:pPr>
            <w:r w:rsidRPr="00315936">
              <w:t>Response time measures the time from a triple zero (000) call being answered by the Emergency Services Telecommunications Authority (ESTA) to the time an Ambulance Victoria paramedic, community emergency response team or ambulance community officer</w:t>
            </w:r>
            <w:r w:rsidR="00687F01">
              <w:t xml:space="preserve"> </w:t>
            </w:r>
            <w:r w:rsidR="00687F01" w:rsidRPr="00315936">
              <w:t xml:space="preserve">first </w:t>
            </w:r>
            <w:r w:rsidR="00687F01">
              <w:t>arrives</w:t>
            </w:r>
            <w:r w:rsidR="00687F01" w:rsidRPr="00315936">
              <w:t xml:space="preserve"> at the incident scene</w:t>
            </w:r>
            <w:r w:rsidRPr="00315936">
              <w:t>.</w:t>
            </w:r>
          </w:p>
          <w:p w14:paraId="4D94301C" w14:textId="00593392" w:rsidR="00C64C50" w:rsidRPr="00315936" w:rsidRDefault="00C64C50">
            <w:pPr>
              <w:pStyle w:val="Tabletext"/>
            </w:pPr>
            <w:r w:rsidRPr="00315936">
              <w:t xml:space="preserve">This </w:t>
            </w:r>
            <w:r w:rsidR="00C3016B" w:rsidRPr="00315936">
              <w:t>measure</w:t>
            </w:r>
            <w:r w:rsidRPr="00315936">
              <w:t xml:space="preserve"> applies to all emergency road Code 1 incidents </w:t>
            </w:r>
            <w:r w:rsidR="00475C8E">
              <w:t>to which a response had been dispatched</w:t>
            </w:r>
            <w:r w:rsidRPr="00315936">
              <w:t>.</w:t>
            </w:r>
          </w:p>
          <w:p w14:paraId="49068B4C" w14:textId="7B25A441" w:rsidR="00C64C50" w:rsidRPr="00315936" w:rsidRDefault="00C64C50">
            <w:pPr>
              <w:pStyle w:val="Tabletext"/>
            </w:pPr>
            <w:r w:rsidRPr="00315936">
              <w:t xml:space="preserve">This </w:t>
            </w:r>
            <w:r w:rsidR="00C3016B" w:rsidRPr="00315936">
              <w:t>measure</w:t>
            </w:r>
            <w:r w:rsidRPr="00315936">
              <w:t xml:space="preserve"> excludes:</w:t>
            </w:r>
          </w:p>
          <w:p w14:paraId="3B21F3F8" w14:textId="77777777" w:rsidR="00687F01" w:rsidRDefault="00C64C50" w:rsidP="001A453F">
            <w:pPr>
              <w:pStyle w:val="Tablebullet1"/>
            </w:pPr>
            <w:r w:rsidRPr="00315936">
              <w:t xml:space="preserve">incidents for which the response time was recorded as </w:t>
            </w:r>
            <w:r w:rsidR="00E55B90" w:rsidRPr="00315936">
              <w:t xml:space="preserve">greater than </w:t>
            </w:r>
            <w:r w:rsidRPr="00315936">
              <w:t>2 hours</w:t>
            </w:r>
          </w:p>
          <w:p w14:paraId="087E1C50" w14:textId="77777777" w:rsidR="006D73ED" w:rsidRDefault="00687F01" w:rsidP="006D73ED">
            <w:pPr>
              <w:pStyle w:val="Tablebullet1"/>
            </w:pPr>
            <w:r>
              <w:t>incidents with</w:t>
            </w:r>
            <w:r w:rsidR="00C64C50" w:rsidRPr="00315936">
              <w:t xml:space="preserve"> missing time stamps</w:t>
            </w:r>
            <w:r w:rsidR="006D73ED">
              <w:t xml:space="preserve"> </w:t>
            </w:r>
          </w:p>
          <w:p w14:paraId="69BAD168" w14:textId="77777777" w:rsidR="00345B98" w:rsidRDefault="006D73ED" w:rsidP="006D73ED">
            <w:pPr>
              <w:pStyle w:val="Tablebullet1"/>
            </w:pPr>
            <w:r w:rsidRPr="006D73ED">
              <w:t>incidents with negative response times</w:t>
            </w:r>
            <w:r>
              <w:t xml:space="preserve"> </w:t>
            </w:r>
          </w:p>
          <w:p w14:paraId="088136B5" w14:textId="2582B732" w:rsidR="006D73ED" w:rsidRPr="00315936" w:rsidRDefault="006D73ED" w:rsidP="005E732E">
            <w:pPr>
              <w:pStyle w:val="Tablebullet1"/>
            </w:pPr>
            <w:r w:rsidRPr="006D73ED">
              <w:t>incidents where the first responding team is a Remote Area Nurse or a Public Access Defibrillator, or where the team is based in Pooncarie or Wentworth New South Wales</w:t>
            </w:r>
            <w:r w:rsidR="00227D46">
              <w:t xml:space="preserve"> </w:t>
            </w:r>
          </w:p>
          <w:p w14:paraId="3890B045" w14:textId="106F0E7E" w:rsidR="00ED046E" w:rsidRDefault="0EDF01BB" w:rsidP="001A453F">
            <w:pPr>
              <w:pStyle w:val="Tablebullet1"/>
            </w:pPr>
            <w:r>
              <w:t xml:space="preserve">responses to ambulance incidents by </w:t>
            </w:r>
            <w:r w:rsidR="64F4FBDD">
              <w:t>Fire Rescue Victoria</w:t>
            </w:r>
            <w:r>
              <w:t>, the Country Fire Authority, NSW Ambulance Service, and remote area nurses</w:t>
            </w:r>
          </w:p>
          <w:p w14:paraId="6AD383EC" w14:textId="5066D6C4" w:rsidR="00C64C50" w:rsidRDefault="00C64C50" w:rsidP="001A453F">
            <w:pPr>
              <w:pStyle w:val="Tablebullet1"/>
            </w:pPr>
            <w:r w:rsidRPr="00315936">
              <w:t>responses by air ambulance resources</w:t>
            </w:r>
          </w:p>
          <w:p w14:paraId="1FA6A38E" w14:textId="77777777" w:rsidR="00281D33" w:rsidRDefault="00281D33" w:rsidP="00281D33">
            <w:pPr>
              <w:pStyle w:val="Tablebullet1"/>
            </w:pPr>
            <w:r w:rsidRPr="00227D46">
              <w:t xml:space="preserve">response records with other data quality issues. This may include records where data cannot be verified. </w:t>
            </w:r>
          </w:p>
          <w:p w14:paraId="18A067D0" w14:textId="77777777" w:rsidR="00281D33" w:rsidRPr="00315936" w:rsidRDefault="00281D33" w:rsidP="00076BEC">
            <w:pPr>
              <w:pStyle w:val="Tablebullet1"/>
              <w:numPr>
                <w:ilvl w:val="0"/>
                <w:numId w:val="0"/>
              </w:numPr>
              <w:ind w:left="227"/>
            </w:pPr>
          </w:p>
          <w:p w14:paraId="4F78E906" w14:textId="7CFA3E04" w:rsidR="00C64C50" w:rsidRPr="00315936" w:rsidRDefault="00C64C50">
            <w:pPr>
              <w:pStyle w:val="Tabletext"/>
              <w:rPr>
                <w:lang w:eastAsia="en-AU"/>
              </w:rPr>
            </w:pPr>
            <w:r w:rsidRPr="00315936">
              <w:t xml:space="preserve">This </w:t>
            </w:r>
            <w:r w:rsidR="00C3016B" w:rsidRPr="00315936">
              <w:t>measure</w:t>
            </w:r>
            <w:r w:rsidRPr="00315936">
              <w:t xml:space="preserve"> </w:t>
            </w:r>
            <w:r w:rsidR="00F21243">
              <w:t xml:space="preserve">is reported by region and </w:t>
            </w:r>
            <w:r w:rsidRPr="00315936">
              <w:t>is expressed as a percentage to one decimal place.</w:t>
            </w:r>
          </w:p>
        </w:tc>
      </w:tr>
      <w:tr w:rsidR="00C64C50" w:rsidRPr="00315936" w14:paraId="24C0D2C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9F648B1" w14:textId="77777777" w:rsidR="00C64C50" w:rsidRPr="00315936" w:rsidRDefault="00C64C50">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784FB432" w14:textId="79ECD32E" w:rsidR="00C64C50" w:rsidRPr="00315936" w:rsidRDefault="00687F01">
            <w:pPr>
              <w:pStyle w:val="Tabletext"/>
              <w:rPr>
                <w:lang w:eastAsia="en-AU"/>
              </w:rPr>
            </w:pPr>
            <w:r>
              <w:t>Number</w:t>
            </w:r>
            <w:r w:rsidR="00C64C50" w:rsidRPr="00315936">
              <w:t xml:space="preserve"> of emergency road Code 1 </w:t>
            </w:r>
            <w:r w:rsidRPr="00315936">
              <w:t>incident</w:t>
            </w:r>
            <w:r>
              <w:t>s</w:t>
            </w:r>
            <w:r w:rsidR="00C64C50" w:rsidRPr="00315936">
              <w:t xml:space="preserve"> responded to within 15 minutes</w:t>
            </w:r>
          </w:p>
        </w:tc>
      </w:tr>
      <w:tr w:rsidR="00C64C50" w:rsidRPr="00315936" w14:paraId="7A8A572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4631CCC" w14:textId="77777777" w:rsidR="00C64C50" w:rsidRPr="00315936" w:rsidRDefault="00C64C50">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3954854B" w14:textId="6FF39E3F" w:rsidR="00C64C50" w:rsidRPr="00315936" w:rsidRDefault="00DC4125">
            <w:pPr>
              <w:pStyle w:val="Tabletext"/>
              <w:rPr>
                <w:lang w:eastAsia="en-AU"/>
              </w:rPr>
            </w:pPr>
            <w:r>
              <w:t>N</w:t>
            </w:r>
            <w:r w:rsidRPr="00315936">
              <w:t>umber</w:t>
            </w:r>
            <w:r w:rsidR="00C64C50" w:rsidRPr="00315936">
              <w:t xml:space="preserve"> of emergency road Code 1 incident</w:t>
            </w:r>
            <w:r w:rsidR="008D150E">
              <w:t>s</w:t>
            </w:r>
            <w:r w:rsidR="00C64C50" w:rsidRPr="00315936">
              <w:t xml:space="preserve"> </w:t>
            </w:r>
            <w:r w:rsidR="008D150E">
              <w:t>to which a response had been dispatched</w:t>
            </w:r>
          </w:p>
        </w:tc>
      </w:tr>
      <w:tr w:rsidR="00C64C50" w:rsidRPr="00315936" w14:paraId="44F5A634"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83E42E5" w14:textId="77777777" w:rsidR="00C64C50" w:rsidRPr="00315936" w:rsidRDefault="00C64C50">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779908DB" w14:textId="38704C5D" w:rsidR="00C64C50" w:rsidRPr="00F17FA4" w:rsidRDefault="00C64C50">
            <w:pPr>
              <w:pStyle w:val="Tabletext"/>
              <w:rPr>
                <w:lang w:eastAsia="en-AU"/>
              </w:rPr>
            </w:pPr>
            <w:r w:rsidRPr="00F17FA4">
              <w:t>85</w:t>
            </w:r>
            <w:r w:rsidR="00A67D0D" w:rsidRPr="00F17FA4">
              <w:t xml:space="preserve"> per cent</w:t>
            </w:r>
            <w:r w:rsidR="00491F12" w:rsidRPr="00F17FA4">
              <w:t xml:space="preserve"> or improvement of 4 per</w:t>
            </w:r>
            <w:r w:rsidR="004A50AD" w:rsidRPr="00CA6B2D">
              <w:t xml:space="preserve"> </w:t>
            </w:r>
            <w:r w:rsidR="00491F12" w:rsidRPr="00F17FA4">
              <w:t>cent compared to the same time last year</w:t>
            </w:r>
            <w:r w:rsidR="00F538C8" w:rsidRPr="00F17FA4">
              <w:t xml:space="preserve"> </w:t>
            </w:r>
          </w:p>
        </w:tc>
      </w:tr>
      <w:tr w:rsidR="00C64C50" w:rsidRPr="00315936" w14:paraId="4C77E4A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223C87B" w14:textId="34E3F9FA" w:rsidR="00C64C50" w:rsidRPr="00315936" w:rsidRDefault="00142813">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11CEFACA" w14:textId="6B04C1DA" w:rsidR="00C64C50" w:rsidRPr="00F17FA4" w:rsidRDefault="001F01B4">
            <w:pPr>
              <w:pStyle w:val="Tabletext"/>
            </w:pPr>
            <w:r w:rsidRPr="00F17FA4">
              <w:t>G</w:t>
            </w:r>
            <w:r w:rsidR="00C64C50" w:rsidRPr="00F17FA4">
              <w:t xml:space="preserve">reater than </w:t>
            </w:r>
            <w:r w:rsidRPr="00F17FA4">
              <w:t>or equal to</w:t>
            </w:r>
            <w:r w:rsidR="00C64C50" w:rsidRPr="00F17FA4">
              <w:t xml:space="preserve"> 85</w:t>
            </w:r>
            <w:r w:rsidR="00A67D0D" w:rsidRPr="00F17FA4">
              <w:t xml:space="preserve"> per cent</w:t>
            </w:r>
            <w:r w:rsidR="00820794" w:rsidRPr="00F17FA4">
              <w:t xml:space="preserve"> or </w:t>
            </w:r>
            <w:r w:rsidR="001A574C" w:rsidRPr="00F17FA4">
              <w:t>4 per</w:t>
            </w:r>
            <w:r w:rsidR="00F17FA4" w:rsidRPr="00CA6B2D">
              <w:t xml:space="preserve"> </w:t>
            </w:r>
            <w:r w:rsidR="001A574C" w:rsidRPr="00F17FA4">
              <w:t>cent improvement</w:t>
            </w:r>
            <w:r w:rsidR="00015305" w:rsidRPr="00F17FA4">
              <w:t xml:space="preserve"> compared to the same time last year</w:t>
            </w:r>
          </w:p>
        </w:tc>
      </w:tr>
      <w:tr w:rsidR="00C64C50" w:rsidRPr="00315936" w14:paraId="5CDFD7A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E8AFF1B" w14:textId="27405A60" w:rsidR="00C64C50" w:rsidRPr="00315936" w:rsidRDefault="00142813">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5698A00" w14:textId="5C103402" w:rsidR="00C64C50" w:rsidRPr="00F17FA4" w:rsidRDefault="00C64C50">
            <w:pPr>
              <w:pStyle w:val="Tabletext"/>
            </w:pPr>
            <w:r w:rsidRPr="00F17FA4">
              <w:t>Less than 85</w:t>
            </w:r>
            <w:r w:rsidR="00A67D0D" w:rsidRPr="00F17FA4">
              <w:t xml:space="preserve"> per cent</w:t>
            </w:r>
            <w:r w:rsidR="009F1F2D" w:rsidRPr="00F17FA4">
              <w:t xml:space="preserve"> </w:t>
            </w:r>
            <w:r w:rsidR="5ACE0F7A" w:rsidRPr="00F17FA4">
              <w:t>and</w:t>
            </w:r>
            <w:r w:rsidR="00821D33" w:rsidRPr="00F17FA4">
              <w:t xml:space="preserve"> below</w:t>
            </w:r>
            <w:r w:rsidR="00B2271B" w:rsidRPr="00F17FA4">
              <w:t xml:space="preserve"> 4 per</w:t>
            </w:r>
            <w:r w:rsidR="00F17FA4" w:rsidRPr="00CA6B2D">
              <w:t xml:space="preserve"> </w:t>
            </w:r>
            <w:r w:rsidR="00B2271B" w:rsidRPr="00F17FA4">
              <w:t>cent</w:t>
            </w:r>
            <w:r w:rsidR="00820794" w:rsidRPr="00F17FA4">
              <w:t xml:space="preserve"> improvement</w:t>
            </w:r>
            <w:r w:rsidR="00CB3642" w:rsidRPr="00F17FA4">
              <w:t xml:space="preserve"> </w:t>
            </w:r>
            <w:r w:rsidR="009F1F2D" w:rsidRPr="00F17FA4">
              <w:t xml:space="preserve"> </w:t>
            </w:r>
          </w:p>
        </w:tc>
      </w:tr>
      <w:tr w:rsidR="00C64C50" w:rsidRPr="00315936" w14:paraId="1CA9CE2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DF5749C" w14:textId="77777777" w:rsidR="00C64C50" w:rsidRPr="00315936" w:rsidRDefault="00C64C50">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6C874688" w14:textId="700ABA8A" w:rsidR="00C64C50" w:rsidRPr="00315936" w:rsidRDefault="000E530B">
            <w:pPr>
              <w:pStyle w:val="Tabletext"/>
              <w:rPr>
                <w:lang w:eastAsia="en-AU"/>
              </w:rPr>
            </w:pPr>
            <w:proofErr w:type="gramStart"/>
            <w:r w:rsidRPr="00315936">
              <w:t>For the purpose of</w:t>
            </w:r>
            <w:proofErr w:type="gramEnd"/>
            <w:r w:rsidRPr="00315936">
              <w:t xml:space="preserve"> the performance risk assessment, improvement is compared to </w:t>
            </w:r>
            <w:r>
              <w:t xml:space="preserve">performance at the </w:t>
            </w:r>
            <w:r w:rsidRPr="00315936">
              <w:t>same time last year</w:t>
            </w:r>
            <w:r>
              <w:t xml:space="preserve"> (</w:t>
            </w:r>
            <w:r w:rsidR="00662C17">
              <w:t>m</w:t>
            </w:r>
            <w:r>
              <w:t>onthly, quarterly and annually).</w:t>
            </w:r>
          </w:p>
        </w:tc>
      </w:tr>
      <w:tr w:rsidR="00C64C50" w:rsidRPr="00315936" w14:paraId="7B64517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95657E7" w14:textId="77777777" w:rsidR="00C64C50" w:rsidRPr="00315936" w:rsidRDefault="00C64C50">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4077196D" w14:textId="4E5EBD72" w:rsidR="00C64C50" w:rsidRPr="00315936" w:rsidRDefault="00C64C50">
            <w:pPr>
              <w:pStyle w:val="Tabletext"/>
              <w:rPr>
                <w:b/>
                <w:bCs/>
                <w:i/>
                <w:iCs/>
              </w:rPr>
            </w:pPr>
            <w:r w:rsidRPr="00315936">
              <w:t>Performance is</w:t>
            </w:r>
            <w:r w:rsidR="00AE57BB" w:rsidRPr="00315936">
              <w:t xml:space="preserve"> </w:t>
            </w:r>
            <w:r w:rsidR="00732695" w:rsidRPr="00315936">
              <w:t>reported monthly</w:t>
            </w:r>
            <w:r w:rsidRPr="00315936">
              <w:t>.</w:t>
            </w:r>
          </w:p>
          <w:p w14:paraId="341742A4" w14:textId="046F4AA7" w:rsidR="00C64C50" w:rsidRPr="00315936" w:rsidRDefault="00C63D86">
            <w:pPr>
              <w:pStyle w:val="Tabletext"/>
              <w:rPr>
                <w:lang w:eastAsia="en-AU"/>
              </w:rPr>
            </w:pPr>
            <w:r w:rsidRPr="00315936">
              <w:t xml:space="preserve">Data are sourced by </w:t>
            </w:r>
            <w:r w:rsidR="00C64C50" w:rsidRPr="00315936">
              <w:t xml:space="preserve">Ambulance Victoria </w:t>
            </w:r>
          </w:p>
        </w:tc>
      </w:tr>
    </w:tbl>
    <w:p w14:paraId="7FDB55F2" w14:textId="1C7D2784" w:rsidR="00E7386D" w:rsidRPr="00315936" w:rsidRDefault="00E7386D" w:rsidP="008E7F78">
      <w:pPr>
        <w:pStyle w:val="Heading4"/>
      </w:pPr>
      <w:bookmarkStart w:id="110" w:name="_Toc1936139202"/>
      <w:r w:rsidRPr="00315936">
        <w:t>Percentage of emergency (Priority 0) incidents responded to within 13 minutes</w:t>
      </w:r>
      <w:bookmarkEnd w:id="110"/>
    </w:p>
    <w:tbl>
      <w:tblPr>
        <w:tblStyle w:val="TableGrid"/>
        <w:tblW w:w="10343" w:type="dxa"/>
        <w:tblLook w:val="04A0" w:firstRow="1" w:lastRow="0" w:firstColumn="1" w:lastColumn="0" w:noHBand="0" w:noVBand="1"/>
      </w:tblPr>
      <w:tblGrid>
        <w:gridCol w:w="1837"/>
        <w:gridCol w:w="8506"/>
      </w:tblGrid>
      <w:tr w:rsidR="00C16EE8" w:rsidRPr="00315936" w14:paraId="0339B3C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AD936F0" w14:textId="08DDC7A0" w:rsidR="00C16EE8"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6A1D5B05" w14:textId="52F6DD7C" w:rsidR="00C16EE8" w:rsidRPr="00315936" w:rsidRDefault="00C16EE8">
            <w:pPr>
              <w:pStyle w:val="Tabletext"/>
              <w:rPr>
                <w:lang w:eastAsia="en-AU"/>
              </w:rPr>
            </w:pPr>
            <w:r w:rsidRPr="00315936">
              <w:t>Percentage of emergency (Priority Zero) incidents responded to within 13 minutes</w:t>
            </w:r>
            <w:r w:rsidR="00876388">
              <w:t xml:space="preserve"> </w:t>
            </w:r>
            <w:r w:rsidR="00036D6F">
              <w:fldChar w:fldCharType="begin"/>
            </w:r>
            <w:r w:rsidR="00036D6F">
              <w:instrText xml:space="preserve"> NOTEREF _Ref201303719 \f \h </w:instrText>
            </w:r>
            <w:r w:rsidR="00036D6F">
              <w:fldChar w:fldCharType="separate"/>
            </w:r>
            <w:r w:rsidR="00036D6F" w:rsidRPr="00036D6F">
              <w:rPr>
                <w:rStyle w:val="EndnoteReference"/>
              </w:rPr>
              <w:t>ix</w:t>
            </w:r>
            <w:r w:rsidR="00036D6F">
              <w:fldChar w:fldCharType="end"/>
            </w:r>
            <w:r w:rsidR="00CA6B2D">
              <w:fldChar w:fldCharType="begin"/>
            </w:r>
            <w:r w:rsidR="00CA6B2D">
              <w:instrText xml:space="preserve"> NOTEREF _Ref201303719 \f \h </w:instrText>
            </w:r>
            <w:r w:rsidR="00CA6B2D">
              <w:fldChar w:fldCharType="separate"/>
            </w:r>
            <w:r w:rsidR="00CA6B2D">
              <w:fldChar w:fldCharType="end"/>
            </w:r>
          </w:p>
        </w:tc>
      </w:tr>
      <w:tr w:rsidR="00C16EE8" w:rsidRPr="00315936" w14:paraId="1558232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7B17390" w14:textId="77777777" w:rsidR="00C16EE8" w:rsidRPr="00315936" w:rsidRDefault="00C16EE8">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4DAB389A" w14:textId="77777777" w:rsidR="00C16EE8" w:rsidRPr="00315936" w:rsidRDefault="00C16EE8">
            <w:pPr>
              <w:pStyle w:val="Tabletext"/>
            </w:pPr>
            <w:r w:rsidRPr="00315936">
              <w:t>Percentage of emergency (Priority Zero) cases attended within 13 minutes of the Triple Zero (000) call.</w:t>
            </w:r>
          </w:p>
          <w:p w14:paraId="3CA73BE5" w14:textId="56E37377" w:rsidR="00C16EE8" w:rsidRPr="00315936" w:rsidRDefault="00C16EE8">
            <w:pPr>
              <w:pStyle w:val="Tabletext"/>
            </w:pPr>
            <w:r w:rsidRPr="00315936">
              <w:t xml:space="preserve">Statewide response times are a </w:t>
            </w:r>
            <w:r w:rsidR="00C3016B" w:rsidRPr="00315936">
              <w:t>measure</w:t>
            </w:r>
            <w:r w:rsidRPr="00315936">
              <w:t xml:space="preserve"> of the provision of accessible and effective ambulance service to communities.</w:t>
            </w:r>
          </w:p>
          <w:p w14:paraId="76B192C2" w14:textId="77777777" w:rsidR="00C16EE8" w:rsidRPr="00315936" w:rsidRDefault="00C16EE8">
            <w:pPr>
              <w:pStyle w:val="Tabletext"/>
              <w:rPr>
                <w:lang w:eastAsia="en-AU"/>
              </w:rPr>
            </w:pPr>
            <w:r w:rsidRPr="00315936">
              <w:t>Priority Zero cases are immediately life-threatening emergencies where patient is known or suspected to be in cardiac arrest.</w:t>
            </w:r>
          </w:p>
        </w:tc>
      </w:tr>
      <w:tr w:rsidR="00C16EE8" w:rsidRPr="00315936" w14:paraId="5DB2668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14845D5" w14:textId="77777777" w:rsidR="00C16EE8" w:rsidRPr="00315936" w:rsidRDefault="00C16EE8">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7CABF9F5" w14:textId="0C23D8D0" w:rsidR="00C16EE8" w:rsidRPr="00315936" w:rsidRDefault="00C16EE8">
            <w:pPr>
              <w:pStyle w:val="Tabletext"/>
            </w:pPr>
            <w:r w:rsidRPr="00315936">
              <w:t xml:space="preserve">Response time </w:t>
            </w:r>
            <w:r w:rsidR="00435F78">
              <w:t>is calculated as</w:t>
            </w:r>
            <w:r w:rsidRPr="00315936">
              <w:t xml:space="preserve"> the time from a triple zero (000) call being answered by the Emergency Services Telecommunications Authority (ESTA) to the time an Ambulance Victoria paramedic, community emergency response team or ambulance community officer</w:t>
            </w:r>
            <w:r w:rsidR="00435F78">
              <w:t xml:space="preserve"> </w:t>
            </w:r>
            <w:r w:rsidR="00435F78" w:rsidRPr="00315936">
              <w:t xml:space="preserve">first </w:t>
            </w:r>
            <w:r w:rsidR="00435F78">
              <w:t>arrives</w:t>
            </w:r>
            <w:r w:rsidR="00435F78" w:rsidRPr="00315936">
              <w:t xml:space="preserve"> at the incident scene</w:t>
            </w:r>
            <w:r w:rsidRPr="00315936">
              <w:t>.</w:t>
            </w:r>
          </w:p>
          <w:p w14:paraId="6CA11653" w14:textId="34996301" w:rsidR="00C16EE8" w:rsidRPr="00315936" w:rsidRDefault="00C16EE8">
            <w:pPr>
              <w:pStyle w:val="Tabletext"/>
            </w:pPr>
            <w:r w:rsidRPr="00315936">
              <w:t xml:space="preserve">This </w:t>
            </w:r>
            <w:r w:rsidR="00C3016B" w:rsidRPr="00315936">
              <w:t>measure</w:t>
            </w:r>
            <w:r w:rsidRPr="00315936">
              <w:t xml:space="preserve"> applies to all emergency road Priority Zero incidents </w:t>
            </w:r>
            <w:r w:rsidR="00C579FD">
              <w:t>to which a response had been dispatched</w:t>
            </w:r>
            <w:r w:rsidRPr="00315936">
              <w:t>.</w:t>
            </w:r>
          </w:p>
          <w:p w14:paraId="7AE264C3" w14:textId="2CAF8A30" w:rsidR="00C16EE8" w:rsidRPr="00315936" w:rsidRDefault="00C16EE8">
            <w:pPr>
              <w:pStyle w:val="Tabletext"/>
            </w:pPr>
            <w:r w:rsidRPr="00315936">
              <w:t xml:space="preserve">This </w:t>
            </w:r>
            <w:r w:rsidR="00C3016B" w:rsidRPr="00315936">
              <w:t>measure</w:t>
            </w:r>
            <w:r w:rsidRPr="00315936">
              <w:t xml:space="preserve"> excludes:</w:t>
            </w:r>
          </w:p>
          <w:p w14:paraId="0D52E97D" w14:textId="1470BA85" w:rsidR="00435F78" w:rsidRDefault="00C16EE8" w:rsidP="001A453F">
            <w:pPr>
              <w:pStyle w:val="Tablebullet1"/>
            </w:pPr>
            <w:r w:rsidRPr="00315936">
              <w:t xml:space="preserve">incidents for which the response time was recorded as </w:t>
            </w:r>
            <w:r w:rsidR="001E6938" w:rsidRPr="00315936">
              <w:t>greater</w:t>
            </w:r>
            <w:r w:rsidR="00150D69" w:rsidRPr="00315936">
              <w:t xml:space="preserve"> than </w:t>
            </w:r>
            <w:r w:rsidRPr="00315936">
              <w:t>2 hours</w:t>
            </w:r>
          </w:p>
          <w:p w14:paraId="3A1A4767" w14:textId="77777777" w:rsidR="00580D50" w:rsidRDefault="00435F78" w:rsidP="00580D50">
            <w:pPr>
              <w:pStyle w:val="Tablebullet1"/>
            </w:pPr>
            <w:r>
              <w:t>incidents with</w:t>
            </w:r>
            <w:r w:rsidR="00C16EE8" w:rsidRPr="00315936">
              <w:t xml:space="preserve"> missing time stamps</w:t>
            </w:r>
            <w:r w:rsidR="00580D50">
              <w:t xml:space="preserve"> </w:t>
            </w:r>
          </w:p>
          <w:p w14:paraId="32AF0134" w14:textId="154CB075" w:rsidR="00580D50" w:rsidRPr="00580D50" w:rsidRDefault="00580D50" w:rsidP="00580D50">
            <w:pPr>
              <w:pStyle w:val="Tablebullet1"/>
            </w:pPr>
            <w:r w:rsidRPr="00580D50">
              <w:t>incidents with negative response times</w:t>
            </w:r>
          </w:p>
          <w:p w14:paraId="5A407B5C" w14:textId="2AEDD701" w:rsidR="00C16EE8" w:rsidRPr="00315936" w:rsidRDefault="00580D50" w:rsidP="005E732E">
            <w:pPr>
              <w:pStyle w:val="Tablebullet1"/>
            </w:pPr>
            <w:r w:rsidRPr="00580D50">
              <w:t xml:space="preserve">incidents where the first responding team is a Remote Area Nurse or a Public Access Defibrillator, or where the team is based in Pooncarie or Wentworth New South Wales </w:t>
            </w:r>
          </w:p>
          <w:p w14:paraId="76C94F43" w14:textId="53ECB11C" w:rsidR="00C16EE8" w:rsidRPr="00315936" w:rsidRDefault="61362DE9" w:rsidP="001A453F">
            <w:pPr>
              <w:pStyle w:val="Tablebullet1"/>
            </w:pPr>
            <w:r>
              <w:t xml:space="preserve">responses to ambulance incidents by </w:t>
            </w:r>
            <w:r w:rsidR="04EE95FE">
              <w:t>Fire Rescue Victoria</w:t>
            </w:r>
            <w:r>
              <w:t>, the Country Fire Authority, NSW Ambulance Service, and remote area nurses</w:t>
            </w:r>
          </w:p>
          <w:p w14:paraId="23F2AB30" w14:textId="1449FFF6" w:rsidR="00C16EE8" w:rsidRDefault="00C16EE8" w:rsidP="001A453F">
            <w:pPr>
              <w:pStyle w:val="Tablebullet1"/>
            </w:pPr>
            <w:r w:rsidRPr="00315936">
              <w:t>responses by air ambulance resources</w:t>
            </w:r>
          </w:p>
          <w:p w14:paraId="566E4874" w14:textId="77777777" w:rsidR="00281D33" w:rsidRPr="00281D33" w:rsidRDefault="00281D33" w:rsidP="00281D33">
            <w:pPr>
              <w:pStyle w:val="Tablebullet1"/>
            </w:pPr>
            <w:r w:rsidRPr="00281D33">
              <w:t xml:space="preserve">response records with other data quality issues. This may include records where data cannot be verified. </w:t>
            </w:r>
          </w:p>
          <w:p w14:paraId="76D4B44D" w14:textId="77777777" w:rsidR="00281D33" w:rsidRPr="00315936" w:rsidRDefault="00281D33" w:rsidP="00076BEC">
            <w:pPr>
              <w:pStyle w:val="Tablebullet1"/>
              <w:numPr>
                <w:ilvl w:val="0"/>
                <w:numId w:val="0"/>
              </w:numPr>
              <w:ind w:left="227"/>
            </w:pPr>
          </w:p>
          <w:p w14:paraId="2F9E0F01" w14:textId="2463EA25" w:rsidR="00C16EE8" w:rsidRPr="00315936" w:rsidRDefault="00C16EE8">
            <w:pPr>
              <w:pStyle w:val="Tabletext"/>
              <w:rPr>
                <w:lang w:eastAsia="en-AU"/>
              </w:rPr>
            </w:pPr>
            <w:r w:rsidRPr="00315936">
              <w:t xml:space="preserve">This </w:t>
            </w:r>
            <w:r w:rsidR="00C3016B" w:rsidRPr="00315936">
              <w:t>measure</w:t>
            </w:r>
            <w:r w:rsidRPr="00315936">
              <w:t xml:space="preserve"> </w:t>
            </w:r>
            <w:r w:rsidR="00C579FD">
              <w:t xml:space="preserve">is reported by region and </w:t>
            </w:r>
            <w:r w:rsidRPr="00315936">
              <w:t>is expressed as a percentage to one decimal place.</w:t>
            </w:r>
          </w:p>
        </w:tc>
      </w:tr>
      <w:tr w:rsidR="00C16EE8" w:rsidRPr="00315936" w14:paraId="4B25295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014996C" w14:textId="77777777" w:rsidR="00C16EE8" w:rsidRPr="00315936" w:rsidRDefault="00C16EE8">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514E7D2E" w14:textId="77777777" w:rsidR="00C16EE8" w:rsidRPr="00315936" w:rsidRDefault="00C16EE8">
            <w:pPr>
              <w:pStyle w:val="Tabletext"/>
              <w:rPr>
                <w:lang w:eastAsia="en-AU"/>
              </w:rPr>
            </w:pPr>
            <w:r w:rsidRPr="00315936">
              <w:t>The sum of all first arrival responses from each emergency road Priority Zero incident responded to within 13 minutes</w:t>
            </w:r>
          </w:p>
        </w:tc>
      </w:tr>
      <w:tr w:rsidR="00C16EE8" w:rsidRPr="00315936" w14:paraId="592BAE4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BB01ACA" w14:textId="77777777" w:rsidR="00C16EE8" w:rsidRPr="00315936" w:rsidRDefault="00C16EE8">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5E00A0F5" w14:textId="77777777" w:rsidR="00C16EE8" w:rsidRPr="00315936" w:rsidRDefault="00C16EE8">
            <w:pPr>
              <w:pStyle w:val="Tabletext"/>
              <w:rPr>
                <w:lang w:eastAsia="en-AU"/>
              </w:rPr>
            </w:pPr>
            <w:r w:rsidRPr="00315936">
              <w:t>Total number of emergency road Priority Zero incidents responded to in that same reporting period</w:t>
            </w:r>
          </w:p>
        </w:tc>
      </w:tr>
      <w:tr w:rsidR="00C16EE8" w:rsidRPr="00315936" w14:paraId="2815C90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BCA6489" w14:textId="77777777" w:rsidR="00C16EE8" w:rsidRPr="00315936" w:rsidRDefault="00C16EE8">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1E7FCE30" w14:textId="098DAAD1" w:rsidR="00C16EE8" w:rsidRPr="00041023" w:rsidRDefault="00C16EE8">
            <w:pPr>
              <w:pStyle w:val="Tabletext"/>
              <w:rPr>
                <w:lang w:eastAsia="en-AU"/>
              </w:rPr>
            </w:pPr>
            <w:r w:rsidRPr="00041023">
              <w:t>85</w:t>
            </w:r>
            <w:r w:rsidR="00A67D0D" w:rsidRPr="00041023">
              <w:t xml:space="preserve"> per cent</w:t>
            </w:r>
            <w:r w:rsidR="00491F12" w:rsidRPr="00041023">
              <w:t xml:space="preserve"> or improvement of 3 per</w:t>
            </w:r>
            <w:r w:rsidR="00BA3DF9" w:rsidRPr="007E702A">
              <w:t xml:space="preserve"> </w:t>
            </w:r>
            <w:r w:rsidR="00491F12" w:rsidRPr="00041023">
              <w:t xml:space="preserve">cent compared to same </w:t>
            </w:r>
            <w:r w:rsidR="00787B2F">
              <w:t>period</w:t>
            </w:r>
            <w:r w:rsidR="00491F12" w:rsidRPr="00041023">
              <w:t xml:space="preserve"> last year</w:t>
            </w:r>
            <w:r w:rsidR="00F538C8" w:rsidRPr="00041023">
              <w:t xml:space="preserve"> </w:t>
            </w:r>
          </w:p>
        </w:tc>
      </w:tr>
      <w:tr w:rsidR="00C16EE8" w:rsidRPr="00315936" w14:paraId="4826BB9F"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F38CA3A" w14:textId="0E9D855D" w:rsidR="00C16EE8" w:rsidRPr="00315936" w:rsidRDefault="00C16EE8" w:rsidP="00C16EE8">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60B2D874" w14:textId="3DB29E29" w:rsidR="00C16EE8" w:rsidRPr="00041023" w:rsidRDefault="001F01B4" w:rsidP="00C16EE8">
            <w:pPr>
              <w:pStyle w:val="Tabletext"/>
            </w:pPr>
            <w:r w:rsidRPr="00041023">
              <w:t>Greater than or e</w:t>
            </w:r>
            <w:r w:rsidR="00C16EE8" w:rsidRPr="00041023">
              <w:t>qual to 85</w:t>
            </w:r>
            <w:r w:rsidR="00A67D0D" w:rsidRPr="00041023">
              <w:t xml:space="preserve"> per cent</w:t>
            </w:r>
            <w:r w:rsidR="00586126" w:rsidRPr="00041023">
              <w:t xml:space="preserve"> or </w:t>
            </w:r>
            <w:r w:rsidR="00437686" w:rsidRPr="00041023">
              <w:t>3 per</w:t>
            </w:r>
            <w:r w:rsidR="00BA3DF9" w:rsidRPr="007E702A">
              <w:t xml:space="preserve"> </w:t>
            </w:r>
            <w:r w:rsidR="00437686" w:rsidRPr="00041023">
              <w:t xml:space="preserve">cent </w:t>
            </w:r>
            <w:r w:rsidR="00EF35EA" w:rsidRPr="00041023">
              <w:t>improvement</w:t>
            </w:r>
          </w:p>
        </w:tc>
      </w:tr>
      <w:tr w:rsidR="00C16EE8" w:rsidRPr="00315936" w14:paraId="67D3CC2F"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0F8A8AB" w14:textId="742C004E" w:rsidR="00C16EE8" w:rsidRPr="00315936" w:rsidRDefault="00C16EE8" w:rsidP="00C16EE8">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2E6B5CCC" w14:textId="0B64613E" w:rsidR="00C16EE8" w:rsidRPr="00041023" w:rsidRDefault="001F01B4" w:rsidP="00C16EE8">
            <w:pPr>
              <w:pStyle w:val="Tabletext"/>
            </w:pPr>
            <w:r w:rsidRPr="00041023">
              <w:t>Less than</w:t>
            </w:r>
            <w:r w:rsidR="00C16EE8" w:rsidRPr="00041023">
              <w:t xml:space="preserve"> 85</w:t>
            </w:r>
            <w:r w:rsidR="00A67D0D" w:rsidRPr="00041023">
              <w:t xml:space="preserve"> per cent</w:t>
            </w:r>
            <w:r w:rsidR="00EF35EA" w:rsidRPr="00041023">
              <w:t xml:space="preserve"> </w:t>
            </w:r>
            <w:r w:rsidR="7F65D399" w:rsidRPr="00041023">
              <w:t>and</w:t>
            </w:r>
            <w:r w:rsidR="00EF35EA" w:rsidRPr="00041023">
              <w:t xml:space="preserve"> </w:t>
            </w:r>
            <w:r w:rsidR="00821D33" w:rsidRPr="00041023">
              <w:t>below 3 per</w:t>
            </w:r>
            <w:r w:rsidR="00BA3DF9" w:rsidRPr="007E702A">
              <w:t xml:space="preserve"> </w:t>
            </w:r>
            <w:r w:rsidR="00821D33" w:rsidRPr="00041023">
              <w:t>cent</w:t>
            </w:r>
            <w:r w:rsidR="00BA3DF9" w:rsidRPr="009C2E34">
              <w:t xml:space="preserve"> </w:t>
            </w:r>
            <w:r w:rsidR="00821D33" w:rsidRPr="00041023">
              <w:t>improvement</w:t>
            </w:r>
          </w:p>
        </w:tc>
      </w:tr>
      <w:tr w:rsidR="00C16EE8" w:rsidRPr="00315936" w14:paraId="713A4CD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EADB24F" w14:textId="77777777" w:rsidR="00C16EE8" w:rsidRPr="00315936" w:rsidRDefault="00C16EE8">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789E6FF7" w14:textId="7B77E6A4" w:rsidR="00C16EE8" w:rsidRPr="00315936" w:rsidRDefault="000E530B">
            <w:pPr>
              <w:pStyle w:val="Tabletext"/>
              <w:rPr>
                <w:lang w:eastAsia="en-AU"/>
              </w:rPr>
            </w:pPr>
            <w:proofErr w:type="gramStart"/>
            <w:r w:rsidRPr="00315936">
              <w:t>For the purpose of</w:t>
            </w:r>
            <w:proofErr w:type="gramEnd"/>
            <w:r w:rsidRPr="00315936">
              <w:t xml:space="preserve"> the performance risk assessment, improvement is compared to </w:t>
            </w:r>
            <w:r>
              <w:t xml:space="preserve">performance at the </w:t>
            </w:r>
            <w:r w:rsidRPr="00315936">
              <w:t xml:space="preserve">same </w:t>
            </w:r>
            <w:r w:rsidR="00787B2F">
              <w:t>period</w:t>
            </w:r>
            <w:r w:rsidRPr="00315936">
              <w:t xml:space="preserve"> last year</w:t>
            </w:r>
            <w:r>
              <w:t xml:space="preserve"> (</w:t>
            </w:r>
            <w:r w:rsidR="00C579FD">
              <w:t>m</w:t>
            </w:r>
            <w:r>
              <w:t>onthly, quarterly and annually).</w:t>
            </w:r>
          </w:p>
        </w:tc>
      </w:tr>
      <w:tr w:rsidR="00C16EE8" w:rsidRPr="00315936" w14:paraId="36C447E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4A1D1F4" w14:textId="77777777" w:rsidR="00C16EE8" w:rsidRPr="00315936" w:rsidRDefault="00C16EE8">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2F006A5D" w14:textId="19899EF1" w:rsidR="00C16EE8" w:rsidRPr="00315936" w:rsidRDefault="00C16EE8">
            <w:pPr>
              <w:pStyle w:val="Tabletext"/>
            </w:pPr>
            <w:r w:rsidRPr="00315936">
              <w:t xml:space="preserve">Performance is </w:t>
            </w:r>
            <w:r w:rsidR="00C63D86" w:rsidRPr="00315936">
              <w:t xml:space="preserve">reported </w:t>
            </w:r>
            <w:r w:rsidRPr="00315936">
              <w:t>monthly</w:t>
            </w:r>
            <w:r w:rsidR="00AE57BB" w:rsidRPr="00315936">
              <w:t>.</w:t>
            </w:r>
          </w:p>
          <w:p w14:paraId="3DFD3AC4" w14:textId="332AB98F" w:rsidR="00C16EE8" w:rsidRPr="00315936" w:rsidRDefault="00522AE3">
            <w:pPr>
              <w:pStyle w:val="Tabletext"/>
              <w:rPr>
                <w:lang w:eastAsia="en-AU"/>
              </w:rPr>
            </w:pPr>
            <w:r>
              <w:t>Ambulance Victoria submits data to the department monthly.</w:t>
            </w:r>
          </w:p>
        </w:tc>
      </w:tr>
    </w:tbl>
    <w:p w14:paraId="13211D73" w14:textId="78736D89" w:rsidR="00F83EEF" w:rsidRPr="00315936" w:rsidRDefault="00F83EEF" w:rsidP="008E7F78">
      <w:pPr>
        <w:pStyle w:val="Heading4"/>
      </w:pPr>
      <w:bookmarkStart w:id="111" w:name="_Toc323191413"/>
      <w:r w:rsidRPr="00315936">
        <w:t>Percentage of triple zero events where the caller receives advice or service from another health provider as an alternative to emergency ambulance response – statewide</w:t>
      </w:r>
      <w:bookmarkEnd w:id="111"/>
    </w:p>
    <w:tbl>
      <w:tblPr>
        <w:tblStyle w:val="TableGrid"/>
        <w:tblW w:w="10343" w:type="dxa"/>
        <w:tblLook w:val="04A0" w:firstRow="1" w:lastRow="0" w:firstColumn="1" w:lastColumn="0" w:noHBand="0" w:noVBand="1"/>
      </w:tblPr>
      <w:tblGrid>
        <w:gridCol w:w="1837"/>
        <w:gridCol w:w="8506"/>
      </w:tblGrid>
      <w:tr w:rsidR="00256BBE" w:rsidRPr="00315936" w14:paraId="4AD2329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E6E5C18" w14:textId="31139786" w:rsidR="00256BBE"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6AD00EBC" w14:textId="18EFCBED" w:rsidR="00256BBE" w:rsidRPr="00315936" w:rsidRDefault="00256BBE">
            <w:pPr>
              <w:pStyle w:val="Tabletext"/>
              <w:rPr>
                <w:lang w:eastAsia="en-AU"/>
              </w:rPr>
            </w:pPr>
            <w:r w:rsidRPr="00315936">
              <w:rPr>
                <w:lang w:val="en-GB"/>
              </w:rPr>
              <w:t>Percentage of triple zero cases where the caller receives advice or service from another health provider as an alternative to an emergency ambulance response – statewide</w:t>
            </w:r>
            <w:r w:rsidR="0027188A">
              <w:rPr>
                <w:lang w:val="en-GB"/>
              </w:rPr>
              <w:t xml:space="preserve"> </w:t>
            </w:r>
            <w:r w:rsidR="00036D6F">
              <w:rPr>
                <w:lang w:val="en-GB"/>
              </w:rPr>
              <w:fldChar w:fldCharType="begin"/>
            </w:r>
            <w:r w:rsidR="00036D6F">
              <w:rPr>
                <w:lang w:val="en-GB"/>
              </w:rPr>
              <w:instrText xml:space="preserve"> NOTEREF _Ref201303719 \f \h </w:instrText>
            </w:r>
            <w:r w:rsidR="00036D6F">
              <w:rPr>
                <w:lang w:val="en-GB"/>
              </w:rPr>
            </w:r>
            <w:r w:rsidR="00036D6F">
              <w:rPr>
                <w:lang w:val="en-GB"/>
              </w:rPr>
              <w:fldChar w:fldCharType="separate"/>
            </w:r>
            <w:r w:rsidR="00036D6F" w:rsidRPr="00036D6F">
              <w:rPr>
                <w:rStyle w:val="EndnoteReference"/>
              </w:rPr>
              <w:t>ix</w:t>
            </w:r>
            <w:r w:rsidR="00036D6F">
              <w:rPr>
                <w:lang w:val="en-GB"/>
              </w:rPr>
              <w:fldChar w:fldCharType="end"/>
            </w:r>
            <w:r w:rsidR="00CA6B2D">
              <w:fldChar w:fldCharType="begin"/>
            </w:r>
            <w:r w:rsidR="00CA6B2D">
              <w:rPr>
                <w:lang w:val="en-GB"/>
              </w:rPr>
              <w:instrText xml:space="preserve"> NOTEREF _Ref201303719 \f \h </w:instrText>
            </w:r>
            <w:r w:rsidR="00CA6B2D">
              <w:fldChar w:fldCharType="separate"/>
            </w:r>
            <w:r w:rsidR="00CA6B2D">
              <w:fldChar w:fldCharType="end"/>
            </w:r>
          </w:p>
        </w:tc>
      </w:tr>
      <w:tr w:rsidR="00256BBE" w:rsidRPr="00315936" w14:paraId="3EB3495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CEC95A9" w14:textId="77777777" w:rsidR="00256BBE" w:rsidRPr="00315936" w:rsidRDefault="00256BBE">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1B36726D" w14:textId="77777777" w:rsidR="00256BBE" w:rsidRPr="00315936" w:rsidRDefault="00256BBE">
            <w:pPr>
              <w:pStyle w:val="Tabletext"/>
            </w:pPr>
            <w:r w:rsidRPr="00315936">
              <w:t>Low-acuity triple zero (000) cases diverted to the Referral Service may be offered a more appropriate alternative to an emergency ambulance dispatch.</w:t>
            </w:r>
          </w:p>
          <w:p w14:paraId="12D08728" w14:textId="77777777" w:rsidR="00256BBE" w:rsidRPr="00315936" w:rsidRDefault="00256BBE">
            <w:pPr>
              <w:pStyle w:val="Tabletext"/>
            </w:pPr>
            <w:r w:rsidRPr="00315936">
              <w:t>A successful referral is when a triple zero call does not result in an emergency ambulance dispatch and is diverted to a non-emergency response or referred to an alternative service provider such as a medical practitioner, nursing service, other health professional service, home self-care or advice.</w:t>
            </w:r>
          </w:p>
          <w:p w14:paraId="64DDCEEA" w14:textId="77777777" w:rsidR="00256BBE" w:rsidRPr="00315936" w:rsidRDefault="00256BBE">
            <w:pPr>
              <w:pStyle w:val="Tabletext"/>
            </w:pPr>
            <w:r w:rsidRPr="00315936">
              <w:t>Ambulance Victoria manages call diversion via a Referral Service that performs a secondary triage with the patient, following the primary triage from the Emergency Services Telecommunications Authority (ESTA) call-taker.</w:t>
            </w:r>
          </w:p>
          <w:p w14:paraId="2C57C87E" w14:textId="616A4205" w:rsidR="00256BBE" w:rsidRPr="00315936" w:rsidRDefault="00256BBE">
            <w:pPr>
              <w:pStyle w:val="Tabletext"/>
              <w:rPr>
                <w:lang w:eastAsia="en-AU"/>
              </w:rPr>
            </w:pPr>
            <w:r w:rsidRPr="00315936">
              <w:t xml:space="preserve">This </w:t>
            </w:r>
            <w:r w:rsidR="00C3016B" w:rsidRPr="00315936">
              <w:t>measure</w:t>
            </w:r>
            <w:r w:rsidRPr="00315936">
              <w:t xml:space="preserve"> </w:t>
            </w:r>
            <w:r w:rsidR="0027716C">
              <w:t>calculates the percentage</w:t>
            </w:r>
            <w:r w:rsidRPr="00315936">
              <w:t xml:space="preserve"> </w:t>
            </w:r>
            <w:r w:rsidR="00E66431">
              <w:t xml:space="preserve">of </w:t>
            </w:r>
            <w:r w:rsidRPr="00315936">
              <w:t>triple zero calls statewide that do not result in an emergency dispatch after triage by the Referral Service.</w:t>
            </w:r>
          </w:p>
        </w:tc>
      </w:tr>
      <w:tr w:rsidR="00256BBE" w:rsidRPr="00315936" w14:paraId="50A390F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F105D19" w14:textId="77777777" w:rsidR="00256BBE" w:rsidRPr="00315936" w:rsidRDefault="00256BBE">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31D07C86" w14:textId="77777777" w:rsidR="00256BBE" w:rsidRPr="00315936" w:rsidRDefault="00256BBE">
            <w:pPr>
              <w:pStyle w:val="Tabletext"/>
            </w:pPr>
            <w:r w:rsidRPr="00315936">
              <w:t>Proportion of triple zero cases where the caller receives advice or service from another health provider or non-emergency ambulance transport as an alternative to emergency ambulance response statewide.</w:t>
            </w:r>
          </w:p>
          <w:p w14:paraId="617B4219" w14:textId="77BDACE0" w:rsidR="00256BBE" w:rsidRPr="00315936" w:rsidRDefault="00256BBE">
            <w:pPr>
              <w:pStyle w:val="Tabletext"/>
              <w:rPr>
                <w:lang w:eastAsia="en-AU"/>
              </w:rPr>
            </w:pPr>
            <w:r w:rsidRPr="00315936">
              <w:t xml:space="preserve">This </w:t>
            </w:r>
            <w:r w:rsidR="00C3016B" w:rsidRPr="00315936">
              <w:t>measure</w:t>
            </w:r>
            <w:r w:rsidRPr="00315936">
              <w:t xml:space="preserve"> is expressed as a percentage to one decimal place.</w:t>
            </w:r>
          </w:p>
        </w:tc>
      </w:tr>
      <w:tr w:rsidR="00256BBE" w:rsidRPr="00315936" w14:paraId="06EB54F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DFD7CC5" w14:textId="77777777" w:rsidR="00256BBE" w:rsidRPr="00315936" w:rsidRDefault="00256BBE">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70A86303" w14:textId="61C4F483" w:rsidR="00256BBE" w:rsidRPr="00315936" w:rsidRDefault="00CD47BE">
            <w:pPr>
              <w:pStyle w:val="Tabletext"/>
              <w:rPr>
                <w:lang w:eastAsia="en-AU"/>
              </w:rPr>
            </w:pPr>
            <w:r>
              <w:t>N</w:t>
            </w:r>
            <w:r w:rsidR="00256BBE" w:rsidRPr="00315936">
              <w:t>umber of cases managed by the Referral Service that did not result in an emergency response</w:t>
            </w:r>
          </w:p>
        </w:tc>
      </w:tr>
      <w:tr w:rsidR="00256BBE" w:rsidRPr="00315936" w14:paraId="3439710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D2655EE" w14:textId="77777777" w:rsidR="00256BBE" w:rsidRPr="00315936" w:rsidRDefault="00256BBE">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2BB3DAA" w14:textId="562E5D98" w:rsidR="00256BBE" w:rsidRPr="00315936" w:rsidRDefault="000E0972">
            <w:pPr>
              <w:pStyle w:val="Tabletext"/>
              <w:rPr>
                <w:lang w:eastAsia="en-AU"/>
              </w:rPr>
            </w:pPr>
            <w:r>
              <w:t xml:space="preserve">Number of triple zero calls that resulted in a referral or emergency </w:t>
            </w:r>
            <w:r w:rsidR="25604B8A">
              <w:t xml:space="preserve">first </w:t>
            </w:r>
            <w:r>
              <w:t>response.</w:t>
            </w:r>
          </w:p>
        </w:tc>
      </w:tr>
      <w:tr w:rsidR="00272156" w:rsidRPr="00315936" w14:paraId="26D6F35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AB31F2C" w14:textId="77777777" w:rsidR="00256BBE" w:rsidRPr="00315936" w:rsidRDefault="00256BBE">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64BFA2D7" w14:textId="2F28019A" w:rsidR="00256BBE" w:rsidRPr="00315936" w:rsidRDefault="00D958A7">
            <w:pPr>
              <w:pStyle w:val="Tabletext"/>
              <w:rPr>
                <w:lang w:eastAsia="en-AU"/>
              </w:rPr>
            </w:pPr>
            <w:r>
              <w:t>2</w:t>
            </w:r>
            <w:r w:rsidR="001E1C68">
              <w:t>5</w:t>
            </w:r>
            <w:r w:rsidR="00A67D0D" w:rsidRPr="00315936">
              <w:t xml:space="preserve"> per cent</w:t>
            </w:r>
            <w:r w:rsidR="00E06329">
              <w:t xml:space="preserve"> or </w:t>
            </w:r>
            <w:r w:rsidR="00E83555">
              <w:t xml:space="preserve">at least </w:t>
            </w:r>
            <w:r w:rsidR="001E1C68">
              <w:t>5</w:t>
            </w:r>
            <w:r w:rsidR="00E06329">
              <w:t xml:space="preserve"> </w:t>
            </w:r>
            <w:r w:rsidR="00E06329" w:rsidRPr="00DA2303">
              <w:t>per</w:t>
            </w:r>
            <w:r w:rsidR="00041023" w:rsidRPr="0046785A">
              <w:t xml:space="preserve"> </w:t>
            </w:r>
            <w:r w:rsidR="00E06329" w:rsidRPr="00DA2303">
              <w:t>cent</w:t>
            </w:r>
            <w:r w:rsidR="00E06329">
              <w:t xml:space="preserve"> </w:t>
            </w:r>
            <w:r w:rsidR="00E83555">
              <w:t xml:space="preserve">improvement </w:t>
            </w:r>
            <w:r w:rsidR="00E06329">
              <w:t>compared to same time last year</w:t>
            </w:r>
          </w:p>
        </w:tc>
      </w:tr>
      <w:tr w:rsidR="00272156" w:rsidRPr="00315936" w14:paraId="44E8721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76EAA53" w14:textId="58D070D2" w:rsidR="00256BBE" w:rsidRPr="00315936" w:rsidRDefault="00256BBE" w:rsidP="00256BBE">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2B89149C" w14:textId="6344C5EC" w:rsidR="00256BBE" w:rsidRPr="00315936" w:rsidRDefault="00256BBE" w:rsidP="00256BBE">
            <w:pPr>
              <w:pStyle w:val="Tabletext"/>
            </w:pPr>
            <w:r w:rsidRPr="00315936">
              <w:t xml:space="preserve">Equal to or greater than </w:t>
            </w:r>
            <w:r w:rsidR="00D958A7">
              <w:t>2</w:t>
            </w:r>
            <w:r w:rsidR="001E1C68">
              <w:t>5</w:t>
            </w:r>
            <w:r w:rsidR="00A67D0D" w:rsidRPr="00315936">
              <w:t xml:space="preserve"> per cent</w:t>
            </w:r>
            <w:r w:rsidR="001B7824">
              <w:t xml:space="preserve"> or </w:t>
            </w:r>
            <w:r w:rsidR="00EC292E">
              <w:t xml:space="preserve">5 </w:t>
            </w:r>
            <w:r w:rsidR="00EC292E" w:rsidRPr="00DA2303">
              <w:t>per</w:t>
            </w:r>
            <w:r w:rsidR="00216F02" w:rsidRPr="0046785A">
              <w:t xml:space="preserve"> </w:t>
            </w:r>
            <w:r w:rsidR="00EC292E" w:rsidRPr="00DA2303">
              <w:t>cent</w:t>
            </w:r>
            <w:r w:rsidR="00EC292E">
              <w:t xml:space="preserve"> </w:t>
            </w:r>
            <w:r w:rsidR="00803373">
              <w:t>improvement</w:t>
            </w:r>
          </w:p>
        </w:tc>
      </w:tr>
      <w:tr w:rsidR="00272156" w:rsidRPr="00315936" w14:paraId="180B0A81" w14:textId="77777777" w:rsidTr="008E1561">
        <w:trPr>
          <w:trHeight w:val="5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46D0EBB" w14:textId="405E533E" w:rsidR="00256BBE" w:rsidRPr="00315936" w:rsidRDefault="00256BBE" w:rsidP="00256BBE">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06DAEEE2" w14:textId="1E025614" w:rsidR="00256BBE" w:rsidRPr="00315936" w:rsidRDefault="00256BBE" w:rsidP="00256BBE">
            <w:pPr>
              <w:pStyle w:val="Tabletext"/>
            </w:pPr>
            <w:r w:rsidRPr="00315936">
              <w:t xml:space="preserve">Less than </w:t>
            </w:r>
            <w:r w:rsidR="00E457AF">
              <w:t>2</w:t>
            </w:r>
            <w:r w:rsidR="001E1C68">
              <w:t>5</w:t>
            </w:r>
            <w:r w:rsidR="00A67D0D" w:rsidRPr="00315936">
              <w:t xml:space="preserve"> per cent</w:t>
            </w:r>
            <w:r w:rsidR="00803373">
              <w:t xml:space="preserve"> </w:t>
            </w:r>
            <w:r w:rsidR="0C06C6B0">
              <w:t>and</w:t>
            </w:r>
            <w:r w:rsidR="00803373">
              <w:t xml:space="preserve"> below</w:t>
            </w:r>
            <w:r w:rsidR="003208E6">
              <w:t xml:space="preserve"> 5 </w:t>
            </w:r>
            <w:r w:rsidR="003208E6" w:rsidRPr="00DA2303">
              <w:t>per</w:t>
            </w:r>
            <w:r w:rsidR="00216F02" w:rsidRPr="0046785A">
              <w:t xml:space="preserve"> </w:t>
            </w:r>
            <w:r w:rsidR="003208E6" w:rsidRPr="00DA2303">
              <w:t>cent</w:t>
            </w:r>
            <w:r w:rsidR="003208E6">
              <w:t xml:space="preserve"> improvement</w:t>
            </w:r>
          </w:p>
        </w:tc>
      </w:tr>
      <w:tr w:rsidR="00256BBE" w:rsidRPr="00315936" w14:paraId="0544D59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A0D4CE8" w14:textId="77777777" w:rsidR="00256BBE" w:rsidRPr="00315936" w:rsidRDefault="00256BBE">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0B4C32C8" w14:textId="429E02A4" w:rsidR="00256BBE" w:rsidRPr="00315936" w:rsidRDefault="00813B51">
            <w:pPr>
              <w:pStyle w:val="Tabletext"/>
              <w:rPr>
                <w:lang w:eastAsia="en-AU"/>
              </w:rPr>
            </w:pPr>
            <w:proofErr w:type="gramStart"/>
            <w:r w:rsidRPr="00315936">
              <w:t>For the purpose of</w:t>
            </w:r>
            <w:proofErr w:type="gramEnd"/>
            <w:r w:rsidRPr="00315936">
              <w:t xml:space="preserve"> the performance risk assessment, improvement is compared to </w:t>
            </w:r>
            <w:r>
              <w:t xml:space="preserve">performance at the </w:t>
            </w:r>
            <w:r w:rsidRPr="00315936">
              <w:t>same time last year</w:t>
            </w:r>
            <w:r>
              <w:t xml:space="preserve"> (</w:t>
            </w:r>
            <w:r w:rsidR="00BB6891">
              <w:t>m</w:t>
            </w:r>
            <w:r>
              <w:t>onthly, quarterly and annually).</w:t>
            </w:r>
          </w:p>
        </w:tc>
      </w:tr>
      <w:tr w:rsidR="00256BBE" w:rsidRPr="00315936" w14:paraId="7688EAD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CC388EE" w14:textId="77777777" w:rsidR="00256BBE" w:rsidRPr="00315936" w:rsidRDefault="00256BBE">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3468E256" w14:textId="73A2B556" w:rsidR="00256BBE" w:rsidRPr="00315936" w:rsidRDefault="00256BBE">
            <w:pPr>
              <w:pStyle w:val="Tabletext"/>
            </w:pPr>
            <w:r w:rsidRPr="00315936">
              <w:t>Performance is monitored and assessed monthly.</w:t>
            </w:r>
          </w:p>
          <w:p w14:paraId="36BFC8D9" w14:textId="77777777" w:rsidR="00256BBE" w:rsidRPr="00315936" w:rsidRDefault="00256BBE">
            <w:pPr>
              <w:pStyle w:val="Tabletext"/>
              <w:rPr>
                <w:lang w:eastAsia="en-AU"/>
              </w:rPr>
            </w:pPr>
            <w:r>
              <w:t>Ambulance Victoria submits data to the department monthly.</w:t>
            </w:r>
          </w:p>
        </w:tc>
      </w:tr>
    </w:tbl>
    <w:p w14:paraId="2FAF650B" w14:textId="76C4242B" w:rsidR="00022590" w:rsidRPr="00315936" w:rsidRDefault="00022590" w:rsidP="008E7F78">
      <w:pPr>
        <w:pStyle w:val="Heading4"/>
      </w:pPr>
      <w:bookmarkStart w:id="112" w:name="_Toc1439771788"/>
      <w:r w:rsidRPr="00315936">
        <w:t>Average ambulance hospital clearing time</w:t>
      </w:r>
      <w:bookmarkEnd w:id="112"/>
    </w:p>
    <w:tbl>
      <w:tblPr>
        <w:tblStyle w:val="TableGrid"/>
        <w:tblW w:w="10343" w:type="dxa"/>
        <w:tblLook w:val="04A0" w:firstRow="1" w:lastRow="0" w:firstColumn="1" w:lastColumn="0" w:noHBand="0" w:noVBand="1"/>
      </w:tblPr>
      <w:tblGrid>
        <w:gridCol w:w="1837"/>
        <w:gridCol w:w="8506"/>
      </w:tblGrid>
      <w:tr w:rsidR="00AA0230" w:rsidRPr="00315936" w14:paraId="6A2293E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C21E61B" w14:textId="503701C3" w:rsidR="00AA0230"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1B857693" w14:textId="47FCF55B" w:rsidR="00AA0230" w:rsidRPr="00315936" w:rsidRDefault="00AA0230">
            <w:pPr>
              <w:pStyle w:val="Tabletext"/>
              <w:rPr>
                <w:lang w:eastAsia="en-AU"/>
              </w:rPr>
            </w:pPr>
            <w:r w:rsidRPr="00315936">
              <w:rPr>
                <w:lang w:val="en-GB"/>
              </w:rPr>
              <w:t>Average ambulance hospital clearing time</w:t>
            </w:r>
            <w:r w:rsidR="00BB6891">
              <w:rPr>
                <w:lang w:val="en-GB"/>
              </w:rPr>
              <w:t xml:space="preserve"> </w:t>
            </w:r>
            <w:r w:rsidR="00036D6F">
              <w:rPr>
                <w:lang w:val="en-GB"/>
              </w:rPr>
              <w:fldChar w:fldCharType="begin"/>
            </w:r>
            <w:r w:rsidR="00036D6F">
              <w:rPr>
                <w:lang w:val="en-GB"/>
              </w:rPr>
              <w:instrText xml:space="preserve"> NOTEREF _Ref201303719 \f \h </w:instrText>
            </w:r>
            <w:r w:rsidR="00036D6F">
              <w:rPr>
                <w:lang w:val="en-GB"/>
              </w:rPr>
            </w:r>
            <w:r w:rsidR="00036D6F">
              <w:rPr>
                <w:lang w:val="en-GB"/>
              </w:rPr>
              <w:fldChar w:fldCharType="separate"/>
            </w:r>
            <w:r w:rsidR="00036D6F" w:rsidRPr="00036D6F">
              <w:rPr>
                <w:rStyle w:val="EndnoteReference"/>
              </w:rPr>
              <w:t>ix</w:t>
            </w:r>
            <w:r w:rsidR="00036D6F">
              <w:rPr>
                <w:lang w:val="en-GB"/>
              </w:rPr>
              <w:fldChar w:fldCharType="end"/>
            </w:r>
            <w:r w:rsidR="00CA6B2D">
              <w:rPr>
                <w:lang w:val="en-GB"/>
              </w:rPr>
              <w:fldChar w:fldCharType="begin"/>
            </w:r>
            <w:r w:rsidR="00CA6B2D">
              <w:rPr>
                <w:lang w:val="en-GB"/>
              </w:rPr>
              <w:instrText xml:space="preserve"> NOTEREF _Ref201303719 \f \h </w:instrText>
            </w:r>
            <w:r w:rsidR="00CA6B2D">
              <w:rPr>
                <w:lang w:val="en-GB"/>
              </w:rPr>
            </w:r>
            <w:r w:rsidR="00CA6B2D">
              <w:rPr>
                <w:lang w:val="en-GB"/>
              </w:rPr>
              <w:fldChar w:fldCharType="separate"/>
            </w:r>
            <w:r w:rsidR="00CA6B2D">
              <w:rPr>
                <w:lang w:val="en-GB"/>
              </w:rPr>
              <w:fldChar w:fldCharType="end"/>
            </w:r>
          </w:p>
        </w:tc>
      </w:tr>
      <w:tr w:rsidR="00AA0230" w:rsidRPr="00315936" w14:paraId="22F63C07"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B9209F2" w14:textId="77777777" w:rsidR="00AA0230" w:rsidRPr="00315936" w:rsidRDefault="00AA0230">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2410529D" w14:textId="09FC1DB4" w:rsidR="00AA0230" w:rsidRPr="00315936" w:rsidRDefault="00AA0230">
            <w:pPr>
              <w:pStyle w:val="Tabletext"/>
              <w:rPr>
                <w:lang w:val="en-GB"/>
              </w:rPr>
            </w:pPr>
            <w:r w:rsidRPr="00315936">
              <w:rPr>
                <w:lang w:val="en-GB"/>
              </w:rPr>
              <w:t>This</w:t>
            </w:r>
            <w:r w:rsidRPr="00315936" w:rsidDel="00CE6142">
              <w:rPr>
                <w:lang w:val="en-GB"/>
              </w:rPr>
              <w:t xml:space="preserve"> </w:t>
            </w:r>
            <w:r w:rsidRPr="00315936">
              <w:rPr>
                <w:lang w:val="en-GB"/>
              </w:rPr>
              <w:t xml:space="preserve">measures the </w:t>
            </w:r>
            <w:r w:rsidR="004252E1">
              <w:rPr>
                <w:lang w:val="en-GB"/>
              </w:rPr>
              <w:t xml:space="preserve">average </w:t>
            </w:r>
            <w:r w:rsidRPr="00315936">
              <w:rPr>
                <w:lang w:val="en-GB"/>
              </w:rPr>
              <w:t xml:space="preserve">elapsed time </w:t>
            </w:r>
            <w:r w:rsidR="00E4214C">
              <w:rPr>
                <w:lang w:val="en-GB"/>
              </w:rPr>
              <w:t>between</w:t>
            </w:r>
            <w:r w:rsidR="00E4214C" w:rsidRPr="00315936">
              <w:rPr>
                <w:lang w:val="en-GB"/>
              </w:rPr>
              <w:t xml:space="preserve"> </w:t>
            </w:r>
            <w:r w:rsidRPr="00315936">
              <w:rPr>
                <w:lang w:val="en-GB"/>
              </w:rPr>
              <w:t xml:space="preserve">the </w:t>
            </w:r>
            <w:r w:rsidR="007D3385">
              <w:rPr>
                <w:lang w:val="en-GB"/>
              </w:rPr>
              <w:t xml:space="preserve">time an ambulance paramedic </w:t>
            </w:r>
            <w:r w:rsidR="00B861F5">
              <w:rPr>
                <w:lang w:val="en-GB"/>
              </w:rPr>
              <w:t xml:space="preserve">transfers responsibility for a patient to </w:t>
            </w:r>
            <w:r w:rsidRPr="00315936">
              <w:rPr>
                <w:lang w:val="en-GB"/>
              </w:rPr>
              <w:t xml:space="preserve">a hospital emergency department </w:t>
            </w:r>
            <w:r w:rsidR="00E4214C">
              <w:rPr>
                <w:lang w:val="en-GB"/>
              </w:rPr>
              <w:t>and</w:t>
            </w:r>
            <w:r w:rsidR="00E4214C" w:rsidRPr="00315936">
              <w:rPr>
                <w:lang w:val="en-GB"/>
              </w:rPr>
              <w:t xml:space="preserve"> </w:t>
            </w:r>
            <w:r w:rsidR="00744028">
              <w:rPr>
                <w:lang w:val="en-GB"/>
              </w:rPr>
              <w:t xml:space="preserve">the </w:t>
            </w:r>
            <w:r w:rsidRPr="00315936">
              <w:rPr>
                <w:lang w:val="en-GB"/>
              </w:rPr>
              <w:t xml:space="preserve">completion </w:t>
            </w:r>
            <w:r w:rsidR="00744028">
              <w:rPr>
                <w:lang w:val="en-GB"/>
              </w:rPr>
              <w:t xml:space="preserve">time </w:t>
            </w:r>
            <w:r w:rsidRPr="00315936">
              <w:rPr>
                <w:lang w:val="en-GB"/>
              </w:rPr>
              <w:t xml:space="preserve">of all tasks </w:t>
            </w:r>
            <w:r w:rsidR="00B31866">
              <w:rPr>
                <w:lang w:val="en-GB"/>
              </w:rPr>
              <w:t xml:space="preserve">necessary </w:t>
            </w:r>
            <w:r w:rsidRPr="00315936">
              <w:rPr>
                <w:lang w:val="en-GB"/>
              </w:rPr>
              <w:t>to ensure the ambulance crew is available to respond to another incident.</w:t>
            </w:r>
          </w:p>
          <w:p w14:paraId="6739797A" w14:textId="2037EC0B" w:rsidR="00AA0230" w:rsidRPr="00315936" w:rsidRDefault="0001633D">
            <w:pPr>
              <w:pStyle w:val="Tabletext"/>
              <w:rPr>
                <w:lang w:eastAsia="en-AU"/>
              </w:rPr>
            </w:pPr>
            <w:r w:rsidRPr="00315936">
              <w:t>Clearing time is a key component of total paramedic hospital time that is directly attributable to Ambulance Victoria.</w:t>
            </w:r>
          </w:p>
        </w:tc>
      </w:tr>
      <w:tr w:rsidR="00AA0230" w:rsidRPr="00315936" w14:paraId="3195C4AD"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B6991F0" w14:textId="77777777" w:rsidR="00AA0230" w:rsidRPr="00315936" w:rsidRDefault="00AA0230">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09FF68E0" w14:textId="17A8C172" w:rsidR="0004232D" w:rsidRPr="00315936" w:rsidRDefault="0004232D" w:rsidP="0004232D">
            <w:pPr>
              <w:pStyle w:val="Tabletext"/>
            </w:pPr>
            <w:r w:rsidRPr="00315936">
              <w:t>Handover involves a patient being physically transferred to a hospital trolley, bed, chair or waiting area</w:t>
            </w:r>
            <w:r w:rsidR="00FB0DA7">
              <w:t xml:space="preserve"> </w:t>
            </w:r>
            <w:r w:rsidR="00182022">
              <w:t xml:space="preserve">and </w:t>
            </w:r>
            <w:r w:rsidR="0080384D">
              <w:t xml:space="preserve">the responsibility for patient care transferred to </w:t>
            </w:r>
            <w:r w:rsidR="0011541D">
              <w:t>the hospital emergency department</w:t>
            </w:r>
            <w:r w:rsidRPr="00315936">
              <w:t xml:space="preserve">. </w:t>
            </w:r>
            <w:r w:rsidR="00E13FD1">
              <w:t>A</w:t>
            </w:r>
            <w:r w:rsidRPr="00315936">
              <w:t>mbulance handover completion time (also known as ‘off-stretcher time’) is recorded in a Patient Care Record (PCR) by a paramedic after agreement with an emergency department clinician.</w:t>
            </w:r>
            <w:r w:rsidR="006E7C19">
              <w:t xml:space="preserve"> </w:t>
            </w:r>
          </w:p>
          <w:p w14:paraId="1D7981FF" w14:textId="4011EA03" w:rsidR="0004232D" w:rsidRDefault="0004232D" w:rsidP="0004232D">
            <w:pPr>
              <w:pStyle w:val="Tabletext"/>
            </w:pPr>
            <w:r w:rsidRPr="00315936">
              <w:t xml:space="preserve">This measure applies to all emergency </w:t>
            </w:r>
            <w:r w:rsidR="00097AB4">
              <w:t xml:space="preserve">ambulance road </w:t>
            </w:r>
            <w:r w:rsidRPr="00315936">
              <w:t>transports to a hospital emergency department statewide</w:t>
            </w:r>
            <w:r w:rsidR="004252E1">
              <w:t xml:space="preserve"> </w:t>
            </w:r>
            <w:r w:rsidR="6F5F6BE3">
              <w:t xml:space="preserve">where the emergency presentation departed ED </w:t>
            </w:r>
            <w:r w:rsidR="004252E1">
              <w:t xml:space="preserve">within the </w:t>
            </w:r>
            <w:r w:rsidR="00207ED5">
              <w:t>reporting period</w:t>
            </w:r>
            <w:r w:rsidR="00097AB4">
              <w:t>.</w:t>
            </w:r>
          </w:p>
          <w:p w14:paraId="2088DB2A" w14:textId="4DE994B9" w:rsidR="00AA0230" w:rsidRPr="00315936" w:rsidRDefault="00AA0230">
            <w:pPr>
              <w:pStyle w:val="Tabletext"/>
            </w:pPr>
            <w:r w:rsidRPr="00315936">
              <w:t xml:space="preserve">This </w:t>
            </w:r>
            <w:r w:rsidR="00C3016B" w:rsidRPr="00315936">
              <w:t>measure</w:t>
            </w:r>
            <w:r w:rsidRPr="00315936">
              <w:t xml:space="preserve"> excludes:</w:t>
            </w:r>
          </w:p>
          <w:p w14:paraId="0EF47031" w14:textId="77777777" w:rsidR="00EF1D16" w:rsidRDefault="00AA0230" w:rsidP="001A453F">
            <w:pPr>
              <w:pStyle w:val="Tablebullet1"/>
            </w:pPr>
            <w:r w:rsidRPr="00315936">
              <w:t xml:space="preserve">hospital transports where the </w:t>
            </w:r>
            <w:r w:rsidR="00A5536B">
              <w:t xml:space="preserve">reported </w:t>
            </w:r>
            <w:r w:rsidRPr="00315936">
              <w:t xml:space="preserve">clearing time was </w:t>
            </w:r>
            <w:r w:rsidR="00FB3D3D" w:rsidRPr="00315936">
              <w:t xml:space="preserve">greater </w:t>
            </w:r>
            <w:r w:rsidR="00A5536B">
              <w:t xml:space="preserve">than </w:t>
            </w:r>
            <w:r w:rsidRPr="00315936">
              <w:t xml:space="preserve">3 hours </w:t>
            </w:r>
          </w:p>
          <w:p w14:paraId="3D4C9FB8" w14:textId="2E1F3938" w:rsidR="00AA0230" w:rsidRPr="00315936" w:rsidRDefault="00EF1D16" w:rsidP="001A453F">
            <w:pPr>
              <w:pStyle w:val="Tablebullet1"/>
            </w:pPr>
            <w:r w:rsidRPr="00315936">
              <w:t xml:space="preserve">hospital transports </w:t>
            </w:r>
            <w:r>
              <w:t>with</w:t>
            </w:r>
            <w:r w:rsidR="00AA0230" w:rsidRPr="00315936">
              <w:t xml:space="preserve"> missing time stamps</w:t>
            </w:r>
          </w:p>
          <w:p w14:paraId="3F9817EE" w14:textId="77777777" w:rsidR="00AA0230" w:rsidRPr="00315936" w:rsidRDefault="00AA0230" w:rsidP="001A453F">
            <w:pPr>
              <w:pStyle w:val="Tablebullet1"/>
            </w:pPr>
            <w:r w:rsidRPr="00315936">
              <w:t>transports by air ambulance resources</w:t>
            </w:r>
          </w:p>
          <w:p w14:paraId="48DAE73E" w14:textId="77777777" w:rsidR="00AA0230" w:rsidRPr="00315936" w:rsidRDefault="00AA0230" w:rsidP="001A453F">
            <w:pPr>
              <w:pStyle w:val="Tablebullet1"/>
            </w:pPr>
            <w:r w:rsidRPr="00315936">
              <w:t>non-emergency hospital transports</w:t>
            </w:r>
          </w:p>
          <w:p w14:paraId="10E610F0" w14:textId="77777777" w:rsidR="00AA0230" w:rsidRPr="00315936" w:rsidRDefault="00AA0230" w:rsidP="001A453F">
            <w:pPr>
              <w:pStyle w:val="Tablebullet1"/>
            </w:pPr>
            <w:r w:rsidRPr="00315936">
              <w:t>inter-hospital transports.</w:t>
            </w:r>
          </w:p>
          <w:p w14:paraId="46F7F599" w14:textId="1D7DFF23" w:rsidR="005E1A3E" w:rsidRPr="00315936" w:rsidRDefault="00AA0230">
            <w:pPr>
              <w:pStyle w:val="Tabletext"/>
            </w:pPr>
            <w:r w:rsidRPr="00315936">
              <w:t xml:space="preserve">This </w:t>
            </w:r>
            <w:r w:rsidR="00C3016B" w:rsidRPr="00315936">
              <w:t>measure</w:t>
            </w:r>
            <w:r w:rsidRPr="00315936">
              <w:t xml:space="preserve"> is </w:t>
            </w:r>
            <w:r w:rsidR="00362BBF">
              <w:t xml:space="preserve">reported by region and </w:t>
            </w:r>
            <w:r w:rsidRPr="00315936">
              <w:t>expressed as minutes to one decimal place.</w:t>
            </w:r>
          </w:p>
        </w:tc>
      </w:tr>
      <w:tr w:rsidR="00AA0230" w:rsidRPr="00315936" w14:paraId="6ECADB9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9A6EF5F" w14:textId="77777777" w:rsidR="00AA0230" w:rsidRPr="00315936" w:rsidRDefault="00AA0230">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7439F722" w14:textId="1F2A86A3" w:rsidR="00AA0230" w:rsidRPr="00315936" w:rsidRDefault="4282DE7A">
            <w:pPr>
              <w:pStyle w:val="Tabletext"/>
              <w:rPr>
                <w:lang w:eastAsia="en-AU"/>
              </w:rPr>
            </w:pPr>
            <w:r>
              <w:t xml:space="preserve">The sum of </w:t>
            </w:r>
            <w:r w:rsidR="0176F3EE">
              <w:t xml:space="preserve">in-scope </w:t>
            </w:r>
            <w:r>
              <w:t>emergency road clearing times</w:t>
            </w:r>
          </w:p>
        </w:tc>
      </w:tr>
      <w:tr w:rsidR="00AA0230" w:rsidRPr="00315936" w14:paraId="38E986CC"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7565291" w14:textId="77777777" w:rsidR="00AA0230" w:rsidRPr="00315936" w:rsidRDefault="00AA0230">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45AA7F7C" w14:textId="1490EEF8" w:rsidR="00AA0230" w:rsidRPr="00315936" w:rsidRDefault="4282DE7A">
            <w:pPr>
              <w:pStyle w:val="Tabletext"/>
              <w:rPr>
                <w:lang w:eastAsia="en-AU"/>
              </w:rPr>
            </w:pPr>
            <w:r>
              <w:t xml:space="preserve">The total number </w:t>
            </w:r>
            <w:r w:rsidR="003F3E1E">
              <w:t xml:space="preserve">of </w:t>
            </w:r>
            <w:r w:rsidR="001D7414">
              <w:t>patients transported to hospital</w:t>
            </w:r>
            <w:r>
              <w:t xml:space="preserve"> </w:t>
            </w:r>
          </w:p>
        </w:tc>
      </w:tr>
      <w:tr w:rsidR="00AA0230" w:rsidRPr="00315936" w14:paraId="66B10F1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1E51646" w14:textId="77777777" w:rsidR="00AA0230" w:rsidRPr="00315936" w:rsidRDefault="00AA0230">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7C947748" w14:textId="77777777" w:rsidR="00AA0230" w:rsidRPr="00315936" w:rsidRDefault="00AA0230">
            <w:pPr>
              <w:pStyle w:val="Tabletext"/>
              <w:rPr>
                <w:lang w:eastAsia="en-AU"/>
              </w:rPr>
            </w:pPr>
            <w:r w:rsidRPr="00315936">
              <w:t>20 minutes</w:t>
            </w:r>
          </w:p>
        </w:tc>
      </w:tr>
      <w:tr w:rsidR="00AA0230" w:rsidRPr="00315936" w14:paraId="5D940A7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E7DD714" w14:textId="0A4C787F" w:rsidR="00AA0230" w:rsidRPr="00315936" w:rsidRDefault="00AA0230" w:rsidP="00AA0230">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6CB10184" w14:textId="662B1EC6" w:rsidR="00AA0230" w:rsidRPr="00315936" w:rsidRDefault="00AA0230" w:rsidP="00AA0230">
            <w:pPr>
              <w:pStyle w:val="Tabletext"/>
            </w:pPr>
            <w:r w:rsidRPr="00315936">
              <w:t>Less than or equal to 20 minutes</w:t>
            </w:r>
          </w:p>
        </w:tc>
      </w:tr>
      <w:tr w:rsidR="00AA0230" w:rsidRPr="00315936" w14:paraId="3F381716"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362EF52" w14:textId="32B74800" w:rsidR="00AA0230" w:rsidRPr="00315936" w:rsidRDefault="00AA0230" w:rsidP="00AA0230">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5583E013" w14:textId="1F4890DC" w:rsidR="00AA0230" w:rsidRPr="00315936" w:rsidRDefault="00AA0230" w:rsidP="00AA0230">
            <w:pPr>
              <w:pStyle w:val="Tabletext"/>
            </w:pPr>
            <w:r w:rsidRPr="00315936">
              <w:t>Greater than 20 minutes</w:t>
            </w:r>
          </w:p>
        </w:tc>
      </w:tr>
      <w:tr w:rsidR="00AA0230" w:rsidRPr="00315936" w14:paraId="61F43EF9"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6B26879" w14:textId="77777777" w:rsidR="00AA0230" w:rsidRPr="00315936" w:rsidRDefault="00AA0230">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455ED3E8" w14:textId="53AB2644" w:rsidR="00AA0230" w:rsidRPr="00315936" w:rsidRDefault="00813B51">
            <w:pPr>
              <w:pStyle w:val="Tabletext"/>
              <w:rPr>
                <w:lang w:eastAsia="en-AU"/>
              </w:rPr>
            </w:pPr>
            <w:proofErr w:type="gramStart"/>
            <w:r w:rsidRPr="00315936">
              <w:t>For the purpose of</w:t>
            </w:r>
            <w:proofErr w:type="gramEnd"/>
            <w:r w:rsidRPr="00315936">
              <w:t xml:space="preserve"> the performance risk assessment, improvement is compared to </w:t>
            </w:r>
            <w:r>
              <w:t xml:space="preserve">performance at the </w:t>
            </w:r>
            <w:r w:rsidRPr="00315936">
              <w:t xml:space="preserve">same </w:t>
            </w:r>
            <w:r w:rsidR="0004232D">
              <w:t>period</w:t>
            </w:r>
            <w:r w:rsidRPr="00315936">
              <w:t xml:space="preserve"> last year</w:t>
            </w:r>
            <w:r>
              <w:t xml:space="preserve"> (Monthly, quarterly and annually).</w:t>
            </w:r>
          </w:p>
        </w:tc>
      </w:tr>
      <w:tr w:rsidR="00AA0230" w:rsidRPr="00315936" w14:paraId="06DC9237"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220D289" w14:textId="77777777" w:rsidR="00AA0230" w:rsidRPr="00315936" w:rsidRDefault="00AA0230">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7039CA2D" w14:textId="094AC3C0" w:rsidR="00AA0230" w:rsidRPr="00315936" w:rsidRDefault="33250547">
            <w:pPr>
              <w:pStyle w:val="Tabletext"/>
            </w:pPr>
            <w:r>
              <w:t xml:space="preserve">Performance is </w:t>
            </w:r>
            <w:r w:rsidR="247EAE5E">
              <w:t xml:space="preserve">reported </w:t>
            </w:r>
            <w:r>
              <w:t>monthly</w:t>
            </w:r>
            <w:r w:rsidR="247EAE5E">
              <w:t xml:space="preserve"> </w:t>
            </w:r>
            <w:r w:rsidR="347D876C">
              <w:t xml:space="preserve">with a </w:t>
            </w:r>
            <w:bookmarkStart w:id="113" w:name="_Int_Oozg3so8"/>
            <w:proofErr w:type="gramStart"/>
            <w:r w:rsidR="347D876C">
              <w:t>one month</w:t>
            </w:r>
            <w:bookmarkEnd w:id="113"/>
            <w:proofErr w:type="gramEnd"/>
            <w:r w:rsidR="347D876C">
              <w:t xml:space="preserve"> lag</w:t>
            </w:r>
            <w:r w:rsidR="5EC488DB">
              <w:t>.</w:t>
            </w:r>
          </w:p>
          <w:p w14:paraId="5C6E19B1" w14:textId="14445FAA" w:rsidR="00AA0230" w:rsidRPr="00315936" w:rsidRDefault="00093239">
            <w:pPr>
              <w:pStyle w:val="Tabletext"/>
              <w:rPr>
                <w:lang w:eastAsia="en-AU"/>
              </w:rPr>
            </w:pPr>
            <w:r>
              <w:t xml:space="preserve">Data are sourced from </w:t>
            </w:r>
            <w:r w:rsidR="00522AE3">
              <w:t>Ambulance Victoria</w:t>
            </w:r>
            <w:r>
              <w:t xml:space="preserve">’s </w:t>
            </w:r>
            <w:r w:rsidR="00DB4F10" w:rsidRPr="00315936">
              <w:t>Patient Care Record (PCR)</w:t>
            </w:r>
            <w:r w:rsidR="00627E1C">
              <w:t xml:space="preserve"> and are submitted </w:t>
            </w:r>
            <w:r w:rsidR="00522AE3">
              <w:t>to the department monthly.</w:t>
            </w:r>
          </w:p>
        </w:tc>
      </w:tr>
    </w:tbl>
    <w:p w14:paraId="6C290C9A" w14:textId="7DD56DF9" w:rsidR="00140581" w:rsidRPr="00315936" w:rsidRDefault="00140581" w:rsidP="00790525">
      <w:pPr>
        <w:pStyle w:val="Heading3"/>
      </w:pPr>
      <w:bookmarkStart w:id="114" w:name="_Toc864828636"/>
      <w:proofErr w:type="spellStart"/>
      <w:r w:rsidRPr="00315936">
        <w:t>Forensicare</w:t>
      </w:r>
      <w:bookmarkEnd w:id="114"/>
      <w:proofErr w:type="spellEnd"/>
    </w:p>
    <w:p w14:paraId="10459ABD" w14:textId="3D3B7C00" w:rsidR="00080072" w:rsidRPr="00315936" w:rsidRDefault="00080072" w:rsidP="00790525">
      <w:pPr>
        <w:pStyle w:val="Body"/>
        <w:keepNext/>
      </w:pPr>
      <w:proofErr w:type="spellStart"/>
      <w:r w:rsidRPr="00315936">
        <w:t>Forensicare</w:t>
      </w:r>
      <w:proofErr w:type="spellEnd"/>
      <w:r w:rsidRPr="00315936">
        <w:t xml:space="preserve"> is the trading name for the Victorian Institute of Forensic Mental Health. </w:t>
      </w:r>
      <w:proofErr w:type="spellStart"/>
      <w:r w:rsidRPr="00315936">
        <w:t>Forensicare</w:t>
      </w:r>
      <w:proofErr w:type="spellEnd"/>
      <w:r w:rsidRPr="00315936">
        <w:t xml:space="preserve"> provides adult mental health services in Victoria </w:t>
      </w:r>
      <w:r w:rsidR="00C85D90">
        <w:t>to</w:t>
      </w:r>
      <w:r w:rsidR="00C85D90" w:rsidRPr="00315936">
        <w:t xml:space="preserve"> </w:t>
      </w:r>
      <w:r w:rsidRPr="00315936">
        <w:t xml:space="preserve">people involved in the criminal justice system via the Thomas </w:t>
      </w:r>
      <w:proofErr w:type="spellStart"/>
      <w:r w:rsidRPr="00315936">
        <w:t>Embling</w:t>
      </w:r>
      <w:proofErr w:type="spellEnd"/>
      <w:r w:rsidRPr="00315936">
        <w:t xml:space="preserve"> Hospital.</w:t>
      </w:r>
    </w:p>
    <w:p w14:paraId="2DCCDFBE" w14:textId="0ADAF6AC" w:rsidR="005D3AB6" w:rsidRPr="00315936" w:rsidRDefault="005D6FF1" w:rsidP="008E7F78">
      <w:pPr>
        <w:pStyle w:val="Heading4"/>
      </w:pPr>
      <w:bookmarkStart w:id="115" w:name="_Toc1037101442"/>
      <w:r w:rsidRPr="00315936">
        <w:t xml:space="preserve">Percentage of male </w:t>
      </w:r>
      <w:r w:rsidR="6AE5BB50" w:rsidRPr="00315936">
        <w:t>s</w:t>
      </w:r>
      <w:r w:rsidRPr="00315936">
        <w:t xml:space="preserve">ecurity </w:t>
      </w:r>
      <w:r w:rsidR="540ED6A1" w:rsidRPr="00315936">
        <w:t>p</w:t>
      </w:r>
      <w:r w:rsidRPr="00315936">
        <w:t xml:space="preserve">atients admitted to Thomas </w:t>
      </w:r>
      <w:proofErr w:type="spellStart"/>
      <w:r w:rsidRPr="00315936">
        <w:t>Embling</w:t>
      </w:r>
      <w:proofErr w:type="spellEnd"/>
      <w:r w:rsidRPr="00315936">
        <w:t xml:space="preserve"> Hospital within 7 days of recommendation for compulsory treatment</w:t>
      </w:r>
      <w:bookmarkEnd w:id="115"/>
    </w:p>
    <w:tbl>
      <w:tblPr>
        <w:tblStyle w:val="TableGrid"/>
        <w:tblW w:w="10343" w:type="dxa"/>
        <w:tblLook w:val="04A0" w:firstRow="1" w:lastRow="0" w:firstColumn="1" w:lastColumn="0" w:noHBand="0" w:noVBand="1"/>
      </w:tblPr>
      <w:tblGrid>
        <w:gridCol w:w="1837"/>
        <w:gridCol w:w="8506"/>
      </w:tblGrid>
      <w:tr w:rsidR="006E4D8B" w:rsidRPr="00315936" w14:paraId="5AC8CAE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17B99D4" w14:textId="4E2D24BC" w:rsidR="006E4D8B"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6DC9337A" w14:textId="119E14B9" w:rsidR="006E4D8B" w:rsidRPr="00315936" w:rsidRDefault="006E4D8B">
            <w:pPr>
              <w:pStyle w:val="Tabletext"/>
              <w:rPr>
                <w:lang w:eastAsia="en-AU"/>
              </w:rPr>
            </w:pPr>
            <w:r w:rsidRPr="00315936">
              <w:t xml:space="preserve">Percentage of male security patients admitted to Thomas </w:t>
            </w:r>
            <w:proofErr w:type="spellStart"/>
            <w:r w:rsidRPr="00315936">
              <w:t>Embling</w:t>
            </w:r>
            <w:proofErr w:type="spellEnd"/>
            <w:r w:rsidRPr="00315936">
              <w:t xml:space="preserve"> Hospital within 7 days of recommendation for compulsory trea</w:t>
            </w:r>
            <w:bookmarkStart w:id="116" w:name="_Ref201304253"/>
            <w:r w:rsidRPr="00315936">
              <w:t>t</w:t>
            </w:r>
            <w:bookmarkEnd w:id="116"/>
            <w:r w:rsidRPr="00315936">
              <w:t>ment</w:t>
            </w:r>
            <w:bookmarkStart w:id="117" w:name="_Ref201835099"/>
            <w:bookmarkStart w:id="118" w:name="_Ref201304203"/>
            <w:r w:rsidR="00336B35">
              <w:t xml:space="preserve"> </w:t>
            </w:r>
            <w:r w:rsidR="00CA6B2D">
              <w:rPr>
                <w:rStyle w:val="EndnoteReference"/>
              </w:rPr>
              <w:endnoteReference w:id="17"/>
            </w:r>
            <w:bookmarkEnd w:id="117"/>
            <w:r w:rsidR="00CA6B2D">
              <w:t xml:space="preserve"> </w:t>
            </w:r>
            <w:bookmarkEnd w:id="118"/>
          </w:p>
        </w:tc>
      </w:tr>
      <w:tr w:rsidR="006E4D8B" w:rsidRPr="00315936" w14:paraId="7376F68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41BE171" w14:textId="77777777" w:rsidR="006E4D8B" w:rsidRPr="00315936" w:rsidRDefault="006E4D8B">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6AB3AFD3" w14:textId="38135F38" w:rsidR="00A75F02" w:rsidRDefault="00A75F02">
            <w:pPr>
              <w:pStyle w:val="Tabletext"/>
            </w:pPr>
            <w:bookmarkStart w:id="119" w:name="_Ref201304274"/>
            <w:r w:rsidRPr="00315936">
              <w:t xml:space="preserve">This measures the proportion of male security patients admitted to Thomas </w:t>
            </w:r>
            <w:proofErr w:type="spellStart"/>
            <w:r w:rsidRPr="00315936">
              <w:t>Embling</w:t>
            </w:r>
            <w:proofErr w:type="spellEnd"/>
            <w:r w:rsidRPr="00315936">
              <w:t xml:space="preserve"> Hospital within 7 days of </w:t>
            </w:r>
            <w:r w:rsidR="005836A0" w:rsidRPr="1E2588F2">
              <w:rPr>
                <w:rFonts w:eastAsia="Arial" w:cs="Arial"/>
              </w:rPr>
              <w:t xml:space="preserve">being certified as requiring </w:t>
            </w:r>
            <w:r w:rsidRPr="00315936">
              <w:t xml:space="preserve">compulsory treatment. </w:t>
            </w:r>
          </w:p>
          <w:bookmarkEnd w:id="119"/>
          <w:p w14:paraId="1CA4A5BD" w14:textId="4A91C9C9" w:rsidR="006E4D8B" w:rsidRPr="00A75F02" w:rsidRDefault="00AC3C31">
            <w:pPr>
              <w:pStyle w:val="Tabletext"/>
              <w:rPr>
                <w:i/>
              </w:rPr>
            </w:pPr>
            <w:r w:rsidRPr="00315936">
              <w:t xml:space="preserve">Thomas </w:t>
            </w:r>
            <w:proofErr w:type="spellStart"/>
            <w:r w:rsidRPr="00315936">
              <w:t>Embling</w:t>
            </w:r>
            <w:proofErr w:type="spellEnd"/>
            <w:r w:rsidRPr="00315936">
              <w:t xml:space="preserve"> </w:t>
            </w:r>
            <w:r w:rsidR="00A11C83">
              <w:t>H</w:t>
            </w:r>
            <w:r w:rsidRPr="00315936">
              <w:t>ospital</w:t>
            </w:r>
            <w:r w:rsidR="00955489" w:rsidRPr="00315936">
              <w:t xml:space="preserve"> </w:t>
            </w:r>
            <w:r w:rsidR="00623499" w:rsidRPr="00315936">
              <w:t>manages the care of</w:t>
            </w:r>
            <w:r w:rsidR="0094393D" w:rsidRPr="00315936">
              <w:t xml:space="preserve"> security patients (prisoners) </w:t>
            </w:r>
            <w:r w:rsidR="00F0266F" w:rsidRPr="00315936">
              <w:t xml:space="preserve">who </w:t>
            </w:r>
            <w:r w:rsidR="00854748" w:rsidRPr="00315936">
              <w:t xml:space="preserve">require compulsory </w:t>
            </w:r>
            <w:r w:rsidR="009135CA" w:rsidRPr="00315936">
              <w:t xml:space="preserve">mental health treatment under the </w:t>
            </w:r>
            <w:r w:rsidR="0000455B" w:rsidRPr="00315936">
              <w:rPr>
                <w:i/>
                <w:iCs/>
              </w:rPr>
              <w:t>Mental Health and Wellbeing Act 2022</w:t>
            </w:r>
            <w:r w:rsidR="00F00210" w:rsidRPr="00315936">
              <w:rPr>
                <w:i/>
                <w:iCs/>
              </w:rPr>
              <w:t>.</w:t>
            </w:r>
          </w:p>
        </w:tc>
      </w:tr>
      <w:tr w:rsidR="006E4D8B" w:rsidRPr="00315936" w14:paraId="440FA56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5DCCC6C" w14:textId="77777777" w:rsidR="006E4D8B" w:rsidRPr="00315936" w:rsidRDefault="006E4D8B">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60CC50BD" w14:textId="557C177A" w:rsidR="006E4D8B" w:rsidRPr="00315936" w:rsidRDefault="25C04076" w:rsidP="1E2588F2">
            <w:pPr>
              <w:pStyle w:val="Tabletext"/>
              <w:spacing w:line="259" w:lineRule="auto"/>
              <w:rPr>
                <w:rFonts w:eastAsia="Arial" w:cs="Arial"/>
              </w:rPr>
            </w:pPr>
            <w:r w:rsidRPr="1E2588F2">
              <w:rPr>
                <w:rFonts w:eastAsia="Arial" w:cs="Arial"/>
              </w:rPr>
              <w:t xml:space="preserve">Number of </w:t>
            </w:r>
            <w:r w:rsidR="00C41485" w:rsidRPr="1E2588F2">
              <w:rPr>
                <w:rFonts w:eastAsia="Arial" w:cs="Arial"/>
              </w:rPr>
              <w:t xml:space="preserve">male security </w:t>
            </w:r>
            <w:r w:rsidRPr="1E2588F2">
              <w:rPr>
                <w:rFonts w:eastAsia="Arial" w:cs="Arial"/>
              </w:rPr>
              <w:t xml:space="preserve">patients admitted within 7 days of </w:t>
            </w:r>
            <w:r w:rsidR="003D064D" w:rsidRPr="1E2588F2">
              <w:rPr>
                <w:rFonts w:eastAsia="Arial" w:cs="Arial"/>
              </w:rPr>
              <w:t xml:space="preserve">being certified </w:t>
            </w:r>
            <w:r w:rsidR="00AA2E18" w:rsidRPr="1E2588F2">
              <w:rPr>
                <w:rFonts w:eastAsia="Arial" w:cs="Arial"/>
              </w:rPr>
              <w:t>as requiring compulsory treatment</w:t>
            </w:r>
            <w:r w:rsidR="003D064D" w:rsidRPr="1E2588F2">
              <w:rPr>
                <w:rFonts w:eastAsia="Arial" w:cs="Arial"/>
              </w:rPr>
              <w:t xml:space="preserve"> </w:t>
            </w:r>
            <w:r w:rsidRPr="1E2588F2">
              <w:rPr>
                <w:rFonts w:eastAsia="Arial" w:cs="Arial"/>
              </w:rPr>
              <w:t xml:space="preserve">divided by the total number of </w:t>
            </w:r>
            <w:r w:rsidR="004913F1" w:rsidRPr="1E2588F2">
              <w:rPr>
                <w:rFonts w:eastAsia="Arial" w:cs="Arial"/>
              </w:rPr>
              <w:t>male security</w:t>
            </w:r>
            <w:r w:rsidRPr="1E2588F2">
              <w:rPr>
                <w:rFonts w:eastAsia="Arial" w:cs="Arial"/>
              </w:rPr>
              <w:t xml:space="preserve"> patients </w:t>
            </w:r>
            <w:r w:rsidR="00447D28" w:rsidRPr="1E2588F2">
              <w:rPr>
                <w:rFonts w:eastAsia="Arial" w:cs="Arial"/>
              </w:rPr>
              <w:t xml:space="preserve">certified as </w:t>
            </w:r>
            <w:r w:rsidR="00755A56" w:rsidRPr="1E2588F2">
              <w:rPr>
                <w:rFonts w:eastAsia="Arial" w:cs="Arial"/>
              </w:rPr>
              <w:t xml:space="preserve">requiring compulsory treatment </w:t>
            </w:r>
            <w:r w:rsidRPr="1E2588F2">
              <w:rPr>
                <w:rFonts w:eastAsia="Arial" w:cs="Arial"/>
              </w:rPr>
              <w:t>within the reporting period, reported to one decimal place</w:t>
            </w:r>
            <w:r w:rsidR="15D0A801" w:rsidRPr="1E2588F2">
              <w:rPr>
                <w:rFonts w:eastAsia="Arial" w:cs="Arial"/>
              </w:rPr>
              <w:t>.</w:t>
            </w:r>
          </w:p>
          <w:p w14:paraId="729B1F60" w14:textId="55F6F4DE" w:rsidR="006E4D8B" w:rsidRPr="00315936" w:rsidRDefault="15D0A801" w:rsidP="00490C9E">
            <w:pPr>
              <w:pStyle w:val="Tabletext"/>
              <w:spacing w:line="259" w:lineRule="auto"/>
              <w:rPr>
                <w:rFonts w:eastAsia="Arial"/>
                <w:lang w:eastAsia="en-AU"/>
              </w:rPr>
            </w:pPr>
            <w:r w:rsidRPr="1E2588F2">
              <w:rPr>
                <w:lang w:eastAsia="en-AU"/>
              </w:rPr>
              <w:t xml:space="preserve">Data </w:t>
            </w:r>
            <w:r w:rsidR="00A41398">
              <w:rPr>
                <w:lang w:eastAsia="en-AU"/>
              </w:rPr>
              <w:t>are</w:t>
            </w:r>
            <w:r w:rsidR="00A41398" w:rsidRPr="1E2588F2">
              <w:rPr>
                <w:lang w:eastAsia="en-AU"/>
              </w:rPr>
              <w:t xml:space="preserve"> </w:t>
            </w:r>
            <w:r w:rsidRPr="1E2588F2">
              <w:rPr>
                <w:lang w:eastAsia="en-AU"/>
              </w:rPr>
              <w:t>lagged by seven days.</w:t>
            </w:r>
          </w:p>
        </w:tc>
      </w:tr>
      <w:tr w:rsidR="006E4D8B" w:rsidRPr="00315936" w14:paraId="5510BA1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7494041" w14:textId="77777777" w:rsidR="006E4D8B" w:rsidRPr="00315936" w:rsidRDefault="006E4D8B">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745DFF1C" w14:textId="1636655D" w:rsidR="006E4D8B" w:rsidRPr="00315936" w:rsidRDefault="006E4D8B">
            <w:pPr>
              <w:pStyle w:val="Tabletext"/>
              <w:rPr>
                <w:lang w:eastAsia="en-AU"/>
              </w:rPr>
            </w:pPr>
            <w:r w:rsidRPr="00315936">
              <w:t xml:space="preserve">Total number of male security patients </w:t>
            </w:r>
            <w:r w:rsidR="6A294EA6">
              <w:t>admitted</w:t>
            </w:r>
            <w:r w:rsidRPr="00315936">
              <w:t xml:space="preserve"> to Thomas </w:t>
            </w:r>
            <w:proofErr w:type="spellStart"/>
            <w:r w:rsidRPr="00315936">
              <w:t>Embling</w:t>
            </w:r>
            <w:proofErr w:type="spellEnd"/>
            <w:r w:rsidRPr="00315936">
              <w:t xml:space="preserve"> </w:t>
            </w:r>
            <w:r w:rsidR="008F0B31">
              <w:t xml:space="preserve">Hospital </w:t>
            </w:r>
            <w:r w:rsidRPr="00315936">
              <w:t xml:space="preserve">within </w:t>
            </w:r>
            <w:r w:rsidR="006667A9" w:rsidRPr="00315936">
              <w:t>7</w:t>
            </w:r>
            <w:r w:rsidRPr="00315936">
              <w:t xml:space="preserve"> days</w:t>
            </w:r>
            <w:r w:rsidR="665B04DA">
              <w:t xml:space="preserve"> of being certified as requiring compulsory treatment</w:t>
            </w:r>
            <w:r w:rsidRPr="00315936">
              <w:t>.</w:t>
            </w:r>
          </w:p>
        </w:tc>
      </w:tr>
      <w:tr w:rsidR="006E4D8B" w:rsidRPr="00315936" w14:paraId="4218C6B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DC044B1" w14:textId="77777777" w:rsidR="006E4D8B" w:rsidRPr="00315936" w:rsidRDefault="006E4D8B">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541844EB" w14:textId="156470AA" w:rsidR="006E4D8B" w:rsidRPr="00315936" w:rsidRDefault="1C1949F5">
            <w:pPr>
              <w:pStyle w:val="Tabletext"/>
              <w:rPr>
                <w:lang w:eastAsia="en-AU"/>
              </w:rPr>
            </w:pPr>
            <w:r w:rsidRPr="00315936">
              <w:t xml:space="preserve">Total number of male security patients certified as requiring compulsory treatment. </w:t>
            </w:r>
          </w:p>
        </w:tc>
      </w:tr>
      <w:tr w:rsidR="006E4D8B" w:rsidRPr="00315936" w14:paraId="503389B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B8BF7B4" w14:textId="77777777" w:rsidR="006E4D8B" w:rsidRPr="00315936" w:rsidRDefault="006E4D8B">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53AA8816" w14:textId="495AB15E" w:rsidR="006E4D8B" w:rsidRPr="00315936" w:rsidRDefault="00754416">
            <w:pPr>
              <w:pStyle w:val="Tabletext"/>
              <w:rPr>
                <w:lang w:eastAsia="en-AU"/>
              </w:rPr>
            </w:pPr>
            <w:r>
              <w:t xml:space="preserve">Greater than or equal to </w:t>
            </w:r>
            <w:r w:rsidR="006E4D8B" w:rsidRPr="00315936">
              <w:t>80</w:t>
            </w:r>
            <w:r w:rsidR="00A67D0D" w:rsidRPr="00315936">
              <w:t xml:space="preserve"> per cent</w:t>
            </w:r>
            <w:r w:rsidR="00166C3F">
              <w:t xml:space="preserve"> </w:t>
            </w:r>
            <w:r w:rsidR="00A67E67">
              <w:t>or</w:t>
            </w:r>
            <w:r w:rsidR="003F03CA">
              <w:t xml:space="preserve"> 5 percentage point improvement</w:t>
            </w:r>
            <w:r w:rsidR="00696D20">
              <w:t xml:space="preserve"> </w:t>
            </w:r>
            <w:r w:rsidR="00B763F5">
              <w:t>compared to the same time last year</w:t>
            </w:r>
          </w:p>
        </w:tc>
      </w:tr>
      <w:tr w:rsidR="006E4D8B" w:rsidRPr="00315936" w14:paraId="5B90613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6349EB3" w14:textId="3DAA88BD" w:rsidR="006E4D8B" w:rsidRPr="00315936" w:rsidRDefault="006E4D8B" w:rsidP="006E4D8B">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0BB9376F" w14:textId="24FFF980" w:rsidR="006E4D8B" w:rsidRPr="00315936" w:rsidRDefault="006E4D8B" w:rsidP="006E4D8B">
            <w:pPr>
              <w:pStyle w:val="Tabletext"/>
            </w:pPr>
            <w:r w:rsidRPr="00315936">
              <w:t>Greater than or equal to 80</w:t>
            </w:r>
            <w:r w:rsidR="00A67D0D" w:rsidRPr="00315936">
              <w:t xml:space="preserve"> per cent</w:t>
            </w:r>
            <w:r w:rsidR="008223BE">
              <w:t xml:space="preserve"> or 5 percentage point improvement</w:t>
            </w:r>
          </w:p>
        </w:tc>
      </w:tr>
      <w:tr w:rsidR="006E4D8B" w:rsidRPr="00315936" w14:paraId="665E940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CEE1DD2" w14:textId="2EB41EE5" w:rsidR="006E4D8B" w:rsidRPr="00315936" w:rsidRDefault="006E4D8B" w:rsidP="006E4D8B">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65FAECE2" w14:textId="2572BCD7" w:rsidR="006E4D8B" w:rsidRPr="00315936" w:rsidRDefault="006E4D8B" w:rsidP="006E4D8B">
            <w:pPr>
              <w:pStyle w:val="Tabletext"/>
            </w:pPr>
            <w:r w:rsidRPr="00315936">
              <w:t>Less than 80</w:t>
            </w:r>
            <w:r w:rsidR="00A67D0D" w:rsidRPr="00315936">
              <w:t xml:space="preserve"> per cent</w:t>
            </w:r>
            <w:r w:rsidR="008223BE">
              <w:t xml:space="preserve"> </w:t>
            </w:r>
            <w:r w:rsidR="6A886789">
              <w:t>and</w:t>
            </w:r>
            <w:r w:rsidR="008223BE">
              <w:t xml:space="preserve"> below 5 percentage point improvement</w:t>
            </w:r>
          </w:p>
        </w:tc>
      </w:tr>
      <w:tr w:rsidR="006E4D8B" w:rsidRPr="00315936" w14:paraId="3A1799B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42F1F89" w14:textId="77777777" w:rsidR="006E4D8B" w:rsidRPr="00315936" w:rsidRDefault="006E4D8B">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3ED986DD" w14:textId="326D0C1A" w:rsidR="006E4D8B" w:rsidRPr="00315936" w:rsidRDefault="006E4D8B">
            <w:pPr>
              <w:pStyle w:val="Tabletext"/>
              <w:rPr>
                <w:lang w:eastAsia="en-AU"/>
              </w:rPr>
            </w:pPr>
            <w:proofErr w:type="gramStart"/>
            <w:r w:rsidRPr="00315936">
              <w:t>For the purpose of</w:t>
            </w:r>
            <w:proofErr w:type="gramEnd"/>
            <w:r w:rsidRPr="00315936">
              <w:t xml:space="preserve"> the performance risk assessment</w:t>
            </w:r>
            <w:r w:rsidR="00883B17">
              <w:t>,</w:t>
            </w:r>
            <w:r w:rsidRPr="00315936">
              <w:t xml:space="preserve"> improvement is compared to previous quarter performance.</w:t>
            </w:r>
          </w:p>
        </w:tc>
      </w:tr>
      <w:tr w:rsidR="006E4D8B" w:rsidRPr="00315936" w14:paraId="30E7771F"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66FC0C4" w14:textId="77777777" w:rsidR="006E4D8B" w:rsidRPr="00315936" w:rsidRDefault="006E4D8B">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3B507891" w14:textId="5A1486D3" w:rsidR="006E4D8B" w:rsidRPr="00315936" w:rsidRDefault="00A0309A">
            <w:pPr>
              <w:pStyle w:val="Tabletext"/>
            </w:pPr>
            <w:r w:rsidRPr="00315936">
              <w:t xml:space="preserve">Performance is </w:t>
            </w:r>
            <w:r w:rsidR="006E4D8B" w:rsidRPr="00315936">
              <w:t>reported quarterly</w:t>
            </w:r>
            <w:r w:rsidR="006518B9">
              <w:t>.</w:t>
            </w:r>
          </w:p>
          <w:p w14:paraId="41F36145" w14:textId="2D264073" w:rsidR="006E4D8B" w:rsidRPr="00315936" w:rsidRDefault="00B7714A">
            <w:pPr>
              <w:pStyle w:val="Tabletext"/>
              <w:rPr>
                <w:lang w:eastAsia="en-AU"/>
              </w:rPr>
            </w:pPr>
            <w:r w:rsidRPr="2ECFC544">
              <w:rPr>
                <w:rFonts w:eastAsia="Arial" w:cs="Arial"/>
                <w:szCs w:val="21"/>
              </w:rPr>
              <w:t>Data are sourced from</w:t>
            </w:r>
            <w:r w:rsidR="00A0781D" w:rsidRPr="2ECFC544">
              <w:rPr>
                <w:rFonts w:eastAsia="Arial" w:cs="Arial"/>
                <w:szCs w:val="21"/>
              </w:rPr>
              <w:t xml:space="preserve"> </w:t>
            </w:r>
            <w:r w:rsidR="006E4D8B" w:rsidRPr="2ECFC544">
              <w:rPr>
                <w:rFonts w:eastAsia="Arial" w:cs="Arial"/>
                <w:szCs w:val="21"/>
              </w:rPr>
              <w:t>the Client Management Interface (CMI</w:t>
            </w:r>
            <w:r w:rsidR="00FA6BB5" w:rsidRPr="2ECFC544">
              <w:rPr>
                <w:rFonts w:eastAsia="Arial" w:cs="Arial"/>
                <w:szCs w:val="21"/>
              </w:rPr>
              <w:t xml:space="preserve">) / </w:t>
            </w:r>
            <w:r w:rsidR="006E4D8B" w:rsidRPr="2ECFC544">
              <w:rPr>
                <w:rFonts w:eastAsia="Arial" w:cs="Arial"/>
                <w:szCs w:val="21"/>
              </w:rPr>
              <w:t>Operational Data Store (ODS</w:t>
            </w:r>
            <w:r w:rsidR="00FA6BB5" w:rsidRPr="2ECFC544">
              <w:rPr>
                <w:rFonts w:eastAsia="Arial" w:cs="Arial"/>
                <w:szCs w:val="21"/>
              </w:rPr>
              <w:t>).</w:t>
            </w:r>
          </w:p>
        </w:tc>
      </w:tr>
    </w:tbl>
    <w:p w14:paraId="10152227" w14:textId="405A3544" w:rsidR="00C638BE" w:rsidRPr="00315936" w:rsidRDefault="00C638BE" w:rsidP="008E7F78">
      <w:pPr>
        <w:pStyle w:val="Heading4"/>
      </w:pPr>
      <w:bookmarkStart w:id="120" w:name="_Toc1184295160"/>
      <w:r w:rsidRPr="00315936">
        <w:t xml:space="preserve">Percentage of female </w:t>
      </w:r>
      <w:r w:rsidR="12A47811" w:rsidRPr="00315936">
        <w:t>s</w:t>
      </w:r>
      <w:r w:rsidRPr="00315936">
        <w:t xml:space="preserve">ecurity </w:t>
      </w:r>
      <w:r w:rsidR="4B368D7E" w:rsidRPr="00315936">
        <w:t>p</w:t>
      </w:r>
      <w:r w:rsidRPr="00315936">
        <w:t xml:space="preserve">atients admitted to Thomas </w:t>
      </w:r>
      <w:proofErr w:type="spellStart"/>
      <w:r w:rsidRPr="00315936">
        <w:t>Embling</w:t>
      </w:r>
      <w:proofErr w:type="spellEnd"/>
      <w:r w:rsidRPr="00315936">
        <w:t xml:space="preserve"> Hospital within 7 days of recommendation for compulsory treatment.</w:t>
      </w:r>
      <w:bookmarkEnd w:id="120"/>
      <w:r w:rsidRPr="00315936">
        <w:t> </w:t>
      </w:r>
    </w:p>
    <w:tbl>
      <w:tblPr>
        <w:tblStyle w:val="TableGrid"/>
        <w:tblW w:w="10343" w:type="dxa"/>
        <w:tblLook w:val="04A0" w:firstRow="1" w:lastRow="0" w:firstColumn="1" w:lastColumn="0" w:noHBand="0" w:noVBand="1"/>
      </w:tblPr>
      <w:tblGrid>
        <w:gridCol w:w="1837"/>
        <w:gridCol w:w="8506"/>
      </w:tblGrid>
      <w:tr w:rsidR="00541789" w:rsidRPr="00315936" w14:paraId="7324479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D590DF8" w14:textId="7BC538E0" w:rsidR="00541789"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4C79AE65" w14:textId="7E1CC21C" w:rsidR="00541789" w:rsidRPr="00315936" w:rsidRDefault="00541789">
            <w:pPr>
              <w:pStyle w:val="Tabletext"/>
              <w:rPr>
                <w:lang w:eastAsia="en-AU"/>
              </w:rPr>
            </w:pPr>
            <w:r w:rsidRPr="00315936">
              <w:t xml:space="preserve">Percentage of female security patients admitted to Thomas </w:t>
            </w:r>
            <w:proofErr w:type="spellStart"/>
            <w:r w:rsidRPr="00315936">
              <w:t>Embling</w:t>
            </w:r>
            <w:proofErr w:type="spellEnd"/>
            <w:r w:rsidRPr="00315936">
              <w:t xml:space="preserve"> Hospital within 7 days of recommendation for compulsory treatment</w:t>
            </w:r>
            <w:r w:rsidR="001340C4">
              <w:t xml:space="preserve"> </w:t>
            </w:r>
            <w:r w:rsidR="00A63F04">
              <w:fldChar w:fldCharType="begin"/>
            </w:r>
            <w:r w:rsidR="00A63F04">
              <w:instrText xml:space="preserve"> NOTEREF _Ref201835099 \f \h </w:instrText>
            </w:r>
            <w:r w:rsidR="00A63F04">
              <w:fldChar w:fldCharType="separate"/>
            </w:r>
            <w:r w:rsidR="00A63F04" w:rsidRPr="00A63F04">
              <w:rPr>
                <w:rStyle w:val="EndnoteReference"/>
              </w:rPr>
              <w:t>xvi</w:t>
            </w:r>
            <w:r w:rsidR="00A63F04">
              <w:fldChar w:fldCharType="end"/>
            </w:r>
            <w:r w:rsidR="00A63F04" w:rsidDel="00A63F04">
              <w:t xml:space="preserve"> </w:t>
            </w:r>
          </w:p>
        </w:tc>
      </w:tr>
      <w:tr w:rsidR="00541789" w:rsidRPr="00315936" w14:paraId="023B611C"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1DB18BD" w14:textId="77777777" w:rsidR="00541789" w:rsidRPr="00315936" w:rsidRDefault="00541789">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4598BE2B" w14:textId="5D3AFEE6" w:rsidR="0059475E" w:rsidRDefault="0059475E" w:rsidP="008C730C">
            <w:pPr>
              <w:pStyle w:val="Tabletext"/>
            </w:pPr>
            <w:r w:rsidRPr="00315936">
              <w:t xml:space="preserve">This measures the proportion of female security patients admitted to Thomas </w:t>
            </w:r>
            <w:proofErr w:type="spellStart"/>
            <w:r w:rsidRPr="00315936">
              <w:t>Embling</w:t>
            </w:r>
            <w:proofErr w:type="spellEnd"/>
            <w:r w:rsidRPr="00315936">
              <w:t xml:space="preserve"> Hospital within 7 days of </w:t>
            </w:r>
            <w:r w:rsidR="001340C4" w:rsidRPr="1E2588F2">
              <w:rPr>
                <w:rFonts w:eastAsia="Arial" w:cs="Arial"/>
              </w:rPr>
              <w:t>being certified as requiring</w:t>
            </w:r>
            <w:r w:rsidR="001340C4" w:rsidRPr="1E2588F2" w:rsidDel="001340C4">
              <w:rPr>
                <w:rFonts w:eastAsia="Arial" w:cs="Arial"/>
              </w:rPr>
              <w:t xml:space="preserve"> </w:t>
            </w:r>
            <w:r w:rsidRPr="00315936">
              <w:t>compulsory treatment</w:t>
            </w:r>
            <w:r>
              <w:t>.</w:t>
            </w:r>
          </w:p>
          <w:p w14:paraId="5D50DD01" w14:textId="3B5196CB" w:rsidR="00541789" w:rsidRPr="0059475E" w:rsidRDefault="008C730C" w:rsidP="008C730C">
            <w:pPr>
              <w:pStyle w:val="Tabletext"/>
              <w:rPr>
                <w:i/>
              </w:rPr>
            </w:pPr>
            <w:r w:rsidRPr="00315936">
              <w:t xml:space="preserve">Thomas </w:t>
            </w:r>
            <w:proofErr w:type="spellStart"/>
            <w:r w:rsidRPr="00315936">
              <w:t>Embling</w:t>
            </w:r>
            <w:proofErr w:type="spellEnd"/>
            <w:r w:rsidRPr="00315936">
              <w:t xml:space="preserve"> </w:t>
            </w:r>
            <w:r w:rsidR="00A11C83">
              <w:t>H</w:t>
            </w:r>
            <w:r w:rsidRPr="00315936">
              <w:t xml:space="preserve">ospital manages the care of security patients (prisoners) who require compulsory mental health treatment under the </w:t>
            </w:r>
            <w:r w:rsidRPr="00315936">
              <w:rPr>
                <w:i/>
                <w:iCs/>
              </w:rPr>
              <w:t>Mental Health and Wellbeing Act 2022</w:t>
            </w:r>
            <w:r w:rsidR="00213566" w:rsidRPr="00315936">
              <w:rPr>
                <w:i/>
                <w:iCs/>
              </w:rPr>
              <w:t>.</w:t>
            </w:r>
          </w:p>
        </w:tc>
      </w:tr>
      <w:tr w:rsidR="00541789" w:rsidRPr="00315936" w14:paraId="147A514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B09184F" w14:textId="77777777" w:rsidR="00541789" w:rsidRPr="00315936" w:rsidRDefault="00541789">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0932DA2C" w14:textId="6ABD76BF" w:rsidR="00541789" w:rsidRPr="00315936" w:rsidRDefault="00896653" w:rsidP="1E2588F2">
            <w:pPr>
              <w:pStyle w:val="Tabletext"/>
              <w:rPr>
                <w:lang w:eastAsia="en-AU"/>
              </w:rPr>
            </w:pPr>
            <w:r w:rsidRPr="1E2588F2">
              <w:rPr>
                <w:rFonts w:eastAsia="Arial" w:cs="Arial"/>
              </w:rPr>
              <w:t>Number of female security patients admitted within 7 days of being certified as requiring compulsory treatment divided by the total number of female security patients certified as requiring compulsory treatment within the reporting period, reported to one decimal place</w:t>
            </w:r>
            <w:r w:rsidR="199190D6" w:rsidRPr="1E2588F2">
              <w:rPr>
                <w:rFonts w:eastAsia="Arial" w:cs="Arial"/>
              </w:rPr>
              <w:t>.</w:t>
            </w:r>
          </w:p>
          <w:p w14:paraId="66F65DD3" w14:textId="4412D066" w:rsidR="00541789" w:rsidRPr="00315936" w:rsidRDefault="199190D6">
            <w:pPr>
              <w:pStyle w:val="Tabletext"/>
              <w:rPr>
                <w:lang w:eastAsia="en-AU"/>
              </w:rPr>
            </w:pPr>
            <w:r w:rsidRPr="1E2588F2">
              <w:rPr>
                <w:lang w:eastAsia="en-AU"/>
              </w:rPr>
              <w:t xml:space="preserve">Data </w:t>
            </w:r>
            <w:r w:rsidR="00176F53">
              <w:rPr>
                <w:lang w:eastAsia="en-AU"/>
              </w:rPr>
              <w:t>are</w:t>
            </w:r>
            <w:r w:rsidR="00176F53" w:rsidRPr="1E2588F2">
              <w:rPr>
                <w:lang w:eastAsia="en-AU"/>
              </w:rPr>
              <w:t xml:space="preserve"> </w:t>
            </w:r>
            <w:r w:rsidRPr="1E2588F2">
              <w:rPr>
                <w:lang w:eastAsia="en-AU"/>
              </w:rPr>
              <w:t>lagged by seven days.</w:t>
            </w:r>
          </w:p>
        </w:tc>
      </w:tr>
      <w:tr w:rsidR="00541789" w:rsidRPr="00315936" w14:paraId="489043E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38DD529" w14:textId="77777777" w:rsidR="00541789" w:rsidRPr="00315936" w:rsidRDefault="00541789">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3DCEFB6C" w14:textId="4FE41CCA" w:rsidR="00541789" w:rsidRPr="00315936" w:rsidRDefault="00541789">
            <w:pPr>
              <w:pStyle w:val="Tabletext"/>
              <w:rPr>
                <w:lang w:eastAsia="en-AU"/>
              </w:rPr>
            </w:pPr>
            <w:r w:rsidRPr="00315936">
              <w:t xml:space="preserve">Total number of female security patients </w:t>
            </w:r>
            <w:r w:rsidR="07F2C262">
              <w:t>admitted</w:t>
            </w:r>
            <w:r w:rsidRPr="00315936">
              <w:t xml:space="preserve"> to Thomas </w:t>
            </w:r>
            <w:proofErr w:type="spellStart"/>
            <w:r w:rsidRPr="00315936">
              <w:t>Embling</w:t>
            </w:r>
            <w:proofErr w:type="spellEnd"/>
            <w:r w:rsidRPr="00315936">
              <w:t xml:space="preserve"> </w:t>
            </w:r>
            <w:r w:rsidR="003D1B14">
              <w:t xml:space="preserve">Hospital </w:t>
            </w:r>
            <w:r w:rsidRPr="00315936">
              <w:t xml:space="preserve">within </w:t>
            </w:r>
            <w:r w:rsidR="006A7615" w:rsidRPr="00315936">
              <w:t>7</w:t>
            </w:r>
            <w:r w:rsidRPr="00315936">
              <w:t xml:space="preserve"> days</w:t>
            </w:r>
            <w:r w:rsidR="16338284">
              <w:t xml:space="preserve"> of being certified as </w:t>
            </w:r>
            <w:r w:rsidR="049C395C">
              <w:t>requiring</w:t>
            </w:r>
            <w:r w:rsidR="16338284">
              <w:t xml:space="preserve"> compulsory treatment</w:t>
            </w:r>
            <w:r w:rsidRPr="00315936">
              <w:t>.</w:t>
            </w:r>
          </w:p>
        </w:tc>
      </w:tr>
      <w:tr w:rsidR="00541789" w:rsidRPr="00315936" w14:paraId="118FAC0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18A2E24" w14:textId="77777777" w:rsidR="00541789" w:rsidRPr="00315936" w:rsidRDefault="00541789">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0D18F585" w14:textId="55775878" w:rsidR="00541789" w:rsidRPr="00315936" w:rsidRDefault="6702A122">
            <w:pPr>
              <w:pStyle w:val="Tabletext"/>
              <w:rPr>
                <w:lang w:eastAsia="en-AU"/>
              </w:rPr>
            </w:pPr>
            <w:r w:rsidRPr="00315936">
              <w:t>Total number of female security patients certified as requiring compulsory treatment.</w:t>
            </w:r>
          </w:p>
        </w:tc>
      </w:tr>
      <w:tr w:rsidR="00541789" w:rsidRPr="00315936" w14:paraId="2C258A8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FC6A783" w14:textId="77777777" w:rsidR="00541789" w:rsidRPr="00315936" w:rsidRDefault="00541789">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13151DD1" w14:textId="3B89E077" w:rsidR="00541789" w:rsidRPr="00315936" w:rsidRDefault="00541789">
            <w:pPr>
              <w:pStyle w:val="Tabletext"/>
              <w:rPr>
                <w:lang w:eastAsia="en-AU"/>
              </w:rPr>
            </w:pPr>
            <w:r w:rsidRPr="00315936">
              <w:t>80</w:t>
            </w:r>
            <w:r w:rsidR="00A67D0D" w:rsidRPr="00315936">
              <w:t xml:space="preserve"> per cent</w:t>
            </w:r>
            <w:r w:rsidRPr="00315936">
              <w:t xml:space="preserve"> </w:t>
            </w:r>
          </w:p>
        </w:tc>
      </w:tr>
      <w:tr w:rsidR="00541789" w:rsidRPr="00315936" w14:paraId="40710EC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6AE6C26" w14:textId="2D2DC261" w:rsidR="00541789" w:rsidRPr="00315936" w:rsidRDefault="00541789" w:rsidP="00541789">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1C77F14E" w14:textId="29594ED6" w:rsidR="00541789" w:rsidRPr="00315936" w:rsidRDefault="00541789" w:rsidP="00541789">
            <w:pPr>
              <w:pStyle w:val="Tabletext"/>
            </w:pPr>
            <w:r w:rsidRPr="00315936">
              <w:t>Greater than or equal to 80</w:t>
            </w:r>
            <w:r w:rsidR="00A67D0D" w:rsidRPr="00315936">
              <w:t xml:space="preserve"> per cent</w:t>
            </w:r>
          </w:p>
        </w:tc>
      </w:tr>
      <w:tr w:rsidR="00541789" w:rsidRPr="00315936" w14:paraId="3731C0C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C50F981" w14:textId="17AB89E3" w:rsidR="00541789" w:rsidRPr="00315936" w:rsidRDefault="00541789" w:rsidP="00541789">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5980A473" w14:textId="3D21C1C4" w:rsidR="00541789" w:rsidRPr="00315936" w:rsidRDefault="00541789" w:rsidP="00541789">
            <w:pPr>
              <w:pStyle w:val="Tabletext"/>
            </w:pPr>
            <w:r w:rsidRPr="00315936">
              <w:t>Less than 80</w:t>
            </w:r>
            <w:r w:rsidR="00A67D0D" w:rsidRPr="00315936">
              <w:t xml:space="preserve"> per cent</w:t>
            </w:r>
          </w:p>
        </w:tc>
      </w:tr>
      <w:tr w:rsidR="00541789" w:rsidRPr="00315936" w14:paraId="05A2910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1B097C41" w14:textId="77777777" w:rsidR="00541789" w:rsidRPr="00315936" w:rsidRDefault="00541789">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55F07AC4" w14:textId="70DD5CF7" w:rsidR="00541789" w:rsidRPr="00315936" w:rsidRDefault="00541789">
            <w:pPr>
              <w:pStyle w:val="Tabletext"/>
              <w:rPr>
                <w:lang w:eastAsia="en-AU"/>
              </w:rPr>
            </w:pPr>
            <w:proofErr w:type="gramStart"/>
            <w:r w:rsidRPr="00315936">
              <w:t>For the purpose of</w:t>
            </w:r>
            <w:proofErr w:type="gramEnd"/>
            <w:r w:rsidRPr="00315936">
              <w:t xml:space="preserve"> the performance risk assessment</w:t>
            </w:r>
            <w:r w:rsidR="00B66A5B">
              <w:t>,</w:t>
            </w:r>
            <w:r w:rsidRPr="00315936">
              <w:t xml:space="preserve"> improvement is compared to previous quarter performance.</w:t>
            </w:r>
          </w:p>
        </w:tc>
      </w:tr>
      <w:tr w:rsidR="00541789" w:rsidRPr="00315936" w14:paraId="21DD93D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8A2EC52" w14:textId="77777777" w:rsidR="00541789" w:rsidRPr="00315936" w:rsidRDefault="00541789">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14E49B0A" w14:textId="2ADBCDB7" w:rsidR="00541789" w:rsidRPr="00315936" w:rsidRDefault="00A0781D">
            <w:pPr>
              <w:pStyle w:val="Tabletext"/>
            </w:pPr>
            <w:r w:rsidRPr="00315936">
              <w:t xml:space="preserve">Performance </w:t>
            </w:r>
            <w:r w:rsidR="00541789" w:rsidRPr="00315936">
              <w:t>is reported quarterly.</w:t>
            </w:r>
          </w:p>
          <w:p w14:paraId="5A73A714" w14:textId="0E1EE312" w:rsidR="00541789" w:rsidRPr="00315936" w:rsidRDefault="00FA6BB5">
            <w:pPr>
              <w:pStyle w:val="Tabletext"/>
              <w:rPr>
                <w:lang w:eastAsia="en-AU"/>
              </w:rPr>
            </w:pPr>
            <w:r w:rsidRPr="577F0062">
              <w:rPr>
                <w:rFonts w:eastAsia="Arial" w:cs="Arial"/>
              </w:rPr>
              <w:t>Data are sourced from the Client Management Interface (CMI) / Operational Data Store (ODS).</w:t>
            </w:r>
          </w:p>
        </w:tc>
      </w:tr>
    </w:tbl>
    <w:p w14:paraId="5F689867" w14:textId="4AAB8B39" w:rsidR="00D66B24" w:rsidRPr="00315936" w:rsidRDefault="00D66B24" w:rsidP="008E7F78">
      <w:pPr>
        <w:pStyle w:val="Heading4"/>
      </w:pPr>
      <w:bookmarkStart w:id="121" w:name="_Toc1827959432"/>
      <w:r w:rsidRPr="00315936">
        <w:t xml:space="preserve">Percentage of male security patients discharged from Thomas </w:t>
      </w:r>
      <w:proofErr w:type="spellStart"/>
      <w:r w:rsidRPr="00315936">
        <w:t>Embling</w:t>
      </w:r>
      <w:proofErr w:type="spellEnd"/>
      <w:r w:rsidRPr="00315936">
        <w:t xml:space="preserve"> Hospital to a correctional centre within 21 days</w:t>
      </w:r>
      <w:bookmarkEnd w:id="121"/>
    </w:p>
    <w:tbl>
      <w:tblPr>
        <w:tblStyle w:val="TableGrid"/>
        <w:tblW w:w="10343" w:type="dxa"/>
        <w:tblLook w:val="04A0" w:firstRow="1" w:lastRow="0" w:firstColumn="1" w:lastColumn="0" w:noHBand="0" w:noVBand="1"/>
      </w:tblPr>
      <w:tblGrid>
        <w:gridCol w:w="1837"/>
        <w:gridCol w:w="8506"/>
      </w:tblGrid>
      <w:tr w:rsidR="00F248E2" w:rsidRPr="00315936" w14:paraId="21631C0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319FB3D" w14:textId="42851D18" w:rsidR="00F248E2"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66C7FDDE" w14:textId="639BCE36" w:rsidR="00F248E2" w:rsidRPr="00315936" w:rsidRDefault="00F248E2">
            <w:pPr>
              <w:pStyle w:val="Tabletext"/>
              <w:rPr>
                <w:lang w:eastAsia="en-AU"/>
              </w:rPr>
            </w:pPr>
            <w:r>
              <w:t xml:space="preserve">Percentage of male security patients discharged from Thomas </w:t>
            </w:r>
            <w:proofErr w:type="spellStart"/>
            <w:r>
              <w:t>Embling</w:t>
            </w:r>
            <w:proofErr w:type="spellEnd"/>
            <w:r>
              <w:t xml:space="preserve"> Hospital to a correctional centre within 21 days</w:t>
            </w:r>
            <w:r w:rsidR="00D177E2">
              <w:t xml:space="preserve"> </w:t>
            </w:r>
            <w:r w:rsidR="00307D89">
              <w:t>of admission</w:t>
            </w:r>
            <w:r w:rsidR="00876388">
              <w:t xml:space="preserve"> </w:t>
            </w:r>
            <w:r w:rsidR="00A63F04">
              <w:fldChar w:fldCharType="begin"/>
            </w:r>
            <w:r w:rsidR="00A63F04">
              <w:instrText xml:space="preserve"> NOTEREF _Ref201835099 \f \h </w:instrText>
            </w:r>
            <w:r w:rsidR="00A63F04">
              <w:fldChar w:fldCharType="separate"/>
            </w:r>
            <w:r w:rsidR="00A63F04" w:rsidRPr="00A63F04">
              <w:rPr>
                <w:rStyle w:val="EndnoteReference"/>
              </w:rPr>
              <w:t>xvi</w:t>
            </w:r>
            <w:r w:rsidR="00A63F04">
              <w:fldChar w:fldCharType="end"/>
            </w:r>
          </w:p>
        </w:tc>
      </w:tr>
      <w:tr w:rsidR="00F248E2" w:rsidRPr="00315936" w14:paraId="6AAAE0AC"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236B4A5" w14:textId="77777777" w:rsidR="00F248E2" w:rsidRPr="00315936" w:rsidRDefault="00F248E2">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20A32064" w14:textId="5845384A" w:rsidR="00110017" w:rsidRDefault="14E52959" w:rsidP="005002D3">
            <w:pPr>
              <w:pStyle w:val="Tabletext"/>
            </w:pPr>
            <w:r>
              <w:t xml:space="preserve">This </w:t>
            </w:r>
            <w:r w:rsidR="2DC5381D">
              <w:t>measures</w:t>
            </w:r>
            <w:r>
              <w:t xml:space="preserve"> the proportion of </w:t>
            </w:r>
            <w:r w:rsidR="5CC43680">
              <w:t xml:space="preserve">male security patients discharged from Thomas </w:t>
            </w:r>
            <w:proofErr w:type="spellStart"/>
            <w:r w:rsidR="5CC43680">
              <w:t>Embling</w:t>
            </w:r>
            <w:proofErr w:type="spellEnd"/>
            <w:r w:rsidR="5CC43680">
              <w:t xml:space="preserve"> Hospital to a correctional centre within 21 days</w:t>
            </w:r>
            <w:r w:rsidR="44F704C8">
              <w:t xml:space="preserve"> of admission</w:t>
            </w:r>
            <w:r w:rsidR="38C3E230">
              <w:t xml:space="preserve">, excluding </w:t>
            </w:r>
            <w:r w:rsidR="000260E5">
              <w:t>same day</w:t>
            </w:r>
            <w:r w:rsidR="38C3E230">
              <w:t xml:space="preserve"> stays.</w:t>
            </w:r>
          </w:p>
          <w:p w14:paraId="37BD0D10" w14:textId="502F608B" w:rsidR="00F248E2" w:rsidRPr="00110017" w:rsidRDefault="005002D3" w:rsidP="005002D3">
            <w:pPr>
              <w:pStyle w:val="Tabletext"/>
              <w:rPr>
                <w:i/>
              </w:rPr>
            </w:pPr>
            <w:r w:rsidRPr="00315936">
              <w:t xml:space="preserve">Thomas </w:t>
            </w:r>
            <w:proofErr w:type="spellStart"/>
            <w:r w:rsidRPr="00315936">
              <w:t>Embling</w:t>
            </w:r>
            <w:proofErr w:type="spellEnd"/>
            <w:r w:rsidRPr="00315936">
              <w:t xml:space="preserve"> </w:t>
            </w:r>
            <w:r w:rsidR="00A11C83">
              <w:t>H</w:t>
            </w:r>
            <w:r w:rsidRPr="00315936">
              <w:t xml:space="preserve">ospital manages the care of security patients (prisoners) who require compulsory mental health treatment under the </w:t>
            </w:r>
            <w:r w:rsidRPr="00315936">
              <w:rPr>
                <w:i/>
                <w:iCs/>
              </w:rPr>
              <w:t>Mental Health and Wellbeing Act 2022</w:t>
            </w:r>
            <w:r w:rsidR="0005700F">
              <w:rPr>
                <w:i/>
                <w:iCs/>
              </w:rPr>
              <w:t>.</w:t>
            </w:r>
          </w:p>
        </w:tc>
      </w:tr>
      <w:tr w:rsidR="00F248E2" w:rsidRPr="00315936" w14:paraId="24074DFB"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87A19BA" w14:textId="77777777" w:rsidR="00F248E2" w:rsidRPr="00315936" w:rsidRDefault="00F248E2">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28FCEC97" w14:textId="15FB4571" w:rsidR="005211E5" w:rsidRDefault="005211E5" w:rsidP="005002D3">
            <w:pPr>
              <w:pStyle w:val="Tabletext"/>
              <w:rPr>
                <w:lang w:eastAsia="en-AU"/>
              </w:rPr>
            </w:pPr>
            <w:r>
              <w:rPr>
                <w:lang w:eastAsia="en-AU"/>
              </w:rPr>
              <w:t>The scope for this measure includes</w:t>
            </w:r>
            <w:r w:rsidR="004C5BF4">
              <w:rPr>
                <w:lang w:eastAsia="en-AU"/>
              </w:rPr>
              <w:t>:</w:t>
            </w:r>
          </w:p>
          <w:p w14:paraId="32BD36CA" w14:textId="1271AC3F" w:rsidR="005211E5" w:rsidRDefault="00310CE1" w:rsidP="00A63F04">
            <w:pPr>
              <w:pStyle w:val="Tablebullet1"/>
              <w:rPr>
                <w:lang w:eastAsia="en-AU"/>
              </w:rPr>
            </w:pPr>
            <w:r>
              <w:t xml:space="preserve">separations from Thomas </w:t>
            </w:r>
            <w:proofErr w:type="spellStart"/>
            <w:r>
              <w:t>Embling</w:t>
            </w:r>
            <w:proofErr w:type="spellEnd"/>
            <w:r>
              <w:t xml:space="preserve"> Hospital acute units within the re</w:t>
            </w:r>
            <w:r w:rsidR="00354D66">
              <w:t>ference</w:t>
            </w:r>
            <w:r>
              <w:t xml:space="preserve"> period where the consumer was male and on a security order (order codes 105 and 202) at the time of separation. </w:t>
            </w:r>
            <w:r w:rsidRPr="3CFE9675">
              <w:rPr>
                <w:lang w:eastAsia="en-AU"/>
              </w:rPr>
              <w:t>This is based on episode end date, except where a consumer was discharged while on leave, in which case the date sent on leave is used.</w:t>
            </w:r>
          </w:p>
          <w:p w14:paraId="7B9EFD06" w14:textId="461C9977" w:rsidR="00310CE1" w:rsidRDefault="00714F58" w:rsidP="00A63F04">
            <w:pPr>
              <w:pStyle w:val="Tablebullet1"/>
              <w:rPr>
                <w:lang w:eastAsia="en-AU"/>
              </w:rPr>
            </w:pPr>
            <w:r>
              <w:rPr>
                <w:lang w:eastAsia="en-AU"/>
              </w:rPr>
              <w:t>m</w:t>
            </w:r>
            <w:r w:rsidR="000A07BA">
              <w:rPr>
                <w:lang w:eastAsia="en-AU"/>
              </w:rPr>
              <w:t>ale c</w:t>
            </w:r>
            <w:r w:rsidR="00641EE7">
              <w:rPr>
                <w:lang w:eastAsia="en-AU"/>
              </w:rPr>
              <w:t>onsumers</w:t>
            </w:r>
            <w:r w:rsidR="00494D54">
              <w:rPr>
                <w:lang w:eastAsia="en-AU"/>
              </w:rPr>
              <w:t xml:space="preserve"> </w:t>
            </w:r>
            <w:r w:rsidR="002129E4">
              <w:rPr>
                <w:lang w:eastAsia="en-AU"/>
              </w:rPr>
              <w:t xml:space="preserve">who have not been separated </w:t>
            </w:r>
            <w:r w:rsidR="040EAA77" w:rsidRPr="1E2588F2">
              <w:rPr>
                <w:lang w:eastAsia="en-AU"/>
              </w:rPr>
              <w:t>(i.e. open episodes)</w:t>
            </w:r>
            <w:r w:rsidR="048F1C3A" w:rsidRPr="1E2588F2">
              <w:rPr>
                <w:lang w:eastAsia="en-AU"/>
              </w:rPr>
              <w:t xml:space="preserve"> </w:t>
            </w:r>
            <w:r w:rsidR="000A07BA">
              <w:rPr>
                <w:lang w:eastAsia="en-AU"/>
              </w:rPr>
              <w:t xml:space="preserve">and were </w:t>
            </w:r>
            <w:r w:rsidR="003403DC">
              <w:rPr>
                <w:lang w:eastAsia="en-AU"/>
              </w:rPr>
              <w:t>on a security order</w:t>
            </w:r>
            <w:r w:rsidR="007D565A">
              <w:rPr>
                <w:lang w:eastAsia="en-AU"/>
              </w:rPr>
              <w:t xml:space="preserve"> (order codes 105 and 202) </w:t>
            </w:r>
            <w:r w:rsidR="007841B5">
              <w:rPr>
                <w:lang w:eastAsia="en-AU"/>
              </w:rPr>
              <w:t xml:space="preserve">and had </w:t>
            </w:r>
            <w:r w:rsidR="006C2649">
              <w:rPr>
                <w:lang w:eastAsia="en-AU"/>
              </w:rPr>
              <w:t xml:space="preserve">length of stay </w:t>
            </w:r>
            <w:r w:rsidR="00DA088E">
              <w:rPr>
                <w:lang w:eastAsia="en-AU"/>
              </w:rPr>
              <w:t>of at least 21 days</w:t>
            </w:r>
            <w:r w:rsidR="00B36051">
              <w:rPr>
                <w:lang w:eastAsia="en-AU"/>
              </w:rPr>
              <w:t xml:space="preserve"> </w:t>
            </w:r>
            <w:r w:rsidR="00817E94">
              <w:rPr>
                <w:lang w:eastAsia="en-AU"/>
              </w:rPr>
              <w:t>as at the end of the reference period.</w:t>
            </w:r>
          </w:p>
          <w:p w14:paraId="1152DA89" w14:textId="782E4843" w:rsidR="003F705F" w:rsidRDefault="6727A339" w:rsidP="005002D3">
            <w:pPr>
              <w:pStyle w:val="Tabletext"/>
              <w:rPr>
                <w:lang w:eastAsia="en-AU"/>
              </w:rPr>
            </w:pPr>
            <w:r w:rsidRPr="55528ABA">
              <w:rPr>
                <w:lang w:eastAsia="en-AU"/>
              </w:rPr>
              <w:t xml:space="preserve">Same day stays </w:t>
            </w:r>
            <w:r w:rsidR="3A5CA22D" w:rsidRPr="55528ABA">
              <w:rPr>
                <w:lang w:eastAsia="en-AU"/>
              </w:rPr>
              <w:t xml:space="preserve">(i.e. patient was admitted and discharged on the same </w:t>
            </w:r>
            <w:r w:rsidR="4266A9D1" w:rsidRPr="55528ABA">
              <w:rPr>
                <w:lang w:eastAsia="en-AU"/>
              </w:rPr>
              <w:t>day) are</w:t>
            </w:r>
            <w:r w:rsidRPr="55528ABA">
              <w:rPr>
                <w:lang w:eastAsia="en-AU"/>
              </w:rPr>
              <w:t xml:space="preserve"> excluded from scope.</w:t>
            </w:r>
          </w:p>
          <w:p w14:paraId="1393F185" w14:textId="2121BDC2" w:rsidR="005002D3" w:rsidRPr="00315936" w:rsidRDefault="00393ED0" w:rsidP="1E2588F2">
            <w:pPr>
              <w:pStyle w:val="Tabletext"/>
              <w:rPr>
                <w:lang w:eastAsia="en-AU"/>
              </w:rPr>
            </w:pPr>
            <w:r w:rsidRPr="3CFE9675">
              <w:rPr>
                <w:lang w:eastAsia="en-AU"/>
              </w:rPr>
              <w:t>Length of stay is calculated as the difference in minutes between the episode start date/time and the episode end date/time.</w:t>
            </w:r>
          </w:p>
          <w:p w14:paraId="3F39B5FC" w14:textId="440D8FB4" w:rsidR="005002D3" w:rsidRPr="00315936" w:rsidRDefault="1053F2D4" w:rsidP="00036D6F">
            <w:pPr>
              <w:pStyle w:val="Tabletext"/>
              <w:rPr>
                <w:lang w:eastAsia="en-AU"/>
              </w:rPr>
            </w:pPr>
            <w:r w:rsidRPr="1E2588F2">
              <w:rPr>
                <w:lang w:eastAsia="en-AU"/>
              </w:rPr>
              <w:t xml:space="preserve">Data </w:t>
            </w:r>
            <w:r w:rsidR="00EC5B57">
              <w:rPr>
                <w:lang w:eastAsia="en-AU"/>
              </w:rPr>
              <w:t>are</w:t>
            </w:r>
            <w:r w:rsidR="00EC5B57" w:rsidRPr="1E2588F2">
              <w:rPr>
                <w:lang w:eastAsia="en-AU"/>
              </w:rPr>
              <w:t xml:space="preserve"> </w:t>
            </w:r>
            <w:r w:rsidRPr="1E2588F2">
              <w:rPr>
                <w:lang w:eastAsia="en-AU"/>
              </w:rPr>
              <w:t>lagged by 21 days.</w:t>
            </w:r>
          </w:p>
        </w:tc>
      </w:tr>
      <w:tr w:rsidR="00F248E2" w:rsidRPr="00315936" w14:paraId="6FB47680"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74749F5" w14:textId="77777777" w:rsidR="00F248E2" w:rsidRPr="00315936" w:rsidRDefault="00F248E2">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38C81AAF" w14:textId="2C501066" w:rsidR="00F248E2" w:rsidRPr="00315936" w:rsidRDefault="006F25BB">
            <w:pPr>
              <w:pStyle w:val="Tabletext"/>
              <w:rPr>
                <w:lang w:eastAsia="en-AU"/>
              </w:rPr>
            </w:pPr>
            <w:r>
              <w:rPr>
                <w:lang w:eastAsia="en-AU"/>
              </w:rPr>
              <w:t>N</w:t>
            </w:r>
            <w:r w:rsidR="5CC43680" w:rsidRPr="3CFE9675">
              <w:rPr>
                <w:lang w:eastAsia="en-AU"/>
              </w:rPr>
              <w:t xml:space="preserve">umber of </w:t>
            </w:r>
            <w:r w:rsidR="5DF37595" w:rsidRPr="3CFE9675">
              <w:rPr>
                <w:lang w:eastAsia="en-AU"/>
              </w:rPr>
              <w:t>separation</w:t>
            </w:r>
            <w:r w:rsidR="1A61E42F" w:rsidRPr="3CFE9675">
              <w:rPr>
                <w:lang w:eastAsia="en-AU"/>
              </w:rPr>
              <w:t>s</w:t>
            </w:r>
            <w:r w:rsidR="5CC43680" w:rsidRPr="3CFE9675">
              <w:rPr>
                <w:lang w:eastAsia="en-AU"/>
              </w:rPr>
              <w:t xml:space="preserve"> from </w:t>
            </w:r>
            <w:proofErr w:type="spellStart"/>
            <w:r w:rsidR="5CC43680" w:rsidRPr="3CFE9675">
              <w:rPr>
                <w:lang w:eastAsia="en-AU"/>
              </w:rPr>
              <w:t>Forensicare</w:t>
            </w:r>
            <w:proofErr w:type="spellEnd"/>
            <w:r w:rsidR="5CC43680" w:rsidRPr="3CFE9675">
              <w:rPr>
                <w:lang w:eastAsia="en-AU"/>
              </w:rPr>
              <w:t xml:space="preserve"> </w:t>
            </w:r>
            <w:r w:rsidR="00F25681">
              <w:rPr>
                <w:lang w:eastAsia="en-AU"/>
              </w:rPr>
              <w:t>inpatient</w:t>
            </w:r>
            <w:r w:rsidR="00F25681" w:rsidRPr="3CFE9675">
              <w:rPr>
                <w:lang w:eastAsia="en-AU"/>
              </w:rPr>
              <w:t xml:space="preserve"> </w:t>
            </w:r>
            <w:r w:rsidR="5CC43680" w:rsidRPr="3CFE9675">
              <w:rPr>
                <w:lang w:eastAsia="en-AU"/>
              </w:rPr>
              <w:t xml:space="preserve">units (Thomas </w:t>
            </w:r>
            <w:proofErr w:type="spellStart"/>
            <w:r w:rsidR="5CC43680" w:rsidRPr="3CFE9675">
              <w:rPr>
                <w:lang w:eastAsia="en-AU"/>
              </w:rPr>
              <w:t>Embling</w:t>
            </w:r>
            <w:proofErr w:type="spellEnd"/>
            <w:r w:rsidR="5CC43680" w:rsidRPr="3CFE9675">
              <w:rPr>
                <w:lang w:eastAsia="en-AU"/>
              </w:rPr>
              <w:t xml:space="preserve"> Hospital) </w:t>
            </w:r>
            <w:r w:rsidR="00393ED0">
              <w:rPr>
                <w:lang w:eastAsia="en-AU"/>
              </w:rPr>
              <w:t>during</w:t>
            </w:r>
            <w:r w:rsidR="00393ED0" w:rsidRPr="3CFE9675">
              <w:rPr>
                <w:lang w:eastAsia="en-AU"/>
              </w:rPr>
              <w:t xml:space="preserve"> </w:t>
            </w:r>
            <w:r w:rsidR="5CC43680" w:rsidRPr="3CFE9675">
              <w:rPr>
                <w:lang w:eastAsia="en-AU"/>
              </w:rPr>
              <w:t xml:space="preserve">the </w:t>
            </w:r>
            <w:r w:rsidR="00393ED0" w:rsidRPr="3CFE9675">
              <w:rPr>
                <w:lang w:eastAsia="en-AU"/>
              </w:rPr>
              <w:t>re</w:t>
            </w:r>
            <w:r w:rsidR="00393ED0">
              <w:rPr>
                <w:lang w:eastAsia="en-AU"/>
              </w:rPr>
              <w:t>ference</w:t>
            </w:r>
            <w:r w:rsidR="00393ED0" w:rsidRPr="3CFE9675">
              <w:rPr>
                <w:lang w:eastAsia="en-AU"/>
              </w:rPr>
              <w:t xml:space="preserve"> </w:t>
            </w:r>
            <w:r w:rsidR="5CC43680" w:rsidRPr="3CFE9675">
              <w:rPr>
                <w:lang w:eastAsia="en-AU"/>
              </w:rPr>
              <w:t xml:space="preserve">period, where the </w:t>
            </w:r>
            <w:r w:rsidR="3B3AB284" w:rsidRPr="3CFE9675">
              <w:rPr>
                <w:lang w:eastAsia="en-AU"/>
              </w:rPr>
              <w:t>consumer</w:t>
            </w:r>
            <w:r w:rsidR="5CC43680" w:rsidRPr="3CFE9675">
              <w:rPr>
                <w:lang w:eastAsia="en-AU"/>
              </w:rPr>
              <w:t xml:space="preserve"> was male</w:t>
            </w:r>
            <w:r w:rsidR="1A61E42F" w:rsidRPr="3CFE9675">
              <w:rPr>
                <w:lang w:eastAsia="en-AU"/>
              </w:rPr>
              <w:t xml:space="preserve">, </w:t>
            </w:r>
            <w:r w:rsidR="5CC43680" w:rsidRPr="3CFE9675">
              <w:rPr>
                <w:lang w:eastAsia="en-AU"/>
              </w:rPr>
              <w:t>on a security order</w:t>
            </w:r>
            <w:r w:rsidR="6CF639B6" w:rsidRPr="3CFE9675">
              <w:rPr>
                <w:lang w:eastAsia="en-AU"/>
              </w:rPr>
              <w:t xml:space="preserve"> and had a length of stay less</w:t>
            </w:r>
            <w:r w:rsidR="33423CB3" w:rsidRPr="3CFE9675">
              <w:rPr>
                <w:lang w:eastAsia="en-AU"/>
              </w:rPr>
              <w:t xml:space="preserve"> </w:t>
            </w:r>
            <w:r w:rsidR="6CF639B6" w:rsidRPr="3CFE9675">
              <w:rPr>
                <w:lang w:eastAsia="en-AU"/>
              </w:rPr>
              <w:t>than 21 days</w:t>
            </w:r>
            <w:r w:rsidR="7838D063" w:rsidRPr="3CFE9675">
              <w:rPr>
                <w:lang w:eastAsia="en-AU"/>
              </w:rPr>
              <w:t>.</w:t>
            </w:r>
          </w:p>
        </w:tc>
      </w:tr>
      <w:tr w:rsidR="00F248E2" w:rsidRPr="00315936" w14:paraId="10DB1DCA"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932FEEA" w14:textId="77777777" w:rsidR="00F248E2" w:rsidRPr="00315936" w:rsidRDefault="00F248E2">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3A4F5776" w14:textId="49322CC4" w:rsidR="00F248E2" w:rsidRPr="00315936" w:rsidRDefault="0089449F" w:rsidP="001A453F">
            <w:pPr>
              <w:pStyle w:val="Tabletext"/>
              <w:rPr>
                <w:lang w:eastAsia="en-AU"/>
              </w:rPr>
            </w:pPr>
            <w:r>
              <w:rPr>
                <w:lang w:eastAsia="en-AU"/>
              </w:rPr>
              <w:t>N</w:t>
            </w:r>
            <w:r w:rsidR="5CC43680" w:rsidRPr="4A3EC911">
              <w:rPr>
                <w:lang w:eastAsia="en-AU"/>
              </w:rPr>
              <w:t xml:space="preserve">umber of </w:t>
            </w:r>
            <w:r w:rsidR="7D8F569D" w:rsidRPr="4A3EC911">
              <w:rPr>
                <w:lang w:eastAsia="en-AU"/>
              </w:rPr>
              <w:t>separation</w:t>
            </w:r>
            <w:r w:rsidR="5EEC0F7F" w:rsidRPr="4A3EC911">
              <w:rPr>
                <w:lang w:eastAsia="en-AU"/>
              </w:rPr>
              <w:t xml:space="preserve">s </w:t>
            </w:r>
            <w:r w:rsidR="00D600E8">
              <w:rPr>
                <w:lang w:eastAsia="en-AU"/>
              </w:rPr>
              <w:t>(</w:t>
            </w:r>
            <w:r w:rsidR="00E5059C">
              <w:rPr>
                <w:lang w:eastAsia="en-AU"/>
              </w:rPr>
              <w:t>regardless of length of stay</w:t>
            </w:r>
            <w:r w:rsidR="001C3BED">
              <w:rPr>
                <w:lang w:eastAsia="en-AU"/>
              </w:rPr>
              <w:t xml:space="preserve"> but excluding same day stays</w:t>
            </w:r>
            <w:r w:rsidR="00E5059C">
              <w:rPr>
                <w:lang w:eastAsia="en-AU"/>
              </w:rPr>
              <w:t xml:space="preserve">) </w:t>
            </w:r>
            <w:r w:rsidR="001F45A6" w:rsidRPr="4A3EC911">
              <w:rPr>
                <w:lang w:eastAsia="en-AU"/>
              </w:rPr>
              <w:t xml:space="preserve">at </w:t>
            </w:r>
            <w:proofErr w:type="spellStart"/>
            <w:r w:rsidR="001F45A6" w:rsidRPr="4A3EC911">
              <w:rPr>
                <w:lang w:eastAsia="en-AU"/>
              </w:rPr>
              <w:t>Forensicare</w:t>
            </w:r>
            <w:proofErr w:type="spellEnd"/>
            <w:r w:rsidR="001F45A6" w:rsidRPr="4A3EC911">
              <w:rPr>
                <w:lang w:eastAsia="en-AU"/>
              </w:rPr>
              <w:t xml:space="preserve"> acute units (Thomas </w:t>
            </w:r>
            <w:proofErr w:type="spellStart"/>
            <w:r w:rsidR="001F45A6" w:rsidRPr="4A3EC911">
              <w:rPr>
                <w:lang w:eastAsia="en-AU"/>
              </w:rPr>
              <w:t>Embling</w:t>
            </w:r>
            <w:proofErr w:type="spellEnd"/>
            <w:r w:rsidR="001F45A6" w:rsidRPr="4A3EC911">
              <w:rPr>
                <w:lang w:eastAsia="en-AU"/>
              </w:rPr>
              <w:t xml:space="preserve"> Hospital) </w:t>
            </w:r>
            <w:r w:rsidR="5EEC0F7F" w:rsidRPr="4A3EC911">
              <w:rPr>
                <w:lang w:eastAsia="en-AU"/>
              </w:rPr>
              <w:t xml:space="preserve">plus admitted </w:t>
            </w:r>
            <w:r w:rsidR="368BF5DE" w:rsidRPr="4A3EC911">
              <w:rPr>
                <w:lang w:eastAsia="en-AU"/>
              </w:rPr>
              <w:t xml:space="preserve">episodes </w:t>
            </w:r>
            <w:r w:rsidR="00311547">
              <w:rPr>
                <w:lang w:eastAsia="en-AU"/>
              </w:rPr>
              <w:t>that have not been separated a</w:t>
            </w:r>
            <w:r w:rsidR="00982713">
              <w:rPr>
                <w:lang w:eastAsia="en-AU"/>
              </w:rPr>
              <w:t>s at the end of the reference period</w:t>
            </w:r>
            <w:r w:rsidR="368BF5DE" w:rsidRPr="4A3EC911">
              <w:rPr>
                <w:lang w:eastAsia="en-AU"/>
              </w:rPr>
              <w:t xml:space="preserve"> </w:t>
            </w:r>
            <w:r w:rsidR="4348B5E2" w:rsidRPr="4A3EC911">
              <w:rPr>
                <w:lang w:eastAsia="en-AU"/>
              </w:rPr>
              <w:t>with a</w:t>
            </w:r>
            <w:r w:rsidR="368BF5DE" w:rsidRPr="4A3EC911">
              <w:rPr>
                <w:lang w:eastAsia="en-AU"/>
              </w:rPr>
              <w:t xml:space="preserve"> length of stay greater than</w:t>
            </w:r>
            <w:r w:rsidR="4B24BB7A" w:rsidRPr="4A3EC911">
              <w:rPr>
                <w:lang w:eastAsia="en-AU"/>
              </w:rPr>
              <w:t xml:space="preserve"> or </w:t>
            </w:r>
            <w:r w:rsidR="58684783" w:rsidRPr="4A3EC911">
              <w:rPr>
                <w:lang w:eastAsia="en-AU"/>
              </w:rPr>
              <w:t>equal to</w:t>
            </w:r>
            <w:r w:rsidR="368BF5DE" w:rsidRPr="4A3EC911">
              <w:rPr>
                <w:lang w:eastAsia="en-AU"/>
              </w:rPr>
              <w:t xml:space="preserve"> 21 days</w:t>
            </w:r>
            <w:r w:rsidR="5CC43680" w:rsidRPr="4A3EC911">
              <w:rPr>
                <w:lang w:eastAsia="en-AU"/>
              </w:rPr>
              <w:t xml:space="preserve">, where the </w:t>
            </w:r>
            <w:r w:rsidR="77EEF07C" w:rsidRPr="4A3EC911">
              <w:rPr>
                <w:lang w:eastAsia="en-AU"/>
              </w:rPr>
              <w:t xml:space="preserve">consumer </w:t>
            </w:r>
            <w:r w:rsidR="5CC43680" w:rsidRPr="4A3EC911">
              <w:rPr>
                <w:lang w:eastAsia="en-AU"/>
              </w:rPr>
              <w:t xml:space="preserve">was male and was on a security order (at discharge/end of reporting period). </w:t>
            </w:r>
          </w:p>
        </w:tc>
      </w:tr>
      <w:tr w:rsidR="00F248E2" w:rsidRPr="00315936" w14:paraId="43FC961E"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11292A5" w14:textId="77777777" w:rsidR="00F248E2" w:rsidRPr="00315936" w:rsidRDefault="00F248E2">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009089A1" w14:textId="7975494B" w:rsidR="00F248E2" w:rsidRPr="00315936" w:rsidRDefault="40F6C64B">
            <w:pPr>
              <w:pStyle w:val="Tabletext"/>
              <w:rPr>
                <w:lang w:eastAsia="en-AU"/>
              </w:rPr>
            </w:pPr>
            <w:r>
              <w:t xml:space="preserve">Greater than or equal to </w:t>
            </w:r>
            <w:r w:rsidR="75799216">
              <w:t>80</w:t>
            </w:r>
            <w:r w:rsidR="05930F13">
              <w:t xml:space="preserve"> per cent</w:t>
            </w:r>
            <w:r w:rsidR="60F7DA21">
              <w:t xml:space="preserve"> </w:t>
            </w:r>
            <w:r w:rsidR="0FF7214F">
              <w:t>or</w:t>
            </w:r>
            <w:r w:rsidR="60F7DA21">
              <w:t xml:space="preserve"> </w:t>
            </w:r>
            <w:r w:rsidR="05261439">
              <w:t xml:space="preserve">a </w:t>
            </w:r>
            <w:bookmarkStart w:id="122" w:name="_Int_uZTOe5eM"/>
            <w:proofErr w:type="gramStart"/>
            <w:r w:rsidR="60F7DA21">
              <w:t>5 percentage</w:t>
            </w:r>
            <w:bookmarkEnd w:id="122"/>
            <w:proofErr w:type="gramEnd"/>
            <w:r w:rsidR="60F7DA21">
              <w:t xml:space="preserve"> point</w:t>
            </w:r>
            <w:r w:rsidR="05261439">
              <w:t xml:space="preserve"> improvement</w:t>
            </w:r>
            <w:r w:rsidR="75D926C3">
              <w:t xml:space="preserve"> compared to the same </w:t>
            </w:r>
            <w:r w:rsidR="14853E3B">
              <w:t>period</w:t>
            </w:r>
            <w:r w:rsidR="75D926C3">
              <w:t xml:space="preserve"> last year</w:t>
            </w:r>
            <w:r w:rsidR="60F7DA21">
              <w:t xml:space="preserve"> </w:t>
            </w:r>
          </w:p>
        </w:tc>
      </w:tr>
      <w:tr w:rsidR="00F248E2" w:rsidRPr="00315936" w14:paraId="678AF255"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11EEE7A" w14:textId="68FEB580" w:rsidR="00F248E2" w:rsidRPr="00315936" w:rsidRDefault="00F248E2" w:rsidP="00F248E2">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6AAF70E5" w14:textId="29F2C6FF" w:rsidR="00F248E2" w:rsidRPr="00315936" w:rsidRDefault="75799216" w:rsidP="00F248E2">
            <w:pPr>
              <w:pStyle w:val="Tabletext"/>
            </w:pPr>
            <w:r>
              <w:t>Equal to or greater than 80</w:t>
            </w:r>
            <w:r w:rsidR="05930F13">
              <w:t xml:space="preserve"> per cent</w:t>
            </w:r>
            <w:r w:rsidR="6374480B">
              <w:t xml:space="preserve"> or a </w:t>
            </w:r>
            <w:bookmarkStart w:id="123" w:name="_Int_QTWqdyNk"/>
            <w:proofErr w:type="gramStart"/>
            <w:r w:rsidR="6374480B">
              <w:t>5 percentage</w:t>
            </w:r>
            <w:bookmarkEnd w:id="123"/>
            <w:proofErr w:type="gramEnd"/>
            <w:r w:rsidR="6374480B">
              <w:t xml:space="preserve"> point improvement</w:t>
            </w:r>
          </w:p>
        </w:tc>
      </w:tr>
      <w:tr w:rsidR="00F248E2" w:rsidRPr="00315936" w14:paraId="404F31D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87F8B5B" w14:textId="537F92D5" w:rsidR="00F248E2" w:rsidRPr="00315936" w:rsidRDefault="00123CE8" w:rsidP="00F248E2">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30121227" w14:textId="4E0DE4DF" w:rsidR="00F248E2" w:rsidRPr="00315936" w:rsidRDefault="75799216" w:rsidP="00F248E2">
            <w:pPr>
              <w:pStyle w:val="Tabletext"/>
            </w:pPr>
            <w:r>
              <w:t>Less than 80</w:t>
            </w:r>
            <w:r w:rsidR="05930F13">
              <w:t xml:space="preserve"> per cent</w:t>
            </w:r>
            <w:r w:rsidR="6374480B">
              <w:t xml:space="preserve"> </w:t>
            </w:r>
            <w:r w:rsidR="6BE42CAC">
              <w:t>and</w:t>
            </w:r>
            <w:r w:rsidR="6374480B">
              <w:t xml:space="preserve"> below a </w:t>
            </w:r>
            <w:bookmarkStart w:id="124" w:name="_Int_I5Sj3c9U"/>
            <w:proofErr w:type="gramStart"/>
            <w:r w:rsidR="6374480B">
              <w:t>5 percentage</w:t>
            </w:r>
            <w:bookmarkEnd w:id="124"/>
            <w:proofErr w:type="gramEnd"/>
            <w:r w:rsidR="6374480B">
              <w:t xml:space="preserve"> point imp</w:t>
            </w:r>
            <w:r w:rsidR="29D070A0">
              <w:t>rovement</w:t>
            </w:r>
          </w:p>
        </w:tc>
      </w:tr>
      <w:tr w:rsidR="00F248E2" w:rsidRPr="00315936" w14:paraId="7C65B9A2"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32EFCA8" w14:textId="77777777" w:rsidR="00F248E2" w:rsidRPr="00315936" w:rsidRDefault="00F248E2">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2C9F755A" w14:textId="2B339A9F" w:rsidR="00F248E2" w:rsidRPr="00315936" w:rsidRDefault="5CC43680">
            <w:pPr>
              <w:pStyle w:val="Tabletext"/>
              <w:rPr>
                <w:lang w:eastAsia="en-AU"/>
              </w:rPr>
            </w:pPr>
            <w:proofErr w:type="gramStart"/>
            <w:r>
              <w:t>For the purpose of</w:t>
            </w:r>
            <w:proofErr w:type="gramEnd"/>
            <w:r>
              <w:t xml:space="preserve"> the performance risk assessment</w:t>
            </w:r>
            <w:r w:rsidR="5EDEBAAA">
              <w:t>,</w:t>
            </w:r>
            <w:r>
              <w:t xml:space="preserve"> improvement is compared to previous quarter performance.</w:t>
            </w:r>
          </w:p>
        </w:tc>
      </w:tr>
      <w:tr w:rsidR="00F248E2" w:rsidRPr="00315936" w14:paraId="35F0E5E1" w14:textId="77777777" w:rsidTr="55528ABA">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58F880A" w14:textId="77777777" w:rsidR="00F248E2" w:rsidRPr="00315936" w:rsidRDefault="00F248E2">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4E62E224" w14:textId="47C161AC" w:rsidR="00F248E2" w:rsidRPr="00315936" w:rsidRDefault="005F7A00">
            <w:pPr>
              <w:pStyle w:val="Tabletext"/>
            </w:pPr>
            <w:r w:rsidRPr="00315936">
              <w:t>Performance</w:t>
            </w:r>
            <w:r w:rsidR="006D02CB" w:rsidRPr="00315936">
              <w:t xml:space="preserve"> is reported quarterly.</w:t>
            </w:r>
          </w:p>
          <w:p w14:paraId="1FDE8068" w14:textId="09118877" w:rsidR="00F248E2" w:rsidRPr="00315936" w:rsidRDefault="00AC58E5">
            <w:pPr>
              <w:pStyle w:val="Tabletext"/>
              <w:rPr>
                <w:lang w:eastAsia="en-AU"/>
              </w:rPr>
            </w:pPr>
            <w:r w:rsidRPr="2ECFC544">
              <w:rPr>
                <w:rFonts w:eastAsia="Arial" w:cs="Arial"/>
                <w:szCs w:val="21"/>
              </w:rPr>
              <w:t>Data are sourced from</w:t>
            </w:r>
            <w:r w:rsidRPr="2ECFC544" w:rsidDel="00B855E6">
              <w:rPr>
                <w:rFonts w:eastAsia="Arial" w:cs="Arial"/>
                <w:szCs w:val="21"/>
              </w:rPr>
              <w:t xml:space="preserve"> </w:t>
            </w:r>
            <w:r w:rsidR="00F248E2" w:rsidRPr="2ECFC544">
              <w:rPr>
                <w:rFonts w:eastAsia="Arial" w:cs="Arial"/>
                <w:szCs w:val="21"/>
              </w:rPr>
              <w:t>the Client Management Interface (CMI</w:t>
            </w:r>
            <w:r w:rsidR="00FA6BB5" w:rsidRPr="2ECFC544">
              <w:rPr>
                <w:rFonts w:eastAsia="Arial" w:cs="Arial"/>
                <w:szCs w:val="21"/>
              </w:rPr>
              <w:t xml:space="preserve">) / </w:t>
            </w:r>
            <w:r w:rsidR="00F248E2" w:rsidRPr="2ECFC544">
              <w:rPr>
                <w:rFonts w:eastAsia="Arial" w:cs="Arial"/>
                <w:szCs w:val="21"/>
              </w:rPr>
              <w:t>Operational Data Store (ODS</w:t>
            </w:r>
            <w:r w:rsidR="00FA6BB5" w:rsidRPr="2ECFC544">
              <w:rPr>
                <w:rFonts w:eastAsia="Arial" w:cs="Arial"/>
                <w:szCs w:val="21"/>
              </w:rPr>
              <w:t>).</w:t>
            </w:r>
          </w:p>
        </w:tc>
      </w:tr>
    </w:tbl>
    <w:p w14:paraId="253B5E91" w14:textId="71A7A336" w:rsidR="00635737" w:rsidRPr="00315936" w:rsidRDefault="00635737" w:rsidP="008E7F78">
      <w:pPr>
        <w:pStyle w:val="Heading4"/>
      </w:pPr>
      <w:bookmarkStart w:id="125" w:name="_Toc1843253624"/>
      <w:r>
        <w:t xml:space="preserve">Percentage of female security patients discharged from Thomas </w:t>
      </w:r>
      <w:proofErr w:type="spellStart"/>
      <w:r>
        <w:t>Embling</w:t>
      </w:r>
      <w:proofErr w:type="spellEnd"/>
      <w:r>
        <w:t xml:space="preserve"> Hospital to a correctional centre within 28 </w:t>
      </w:r>
      <w:bookmarkEnd w:id="125"/>
      <w:r w:rsidR="52B56D3E">
        <w:t>days </w:t>
      </w:r>
    </w:p>
    <w:tbl>
      <w:tblPr>
        <w:tblStyle w:val="TableGrid"/>
        <w:tblW w:w="10343" w:type="dxa"/>
        <w:tblLook w:val="04A0" w:firstRow="1" w:lastRow="0" w:firstColumn="1" w:lastColumn="0" w:noHBand="0" w:noVBand="1"/>
      </w:tblPr>
      <w:tblGrid>
        <w:gridCol w:w="1837"/>
        <w:gridCol w:w="8506"/>
      </w:tblGrid>
      <w:tr w:rsidR="001464CB" w:rsidRPr="00315936" w14:paraId="33298F3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A0BD340" w14:textId="4EA82DC5" w:rsidR="001464CB" w:rsidRPr="00315936" w:rsidRDefault="00C3016B" w:rsidP="001A453F">
            <w:pPr>
              <w:pStyle w:val="Tablecolhead"/>
              <w:keepNext/>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62B41F81" w14:textId="6B42EA98" w:rsidR="001464CB" w:rsidRPr="00315936" w:rsidRDefault="001464CB" w:rsidP="001A453F">
            <w:pPr>
              <w:pStyle w:val="Tabletext"/>
              <w:keepNext/>
              <w:rPr>
                <w:lang w:eastAsia="en-AU"/>
              </w:rPr>
            </w:pPr>
            <w:r>
              <w:t xml:space="preserve">Percentage of female security patients discharged from Thomas </w:t>
            </w:r>
            <w:proofErr w:type="spellStart"/>
            <w:r>
              <w:t>Embling</w:t>
            </w:r>
            <w:proofErr w:type="spellEnd"/>
            <w:r>
              <w:t xml:space="preserve"> Hospital to a correctional centre within 28 days</w:t>
            </w:r>
            <w:r w:rsidR="1F6614E6">
              <w:t xml:space="preserve"> of admission</w:t>
            </w:r>
            <w:r w:rsidR="00876388">
              <w:t xml:space="preserve"> </w:t>
            </w:r>
            <w:r w:rsidR="002C26E1">
              <w:fldChar w:fldCharType="begin"/>
            </w:r>
            <w:r w:rsidR="002C26E1">
              <w:instrText xml:space="preserve"> NOTEREF _Ref201835099 \f \h </w:instrText>
            </w:r>
            <w:r w:rsidR="002C26E1">
              <w:fldChar w:fldCharType="separate"/>
            </w:r>
            <w:r w:rsidR="002C26E1" w:rsidRPr="002C26E1">
              <w:rPr>
                <w:rStyle w:val="EndnoteReference"/>
              </w:rPr>
              <w:t>xvi</w:t>
            </w:r>
            <w:r w:rsidR="002C26E1">
              <w:fldChar w:fldCharType="end"/>
            </w:r>
          </w:p>
        </w:tc>
      </w:tr>
      <w:tr w:rsidR="001464CB" w:rsidRPr="00315936" w14:paraId="71A0840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C68651B" w14:textId="77777777" w:rsidR="001464CB" w:rsidRPr="00315936" w:rsidRDefault="001464CB">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123562E5" w14:textId="77777777" w:rsidR="00BA642E" w:rsidRDefault="00BA642E" w:rsidP="004E2C29">
            <w:pPr>
              <w:pStyle w:val="Tabletext"/>
            </w:pPr>
            <w:r>
              <w:t xml:space="preserve">This measures the proportion of female security patients discharged from Thomas </w:t>
            </w:r>
            <w:proofErr w:type="spellStart"/>
            <w:r>
              <w:t>Embling</w:t>
            </w:r>
            <w:proofErr w:type="spellEnd"/>
            <w:r>
              <w:t xml:space="preserve"> Hospital to a correctional centre within 28 days of admission.</w:t>
            </w:r>
          </w:p>
          <w:p w14:paraId="2BFBB020" w14:textId="4CD85DBD" w:rsidR="001464CB" w:rsidRPr="00BA642E" w:rsidRDefault="004E2C29" w:rsidP="004E2C29">
            <w:pPr>
              <w:pStyle w:val="Tabletext"/>
              <w:rPr>
                <w:i/>
              </w:rPr>
            </w:pPr>
            <w:r w:rsidRPr="00315936">
              <w:t xml:space="preserve">The Thomas </w:t>
            </w:r>
            <w:proofErr w:type="spellStart"/>
            <w:r w:rsidRPr="00315936">
              <w:t>Embling</w:t>
            </w:r>
            <w:proofErr w:type="spellEnd"/>
            <w:r w:rsidRPr="00315936">
              <w:t xml:space="preserve"> hospital manages the care of security patients (prisoners) who require compulsory mental health treatment under the </w:t>
            </w:r>
            <w:r w:rsidRPr="00315936">
              <w:rPr>
                <w:i/>
                <w:iCs/>
              </w:rPr>
              <w:t>Mental Health and Wellbeing Act 2022</w:t>
            </w:r>
            <w:r w:rsidR="00366C6A">
              <w:rPr>
                <w:i/>
                <w:iCs/>
              </w:rPr>
              <w:t>.</w:t>
            </w:r>
          </w:p>
        </w:tc>
      </w:tr>
      <w:tr w:rsidR="001464CB" w:rsidRPr="00315936" w14:paraId="47B7FF8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5F50609" w14:textId="77777777" w:rsidR="001464CB" w:rsidRPr="00315936" w:rsidRDefault="001464CB">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431469F1" w14:textId="26A67925" w:rsidR="00390C77" w:rsidRDefault="00390C77" w:rsidP="00390C77">
            <w:pPr>
              <w:pStyle w:val="Tabletext"/>
              <w:rPr>
                <w:lang w:eastAsia="en-AU"/>
              </w:rPr>
            </w:pPr>
            <w:r>
              <w:rPr>
                <w:lang w:eastAsia="en-AU"/>
              </w:rPr>
              <w:t>The scope for this measure includes</w:t>
            </w:r>
            <w:r w:rsidR="00CD5E44">
              <w:rPr>
                <w:lang w:eastAsia="en-AU"/>
              </w:rPr>
              <w:t>:</w:t>
            </w:r>
          </w:p>
          <w:p w14:paraId="01310CFF" w14:textId="210EBB6F" w:rsidR="00390C77" w:rsidRDefault="00390C77" w:rsidP="002C26E1">
            <w:pPr>
              <w:pStyle w:val="Tablebullet1"/>
              <w:rPr>
                <w:lang w:eastAsia="en-AU"/>
              </w:rPr>
            </w:pPr>
            <w:r>
              <w:t xml:space="preserve">separations from Thomas </w:t>
            </w:r>
            <w:proofErr w:type="spellStart"/>
            <w:r>
              <w:t>Embling</w:t>
            </w:r>
            <w:proofErr w:type="spellEnd"/>
            <w:r>
              <w:t xml:space="preserve"> Hospital acute units within the reference period where the consumer was female and on a security order (order codes 105 and 202) at the time of separation. </w:t>
            </w:r>
            <w:r w:rsidRPr="3CFE9675">
              <w:rPr>
                <w:lang w:eastAsia="en-AU"/>
              </w:rPr>
              <w:t>This is based on episode end date, except where a consumer was discharged while on leave, in which case the date sent on leave is used.</w:t>
            </w:r>
          </w:p>
          <w:p w14:paraId="51CC448A" w14:textId="75ED4346" w:rsidR="00390C77" w:rsidRDefault="00390C77" w:rsidP="002C26E1">
            <w:pPr>
              <w:pStyle w:val="Tablebullet1"/>
              <w:rPr>
                <w:lang w:eastAsia="en-AU"/>
              </w:rPr>
            </w:pPr>
            <w:r>
              <w:rPr>
                <w:lang w:eastAsia="en-AU"/>
              </w:rPr>
              <w:t xml:space="preserve">female consumers who have not been separated </w:t>
            </w:r>
            <w:r w:rsidR="1142ED30" w:rsidRPr="1E2588F2">
              <w:rPr>
                <w:lang w:eastAsia="en-AU"/>
              </w:rPr>
              <w:t>(i.e. open episodes)</w:t>
            </w:r>
            <w:r w:rsidRPr="1E2588F2">
              <w:rPr>
                <w:lang w:eastAsia="en-AU"/>
              </w:rPr>
              <w:t xml:space="preserve"> </w:t>
            </w:r>
            <w:r>
              <w:rPr>
                <w:lang w:eastAsia="en-AU"/>
              </w:rPr>
              <w:t>and were on a security order (order codes 105 and 202) and had length of stay of at least 28 days as at the end of the reference period.</w:t>
            </w:r>
          </w:p>
          <w:p w14:paraId="246E3AED" w14:textId="395ACF84" w:rsidR="00390C77" w:rsidRDefault="00390C77" w:rsidP="00390C77">
            <w:pPr>
              <w:pStyle w:val="Tabletext"/>
              <w:rPr>
                <w:lang w:eastAsia="en-AU"/>
              </w:rPr>
            </w:pPr>
            <w:r>
              <w:rPr>
                <w:lang w:eastAsia="en-AU"/>
              </w:rPr>
              <w:t xml:space="preserve">Same day stays </w:t>
            </w:r>
            <w:r w:rsidR="00AA24BC">
              <w:rPr>
                <w:lang w:eastAsia="en-AU"/>
              </w:rPr>
              <w:t xml:space="preserve">(i.e. patients who were admitted </w:t>
            </w:r>
            <w:r w:rsidR="00316445">
              <w:rPr>
                <w:lang w:eastAsia="en-AU"/>
              </w:rPr>
              <w:t>and discharged on the same day)</w:t>
            </w:r>
            <w:r>
              <w:rPr>
                <w:lang w:eastAsia="en-AU"/>
              </w:rPr>
              <w:t xml:space="preserve"> are excluded from scope.</w:t>
            </w:r>
          </w:p>
          <w:p w14:paraId="3754DE11" w14:textId="4C226015" w:rsidR="3D35ABFB" w:rsidRPr="7B07F654" w:rsidRDefault="00390C77" w:rsidP="1E2588F2">
            <w:pPr>
              <w:pStyle w:val="Tabletext"/>
              <w:rPr>
                <w:lang w:eastAsia="en-AU"/>
              </w:rPr>
            </w:pPr>
            <w:r w:rsidRPr="3CFE9675">
              <w:rPr>
                <w:lang w:eastAsia="en-AU"/>
              </w:rPr>
              <w:t>Length of stay is calculated as the difference in minutes between the episode start date/time and the episode end date/time.</w:t>
            </w:r>
          </w:p>
          <w:p w14:paraId="1A777F6E" w14:textId="3936B32E" w:rsidR="3D35ABFB" w:rsidRPr="7B07F654" w:rsidRDefault="120480FD" w:rsidP="004E2C29">
            <w:pPr>
              <w:pStyle w:val="Tabletext"/>
              <w:rPr>
                <w:lang w:eastAsia="en-AU"/>
              </w:rPr>
            </w:pPr>
            <w:r w:rsidRPr="1E2588F2">
              <w:rPr>
                <w:lang w:eastAsia="en-AU"/>
              </w:rPr>
              <w:t xml:space="preserve">Data </w:t>
            </w:r>
            <w:r w:rsidR="009C729A">
              <w:rPr>
                <w:lang w:eastAsia="en-AU"/>
              </w:rPr>
              <w:t>are</w:t>
            </w:r>
            <w:r w:rsidR="009C729A" w:rsidRPr="1E2588F2">
              <w:rPr>
                <w:lang w:eastAsia="en-AU"/>
              </w:rPr>
              <w:t xml:space="preserve"> </w:t>
            </w:r>
            <w:r w:rsidRPr="1E2588F2">
              <w:rPr>
                <w:lang w:eastAsia="en-AU"/>
              </w:rPr>
              <w:t>lagged by 28 days.</w:t>
            </w:r>
          </w:p>
        </w:tc>
      </w:tr>
      <w:tr w:rsidR="001464CB" w:rsidRPr="00315936" w14:paraId="30415EF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8D39AC3" w14:textId="77777777" w:rsidR="001464CB" w:rsidRPr="00315936" w:rsidRDefault="001464CB">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13D367CA" w14:textId="42D26A85" w:rsidR="001464CB" w:rsidRPr="00315936" w:rsidRDefault="00926DF4">
            <w:pPr>
              <w:pStyle w:val="Tabletext"/>
              <w:rPr>
                <w:lang w:eastAsia="en-AU"/>
              </w:rPr>
            </w:pPr>
            <w:r>
              <w:rPr>
                <w:lang w:eastAsia="en-AU"/>
              </w:rPr>
              <w:t>N</w:t>
            </w:r>
            <w:r w:rsidR="1B47B79E" w:rsidRPr="3CFE9675">
              <w:rPr>
                <w:lang w:eastAsia="en-AU"/>
              </w:rPr>
              <w:t xml:space="preserve">umber of </w:t>
            </w:r>
            <w:r w:rsidR="007645D0" w:rsidRPr="3CFE9675">
              <w:rPr>
                <w:lang w:eastAsia="en-AU"/>
              </w:rPr>
              <w:t>separations</w:t>
            </w:r>
            <w:r w:rsidR="1B47B79E" w:rsidRPr="3CFE9675">
              <w:rPr>
                <w:lang w:eastAsia="en-AU"/>
              </w:rPr>
              <w:t xml:space="preserve"> from </w:t>
            </w:r>
            <w:proofErr w:type="spellStart"/>
            <w:r w:rsidR="1B47B79E" w:rsidRPr="3CFE9675">
              <w:rPr>
                <w:lang w:eastAsia="en-AU"/>
              </w:rPr>
              <w:t>Forensicare</w:t>
            </w:r>
            <w:proofErr w:type="spellEnd"/>
            <w:r w:rsidR="1B47B79E" w:rsidRPr="3CFE9675">
              <w:rPr>
                <w:lang w:eastAsia="en-AU"/>
              </w:rPr>
              <w:t xml:space="preserve"> inpatient units (Thomas </w:t>
            </w:r>
            <w:proofErr w:type="spellStart"/>
            <w:r w:rsidR="1B47B79E" w:rsidRPr="3CFE9675">
              <w:rPr>
                <w:lang w:eastAsia="en-AU"/>
              </w:rPr>
              <w:t>Embling</w:t>
            </w:r>
            <w:proofErr w:type="spellEnd"/>
            <w:r w:rsidR="1B47B79E" w:rsidRPr="3CFE9675">
              <w:rPr>
                <w:lang w:eastAsia="en-AU"/>
              </w:rPr>
              <w:t xml:space="preserve"> Hospital) </w:t>
            </w:r>
            <w:r w:rsidR="00726198">
              <w:rPr>
                <w:lang w:eastAsia="en-AU"/>
              </w:rPr>
              <w:t>during</w:t>
            </w:r>
            <w:r w:rsidR="1B47B79E" w:rsidRPr="3CFE9675">
              <w:rPr>
                <w:lang w:eastAsia="en-AU"/>
              </w:rPr>
              <w:t xml:space="preserve"> the re</w:t>
            </w:r>
            <w:r w:rsidR="00726198">
              <w:rPr>
                <w:lang w:eastAsia="en-AU"/>
              </w:rPr>
              <w:t>ference</w:t>
            </w:r>
            <w:r w:rsidR="1B47B79E" w:rsidRPr="3CFE9675">
              <w:rPr>
                <w:lang w:eastAsia="en-AU"/>
              </w:rPr>
              <w:t xml:space="preserve"> period, where the consumer was female,</w:t>
            </w:r>
            <w:r w:rsidR="69945440" w:rsidRPr="3CFE9675">
              <w:rPr>
                <w:lang w:eastAsia="en-AU"/>
              </w:rPr>
              <w:t xml:space="preserve"> </w:t>
            </w:r>
            <w:r w:rsidR="1B47B79E" w:rsidRPr="3CFE9675">
              <w:rPr>
                <w:lang w:eastAsia="en-AU"/>
              </w:rPr>
              <w:t xml:space="preserve">on a security order and had a length of stay </w:t>
            </w:r>
            <w:r w:rsidR="00F449C0">
              <w:rPr>
                <w:lang w:eastAsia="en-AU"/>
              </w:rPr>
              <w:t>l</w:t>
            </w:r>
            <w:r w:rsidR="1B47B79E" w:rsidRPr="3CFE9675">
              <w:rPr>
                <w:lang w:eastAsia="en-AU"/>
              </w:rPr>
              <w:t xml:space="preserve">ess than </w:t>
            </w:r>
            <w:r w:rsidR="406178BA" w:rsidRPr="3CFE9675">
              <w:rPr>
                <w:lang w:eastAsia="en-AU"/>
              </w:rPr>
              <w:t xml:space="preserve">28 </w:t>
            </w:r>
            <w:r w:rsidR="1B47B79E" w:rsidRPr="3CFE9675">
              <w:rPr>
                <w:lang w:eastAsia="en-AU"/>
              </w:rPr>
              <w:t>days</w:t>
            </w:r>
            <w:r w:rsidR="00936954">
              <w:rPr>
                <w:lang w:eastAsia="en-AU"/>
              </w:rPr>
              <w:t>.</w:t>
            </w:r>
            <w:r w:rsidR="1B47B79E" w:rsidRPr="3CFE9675">
              <w:rPr>
                <w:lang w:eastAsia="en-AU"/>
              </w:rPr>
              <w:t xml:space="preserve"> </w:t>
            </w:r>
          </w:p>
        </w:tc>
      </w:tr>
      <w:tr w:rsidR="001464CB" w:rsidRPr="00315936" w14:paraId="1F51D90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6E5E900" w14:textId="77777777" w:rsidR="001464CB" w:rsidRPr="00315936" w:rsidRDefault="001464CB">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8235A74" w14:textId="0284BA77" w:rsidR="001464CB" w:rsidRPr="00315936" w:rsidRDefault="00697041" w:rsidP="001A453F">
            <w:pPr>
              <w:pStyle w:val="Tabletext"/>
              <w:rPr>
                <w:lang w:eastAsia="en-AU"/>
              </w:rPr>
            </w:pPr>
            <w:r>
              <w:rPr>
                <w:lang w:eastAsia="en-AU"/>
              </w:rPr>
              <w:t>N</w:t>
            </w:r>
            <w:r w:rsidR="3406751D" w:rsidRPr="4A3EC911">
              <w:rPr>
                <w:lang w:eastAsia="en-AU"/>
              </w:rPr>
              <w:t>umber of separation</w:t>
            </w:r>
            <w:r w:rsidR="406178BA" w:rsidRPr="4A3EC911">
              <w:rPr>
                <w:lang w:eastAsia="en-AU"/>
              </w:rPr>
              <w:t xml:space="preserve">s </w:t>
            </w:r>
            <w:r w:rsidR="008F2AB6">
              <w:rPr>
                <w:lang w:eastAsia="en-AU"/>
              </w:rPr>
              <w:t>(regardless of length of stay</w:t>
            </w:r>
            <w:r w:rsidR="0020422C">
              <w:rPr>
                <w:lang w:eastAsia="en-AU"/>
              </w:rPr>
              <w:t xml:space="preserve"> but excluding same day stays</w:t>
            </w:r>
            <w:r w:rsidR="008F2AB6">
              <w:rPr>
                <w:lang w:eastAsia="en-AU"/>
              </w:rPr>
              <w:t xml:space="preserve">) </w:t>
            </w:r>
            <w:r w:rsidR="008F2AB6" w:rsidRPr="4A3EC911">
              <w:rPr>
                <w:lang w:eastAsia="en-AU"/>
              </w:rPr>
              <w:t xml:space="preserve">at </w:t>
            </w:r>
            <w:proofErr w:type="spellStart"/>
            <w:r w:rsidR="008F2AB6" w:rsidRPr="4A3EC911">
              <w:rPr>
                <w:lang w:eastAsia="en-AU"/>
              </w:rPr>
              <w:t>Forensicare</w:t>
            </w:r>
            <w:proofErr w:type="spellEnd"/>
            <w:r w:rsidR="008F2AB6" w:rsidRPr="4A3EC911">
              <w:rPr>
                <w:lang w:eastAsia="en-AU"/>
              </w:rPr>
              <w:t xml:space="preserve"> acute units (Thomas </w:t>
            </w:r>
            <w:proofErr w:type="spellStart"/>
            <w:r w:rsidR="008F2AB6" w:rsidRPr="4A3EC911">
              <w:rPr>
                <w:lang w:eastAsia="en-AU"/>
              </w:rPr>
              <w:t>Embling</w:t>
            </w:r>
            <w:proofErr w:type="spellEnd"/>
            <w:r w:rsidR="008F2AB6" w:rsidRPr="4A3EC911">
              <w:rPr>
                <w:lang w:eastAsia="en-AU"/>
              </w:rPr>
              <w:t xml:space="preserve"> Hospital)</w:t>
            </w:r>
            <w:r w:rsidR="0023736E">
              <w:rPr>
                <w:lang w:eastAsia="en-AU"/>
              </w:rPr>
              <w:t xml:space="preserve"> </w:t>
            </w:r>
            <w:r w:rsidR="406178BA" w:rsidRPr="4A3EC911">
              <w:rPr>
                <w:lang w:eastAsia="en-AU"/>
              </w:rPr>
              <w:t xml:space="preserve">plus </w:t>
            </w:r>
            <w:r w:rsidR="65ED0C03" w:rsidRPr="4A3EC911">
              <w:rPr>
                <w:lang w:eastAsia="en-AU"/>
              </w:rPr>
              <w:t>admitted</w:t>
            </w:r>
            <w:r w:rsidR="3406751D" w:rsidRPr="4A3EC911">
              <w:rPr>
                <w:lang w:eastAsia="en-AU"/>
              </w:rPr>
              <w:t xml:space="preserve"> episodes </w:t>
            </w:r>
            <w:r w:rsidR="0023736E">
              <w:rPr>
                <w:lang w:eastAsia="en-AU"/>
              </w:rPr>
              <w:t>that have not been separated as at the end of the reference period</w:t>
            </w:r>
            <w:r w:rsidR="3406751D" w:rsidRPr="4A3EC911">
              <w:rPr>
                <w:lang w:eastAsia="en-AU"/>
              </w:rPr>
              <w:t xml:space="preserve"> </w:t>
            </w:r>
            <w:r w:rsidR="4348B5E2" w:rsidRPr="4A3EC911">
              <w:rPr>
                <w:lang w:eastAsia="en-AU"/>
              </w:rPr>
              <w:t>with</w:t>
            </w:r>
            <w:r w:rsidR="3406751D" w:rsidRPr="4A3EC911">
              <w:rPr>
                <w:lang w:eastAsia="en-AU"/>
              </w:rPr>
              <w:t xml:space="preserve"> a length of stay greater than </w:t>
            </w:r>
            <w:r w:rsidR="4348B5E2" w:rsidRPr="4A3EC911">
              <w:rPr>
                <w:lang w:eastAsia="en-AU"/>
              </w:rPr>
              <w:t xml:space="preserve">or equal to 28 </w:t>
            </w:r>
            <w:r w:rsidR="3406751D" w:rsidRPr="4A3EC911">
              <w:rPr>
                <w:lang w:eastAsia="en-AU"/>
              </w:rPr>
              <w:t xml:space="preserve">days, where the </w:t>
            </w:r>
            <w:r w:rsidR="2FED6FCF" w:rsidRPr="4A3EC911">
              <w:rPr>
                <w:lang w:eastAsia="en-AU"/>
              </w:rPr>
              <w:t xml:space="preserve">consumer </w:t>
            </w:r>
            <w:r w:rsidR="3406751D" w:rsidRPr="4A3EC911">
              <w:rPr>
                <w:lang w:eastAsia="en-AU"/>
              </w:rPr>
              <w:t xml:space="preserve">was </w:t>
            </w:r>
            <w:r w:rsidR="757D1C2A" w:rsidRPr="4A3EC911">
              <w:rPr>
                <w:lang w:eastAsia="en-AU"/>
              </w:rPr>
              <w:t>fe</w:t>
            </w:r>
            <w:r w:rsidR="3406751D" w:rsidRPr="4A3EC911">
              <w:rPr>
                <w:lang w:eastAsia="en-AU"/>
              </w:rPr>
              <w:t>male and was on a security order (at discharge/end of reporting period).</w:t>
            </w:r>
          </w:p>
        </w:tc>
      </w:tr>
      <w:tr w:rsidR="001464CB" w:rsidRPr="00315936" w14:paraId="431C40B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1FEAC12" w14:textId="77777777" w:rsidR="001464CB" w:rsidRPr="00315936" w:rsidRDefault="001464CB">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421BE490" w14:textId="2EAAB5A2" w:rsidR="001464CB" w:rsidRPr="00315936" w:rsidRDefault="001464CB">
            <w:pPr>
              <w:pStyle w:val="Tabletext"/>
              <w:rPr>
                <w:lang w:eastAsia="en-AU"/>
              </w:rPr>
            </w:pPr>
            <w:r w:rsidRPr="00315936">
              <w:t>80</w:t>
            </w:r>
            <w:r w:rsidR="00A67D0D" w:rsidRPr="00315936">
              <w:t xml:space="preserve"> per cent</w:t>
            </w:r>
            <w:r w:rsidRPr="00315936">
              <w:t xml:space="preserve"> </w:t>
            </w:r>
          </w:p>
        </w:tc>
      </w:tr>
      <w:tr w:rsidR="003549B0" w:rsidRPr="00315936" w14:paraId="7AB2507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4BFEFAE" w14:textId="39400C2E" w:rsidR="002B431B" w:rsidRPr="00315936" w:rsidRDefault="002B431B" w:rsidP="002B431B">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525AA680" w14:textId="2609976D" w:rsidR="002B431B" w:rsidRPr="00315936" w:rsidRDefault="002B431B" w:rsidP="002B431B">
            <w:pPr>
              <w:pStyle w:val="Tabletext"/>
            </w:pPr>
            <w:r w:rsidRPr="00315936">
              <w:t>Equal to or greater than 80</w:t>
            </w:r>
            <w:r w:rsidR="00A67D0D" w:rsidRPr="00315936">
              <w:t xml:space="preserve"> per cent</w:t>
            </w:r>
          </w:p>
        </w:tc>
      </w:tr>
      <w:tr w:rsidR="003549B0" w:rsidRPr="00315936" w14:paraId="4B91737C"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5C6E35E" w14:textId="739929A9" w:rsidR="002B431B" w:rsidRPr="00315936" w:rsidRDefault="002B431B" w:rsidP="002B431B">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5A0D4EB6" w14:textId="620DDAE1" w:rsidR="002B431B" w:rsidRPr="00315936" w:rsidRDefault="002B431B" w:rsidP="002B431B">
            <w:pPr>
              <w:pStyle w:val="Tabletext"/>
            </w:pPr>
            <w:r w:rsidRPr="00315936">
              <w:t>Less than 80</w:t>
            </w:r>
            <w:r w:rsidR="00A67D0D" w:rsidRPr="00315936">
              <w:t xml:space="preserve"> per cent</w:t>
            </w:r>
          </w:p>
        </w:tc>
      </w:tr>
      <w:tr w:rsidR="001464CB" w:rsidRPr="00315936" w14:paraId="2F4F5F2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4D17C8F" w14:textId="77777777" w:rsidR="001464CB" w:rsidRPr="00315936" w:rsidRDefault="001464CB">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63A4409B" w14:textId="77777777" w:rsidR="001464CB" w:rsidRPr="00315936" w:rsidRDefault="001464CB">
            <w:pPr>
              <w:pStyle w:val="Tabletext"/>
              <w:rPr>
                <w:lang w:eastAsia="en-AU"/>
              </w:rPr>
            </w:pPr>
            <w:proofErr w:type="gramStart"/>
            <w:r w:rsidRPr="00315936">
              <w:t>For the purpose of</w:t>
            </w:r>
            <w:proofErr w:type="gramEnd"/>
            <w:r w:rsidRPr="00315936">
              <w:t xml:space="preserve"> the performance risk assessment improvement is compared to previous quarter performance.</w:t>
            </w:r>
          </w:p>
        </w:tc>
      </w:tr>
      <w:tr w:rsidR="001464CB" w:rsidRPr="00315936" w14:paraId="292C451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3029478" w14:textId="77777777" w:rsidR="001464CB" w:rsidRPr="00315936" w:rsidRDefault="001464CB">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65067AA3" w14:textId="047FABE6" w:rsidR="001464CB" w:rsidRPr="00315936" w:rsidRDefault="00AC58E5">
            <w:pPr>
              <w:pStyle w:val="Tabletext"/>
            </w:pPr>
            <w:r w:rsidRPr="00315936">
              <w:t>Performance</w:t>
            </w:r>
            <w:r w:rsidR="001464CB" w:rsidRPr="00315936">
              <w:t xml:space="preserve"> is reported quarterly.</w:t>
            </w:r>
          </w:p>
          <w:p w14:paraId="767CB4AD" w14:textId="45462CEA" w:rsidR="001464CB" w:rsidRPr="00315936" w:rsidRDefault="00FA6BB5">
            <w:pPr>
              <w:pStyle w:val="Tabletext"/>
              <w:rPr>
                <w:lang w:eastAsia="en-AU"/>
              </w:rPr>
            </w:pPr>
            <w:r w:rsidRPr="577F0062">
              <w:rPr>
                <w:rFonts w:eastAsia="Arial" w:cs="Arial"/>
              </w:rPr>
              <w:t>Data are sourced from the Client Management Interface (CMI) / Operational Data Store (ODS).</w:t>
            </w:r>
          </w:p>
        </w:tc>
      </w:tr>
    </w:tbl>
    <w:p w14:paraId="0A08E14A" w14:textId="77777777" w:rsidR="00FA193C" w:rsidRDefault="00FA193C" w:rsidP="008E7F78">
      <w:pPr>
        <w:pStyle w:val="Heading4"/>
      </w:pPr>
      <w:bookmarkStart w:id="126" w:name="_Toc2143440535"/>
    </w:p>
    <w:p w14:paraId="24D3F6AD" w14:textId="77777777" w:rsidR="00FA193C" w:rsidRDefault="00FA193C" w:rsidP="008E7F78">
      <w:pPr>
        <w:pStyle w:val="Heading4"/>
      </w:pPr>
    </w:p>
    <w:p w14:paraId="5F8D7231" w14:textId="5062A12F" w:rsidR="00E31E12" w:rsidRPr="00315936" w:rsidRDefault="00E31E12" w:rsidP="008E7F78">
      <w:pPr>
        <w:pStyle w:val="Heading4"/>
      </w:pPr>
      <w:r w:rsidRPr="00315936">
        <w:t>Percentage of male security patients discharged within 7 days of becoming a civil client</w:t>
      </w:r>
      <w:bookmarkEnd w:id="126"/>
    </w:p>
    <w:tbl>
      <w:tblPr>
        <w:tblStyle w:val="TableGrid"/>
        <w:tblW w:w="10343" w:type="dxa"/>
        <w:tblLook w:val="04A0" w:firstRow="1" w:lastRow="0" w:firstColumn="1" w:lastColumn="0" w:noHBand="0" w:noVBand="1"/>
      </w:tblPr>
      <w:tblGrid>
        <w:gridCol w:w="1837"/>
        <w:gridCol w:w="8506"/>
      </w:tblGrid>
      <w:tr w:rsidR="00DA0E5B" w:rsidRPr="00315936" w14:paraId="4FC88D3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1A6579F" w14:textId="56F8C0E7" w:rsidR="00DA0E5B"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vAlign w:val="bottom"/>
          </w:tcPr>
          <w:p w14:paraId="457C6201" w14:textId="74D0DD39" w:rsidR="00DA0E5B" w:rsidRPr="00315936" w:rsidRDefault="00DA0E5B">
            <w:pPr>
              <w:pStyle w:val="Tabletext"/>
              <w:rPr>
                <w:lang w:eastAsia="en-AU"/>
              </w:rPr>
            </w:pPr>
            <w:r w:rsidRPr="00315936">
              <w:t xml:space="preserve">Percentage of male security patients at Thomas </w:t>
            </w:r>
            <w:proofErr w:type="spellStart"/>
            <w:r w:rsidRPr="00315936">
              <w:t>Embling</w:t>
            </w:r>
            <w:proofErr w:type="spellEnd"/>
            <w:r w:rsidRPr="00315936">
              <w:t xml:space="preserve"> Hospital discharged within 7 days of becoming a civil client</w:t>
            </w:r>
            <w:r w:rsidR="00DA37E7">
              <w:fldChar w:fldCharType="begin"/>
            </w:r>
            <w:r w:rsidR="00DA37E7">
              <w:instrText xml:space="preserve"> NOTEREF _Ref201304274 \f \h </w:instrText>
            </w:r>
            <w:r w:rsidR="00DA37E7">
              <w:fldChar w:fldCharType="separate"/>
            </w:r>
            <w:r w:rsidR="00DA37E7">
              <w:rPr>
                <w:b/>
                <w:bCs/>
                <w:lang w:val="en-US"/>
              </w:rPr>
              <w:t>.</w:t>
            </w:r>
            <w:r w:rsidR="00DA37E7">
              <w:fldChar w:fldCharType="end"/>
            </w:r>
            <w:r w:rsidR="00170B3A">
              <w:fldChar w:fldCharType="begin"/>
            </w:r>
            <w:r w:rsidR="00170B3A">
              <w:instrText xml:space="preserve"> NOTEREF _Ref201835099 \f \h </w:instrText>
            </w:r>
            <w:r w:rsidR="00170B3A">
              <w:fldChar w:fldCharType="separate"/>
            </w:r>
            <w:r w:rsidR="00170B3A" w:rsidRPr="00170B3A">
              <w:rPr>
                <w:rStyle w:val="EndnoteReference"/>
              </w:rPr>
              <w:t>xvi</w:t>
            </w:r>
            <w:r w:rsidR="00170B3A">
              <w:fldChar w:fldCharType="end"/>
            </w:r>
          </w:p>
        </w:tc>
      </w:tr>
      <w:tr w:rsidR="00DA0E5B" w:rsidRPr="00315936" w14:paraId="6BDAAB8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BDF44EF" w14:textId="77777777" w:rsidR="00DA0E5B" w:rsidRPr="00315936" w:rsidRDefault="00DA0E5B">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2A126176" w14:textId="569EC89D" w:rsidR="00BA642E" w:rsidRDefault="00D22C07">
            <w:pPr>
              <w:pStyle w:val="Tabletext"/>
              <w:rPr>
                <w:rFonts w:cs="Verdana"/>
                <w:lang w:eastAsia="en-AU"/>
              </w:rPr>
            </w:pPr>
            <w:r w:rsidRPr="00315936">
              <w:t xml:space="preserve">This </w:t>
            </w:r>
            <w:r w:rsidR="1BDAE4B9">
              <w:t>measures</w:t>
            </w:r>
            <w:r w:rsidRPr="00315936">
              <w:t xml:space="preserve"> the proportion of </w:t>
            </w:r>
            <w:r w:rsidR="00DA0E5B" w:rsidRPr="00315936">
              <w:rPr>
                <w:rFonts w:eastAsia="Times"/>
              </w:rPr>
              <w:t xml:space="preserve">male security patients at Thomas </w:t>
            </w:r>
            <w:proofErr w:type="spellStart"/>
            <w:r w:rsidR="00DA0E5B" w:rsidRPr="00315936">
              <w:rPr>
                <w:rFonts w:eastAsia="Times"/>
              </w:rPr>
              <w:t>Embling</w:t>
            </w:r>
            <w:proofErr w:type="spellEnd"/>
            <w:r w:rsidR="00DA0E5B" w:rsidRPr="00315936">
              <w:rPr>
                <w:rFonts w:eastAsia="Times"/>
              </w:rPr>
              <w:t xml:space="preserve"> Hospital whose security order expired</w:t>
            </w:r>
            <w:r w:rsidR="00307E4B">
              <w:rPr>
                <w:rFonts w:eastAsia="Times"/>
              </w:rPr>
              <w:t xml:space="preserve"> and </w:t>
            </w:r>
            <w:r w:rsidR="00DA0E5B" w:rsidRPr="00315936">
              <w:rPr>
                <w:rFonts w:eastAsia="Times"/>
              </w:rPr>
              <w:t xml:space="preserve">were discharged to community or </w:t>
            </w:r>
            <w:r w:rsidR="001978C6">
              <w:rPr>
                <w:rFonts w:eastAsia="Times"/>
              </w:rPr>
              <w:t xml:space="preserve">a </w:t>
            </w:r>
            <w:r w:rsidR="00DA0E5B" w:rsidRPr="00315936">
              <w:rPr>
                <w:rFonts w:eastAsia="Times"/>
              </w:rPr>
              <w:t>Designated Mental Health Service within 7 days.</w:t>
            </w:r>
            <w:r w:rsidR="00DA0E5B" w:rsidRPr="00315936">
              <w:rPr>
                <w:rFonts w:cs="Verdana"/>
                <w:lang w:eastAsia="en-AU"/>
              </w:rPr>
              <w:t xml:space="preserve"> </w:t>
            </w:r>
          </w:p>
          <w:p w14:paraId="1F64749F" w14:textId="31D49417" w:rsidR="00DA0E5B" w:rsidRPr="00315936" w:rsidRDefault="00D22C07">
            <w:pPr>
              <w:pStyle w:val="Tabletext"/>
              <w:rPr>
                <w:lang w:eastAsia="en-AU"/>
              </w:rPr>
            </w:pPr>
            <w:r w:rsidRPr="00315936">
              <w:t xml:space="preserve">The Thomas </w:t>
            </w:r>
            <w:proofErr w:type="spellStart"/>
            <w:r w:rsidRPr="00315936">
              <w:t>Embling</w:t>
            </w:r>
            <w:proofErr w:type="spellEnd"/>
            <w:r w:rsidRPr="00315936">
              <w:t xml:space="preserve"> hospital manages the care of</w:t>
            </w:r>
            <w:r w:rsidR="000906C6" w:rsidRPr="00315936">
              <w:t xml:space="preserve"> s</w:t>
            </w:r>
            <w:r w:rsidRPr="00315936">
              <w:t xml:space="preserve">ecurity patients (prisoners) who require compulsory mental health treatment under the </w:t>
            </w:r>
            <w:r w:rsidRPr="00315936">
              <w:rPr>
                <w:i/>
                <w:iCs/>
              </w:rPr>
              <w:t>Mental Health and Wellbeing Act 2022</w:t>
            </w:r>
            <w:r w:rsidR="00D2150D" w:rsidRPr="00315936">
              <w:t xml:space="preserve">. </w:t>
            </w:r>
          </w:p>
        </w:tc>
      </w:tr>
      <w:tr w:rsidR="00DA0E5B" w:rsidRPr="00315936" w14:paraId="53B83C5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EF39451" w14:textId="77777777" w:rsidR="00DA0E5B" w:rsidRPr="00315936" w:rsidRDefault="00DA0E5B">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77BC027E" w14:textId="4BF6FD92" w:rsidR="00535B16" w:rsidRDefault="00C448CE">
            <w:pPr>
              <w:pStyle w:val="Tabletext"/>
              <w:rPr>
                <w:lang w:eastAsia="en-AU"/>
              </w:rPr>
            </w:pPr>
            <w:r>
              <w:t xml:space="preserve">The scope </w:t>
            </w:r>
            <w:r w:rsidR="00B4400B">
              <w:t>for this measure includes</w:t>
            </w:r>
            <w:r w:rsidR="00B15CB0">
              <w:t xml:space="preserve"> </w:t>
            </w:r>
            <w:r w:rsidR="0085165D">
              <w:t xml:space="preserve">all male clients </w:t>
            </w:r>
            <w:r w:rsidR="00343E71">
              <w:t xml:space="preserve">who were </w:t>
            </w:r>
            <w:r w:rsidR="00BE492F" w:rsidRPr="3CFE9675">
              <w:rPr>
                <w:lang w:eastAsia="en-AU"/>
              </w:rPr>
              <w:t xml:space="preserve">admitted to Thomas </w:t>
            </w:r>
            <w:proofErr w:type="spellStart"/>
            <w:r w:rsidR="00BE492F" w:rsidRPr="3CFE9675">
              <w:rPr>
                <w:lang w:eastAsia="en-AU"/>
              </w:rPr>
              <w:t>Embling</w:t>
            </w:r>
            <w:proofErr w:type="spellEnd"/>
            <w:r w:rsidR="00BE492F" w:rsidRPr="3CFE9675">
              <w:rPr>
                <w:lang w:eastAsia="en-AU"/>
              </w:rPr>
              <w:t xml:space="preserve"> Hospital acute units</w:t>
            </w:r>
            <w:r w:rsidR="00A06ADC">
              <w:rPr>
                <w:lang w:eastAsia="en-AU"/>
              </w:rPr>
              <w:t>,</w:t>
            </w:r>
            <w:r w:rsidR="00BE492F" w:rsidRPr="3CFE9675">
              <w:rPr>
                <w:lang w:eastAsia="en-AU"/>
              </w:rPr>
              <w:t xml:space="preserve"> had a security order </w:t>
            </w:r>
            <w:r w:rsidR="00BE492F">
              <w:rPr>
                <w:lang w:eastAsia="en-AU"/>
              </w:rPr>
              <w:t xml:space="preserve">end </w:t>
            </w:r>
            <w:r w:rsidR="00BE492F" w:rsidRPr="3CFE9675">
              <w:rPr>
                <w:lang w:eastAsia="en-AU"/>
              </w:rPr>
              <w:t>(code 105 &amp; 202) during the re</w:t>
            </w:r>
            <w:r w:rsidR="00BE492F">
              <w:rPr>
                <w:lang w:eastAsia="en-AU"/>
              </w:rPr>
              <w:t>ference</w:t>
            </w:r>
            <w:r w:rsidR="00BE492F" w:rsidRPr="3CFE9675">
              <w:rPr>
                <w:lang w:eastAsia="en-AU"/>
              </w:rPr>
              <w:t xml:space="preserve"> period</w:t>
            </w:r>
            <w:r w:rsidR="00912C1F">
              <w:rPr>
                <w:lang w:eastAsia="en-AU"/>
              </w:rPr>
              <w:t xml:space="preserve">, and a subsequent </w:t>
            </w:r>
            <w:r w:rsidR="00880687">
              <w:rPr>
                <w:lang w:eastAsia="en-AU"/>
              </w:rPr>
              <w:t>civil order.</w:t>
            </w:r>
            <w:r w:rsidR="00EB19BA">
              <w:rPr>
                <w:lang w:eastAsia="en-AU"/>
              </w:rPr>
              <w:t xml:space="preserve"> </w:t>
            </w:r>
          </w:p>
          <w:p w14:paraId="22C086E1" w14:textId="3246D96B" w:rsidR="00DA0E5B" w:rsidRPr="00315936" w:rsidRDefault="001B4AEA" w:rsidP="1E2588F2">
            <w:pPr>
              <w:pStyle w:val="Tabletext"/>
              <w:rPr>
                <w:lang w:eastAsia="en-AU"/>
              </w:rPr>
            </w:pPr>
            <w:r>
              <w:rPr>
                <w:lang w:eastAsia="en-AU"/>
              </w:rPr>
              <w:t xml:space="preserve">Those who </w:t>
            </w:r>
            <w:r w:rsidRPr="4A3EC911">
              <w:rPr>
                <w:lang w:eastAsia="en-AU"/>
              </w:rPr>
              <w:t>have had an extension with a subsequent security order or who have returned to M</w:t>
            </w:r>
            <w:r w:rsidR="00E2740A">
              <w:rPr>
                <w:lang w:eastAsia="en-AU"/>
              </w:rPr>
              <w:t xml:space="preserve">elbourne </w:t>
            </w:r>
            <w:r w:rsidRPr="4A3EC911">
              <w:rPr>
                <w:lang w:eastAsia="en-AU"/>
              </w:rPr>
              <w:t>A</w:t>
            </w:r>
            <w:r w:rsidR="00E2740A">
              <w:rPr>
                <w:lang w:eastAsia="en-AU"/>
              </w:rPr>
              <w:t xml:space="preserve">ssessment </w:t>
            </w:r>
            <w:r w:rsidRPr="4A3EC911">
              <w:rPr>
                <w:lang w:eastAsia="en-AU"/>
              </w:rPr>
              <w:t>P</w:t>
            </w:r>
            <w:r w:rsidR="00E2740A">
              <w:rPr>
                <w:lang w:eastAsia="en-AU"/>
              </w:rPr>
              <w:t>rison (MAP)</w:t>
            </w:r>
            <w:r>
              <w:rPr>
                <w:lang w:eastAsia="en-AU"/>
              </w:rPr>
              <w:t xml:space="preserve"> are excluded.</w:t>
            </w:r>
          </w:p>
          <w:p w14:paraId="218DB07C" w14:textId="79AF4403" w:rsidR="00DA0E5B" w:rsidRPr="00315936" w:rsidRDefault="34E6BB27" w:rsidP="00170B3A">
            <w:pPr>
              <w:pStyle w:val="Tabletext"/>
              <w:rPr>
                <w:lang w:eastAsia="en-AU"/>
              </w:rPr>
            </w:pPr>
            <w:r w:rsidRPr="1E2588F2">
              <w:rPr>
                <w:lang w:eastAsia="en-AU"/>
              </w:rPr>
              <w:t xml:space="preserve">Data </w:t>
            </w:r>
            <w:r w:rsidR="0077198E">
              <w:rPr>
                <w:lang w:eastAsia="en-AU"/>
              </w:rPr>
              <w:t>are</w:t>
            </w:r>
            <w:r w:rsidR="0077198E" w:rsidRPr="1E2588F2">
              <w:rPr>
                <w:lang w:eastAsia="en-AU"/>
              </w:rPr>
              <w:t xml:space="preserve"> </w:t>
            </w:r>
            <w:r w:rsidRPr="1E2588F2">
              <w:rPr>
                <w:lang w:eastAsia="en-AU"/>
              </w:rPr>
              <w:t>lagged by seven days.</w:t>
            </w:r>
          </w:p>
        </w:tc>
      </w:tr>
      <w:tr w:rsidR="00DA0E5B" w:rsidRPr="00315936" w14:paraId="4647C8C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DEFD7C1" w14:textId="77777777" w:rsidR="00DA0E5B" w:rsidRPr="00315936" w:rsidRDefault="00DA0E5B">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1B2A7143" w14:textId="2A3ADC80" w:rsidR="00DA0E5B" w:rsidRPr="00315936" w:rsidRDefault="000F6ED9" w:rsidP="001A453F">
            <w:pPr>
              <w:pStyle w:val="Tabletext"/>
              <w:rPr>
                <w:lang w:eastAsia="en-AU"/>
              </w:rPr>
            </w:pPr>
            <w:r>
              <w:t>N</w:t>
            </w:r>
            <w:r w:rsidR="00DA0E5B" w:rsidRPr="00315936">
              <w:t xml:space="preserve">umber of </w:t>
            </w:r>
            <w:r>
              <w:t xml:space="preserve">in-scope </w:t>
            </w:r>
            <w:r w:rsidR="00DA0E5B" w:rsidRPr="00315936">
              <w:t xml:space="preserve">male security patients </w:t>
            </w:r>
            <w:r>
              <w:t>discharged from</w:t>
            </w:r>
            <w:r w:rsidRPr="00315936">
              <w:t xml:space="preserve"> </w:t>
            </w:r>
            <w:r w:rsidR="00DA0E5B" w:rsidRPr="00315936">
              <w:t xml:space="preserve">Thomas </w:t>
            </w:r>
            <w:proofErr w:type="spellStart"/>
            <w:r w:rsidR="00DA0E5B" w:rsidRPr="00315936">
              <w:t>Embling</w:t>
            </w:r>
            <w:proofErr w:type="spellEnd"/>
            <w:r w:rsidR="00DA0E5B" w:rsidRPr="00315936">
              <w:t xml:space="preserve"> Hospital to the community or an area mental health service within </w:t>
            </w:r>
            <w:r w:rsidR="00DE170A" w:rsidRPr="00315936">
              <w:t>7</w:t>
            </w:r>
            <w:r w:rsidR="00DA0E5B" w:rsidRPr="00315936">
              <w:t xml:space="preserve"> days. </w:t>
            </w:r>
          </w:p>
        </w:tc>
      </w:tr>
      <w:tr w:rsidR="00DA0E5B" w:rsidRPr="00315936" w14:paraId="74342D1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AEEE917" w14:textId="77777777" w:rsidR="00DA0E5B" w:rsidRPr="00315936" w:rsidRDefault="00DA0E5B">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3C4312C7" w14:textId="45A3E4B7" w:rsidR="00DA0E5B" w:rsidRPr="00315936" w:rsidRDefault="00A81FF7" w:rsidP="001A453F">
            <w:pPr>
              <w:pStyle w:val="Tabletext"/>
              <w:rPr>
                <w:lang w:eastAsia="en-AU"/>
              </w:rPr>
            </w:pPr>
            <w:r>
              <w:rPr>
                <w:lang w:eastAsia="en-AU"/>
              </w:rPr>
              <w:t>N</w:t>
            </w:r>
            <w:r w:rsidR="00DA0E5B" w:rsidRPr="00315936">
              <w:rPr>
                <w:lang w:eastAsia="en-AU"/>
              </w:rPr>
              <w:t xml:space="preserve">umber of </w:t>
            </w:r>
            <w:r>
              <w:rPr>
                <w:lang w:eastAsia="en-AU"/>
              </w:rPr>
              <w:t>in-scope</w:t>
            </w:r>
            <w:r w:rsidR="00DA0E5B" w:rsidRPr="00315936">
              <w:rPr>
                <w:lang w:eastAsia="en-AU"/>
              </w:rPr>
              <w:t xml:space="preserve"> male </w:t>
            </w:r>
            <w:proofErr w:type="spellStart"/>
            <w:r w:rsidR="00DA0E5B" w:rsidRPr="00315936">
              <w:rPr>
                <w:lang w:eastAsia="en-AU"/>
              </w:rPr>
              <w:t>Forensicare</w:t>
            </w:r>
            <w:proofErr w:type="spellEnd"/>
            <w:r w:rsidR="00DA0E5B" w:rsidRPr="00315936">
              <w:rPr>
                <w:lang w:eastAsia="en-AU"/>
              </w:rPr>
              <w:t xml:space="preserve"> inpatient (Thomas </w:t>
            </w:r>
            <w:proofErr w:type="spellStart"/>
            <w:r w:rsidR="00DA0E5B" w:rsidRPr="00315936">
              <w:rPr>
                <w:lang w:eastAsia="en-AU"/>
              </w:rPr>
              <w:t>Embling</w:t>
            </w:r>
            <w:proofErr w:type="spellEnd"/>
            <w:r w:rsidR="00DA0E5B" w:rsidRPr="00315936">
              <w:rPr>
                <w:lang w:eastAsia="en-AU"/>
              </w:rPr>
              <w:t xml:space="preserve"> Hospital) clients whose security order </w:t>
            </w:r>
            <w:r w:rsidR="0764CE15" w:rsidRPr="3EBBED57">
              <w:rPr>
                <w:lang w:eastAsia="en-AU"/>
              </w:rPr>
              <w:t>ended</w:t>
            </w:r>
            <w:r w:rsidR="00444E7E">
              <w:rPr>
                <w:lang w:eastAsia="en-AU"/>
              </w:rPr>
              <w:t xml:space="preserve"> </w:t>
            </w:r>
            <w:r w:rsidR="00DA0E5B" w:rsidRPr="00315936">
              <w:rPr>
                <w:lang w:eastAsia="en-AU"/>
              </w:rPr>
              <w:t>during the reference period</w:t>
            </w:r>
            <w:r w:rsidR="77D7B48C" w:rsidRPr="1E2588F2">
              <w:rPr>
                <w:lang w:eastAsia="en-AU"/>
              </w:rPr>
              <w:t xml:space="preserve"> and became a civil client</w:t>
            </w:r>
            <w:r w:rsidR="00DA0E5B" w:rsidRPr="00315936">
              <w:rPr>
                <w:lang w:eastAsia="en-AU"/>
              </w:rPr>
              <w:t xml:space="preserve">. </w:t>
            </w:r>
          </w:p>
        </w:tc>
      </w:tr>
      <w:tr w:rsidR="00DA0E5B" w:rsidRPr="00315936" w14:paraId="0C73D19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0B1B7AD" w14:textId="77777777" w:rsidR="00DA0E5B" w:rsidRPr="00315936" w:rsidRDefault="00DA0E5B">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0CE01AE1" w14:textId="4359FFEF" w:rsidR="00DA0E5B" w:rsidRPr="00315936" w:rsidRDefault="00DA0E5B">
            <w:pPr>
              <w:pStyle w:val="Tabletext"/>
              <w:rPr>
                <w:lang w:eastAsia="en-AU"/>
              </w:rPr>
            </w:pPr>
            <w:r w:rsidRPr="00315936">
              <w:t>80</w:t>
            </w:r>
            <w:r w:rsidR="00A67D0D" w:rsidRPr="00315936">
              <w:t xml:space="preserve"> per cent</w:t>
            </w:r>
          </w:p>
        </w:tc>
      </w:tr>
      <w:tr w:rsidR="00DA0E5B" w:rsidRPr="00315936" w14:paraId="1C8DE14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B8DF26" w14:textId="73D2C2F7" w:rsidR="00DA0E5B" w:rsidRPr="00315936" w:rsidRDefault="00DA0E5B" w:rsidP="00DA0E5B">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5A557C49" w14:textId="4AB130C6" w:rsidR="00DA0E5B" w:rsidRPr="00315936" w:rsidRDefault="00DA0E5B" w:rsidP="00DA0E5B">
            <w:pPr>
              <w:pStyle w:val="Tabletext"/>
            </w:pPr>
            <w:r w:rsidRPr="00315936">
              <w:rPr>
                <w:rFonts w:eastAsia="Times"/>
              </w:rPr>
              <w:t>Equal to or greater than 80</w:t>
            </w:r>
            <w:r w:rsidR="00A67D0D" w:rsidRPr="00315936">
              <w:rPr>
                <w:rFonts w:eastAsia="Times"/>
              </w:rPr>
              <w:t xml:space="preserve"> per cent</w:t>
            </w:r>
          </w:p>
        </w:tc>
      </w:tr>
      <w:tr w:rsidR="00DA0E5B" w:rsidRPr="00315936" w14:paraId="13C40901"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A090637" w14:textId="54AFAE1C" w:rsidR="00DA0E5B" w:rsidRPr="00315936" w:rsidRDefault="00DA0E5B" w:rsidP="00DA0E5B">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17402B26" w14:textId="0CFAEE7C" w:rsidR="00DA0E5B" w:rsidRPr="00315936" w:rsidRDefault="00DA0E5B" w:rsidP="00DA0E5B">
            <w:pPr>
              <w:pStyle w:val="Tabletext"/>
            </w:pPr>
            <w:r w:rsidRPr="00315936">
              <w:rPr>
                <w:rFonts w:eastAsia="Times"/>
              </w:rPr>
              <w:t>Less than 80</w:t>
            </w:r>
            <w:r w:rsidR="00A67D0D" w:rsidRPr="00315936">
              <w:rPr>
                <w:rFonts w:eastAsia="Times"/>
              </w:rPr>
              <w:t xml:space="preserve"> per cent</w:t>
            </w:r>
          </w:p>
        </w:tc>
      </w:tr>
      <w:tr w:rsidR="00DA0E5B" w:rsidRPr="00315936" w14:paraId="4D0B696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66BB9BA" w14:textId="77777777" w:rsidR="00DA0E5B" w:rsidRPr="00315936" w:rsidRDefault="00DA0E5B">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5DC0EB30" w14:textId="242408FC" w:rsidR="00DA0E5B" w:rsidRPr="00315936" w:rsidRDefault="00DA0E5B">
            <w:pPr>
              <w:pStyle w:val="Tabletext"/>
              <w:rPr>
                <w:lang w:eastAsia="en-AU"/>
              </w:rPr>
            </w:pPr>
            <w:proofErr w:type="gramStart"/>
            <w:r w:rsidRPr="00315936">
              <w:t>For the purpose of</w:t>
            </w:r>
            <w:proofErr w:type="gramEnd"/>
            <w:r w:rsidRPr="00315936">
              <w:t xml:space="preserve"> the performance risk assessment</w:t>
            </w:r>
            <w:r w:rsidR="00832351" w:rsidRPr="00315936">
              <w:t>,</w:t>
            </w:r>
            <w:r w:rsidRPr="00315936">
              <w:t xml:space="preserve"> improvement is compared to previous quarter performance.</w:t>
            </w:r>
          </w:p>
        </w:tc>
      </w:tr>
      <w:tr w:rsidR="00DA0E5B" w:rsidRPr="00315936" w14:paraId="6914156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9D67904" w14:textId="77777777" w:rsidR="00DA0E5B" w:rsidRPr="00315936" w:rsidRDefault="00DA0E5B">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43ED72EF" w14:textId="22CDACFB" w:rsidR="00DA0E5B" w:rsidRPr="00315936" w:rsidRDefault="00AC58E5">
            <w:pPr>
              <w:pStyle w:val="Tabletext"/>
            </w:pPr>
            <w:r w:rsidRPr="00315936">
              <w:t>Performance</w:t>
            </w:r>
            <w:r w:rsidR="00DA0E5B" w:rsidRPr="00315936">
              <w:t xml:space="preserve"> is reported quarterly.</w:t>
            </w:r>
          </w:p>
          <w:p w14:paraId="6B3B9D72" w14:textId="5D4F89AE" w:rsidR="00DA0E5B" w:rsidRPr="00315936" w:rsidRDefault="00FA6BB5">
            <w:pPr>
              <w:pStyle w:val="Tabletext"/>
              <w:rPr>
                <w:lang w:eastAsia="en-AU"/>
              </w:rPr>
            </w:pPr>
            <w:r w:rsidRPr="2ECFC544">
              <w:rPr>
                <w:rFonts w:eastAsia="Arial" w:cs="Arial"/>
                <w:szCs w:val="21"/>
              </w:rPr>
              <w:t>Data are sourced from the Client Management Interface (CMI) / Operational Data Store (ODS).</w:t>
            </w:r>
          </w:p>
        </w:tc>
      </w:tr>
    </w:tbl>
    <w:p w14:paraId="1E4907E3" w14:textId="16D2BC64" w:rsidR="00140581" w:rsidRPr="00315936" w:rsidRDefault="00140581" w:rsidP="00140581">
      <w:pPr>
        <w:pStyle w:val="Heading2"/>
      </w:pPr>
      <w:bookmarkStart w:id="127" w:name="_Toc234580076"/>
      <w:r w:rsidRPr="00315936">
        <w:t>Effective financial management</w:t>
      </w:r>
      <w:bookmarkEnd w:id="127"/>
    </w:p>
    <w:p w14:paraId="18DBE749" w14:textId="77777777" w:rsidR="006C06C3" w:rsidRPr="00315936" w:rsidRDefault="006C06C3" w:rsidP="00F13D2B">
      <w:pPr>
        <w:pStyle w:val="Heading3"/>
      </w:pPr>
      <w:bookmarkStart w:id="128" w:name="_Toc126945720"/>
      <w:r w:rsidRPr="00315936">
        <w:t>Effective financial management</w:t>
      </w:r>
      <w:bookmarkEnd w:id="128"/>
    </w:p>
    <w:p w14:paraId="26DC9DC1" w14:textId="7A2A99EE" w:rsidR="00F13D2B" w:rsidRPr="00315936" w:rsidRDefault="000C08D8" w:rsidP="008E7F78">
      <w:pPr>
        <w:pStyle w:val="Heading4"/>
      </w:pPr>
      <w:bookmarkStart w:id="129" w:name="_Toc2132944225"/>
      <w:r w:rsidRPr="00315936">
        <w:t>O</w:t>
      </w:r>
      <w:r w:rsidR="00EC0471" w:rsidRPr="00315936">
        <w:t>perating result ($M)</w:t>
      </w:r>
      <w:bookmarkEnd w:id="129"/>
    </w:p>
    <w:tbl>
      <w:tblPr>
        <w:tblStyle w:val="TableGrid"/>
        <w:tblW w:w="10343" w:type="dxa"/>
        <w:tblLook w:val="04A0" w:firstRow="1" w:lastRow="0" w:firstColumn="1" w:lastColumn="0" w:noHBand="0" w:noVBand="1"/>
      </w:tblPr>
      <w:tblGrid>
        <w:gridCol w:w="1837"/>
        <w:gridCol w:w="8506"/>
      </w:tblGrid>
      <w:tr w:rsidR="005B72BF" w:rsidRPr="00315936" w14:paraId="4B173CC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D693F8D" w14:textId="1CD0C5DB" w:rsidR="005B72BF"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69B7CBED" w14:textId="798C68C1" w:rsidR="005B72BF" w:rsidRPr="00F56390" w:rsidRDefault="005B72BF">
            <w:pPr>
              <w:pStyle w:val="Tabletext"/>
              <w:rPr>
                <w:vertAlign w:val="superscript"/>
                <w:lang w:eastAsia="en-AU"/>
              </w:rPr>
            </w:pPr>
            <w:r w:rsidRPr="00315936">
              <w:t xml:space="preserve">Operating result </w:t>
            </w:r>
            <w:r w:rsidR="002A2D41" w:rsidRPr="00315936">
              <w:t>($M)</w:t>
            </w:r>
            <w:r w:rsidR="00AB44F2">
              <w:t xml:space="preserve"> </w:t>
            </w:r>
            <w:r w:rsidR="00F56390">
              <w:fldChar w:fldCharType="begin"/>
            </w:r>
            <w:r w:rsidR="00F56390">
              <w:instrText xml:space="preserve"> NOTEREF _Ref201832379 \f \h </w:instrText>
            </w:r>
            <w:r w:rsidR="00F16FA1">
              <w:instrText xml:space="preserve"> \* MERGEFORMAT </w:instrText>
            </w:r>
            <w:r w:rsidR="00F56390">
              <w:fldChar w:fldCharType="separate"/>
            </w:r>
            <w:proofErr w:type="spellStart"/>
            <w:r w:rsidR="00F56390" w:rsidRPr="00F56390">
              <w:rPr>
                <w:rStyle w:val="EndnoteReference"/>
              </w:rPr>
              <w:t>iv</w:t>
            </w:r>
            <w:r w:rsidR="00F56390">
              <w:fldChar w:fldCharType="end"/>
            </w:r>
            <w:r w:rsidR="00F56390">
              <w:rPr>
                <w:vertAlign w:val="superscript"/>
              </w:rPr>
              <w:t>,</w:t>
            </w:r>
            <w:r w:rsidR="00F56390">
              <w:rPr>
                <w:vertAlign w:val="superscript"/>
              </w:rPr>
              <w:fldChar w:fldCharType="begin"/>
            </w:r>
            <w:r w:rsidR="00F56390">
              <w:rPr>
                <w:vertAlign w:val="superscript"/>
              </w:rPr>
              <w:instrText xml:space="preserve"> NOTEREF _Ref201833119 \f \h </w:instrText>
            </w:r>
            <w:r w:rsidR="00F16FA1">
              <w:rPr>
                <w:vertAlign w:val="superscript"/>
              </w:rPr>
              <w:instrText xml:space="preserve"> \* MERGEFORMAT </w:instrText>
            </w:r>
            <w:r w:rsidR="00F56390">
              <w:rPr>
                <w:vertAlign w:val="superscript"/>
              </w:rPr>
            </w:r>
            <w:r w:rsidR="00F56390">
              <w:rPr>
                <w:vertAlign w:val="superscript"/>
              </w:rPr>
              <w:fldChar w:fldCharType="separate"/>
            </w:r>
            <w:r w:rsidR="00F56390" w:rsidRPr="00F56390">
              <w:rPr>
                <w:rStyle w:val="EndnoteReference"/>
              </w:rPr>
              <w:t>v</w:t>
            </w:r>
            <w:proofErr w:type="spellEnd"/>
            <w:r w:rsidR="00F56390">
              <w:rPr>
                <w:vertAlign w:val="superscript"/>
              </w:rPr>
              <w:fldChar w:fldCharType="end"/>
            </w:r>
          </w:p>
        </w:tc>
      </w:tr>
      <w:tr w:rsidR="005B72BF" w:rsidRPr="00315936" w14:paraId="51DD0A75"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5839DE5" w14:textId="77777777" w:rsidR="005B72BF" w:rsidRPr="00315936" w:rsidRDefault="005B72BF">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1C4DA804" w14:textId="0785B55D" w:rsidR="00931559" w:rsidRDefault="00A47D64">
            <w:pPr>
              <w:pStyle w:val="Tabletext"/>
            </w:pPr>
            <w:r>
              <w:t>The Year to Date (YTD)</w:t>
            </w:r>
            <w:r w:rsidR="005D199F" w:rsidRPr="00315936">
              <w:t xml:space="preserve"> </w:t>
            </w:r>
            <w:r w:rsidR="00E340C6">
              <w:t xml:space="preserve">operating result before </w:t>
            </w:r>
            <w:r w:rsidR="00E340C6" w:rsidRPr="00315936">
              <w:t>capital and depreciation</w:t>
            </w:r>
            <w:r w:rsidR="00931559">
              <w:t>.</w:t>
            </w:r>
          </w:p>
          <w:p w14:paraId="354D40D8" w14:textId="39917F02" w:rsidR="005B72BF" w:rsidRPr="00315936" w:rsidRDefault="00931559">
            <w:pPr>
              <w:pStyle w:val="Tabletext"/>
            </w:pPr>
            <w:r>
              <w:t>This</w:t>
            </w:r>
            <w:r w:rsidR="00E340C6">
              <w:t xml:space="preserve"> </w:t>
            </w:r>
            <w:r w:rsidR="00510A42" w:rsidRPr="00315936">
              <w:t xml:space="preserve">is a </w:t>
            </w:r>
            <w:r w:rsidR="00C3016B" w:rsidRPr="00315936">
              <w:t>measure</w:t>
            </w:r>
            <w:r w:rsidR="005B72BF" w:rsidRPr="00315936">
              <w:t xml:space="preserve"> of financial sustainability.</w:t>
            </w:r>
          </w:p>
          <w:p w14:paraId="6FBD7276" w14:textId="5B5D4759" w:rsidR="005B72BF" w:rsidRPr="00315936" w:rsidRDefault="005B72BF">
            <w:pPr>
              <w:pStyle w:val="Tabletext"/>
              <w:rPr>
                <w:lang w:eastAsia="en-AU"/>
              </w:rPr>
            </w:pPr>
            <w:r>
              <w:t xml:space="preserve">The agreed </w:t>
            </w:r>
            <w:proofErr w:type="spellStart"/>
            <w:r w:rsidR="007B6C58">
              <w:t>SoP</w:t>
            </w:r>
            <w:proofErr w:type="spellEnd"/>
            <w:r>
              <w:t xml:space="preserve"> Operating Result ($M) target </w:t>
            </w:r>
            <w:r w:rsidR="0094167D">
              <w:t>aims to</w:t>
            </w:r>
            <w:r>
              <w:t xml:space="preserve"> achieve an operating surplus necessary to maintain or, where necessary, improve the current operating cash position. This requirement aligns with the department’s reform priority to increase the financial sustainability and productivity of the health system.</w:t>
            </w:r>
          </w:p>
        </w:tc>
      </w:tr>
      <w:tr w:rsidR="005B72BF" w:rsidRPr="00315936" w14:paraId="6C54BCE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7E7126E" w14:textId="77777777" w:rsidR="005B72BF" w:rsidRPr="00315936" w:rsidRDefault="005B72BF">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2A572292" w14:textId="1248A62D" w:rsidR="00D86C03" w:rsidRDefault="3282B2AE">
            <w:pPr>
              <w:pStyle w:val="Tabletext"/>
            </w:pPr>
            <w:r>
              <w:t xml:space="preserve">The operating result is calculated as </w:t>
            </w:r>
            <w:r w:rsidR="007A5C18">
              <w:t xml:space="preserve">revenue from operating </w:t>
            </w:r>
            <w:r w:rsidR="006F5E89">
              <w:t xml:space="preserve">transactions minus expenses from operating transactions, and excludes </w:t>
            </w:r>
            <w:r w:rsidR="00E56137">
              <w:t xml:space="preserve">other economic flows included in the net result. </w:t>
            </w:r>
          </w:p>
          <w:p w14:paraId="66BADD53" w14:textId="641F92FF" w:rsidR="005B72BF" w:rsidRPr="00315936" w:rsidRDefault="005B72BF">
            <w:pPr>
              <w:pStyle w:val="Tabletext"/>
            </w:pPr>
            <w:r>
              <w:t xml:space="preserve">The </w:t>
            </w:r>
            <w:r w:rsidR="00C3016B">
              <w:t>measure</w:t>
            </w:r>
            <w:r>
              <w:t xml:space="preserve"> excludes consolidated entities</w:t>
            </w:r>
            <w:r w:rsidR="77BFCCFD">
              <w:t>/foundations</w:t>
            </w:r>
            <w:r>
              <w:t xml:space="preserve"> (</w:t>
            </w:r>
            <w:proofErr w:type="gramStart"/>
            <w:r>
              <w:t>with the exception of</w:t>
            </w:r>
            <w:proofErr w:type="gramEnd"/>
            <w:r>
              <w:t xml:space="preserve"> Monash Health, which includes Jessie McPherson Private Hospital and Western Health which includes the Foundation).</w:t>
            </w:r>
          </w:p>
          <w:p w14:paraId="29C9B16A" w14:textId="64420824" w:rsidR="005B72BF" w:rsidRPr="00315936" w:rsidRDefault="005B72BF">
            <w:pPr>
              <w:pStyle w:val="Tabletext"/>
            </w:pPr>
            <w:r>
              <w:t xml:space="preserve">Phased monthly targets are based on the </w:t>
            </w:r>
            <w:r w:rsidR="00E83FB1">
              <w:t>Health Agencies Reporting Tool (</w:t>
            </w:r>
            <w:proofErr w:type="spellStart"/>
            <w:r>
              <w:t>HeART</w:t>
            </w:r>
            <w:proofErr w:type="spellEnd"/>
            <w:r w:rsidR="00E83FB1">
              <w:t>)</w:t>
            </w:r>
            <w:r>
              <w:t xml:space="preserve"> </w:t>
            </w:r>
            <w:r w:rsidR="00013CA1">
              <w:t xml:space="preserve">September </w:t>
            </w:r>
            <w:r>
              <w:t xml:space="preserve">submission for the </w:t>
            </w:r>
            <w:r w:rsidR="003A4C40">
              <w:t>current</w:t>
            </w:r>
            <w:r>
              <w:t xml:space="preserve"> financial year. Changes thereafter are only reported on agreement between the department and the health service</w:t>
            </w:r>
            <w:r w:rsidR="006F33D5">
              <w:t>,</w:t>
            </w:r>
            <w:r>
              <w:t xml:space="preserve"> regardless of the data submitted in </w:t>
            </w:r>
            <w:proofErr w:type="spellStart"/>
            <w:r>
              <w:t>HeART</w:t>
            </w:r>
            <w:proofErr w:type="spellEnd"/>
            <w:r>
              <w:t>.</w:t>
            </w:r>
          </w:p>
          <w:p w14:paraId="0F0AA379" w14:textId="48B1E472" w:rsidR="005B72BF" w:rsidRPr="00315936" w:rsidRDefault="005B72BF">
            <w:pPr>
              <w:pStyle w:val="Tabletext"/>
            </w:pPr>
            <w:r>
              <w:t xml:space="preserve">Should the phasings require adjusting; these changes will be considered on a quarterly basis and, where agreed, submitted in the </w:t>
            </w:r>
            <w:proofErr w:type="spellStart"/>
            <w:r>
              <w:t>HeART</w:t>
            </w:r>
            <w:proofErr w:type="spellEnd"/>
            <w:r>
              <w:t xml:space="preserve"> by the health service.</w:t>
            </w:r>
          </w:p>
          <w:p w14:paraId="7BCC6BE9" w14:textId="77777777" w:rsidR="005B72BF" w:rsidRPr="00315936" w:rsidRDefault="005B72BF">
            <w:pPr>
              <w:pStyle w:val="Tabletext"/>
              <w:rPr>
                <w:lang w:eastAsia="en-AU"/>
              </w:rPr>
            </w:pPr>
            <w:r w:rsidRPr="00315936">
              <w:t>Note that the department does not support retrospective changes to phased targets.</w:t>
            </w:r>
          </w:p>
        </w:tc>
      </w:tr>
      <w:tr w:rsidR="005B72BF" w:rsidRPr="00315936" w14:paraId="5D5F356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9DF1208" w14:textId="77777777" w:rsidR="005B72BF" w:rsidRPr="00315936" w:rsidRDefault="005B72BF">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4DC36DFC" w14:textId="77777777" w:rsidR="005B72BF" w:rsidRPr="00315936" w:rsidRDefault="005B72BF">
            <w:pPr>
              <w:pStyle w:val="Tabletext"/>
              <w:rPr>
                <w:lang w:eastAsia="en-AU"/>
              </w:rPr>
            </w:pPr>
            <w:r w:rsidRPr="00315936">
              <w:t>YTD operating result before capital and depreciation</w:t>
            </w:r>
          </w:p>
        </w:tc>
      </w:tr>
      <w:tr w:rsidR="005B72BF" w:rsidRPr="00315936" w14:paraId="583F90E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890E752" w14:textId="51D7B118" w:rsidR="005B72BF" w:rsidRPr="00315936" w:rsidRDefault="005B72BF">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5A06F706" w14:textId="72E74DD2" w:rsidR="005B72BF" w:rsidRPr="00315936" w:rsidRDefault="22A2ED4E">
            <w:pPr>
              <w:pStyle w:val="Tabletext"/>
              <w:rPr>
                <w:lang w:eastAsia="en-AU"/>
              </w:rPr>
            </w:pPr>
            <w:r w:rsidRPr="28E5DB04">
              <w:rPr>
                <w:lang w:eastAsia="en-AU"/>
              </w:rPr>
              <w:t>N/A</w:t>
            </w:r>
          </w:p>
        </w:tc>
      </w:tr>
      <w:tr w:rsidR="005B72BF" w:rsidRPr="00315936" w14:paraId="0BB105E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9A69ABA" w14:textId="77777777" w:rsidR="005B72BF" w:rsidRPr="00315936" w:rsidRDefault="005B72BF">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278A9CE0" w14:textId="77777777" w:rsidR="005B72BF" w:rsidRPr="00315936" w:rsidRDefault="005B72BF">
            <w:pPr>
              <w:pStyle w:val="Tabletext"/>
              <w:rPr>
                <w:lang w:eastAsia="en-AU"/>
              </w:rPr>
            </w:pPr>
            <w:r w:rsidRPr="00315936">
              <w:t xml:space="preserve">As agreed in the </w:t>
            </w:r>
            <w:proofErr w:type="spellStart"/>
            <w:r w:rsidR="007B6C58" w:rsidRPr="00315936">
              <w:t>SoP</w:t>
            </w:r>
            <w:proofErr w:type="spellEnd"/>
            <w:r w:rsidRPr="00315936">
              <w:t xml:space="preserve"> for each health service</w:t>
            </w:r>
          </w:p>
        </w:tc>
      </w:tr>
      <w:tr w:rsidR="00011735" w:rsidRPr="00315936" w14:paraId="4C14EE4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07CB9BC" w14:textId="73A1C9C4" w:rsidR="00011735" w:rsidRPr="00315936" w:rsidRDefault="00011735" w:rsidP="00011735">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0BEE3286" w14:textId="568BB173" w:rsidR="00011735" w:rsidRPr="00315936" w:rsidRDefault="00011735" w:rsidP="00011735">
            <w:pPr>
              <w:pStyle w:val="Tabletext"/>
            </w:pPr>
            <w:r w:rsidRPr="00E65A9B">
              <w:rPr>
                <w:rFonts w:eastAsia="Aptos"/>
              </w:rPr>
              <w:t>Greater than or equal to health service target</w:t>
            </w:r>
          </w:p>
        </w:tc>
      </w:tr>
      <w:tr w:rsidR="00011735" w:rsidRPr="00315936" w14:paraId="7B3CEBD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A0540ED" w14:textId="0317471A" w:rsidR="00011735" w:rsidRPr="00315936" w:rsidRDefault="00011735" w:rsidP="00011735">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1698B3F8" w14:textId="7FA49DEE" w:rsidR="00011735" w:rsidRPr="00315936" w:rsidRDefault="00011735" w:rsidP="00011735">
            <w:pPr>
              <w:pStyle w:val="Tabletext"/>
            </w:pPr>
            <w:r w:rsidRPr="00E65A9B">
              <w:rPr>
                <w:rFonts w:eastAsia="Aptos"/>
              </w:rPr>
              <w:t>Less than health service target</w:t>
            </w:r>
          </w:p>
        </w:tc>
      </w:tr>
      <w:tr w:rsidR="005B72BF" w:rsidRPr="00315936" w14:paraId="05AB92E3"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55A6D0B6" w14:textId="77777777" w:rsidR="005B72BF" w:rsidRPr="00315936" w:rsidRDefault="005B72BF">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7BA1B50C" w14:textId="45AF192C" w:rsidR="005B72BF" w:rsidRPr="00315936" w:rsidRDefault="005B72BF">
            <w:pPr>
              <w:pStyle w:val="Tabletext"/>
              <w:rPr>
                <w:lang w:eastAsia="en-AU"/>
              </w:rPr>
            </w:pPr>
            <w:proofErr w:type="gramStart"/>
            <w:r>
              <w:t>For the purpose of</w:t>
            </w:r>
            <w:proofErr w:type="gramEnd"/>
            <w:r>
              <w:t xml:space="preserve"> the performance risk assessment, improvement is assessed against </w:t>
            </w:r>
            <w:r w:rsidR="00D86C03">
              <w:t>the</w:t>
            </w:r>
            <w:r>
              <w:t xml:space="preserve"> </w:t>
            </w:r>
            <w:r w:rsidR="66CE8120">
              <w:t>p</w:t>
            </w:r>
            <w:r w:rsidR="390DFCF8">
              <w:t>revious quarter</w:t>
            </w:r>
            <w:r>
              <w:t>, except for Q1 (</w:t>
            </w:r>
            <w:r w:rsidR="66CE8120">
              <w:t>no</w:t>
            </w:r>
            <w:r w:rsidR="4F9EF46B">
              <w:t>t assessed</w:t>
            </w:r>
            <w:r>
              <w:t xml:space="preserve">). </w:t>
            </w:r>
          </w:p>
        </w:tc>
      </w:tr>
      <w:tr w:rsidR="005B72BF" w:rsidRPr="00315936" w14:paraId="02A4E04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22EB5F4" w14:textId="77777777" w:rsidR="005B72BF" w:rsidRPr="00315936" w:rsidRDefault="005B72BF">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750720E9" w14:textId="2C723081" w:rsidR="005B72BF" w:rsidRPr="00315936" w:rsidRDefault="005B72BF">
            <w:pPr>
              <w:pStyle w:val="Tabletext"/>
            </w:pPr>
            <w:r w:rsidRPr="00315936">
              <w:t xml:space="preserve">Performance is </w:t>
            </w:r>
            <w:r w:rsidR="00122CA1" w:rsidRPr="00315936">
              <w:t xml:space="preserve">reported </w:t>
            </w:r>
            <w:r w:rsidRPr="00315936">
              <w:t>monthly</w:t>
            </w:r>
            <w:r w:rsidR="00B7298F">
              <w:t xml:space="preserve"> </w:t>
            </w:r>
            <w:r w:rsidR="007247B1" w:rsidRPr="00315936">
              <w:t>and annually</w:t>
            </w:r>
            <w:r w:rsidRPr="00315936">
              <w:t>.</w:t>
            </w:r>
          </w:p>
          <w:p w14:paraId="1E8C2CF1" w14:textId="3B7F7353" w:rsidR="005B72BF" w:rsidRPr="00315936" w:rsidRDefault="005B72BF">
            <w:pPr>
              <w:pStyle w:val="Tabletext"/>
            </w:pPr>
            <w:r w:rsidRPr="00315936">
              <w:t>Data are</w:t>
            </w:r>
            <w:r w:rsidR="00B823AB" w:rsidRPr="00315936">
              <w:t xml:space="preserve"> sourced from</w:t>
            </w:r>
            <w:r w:rsidRPr="00315936">
              <w:t xml:space="preserve"> </w:t>
            </w:r>
            <w:proofErr w:type="spellStart"/>
            <w:r w:rsidRPr="00315936">
              <w:t>HeART</w:t>
            </w:r>
            <w:proofErr w:type="spellEnd"/>
            <w:r w:rsidR="00B5107F">
              <w:t>.</w:t>
            </w:r>
            <w:r w:rsidRPr="00315936">
              <w:t xml:space="preserve"> </w:t>
            </w:r>
            <w:r w:rsidR="00233573">
              <w:t xml:space="preserve"> </w:t>
            </w:r>
            <w:r w:rsidR="00233573" w:rsidRPr="00315936">
              <w:t xml:space="preserve">The annual result is generated on receipt of audited financial data submitted in </w:t>
            </w:r>
            <w:proofErr w:type="spellStart"/>
            <w:r w:rsidR="00233573" w:rsidRPr="00315936">
              <w:t>HeART</w:t>
            </w:r>
            <w:proofErr w:type="spellEnd"/>
            <w:r w:rsidR="00233573" w:rsidRPr="00315936">
              <w:t>.</w:t>
            </w:r>
          </w:p>
        </w:tc>
      </w:tr>
    </w:tbl>
    <w:p w14:paraId="7E3A512C" w14:textId="680CB1E2" w:rsidR="00140581" w:rsidRPr="00315936" w:rsidRDefault="007C3AAA" w:rsidP="008E7F78">
      <w:pPr>
        <w:pStyle w:val="Heading4"/>
      </w:pPr>
      <w:bookmarkStart w:id="130" w:name="_Toc1386842645"/>
      <w:r w:rsidRPr="000A768C">
        <w:t>Adjusted Current Asset Ratio (</w:t>
      </w:r>
      <w:r w:rsidR="008F647F" w:rsidRPr="000A768C">
        <w:t>ACAR</w:t>
      </w:r>
      <w:r w:rsidRPr="000A768C">
        <w:t>)</w:t>
      </w:r>
      <w:r w:rsidR="008F647F" w:rsidRPr="000A768C">
        <w:t xml:space="preserve"> </w:t>
      </w:r>
      <w:bookmarkEnd w:id="130"/>
    </w:p>
    <w:tbl>
      <w:tblPr>
        <w:tblStyle w:val="TableGrid"/>
        <w:tblW w:w="10343" w:type="dxa"/>
        <w:tblLook w:val="04A0" w:firstRow="1" w:lastRow="0" w:firstColumn="1" w:lastColumn="0" w:noHBand="0" w:noVBand="1"/>
      </w:tblPr>
      <w:tblGrid>
        <w:gridCol w:w="1837"/>
        <w:gridCol w:w="8506"/>
      </w:tblGrid>
      <w:tr w:rsidR="00C125A9" w:rsidRPr="00315936" w14:paraId="427BCBB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1393B43" w14:textId="136FF2AB" w:rsidR="00C125A9"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7BA34ADC" w14:textId="386E5EBE" w:rsidR="00C125A9" w:rsidRPr="00315936" w:rsidRDefault="00C125A9">
            <w:pPr>
              <w:pStyle w:val="Tabletext"/>
              <w:rPr>
                <w:lang w:eastAsia="en-AU"/>
              </w:rPr>
            </w:pPr>
            <w:r w:rsidRPr="00315936">
              <w:t>Adjusted current asset ratio (ACAR)</w:t>
            </w:r>
            <w:r w:rsidR="007F0C08">
              <w:t xml:space="preserve"> </w:t>
            </w:r>
            <w:r w:rsidR="00F56390">
              <w:fldChar w:fldCharType="begin"/>
            </w:r>
            <w:r w:rsidR="00F56390">
              <w:instrText xml:space="preserve"> NOTEREF _Ref201832379 \f \h </w:instrText>
            </w:r>
            <w:r w:rsidR="00F56390">
              <w:fldChar w:fldCharType="separate"/>
            </w:r>
            <w:proofErr w:type="spellStart"/>
            <w:r w:rsidR="00F56390" w:rsidRPr="00F56390">
              <w:rPr>
                <w:rStyle w:val="EndnoteReference"/>
              </w:rPr>
              <w:t>iv</w:t>
            </w:r>
            <w:r w:rsidR="00F56390">
              <w:fldChar w:fldCharType="end"/>
            </w:r>
            <w:r w:rsidR="009D6C93" w:rsidRPr="00F56390">
              <w:rPr>
                <w:vertAlign w:val="superscript"/>
              </w:rPr>
              <w:t>,</w:t>
            </w:r>
            <w:r w:rsidR="00F56390">
              <w:rPr>
                <w:vertAlign w:val="superscript"/>
              </w:rPr>
              <w:fldChar w:fldCharType="begin"/>
            </w:r>
            <w:r w:rsidR="00F56390">
              <w:rPr>
                <w:vertAlign w:val="superscript"/>
              </w:rPr>
              <w:instrText xml:space="preserve"> NOTEREF _Ref201833119 \f \h </w:instrText>
            </w:r>
            <w:r w:rsidR="00F56390">
              <w:rPr>
                <w:vertAlign w:val="superscript"/>
              </w:rPr>
            </w:r>
            <w:r w:rsidR="00F56390">
              <w:rPr>
                <w:vertAlign w:val="superscript"/>
              </w:rPr>
              <w:fldChar w:fldCharType="separate"/>
            </w:r>
            <w:r w:rsidR="00F56390" w:rsidRPr="00F56390">
              <w:rPr>
                <w:rStyle w:val="EndnoteReference"/>
              </w:rPr>
              <w:t>v</w:t>
            </w:r>
            <w:proofErr w:type="spellEnd"/>
            <w:r w:rsidR="00F56390">
              <w:rPr>
                <w:vertAlign w:val="superscript"/>
              </w:rPr>
              <w:fldChar w:fldCharType="end"/>
            </w:r>
            <w:r w:rsidR="00F56390" w:rsidDel="00F56390">
              <w:t xml:space="preserve"> </w:t>
            </w:r>
          </w:p>
        </w:tc>
      </w:tr>
      <w:tr w:rsidR="00C125A9" w:rsidRPr="00315936" w14:paraId="169B7AA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243E834" w14:textId="77777777" w:rsidR="00C125A9" w:rsidRPr="00315936" w:rsidRDefault="00C125A9">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222FE4DD" w14:textId="6AEA6D5D" w:rsidR="00C125A9" w:rsidRPr="00315936" w:rsidRDefault="00C125A9">
            <w:pPr>
              <w:pStyle w:val="Tabletext"/>
            </w:pPr>
            <w:r w:rsidRPr="00315936">
              <w:t xml:space="preserve">This </w:t>
            </w:r>
            <w:r w:rsidR="00C3016B" w:rsidRPr="00315936">
              <w:t>measure</w:t>
            </w:r>
            <w:r w:rsidRPr="00315936">
              <w:t xml:space="preserve"> </w:t>
            </w:r>
            <w:r w:rsidR="001A3202">
              <w:t>assesses the</w:t>
            </w:r>
            <w:r w:rsidRPr="00315936">
              <w:t xml:space="preserve"> financial liquidity</w:t>
            </w:r>
            <w:r w:rsidR="001A3202">
              <w:t xml:space="preserve"> of an organisation by comparing </w:t>
            </w:r>
            <w:r w:rsidR="004D744C">
              <w:t>its</w:t>
            </w:r>
            <w:r w:rsidR="001A3202" w:rsidRPr="00315936">
              <w:t xml:space="preserve"> current assets to its current liabilities</w:t>
            </w:r>
            <w:r w:rsidRPr="00315936">
              <w:t>.</w:t>
            </w:r>
          </w:p>
          <w:p w14:paraId="226BC130" w14:textId="6DF97E44" w:rsidR="00C125A9" w:rsidRPr="00315936" w:rsidRDefault="00C125A9">
            <w:pPr>
              <w:pStyle w:val="Tabletext"/>
            </w:pPr>
            <w:r w:rsidRPr="00315936">
              <w:t xml:space="preserve">The generally accepted current asset ratio (CAR) is a financial ratio that measures </w:t>
            </w:r>
            <w:proofErr w:type="gramStart"/>
            <w:r w:rsidRPr="00315936">
              <w:t>whether or not</w:t>
            </w:r>
            <w:proofErr w:type="gramEnd"/>
            <w:r w:rsidRPr="00315936">
              <w:t xml:space="preserve"> an organisation has enough resources to pay its debts over the next 12 months. </w:t>
            </w:r>
          </w:p>
          <w:p w14:paraId="1ADF0C2E" w14:textId="0821C2EC" w:rsidR="00C125A9" w:rsidRPr="00315936" w:rsidRDefault="00C125A9">
            <w:pPr>
              <w:pStyle w:val="Tabletext"/>
            </w:pPr>
            <w:r w:rsidRPr="00315936">
              <w:t xml:space="preserve">The CAR </w:t>
            </w:r>
            <w:r w:rsidR="0075409C">
              <w:t>is</w:t>
            </w:r>
            <w:r w:rsidRPr="00315936">
              <w:t xml:space="preserve"> adjusted to include ‘Long-Term Investments: Other financial assets’ (which excludes Land and Buildings)</w:t>
            </w:r>
            <w:r w:rsidR="003F0456">
              <w:t xml:space="preserve"> to recognise</w:t>
            </w:r>
            <w:r w:rsidRPr="00315936">
              <w:t xml:space="preserve"> the different cash management approaches/</w:t>
            </w:r>
            <w:r w:rsidR="003F0456">
              <w:t xml:space="preserve"> </w:t>
            </w:r>
            <w:r w:rsidRPr="00315936">
              <w:t xml:space="preserve">strategies employed by health services. For example, health services may move short-term cash assets into longer term investments, which are not recognised by traditional CAR calculations. Further, the Long Service Leave liability </w:t>
            </w:r>
            <w:r w:rsidR="003F0456">
              <w:t>is</w:t>
            </w:r>
            <w:r w:rsidRPr="00315936">
              <w:t xml:space="preserve"> adjusted </w:t>
            </w:r>
            <w:r w:rsidR="009D0D04">
              <w:t>to include</w:t>
            </w:r>
            <w:r w:rsidR="009D0D04" w:rsidRPr="00315936">
              <w:t xml:space="preserve"> </w:t>
            </w:r>
            <w:r w:rsidRPr="00315936">
              <w:t xml:space="preserve">only the current portion of liability. This </w:t>
            </w:r>
            <w:r w:rsidR="009D0D04">
              <w:t>uses</w:t>
            </w:r>
            <w:r w:rsidRPr="00315936">
              <w:t xml:space="preserve"> a factor based on the previous year’s full year balances.</w:t>
            </w:r>
          </w:p>
          <w:p w14:paraId="79E30DF5" w14:textId="0F59A7E1" w:rsidR="00C125A9" w:rsidRPr="00315936" w:rsidRDefault="007B6C58">
            <w:pPr>
              <w:pStyle w:val="Tabletext"/>
              <w:rPr>
                <w:lang w:eastAsia="en-AU"/>
              </w:rPr>
            </w:pPr>
            <w:proofErr w:type="spellStart"/>
            <w:r w:rsidRPr="00315936">
              <w:t>SoP</w:t>
            </w:r>
            <w:proofErr w:type="spellEnd"/>
            <w:r w:rsidR="00C125A9" w:rsidRPr="00315936">
              <w:t xml:space="preserve"> targets</w:t>
            </w:r>
            <w:r w:rsidR="00C125A9" w:rsidRPr="00315936" w:rsidDel="00625595">
              <w:t xml:space="preserve"> </w:t>
            </w:r>
            <w:r w:rsidR="00C125A9" w:rsidRPr="00315936">
              <w:t>recognise the different starting points for health services and focus on achieving performance improvement overtime or maintaining good performance. This aligns with the department’s reform priority to increase the financial sustainability and productivity of the health system.</w:t>
            </w:r>
          </w:p>
        </w:tc>
      </w:tr>
      <w:tr w:rsidR="00C125A9" w:rsidRPr="00315936" w14:paraId="077AA4AE"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5BC0119" w14:textId="77777777" w:rsidR="00C125A9" w:rsidRPr="00315936" w:rsidRDefault="00C125A9">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78830607" w14:textId="573DE067" w:rsidR="00C125A9" w:rsidRPr="00315936" w:rsidRDefault="002441C9">
            <w:pPr>
              <w:pStyle w:val="Tabletext"/>
            </w:pPr>
            <w:r>
              <w:t>Performance is measured by t</w:t>
            </w:r>
            <w:r w:rsidR="00C125A9" w:rsidRPr="00315936">
              <w:t>he variance between actual ACAR based on the audited 30 June result and the target/benchmark. Targets are based on a health service’s final audited ACAR result for the previous financial year, which form the ‘base’ upon which health services will be measured.</w:t>
            </w:r>
          </w:p>
          <w:p w14:paraId="558B349A" w14:textId="58FB6B3E" w:rsidR="00C125A9" w:rsidRPr="00315936" w:rsidRDefault="00C125A9">
            <w:pPr>
              <w:pStyle w:val="Tabletext"/>
            </w:pPr>
            <w:r w:rsidRPr="00315936">
              <w:t xml:space="preserve">Health services </w:t>
            </w:r>
            <w:r w:rsidR="00531C2C">
              <w:t>with</w:t>
            </w:r>
            <w:r w:rsidRPr="00315936">
              <w:t xml:space="preserve"> a base of 0.7 or above (that is, their audited ACAR for the previous year was 0.7 or greater) will obtain full achievement of </w:t>
            </w:r>
            <w:r w:rsidR="000A4371">
              <w:t>target</w:t>
            </w:r>
            <w:r w:rsidRPr="00315936">
              <w:t xml:space="preserve"> provided they maintain their ACAR above 0.7 (statewide benchmark).</w:t>
            </w:r>
          </w:p>
          <w:p w14:paraId="57F56456" w14:textId="77777777" w:rsidR="00C125A9" w:rsidRDefault="00C125A9">
            <w:pPr>
              <w:pStyle w:val="Tabletext"/>
            </w:pPr>
            <w:r w:rsidRPr="00315936">
              <w:t xml:space="preserve">Health services </w:t>
            </w:r>
            <w:r w:rsidRPr="00315936" w:rsidDel="000A4371">
              <w:t xml:space="preserve">starting </w:t>
            </w:r>
            <w:r w:rsidRPr="00315936">
              <w:t>with a base below 0.7 will be required to achieve a 3 per cent improvement (improvement target) from their base</w:t>
            </w:r>
            <w:r w:rsidRPr="00315936" w:rsidDel="000A4371">
              <w:t xml:space="preserve"> </w:t>
            </w:r>
            <w:r w:rsidRPr="00315936">
              <w:t>to</w:t>
            </w:r>
            <w:r w:rsidR="00531C2C">
              <w:t xml:space="preserve"> achieve target</w:t>
            </w:r>
            <w:r w:rsidRPr="00315936" w:rsidDel="00531C2C">
              <w:t>.</w:t>
            </w:r>
          </w:p>
          <w:p w14:paraId="2430A00E" w14:textId="36B0C6BD" w:rsidR="00354488" w:rsidRDefault="005A1656">
            <w:pPr>
              <w:pStyle w:val="Tabletext"/>
            </w:pPr>
            <w:r>
              <w:t>A</w:t>
            </w:r>
            <w:r w:rsidR="00B42FA3">
              <w:t xml:space="preserve">ccount codes outside of the </w:t>
            </w:r>
            <w:r w:rsidR="00393D98">
              <w:t>s</w:t>
            </w:r>
            <w:r w:rsidR="00B42FA3">
              <w:t>p</w:t>
            </w:r>
            <w:r w:rsidR="00393D98">
              <w:t>e</w:t>
            </w:r>
            <w:r w:rsidR="00B42FA3">
              <w:t>cif</w:t>
            </w:r>
            <w:r>
              <w:t>i</w:t>
            </w:r>
            <w:r w:rsidR="00B42FA3">
              <w:t>ed range</w:t>
            </w:r>
            <w:r>
              <w:t>s</w:t>
            </w:r>
            <w:r w:rsidR="00B42FA3">
              <w:t xml:space="preserve"> (see </w:t>
            </w:r>
            <w:r w:rsidR="00393D98">
              <w:t xml:space="preserve">numerator and denominator), will not be </w:t>
            </w:r>
            <w:r>
              <w:t>included</w:t>
            </w:r>
            <w:r w:rsidR="00393D98">
              <w:t xml:space="preserve"> in the calculation</w:t>
            </w:r>
            <w:r w:rsidR="00510365">
              <w:t>.</w:t>
            </w:r>
          </w:p>
          <w:p w14:paraId="4611ABAC" w14:textId="77777777" w:rsidR="00510365" w:rsidRDefault="00510365">
            <w:pPr>
              <w:pStyle w:val="Tabletext"/>
            </w:pPr>
            <w:r>
              <w:t>If a new health service commences operations</w:t>
            </w:r>
            <w:r w:rsidR="00B15C44">
              <w:t xml:space="preserve"> after 1 July with</w:t>
            </w:r>
            <w:r w:rsidR="00791955">
              <w:t>out transfer of operations</w:t>
            </w:r>
            <w:r w:rsidR="00BE16F1">
              <w:t xml:space="preserve"> funding, the ACAR will not be published until</w:t>
            </w:r>
            <w:r w:rsidR="006155B5">
              <w:t xml:space="preserve"> the</w:t>
            </w:r>
            <w:r w:rsidR="00BE16F1">
              <w:t xml:space="preserve"> 30 June trial balance </w:t>
            </w:r>
            <w:r w:rsidR="006155B5">
              <w:t>has been submitted (the first quarter of the following financial year)</w:t>
            </w:r>
            <w:r w:rsidR="008F50BE">
              <w:t>.</w:t>
            </w:r>
          </w:p>
          <w:p w14:paraId="586DCDBD" w14:textId="450300C7" w:rsidR="008F50BE" w:rsidRPr="00315936" w:rsidRDefault="008F50BE">
            <w:pPr>
              <w:pStyle w:val="Tabletext"/>
              <w:rPr>
                <w:lang w:eastAsia="en-AU"/>
              </w:rPr>
            </w:pPr>
            <w:r>
              <w:t xml:space="preserve">If two or more health service(s) merge, the trial balance as </w:t>
            </w:r>
            <w:proofErr w:type="gramStart"/>
            <w:r>
              <w:t>at</w:t>
            </w:r>
            <w:proofErr w:type="gramEnd"/>
            <w:r>
              <w:t xml:space="preserve"> 30 June of the new entity will be the combined totals of all former entities.</w:t>
            </w:r>
          </w:p>
        </w:tc>
      </w:tr>
      <w:tr w:rsidR="00C125A9" w:rsidRPr="00315936" w14:paraId="3C0F2C6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0C5299" w14:textId="77777777" w:rsidR="00C125A9" w:rsidRPr="00315936" w:rsidRDefault="00C125A9">
            <w:pPr>
              <w:pStyle w:val="Tablecolhead"/>
              <w:rPr>
                <w:b w:val="0"/>
                <w:lang w:eastAsia="en-AU"/>
              </w:rPr>
            </w:pPr>
            <w:r w:rsidRPr="00315936">
              <w:rPr>
                <w:b w:val="0"/>
                <w:lang w:eastAsia="en-AU"/>
              </w:rPr>
              <w:t>Numerator</w:t>
            </w:r>
          </w:p>
        </w:tc>
        <w:tc>
          <w:tcPr>
            <w:tcW w:w="8506" w:type="dxa"/>
            <w:tcBorders>
              <w:left w:val="single" w:sz="4" w:space="0" w:color="FFFFFF" w:themeColor="background1"/>
            </w:tcBorders>
          </w:tcPr>
          <w:p w14:paraId="7EC97193" w14:textId="398FC459" w:rsidR="00C125A9" w:rsidRPr="00315936" w:rsidRDefault="006B0CBC">
            <w:pPr>
              <w:pStyle w:val="Tabletext"/>
              <w:rPr>
                <w:lang w:val="en-GB"/>
              </w:rPr>
            </w:pPr>
            <w:r>
              <w:rPr>
                <w:lang w:val="en-GB"/>
              </w:rPr>
              <w:t xml:space="preserve">The sum of </w:t>
            </w:r>
            <w:r w:rsidR="003436E2">
              <w:rPr>
                <w:lang w:val="en-GB"/>
              </w:rPr>
              <w:t>dollar values of c</w:t>
            </w:r>
            <w:r w:rsidR="00C125A9" w:rsidRPr="00315936">
              <w:rPr>
                <w:lang w:val="en-GB"/>
              </w:rPr>
              <w:t>urrent asset</w:t>
            </w:r>
            <w:r>
              <w:rPr>
                <w:lang w:val="en-GB"/>
              </w:rPr>
              <w:t>s</w:t>
            </w:r>
            <w:r w:rsidR="00C125A9" w:rsidRPr="00315936">
              <w:rPr>
                <w:lang w:val="en-GB"/>
              </w:rPr>
              <w:t xml:space="preserve"> and long-term investment</w:t>
            </w:r>
            <w:r>
              <w:rPr>
                <w:lang w:val="en-GB"/>
              </w:rPr>
              <w:t>s</w:t>
            </w:r>
            <w:r w:rsidR="003436E2">
              <w:rPr>
                <w:lang w:val="en-GB"/>
              </w:rPr>
              <w:t>,</w:t>
            </w:r>
            <w:r w:rsidR="00C125A9" w:rsidRPr="00315936" w:rsidDel="003436E2">
              <w:rPr>
                <w:lang w:val="en-GB"/>
              </w:rPr>
              <w:t xml:space="preserve"> </w:t>
            </w:r>
            <w:r w:rsidR="00C125A9" w:rsidRPr="00315936">
              <w:rPr>
                <w:lang w:val="en-GB"/>
              </w:rPr>
              <w:t xml:space="preserve">defined </w:t>
            </w:r>
            <w:r w:rsidR="00A755BC">
              <w:rPr>
                <w:lang w:val="en-GB"/>
              </w:rPr>
              <w:t>by</w:t>
            </w:r>
            <w:r w:rsidR="00C125A9" w:rsidRPr="00315936">
              <w:rPr>
                <w:lang w:val="en-GB"/>
              </w:rPr>
              <w:t>:</w:t>
            </w:r>
          </w:p>
          <w:p w14:paraId="111704DF" w14:textId="77777777" w:rsidR="00C125A9" w:rsidRPr="00315936" w:rsidRDefault="00C125A9" w:rsidP="001A453F">
            <w:pPr>
              <w:pStyle w:val="Tablebullet1"/>
            </w:pPr>
            <w:r w:rsidRPr="00315936">
              <w:t>accounts 70001 to 73391: cash at bank and on hand, patient trusts, other trusts, and short-term investments – cash equivalents</w:t>
            </w:r>
          </w:p>
          <w:p w14:paraId="3B22AB37" w14:textId="6414D1B2" w:rsidR="00C125A9" w:rsidRPr="00315936" w:rsidRDefault="00C125A9" w:rsidP="001A453F">
            <w:pPr>
              <w:pStyle w:val="Tablebullet1"/>
              <w:rPr>
                <w:lang w:eastAsia="en-AU"/>
              </w:rPr>
            </w:pPr>
            <w:r w:rsidRPr="00315936">
              <w:t>accounts 75001 to 75269: long-term investments</w:t>
            </w:r>
            <w:r w:rsidR="009640F6">
              <w:t>.</w:t>
            </w:r>
          </w:p>
        </w:tc>
      </w:tr>
      <w:tr w:rsidR="00C125A9" w:rsidRPr="00315936" w14:paraId="21B99DD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D2759F0" w14:textId="77777777" w:rsidR="00C125A9" w:rsidRPr="00315936" w:rsidRDefault="00C125A9">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21F3D185" w14:textId="525DBA4B" w:rsidR="00C125A9" w:rsidRPr="00315936" w:rsidRDefault="003436E2" w:rsidP="00A755BC">
            <w:pPr>
              <w:pStyle w:val="Tabletext"/>
              <w:rPr>
                <w:lang w:eastAsia="en-AU"/>
              </w:rPr>
            </w:pPr>
            <w:r>
              <w:rPr>
                <w:lang w:val="en-GB"/>
              </w:rPr>
              <w:t>The sum of dollar values of a</w:t>
            </w:r>
            <w:proofErr w:type="spellStart"/>
            <w:r w:rsidR="00C125A9" w:rsidRPr="00315936">
              <w:t>ll</w:t>
            </w:r>
            <w:proofErr w:type="spellEnd"/>
            <w:r w:rsidR="00C125A9" w:rsidRPr="00315936">
              <w:t xml:space="preserve"> short-term liabilities</w:t>
            </w:r>
            <w:r w:rsidR="00C631E4">
              <w:t>,</w:t>
            </w:r>
            <w:r w:rsidR="00C125A9" w:rsidRPr="00315936">
              <w:t xml:space="preserve"> defined </w:t>
            </w:r>
            <w:r w:rsidR="00A755BC">
              <w:t>by</w:t>
            </w:r>
            <w:r w:rsidR="00C125A9" w:rsidRPr="00315936">
              <w:t xml:space="preserve"> accounts 80000 to 86699</w:t>
            </w:r>
            <w:r w:rsidR="00A755BC">
              <w:t>, excluding</w:t>
            </w:r>
            <w:r w:rsidR="00C125A9" w:rsidRPr="00315936">
              <w:t xml:space="preserve"> the non-current portion of long service leave (LSL) liability</w:t>
            </w:r>
            <w:r w:rsidR="00A755BC">
              <w:t xml:space="preserve"> </w:t>
            </w:r>
            <w:r w:rsidR="00C125A9" w:rsidRPr="00315936">
              <w:t xml:space="preserve">based on previous </w:t>
            </w:r>
            <w:proofErr w:type="gramStart"/>
            <w:r w:rsidR="00C125A9" w:rsidRPr="00315936">
              <w:t>year’s</w:t>
            </w:r>
            <w:proofErr w:type="gramEnd"/>
            <w:r w:rsidR="00C125A9" w:rsidRPr="00315936">
              <w:t xml:space="preserve"> </w:t>
            </w:r>
            <w:r w:rsidR="00A67D0D" w:rsidRPr="00315936">
              <w:t>per cent</w:t>
            </w:r>
            <w:r w:rsidR="00C125A9" w:rsidRPr="00315936">
              <w:t xml:space="preserve"> of total LSL balance for each health service.</w:t>
            </w:r>
          </w:p>
        </w:tc>
      </w:tr>
      <w:tr w:rsidR="00C125A9" w:rsidRPr="00315936" w14:paraId="42979652"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8E9996C" w14:textId="77777777" w:rsidR="00C125A9" w:rsidRPr="00315936" w:rsidRDefault="00C125A9">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64AFAD48" w14:textId="058CA9F0" w:rsidR="00C125A9" w:rsidRPr="00185862" w:rsidRDefault="00C125A9">
            <w:pPr>
              <w:pStyle w:val="Tabletext"/>
              <w:rPr>
                <w:lang w:eastAsia="en-AU"/>
              </w:rPr>
            </w:pPr>
            <w:r w:rsidRPr="00185862">
              <w:t>0.7</w:t>
            </w:r>
            <w:r w:rsidR="3BEDF975" w:rsidRPr="00185862">
              <w:t xml:space="preserve"> or 3 per cent improvement from base target</w:t>
            </w:r>
          </w:p>
        </w:tc>
      </w:tr>
      <w:tr w:rsidR="00C125A9" w:rsidRPr="00315936" w14:paraId="227D7E1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49504A0" w14:textId="1752C3F3" w:rsidR="00C125A9" w:rsidRPr="00315936" w:rsidRDefault="00CC6FEF">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03DF243A" w14:textId="2BA14342" w:rsidR="00C125A9" w:rsidRPr="00315936" w:rsidRDefault="5C2CE458">
            <w:pPr>
              <w:pStyle w:val="Tabletext"/>
            </w:pPr>
            <w:r>
              <w:t>At least 0.7 or greater than or equal to 3 per cent improvement from health service base target.</w:t>
            </w:r>
          </w:p>
        </w:tc>
      </w:tr>
      <w:tr w:rsidR="00C125A9" w:rsidRPr="00315936" w14:paraId="68412556"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35B1AF6" w14:textId="28C13627" w:rsidR="00C125A9" w:rsidRPr="00315936" w:rsidRDefault="00CC6FEF">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19262AB5" w14:textId="1DBC4616" w:rsidR="00C125A9" w:rsidRPr="00315936" w:rsidRDefault="3896B150">
            <w:pPr>
              <w:pStyle w:val="Tabletext"/>
            </w:pPr>
            <w:r>
              <w:t>Less than 0.7 and less than 3 per cent improvement from health service base target.</w:t>
            </w:r>
          </w:p>
        </w:tc>
      </w:tr>
      <w:tr w:rsidR="00C125A9" w:rsidRPr="00315936" w14:paraId="0EB1460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767FAA2" w14:textId="77777777" w:rsidR="00C125A9" w:rsidRPr="00315936" w:rsidRDefault="00C125A9">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3B06CB47" w14:textId="0EF229C8" w:rsidR="00C125A9" w:rsidRPr="00315936" w:rsidRDefault="00C125A9">
            <w:pPr>
              <w:pStyle w:val="Tabletext"/>
              <w:rPr>
                <w:lang w:eastAsia="en-AU"/>
              </w:rPr>
            </w:pPr>
            <w:proofErr w:type="gramStart"/>
            <w:r w:rsidRPr="00315936">
              <w:t>For the purpose of</w:t>
            </w:r>
            <w:proofErr w:type="gramEnd"/>
            <w:r w:rsidRPr="00315936">
              <w:t xml:space="preserve"> the performance risk assessment</w:t>
            </w:r>
            <w:r w:rsidR="00355069" w:rsidRPr="00315936">
              <w:t>,</w:t>
            </w:r>
            <w:r w:rsidRPr="00315936">
              <w:t xml:space="preserve"> improvement is assessed against the phased target results, except for Q1 which is assessed against same time last year performance.</w:t>
            </w:r>
          </w:p>
        </w:tc>
      </w:tr>
      <w:tr w:rsidR="00C125A9" w:rsidRPr="00315936" w14:paraId="52059A2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41D7345C" w14:textId="77777777" w:rsidR="00C125A9" w:rsidRPr="00315936" w:rsidRDefault="00C125A9">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78007666" w14:textId="5A58E463" w:rsidR="00C125A9" w:rsidRPr="00315936" w:rsidRDefault="00C125A9">
            <w:pPr>
              <w:pStyle w:val="Tabletext"/>
            </w:pPr>
            <w:r w:rsidRPr="00315936">
              <w:t xml:space="preserve">Performance is </w:t>
            </w:r>
            <w:r w:rsidR="005446D7" w:rsidRPr="00315936">
              <w:t xml:space="preserve">reported </w:t>
            </w:r>
            <w:r w:rsidRPr="00315936">
              <w:t>monthly</w:t>
            </w:r>
            <w:r w:rsidR="005446D7" w:rsidRPr="00315936">
              <w:t xml:space="preserve"> and annually</w:t>
            </w:r>
            <w:r w:rsidRPr="00315936">
              <w:t>.</w:t>
            </w:r>
          </w:p>
          <w:p w14:paraId="40352628" w14:textId="7E49DCFB" w:rsidR="00C125A9" w:rsidRPr="00315936" w:rsidRDefault="00C125A9">
            <w:pPr>
              <w:pStyle w:val="Tabletext"/>
            </w:pPr>
            <w:r w:rsidRPr="00315936">
              <w:t>Data are</w:t>
            </w:r>
            <w:r w:rsidR="00DE2DAC" w:rsidRPr="00315936">
              <w:t xml:space="preserve"> sourced from</w:t>
            </w:r>
            <w:r w:rsidRPr="00315936">
              <w:t xml:space="preserve"> </w:t>
            </w:r>
            <w:proofErr w:type="spellStart"/>
            <w:r w:rsidRPr="00315936">
              <w:t>HeART</w:t>
            </w:r>
            <w:proofErr w:type="spellEnd"/>
            <w:r w:rsidRPr="00315936">
              <w:t xml:space="preserve">. </w:t>
            </w:r>
            <w:r w:rsidR="00C2354D" w:rsidRPr="00315936">
              <w:t xml:space="preserve">The annual result is generated on receipt of audited financial data submitted in </w:t>
            </w:r>
            <w:proofErr w:type="spellStart"/>
            <w:r w:rsidR="00C2354D" w:rsidRPr="00315936">
              <w:t>HeART</w:t>
            </w:r>
            <w:proofErr w:type="spellEnd"/>
            <w:r w:rsidR="00C2354D" w:rsidRPr="00315936">
              <w:t>.</w:t>
            </w:r>
          </w:p>
        </w:tc>
      </w:tr>
    </w:tbl>
    <w:p w14:paraId="0C948461" w14:textId="54C5223D" w:rsidR="005D3AB6" w:rsidRPr="00315936" w:rsidRDefault="005D3AB6" w:rsidP="008E7F78">
      <w:pPr>
        <w:pStyle w:val="Heading4"/>
      </w:pPr>
      <w:bookmarkStart w:id="131" w:name="_Toc608118194"/>
      <w:r w:rsidRPr="00DC235B">
        <w:t xml:space="preserve">Variance between forecast and actual </w:t>
      </w:r>
      <w:r w:rsidR="00203928" w:rsidRPr="00DC235B">
        <w:t>Operating</w:t>
      </w:r>
      <w:r w:rsidRPr="00DC235B">
        <w:t xml:space="preserve"> </w:t>
      </w:r>
      <w:r w:rsidR="00203928" w:rsidRPr="00DC235B">
        <w:t>R</w:t>
      </w:r>
      <w:r w:rsidRPr="00DC235B">
        <w:t xml:space="preserve">esult </w:t>
      </w:r>
      <w:r w:rsidR="00203928" w:rsidRPr="00DC235B">
        <w:t xml:space="preserve">(OR) </w:t>
      </w:r>
      <w:r w:rsidR="00051451" w:rsidRPr="00DC235B">
        <w:t>as a percentage of the forecast OR</w:t>
      </w:r>
      <w:r w:rsidRPr="00DC235B">
        <w:t xml:space="preserve"> for the current financial year ending 30 June</w:t>
      </w:r>
      <w:bookmarkEnd w:id="131"/>
    </w:p>
    <w:tbl>
      <w:tblPr>
        <w:tblStyle w:val="TableGrid"/>
        <w:tblW w:w="10343" w:type="dxa"/>
        <w:tblLook w:val="04A0" w:firstRow="1" w:lastRow="0" w:firstColumn="1" w:lastColumn="0" w:noHBand="0" w:noVBand="1"/>
      </w:tblPr>
      <w:tblGrid>
        <w:gridCol w:w="1837"/>
        <w:gridCol w:w="8506"/>
      </w:tblGrid>
      <w:tr w:rsidR="009B509E" w:rsidRPr="00315936" w14:paraId="753FFBEB"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3895E1E" w14:textId="503F6B5A" w:rsidR="009B509E" w:rsidRPr="00315936" w:rsidRDefault="00C3016B">
            <w:pPr>
              <w:pStyle w:val="Tablecolhead"/>
              <w:rPr>
                <w:b w:val="0"/>
                <w:lang w:eastAsia="en-AU"/>
              </w:rPr>
            </w:pPr>
            <w:r w:rsidRPr="00315936">
              <w:rPr>
                <w:b w:val="0"/>
                <w:lang w:eastAsia="en-AU"/>
              </w:rPr>
              <w:t>Measure</w:t>
            </w:r>
          </w:p>
        </w:tc>
        <w:tc>
          <w:tcPr>
            <w:tcW w:w="8506" w:type="dxa"/>
            <w:tcBorders>
              <w:left w:val="single" w:sz="4" w:space="0" w:color="FFFFFF" w:themeColor="background1"/>
            </w:tcBorders>
          </w:tcPr>
          <w:p w14:paraId="67EC748C" w14:textId="5FF7AA42" w:rsidR="009B509E" w:rsidRPr="00AC34D9" w:rsidRDefault="009B509E">
            <w:pPr>
              <w:pStyle w:val="Tabletext"/>
              <w:rPr>
                <w:rFonts w:ascii="VIC" w:eastAsia="VIC" w:hAnsi="VIC" w:cs="VIC"/>
                <w:sz w:val="20"/>
              </w:rPr>
            </w:pPr>
            <w:bookmarkStart w:id="132" w:name="_Hlk213063051"/>
            <w:r w:rsidRPr="008742FB">
              <w:t xml:space="preserve">Variance between forecast and actual </w:t>
            </w:r>
            <w:r w:rsidR="00B76E7D">
              <w:t>operating result (</w:t>
            </w:r>
            <w:r w:rsidR="00051451">
              <w:t>OR</w:t>
            </w:r>
            <w:r w:rsidR="00B76E7D">
              <w:t>)</w:t>
            </w:r>
            <w:r w:rsidRPr="008742FB">
              <w:t xml:space="preserve"> </w:t>
            </w:r>
            <w:r w:rsidR="00446B3A">
              <w:t xml:space="preserve">as a </w:t>
            </w:r>
            <w:r w:rsidR="00F86D37">
              <w:t>percentage of the forecast OR</w:t>
            </w:r>
            <w:r w:rsidRPr="008742FB">
              <w:t xml:space="preserve"> for the current financial year ending 30 June</w:t>
            </w:r>
            <w:r w:rsidR="00F56390">
              <w:t xml:space="preserve"> </w:t>
            </w:r>
            <w:bookmarkEnd w:id="132"/>
            <w:r w:rsidR="00F56390">
              <w:fldChar w:fldCharType="begin"/>
            </w:r>
            <w:r w:rsidR="00F56390">
              <w:instrText xml:space="preserve"> NOTEREF _Ref201832379 \f \h </w:instrText>
            </w:r>
            <w:r w:rsidR="00F16FA1">
              <w:instrText xml:space="preserve"> \* MERGEFORMAT </w:instrText>
            </w:r>
            <w:r w:rsidR="00F56390">
              <w:fldChar w:fldCharType="separate"/>
            </w:r>
            <w:proofErr w:type="spellStart"/>
            <w:r w:rsidR="00F56390" w:rsidRPr="00F56390">
              <w:rPr>
                <w:rStyle w:val="EndnoteReference"/>
              </w:rPr>
              <w:t>iv</w:t>
            </w:r>
            <w:r w:rsidR="00F56390">
              <w:fldChar w:fldCharType="end"/>
            </w:r>
            <w:r w:rsidR="00FB5302" w:rsidRPr="00F56390">
              <w:rPr>
                <w:vertAlign w:val="superscript"/>
              </w:rPr>
              <w:t>,</w:t>
            </w:r>
            <w:r w:rsidR="00F56390">
              <w:rPr>
                <w:vertAlign w:val="superscript"/>
              </w:rPr>
              <w:fldChar w:fldCharType="begin"/>
            </w:r>
            <w:r w:rsidR="00F56390">
              <w:rPr>
                <w:vertAlign w:val="superscript"/>
              </w:rPr>
              <w:instrText xml:space="preserve"> NOTEREF _Ref201833119 \f \h </w:instrText>
            </w:r>
            <w:r w:rsidR="00F16FA1">
              <w:rPr>
                <w:vertAlign w:val="superscript"/>
              </w:rPr>
              <w:instrText xml:space="preserve"> \* MERGEFORMAT </w:instrText>
            </w:r>
            <w:r w:rsidR="00F56390">
              <w:rPr>
                <w:vertAlign w:val="superscript"/>
              </w:rPr>
            </w:r>
            <w:r w:rsidR="00F56390">
              <w:rPr>
                <w:vertAlign w:val="superscript"/>
              </w:rPr>
              <w:fldChar w:fldCharType="separate"/>
            </w:r>
            <w:r w:rsidR="00F56390" w:rsidRPr="00F56390">
              <w:rPr>
                <w:rStyle w:val="EndnoteReference"/>
              </w:rPr>
              <w:t>v</w:t>
            </w:r>
            <w:proofErr w:type="spellEnd"/>
            <w:r w:rsidR="00F56390">
              <w:rPr>
                <w:vertAlign w:val="superscript"/>
              </w:rPr>
              <w:fldChar w:fldCharType="end"/>
            </w:r>
            <w:r w:rsidR="00FB5302">
              <w:fldChar w:fldCharType="begin"/>
            </w:r>
            <w:r w:rsidR="00FB5302">
              <w:instrText xml:space="preserve"> NOTEREF _Ref201303849 \f \h </w:instrText>
            </w:r>
            <w:r w:rsidR="00F16FA1">
              <w:instrText xml:space="preserve"> \* MERGEFORMAT </w:instrText>
            </w:r>
            <w:r w:rsidR="00FB5302">
              <w:fldChar w:fldCharType="separate"/>
            </w:r>
            <w:r w:rsidR="00FB5302">
              <w:fldChar w:fldCharType="end"/>
            </w:r>
          </w:p>
        </w:tc>
      </w:tr>
      <w:tr w:rsidR="009B509E" w:rsidRPr="00315936" w14:paraId="59C8F497"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2B05724" w14:textId="77777777" w:rsidR="009B509E" w:rsidRPr="00315936" w:rsidRDefault="009B509E">
            <w:pPr>
              <w:pStyle w:val="Tablecolhead"/>
              <w:rPr>
                <w:b w:val="0"/>
                <w:lang w:eastAsia="en-AU"/>
              </w:rPr>
            </w:pPr>
            <w:r w:rsidRPr="00315936">
              <w:rPr>
                <w:b w:val="0"/>
                <w:lang w:eastAsia="en-AU"/>
              </w:rPr>
              <w:t>Description </w:t>
            </w:r>
          </w:p>
        </w:tc>
        <w:tc>
          <w:tcPr>
            <w:tcW w:w="8506" w:type="dxa"/>
            <w:tcBorders>
              <w:left w:val="single" w:sz="4" w:space="0" w:color="FFFFFF" w:themeColor="background1"/>
            </w:tcBorders>
          </w:tcPr>
          <w:p w14:paraId="0F1AAE66" w14:textId="72D32EC3" w:rsidR="00825DD2" w:rsidRDefault="009B509E" w:rsidP="554FA974">
            <w:pPr>
              <w:pStyle w:val="Tabletext"/>
            </w:pPr>
            <w:r w:rsidRPr="00315936">
              <w:t>This measure</w:t>
            </w:r>
            <w:r w:rsidR="00555D48">
              <w:t>s</w:t>
            </w:r>
            <w:r w:rsidRPr="00315936" w:rsidDel="00555D48">
              <w:t xml:space="preserve"> </w:t>
            </w:r>
            <w:r w:rsidRPr="00315936">
              <w:t>the accuracy of forecasting the</w:t>
            </w:r>
            <w:r w:rsidR="00F86D37">
              <w:t xml:space="preserve"> OR</w:t>
            </w:r>
            <w:r w:rsidRPr="00315936">
              <w:t xml:space="preserve"> for the current financial year ending 30 June.</w:t>
            </w:r>
          </w:p>
          <w:p w14:paraId="49C69BB4" w14:textId="77777777" w:rsidR="00F62A88" w:rsidRPr="00F62A88" w:rsidRDefault="00F62A88" w:rsidP="00F62A88">
            <w:pPr>
              <w:pStyle w:val="Tabletext"/>
            </w:pPr>
            <w:r w:rsidRPr="00F62A88">
              <w:t>Health services are expected to forecast the OR with an appropriate level of accuracy. As the OR is derived from its underlying components, the accuracy of forecasting operating revenue and operating expenditure is assessed separately.</w:t>
            </w:r>
          </w:p>
          <w:p w14:paraId="081647B1" w14:textId="1D2B4961" w:rsidR="009B509E" w:rsidRPr="00315936" w:rsidRDefault="00F62A88" w:rsidP="00190C9D">
            <w:pPr>
              <w:pStyle w:val="Tabletext"/>
              <w:rPr>
                <w:rFonts w:ascii="VIC" w:eastAsia="VIC" w:hAnsi="VIC" w:cs="VIC"/>
                <w:color w:val="000000" w:themeColor="text1"/>
                <w:sz w:val="20"/>
              </w:rPr>
            </w:pPr>
            <w:r w:rsidRPr="00F62A88">
              <w:t>For each component, an acceptable level of variance is defined as being within ±5 per cent of the forecast value.</w:t>
            </w:r>
          </w:p>
        </w:tc>
      </w:tr>
      <w:tr w:rsidR="009B509E" w:rsidRPr="00315936" w14:paraId="7A370E50" w14:textId="77777777" w:rsidTr="008E1561">
        <w:trPr>
          <w:trHeight w:val="1354"/>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D5C33E7" w14:textId="77777777" w:rsidR="009B509E" w:rsidRPr="00315936" w:rsidRDefault="009B509E">
            <w:pPr>
              <w:pStyle w:val="Tablecolhead"/>
              <w:rPr>
                <w:b w:val="0"/>
                <w:lang w:eastAsia="en-AU"/>
              </w:rPr>
            </w:pPr>
            <w:r w:rsidRPr="00315936">
              <w:rPr>
                <w:b w:val="0"/>
                <w:lang w:eastAsia="en-AU"/>
              </w:rPr>
              <w:t>Calculating performance</w:t>
            </w:r>
          </w:p>
        </w:tc>
        <w:tc>
          <w:tcPr>
            <w:tcW w:w="8506" w:type="dxa"/>
            <w:tcBorders>
              <w:left w:val="single" w:sz="4" w:space="0" w:color="FFFFFF" w:themeColor="background1"/>
            </w:tcBorders>
          </w:tcPr>
          <w:p w14:paraId="4B8FD487" w14:textId="77777777" w:rsidR="00572E50" w:rsidRPr="00572E50" w:rsidRDefault="00572E50" w:rsidP="00572E50">
            <w:pPr>
              <w:pStyle w:val="Tabletext"/>
            </w:pPr>
            <w:r w:rsidRPr="00572E50">
              <w:t>The measure comprises two components, which are calculated separately:</w:t>
            </w:r>
          </w:p>
          <w:p w14:paraId="67D90DDE" w14:textId="047E325F" w:rsidR="00572E50" w:rsidRPr="00572E50" w:rsidRDefault="00572E50" w:rsidP="00572E50">
            <w:pPr>
              <w:pStyle w:val="Tabletext"/>
              <w:numPr>
                <w:ilvl w:val="0"/>
                <w:numId w:val="101"/>
              </w:numPr>
            </w:pPr>
            <w:r w:rsidRPr="00572E50">
              <w:t>The absolute variance between actual operating revenue and forecast operating revenue, expressed as a percentage of forecast operating revenue</w:t>
            </w:r>
            <w:r w:rsidR="00066DA3">
              <w:t>.</w:t>
            </w:r>
          </w:p>
          <w:p w14:paraId="0CF5DACA" w14:textId="1A801BA6" w:rsidR="00572E50" w:rsidRPr="00572E50" w:rsidRDefault="00572E50" w:rsidP="00572E50">
            <w:pPr>
              <w:pStyle w:val="Tabletext"/>
              <w:numPr>
                <w:ilvl w:val="0"/>
                <w:numId w:val="101"/>
              </w:numPr>
            </w:pPr>
            <w:r w:rsidRPr="00572E50">
              <w:t>The absolute variance between actual operating expenditure and forecast operating expenditure, expressed as a percentage of forecast operating expenditure</w:t>
            </w:r>
            <w:r w:rsidR="00066DA3">
              <w:t>.</w:t>
            </w:r>
          </w:p>
          <w:p w14:paraId="4ED72264" w14:textId="77777777" w:rsidR="00572E50" w:rsidRPr="00572E50" w:rsidRDefault="00572E50" w:rsidP="00572E50">
            <w:pPr>
              <w:pStyle w:val="Tabletext"/>
            </w:pPr>
            <w:r w:rsidRPr="00572E50">
              <w:t>The calculation compares consolidated forecast operating revenue and expenditure, reported to the department via the final June submission in the Health Agencies Reporting Tool (</w:t>
            </w:r>
            <w:proofErr w:type="spellStart"/>
            <w:r w:rsidRPr="00572E50">
              <w:t>HeART</w:t>
            </w:r>
            <w:proofErr w:type="spellEnd"/>
            <w:r w:rsidRPr="00572E50">
              <w:t xml:space="preserve">) Revised Estimates, with consolidated actual operating revenue and expenditure, as recorded in the audited consolidated trial balance submitted through </w:t>
            </w:r>
            <w:proofErr w:type="spellStart"/>
            <w:r w:rsidRPr="00572E50">
              <w:t>HeART</w:t>
            </w:r>
            <w:proofErr w:type="spellEnd"/>
            <w:r w:rsidRPr="00572E50">
              <w:t>.</w:t>
            </w:r>
          </w:p>
          <w:p w14:paraId="4BF11172" w14:textId="1F755F96" w:rsidR="00700D6E" w:rsidRPr="00AC34D9" w:rsidRDefault="00572E50" w:rsidP="00700D6E">
            <w:pPr>
              <w:pStyle w:val="Tabletext"/>
              <w:rPr>
                <w:rFonts w:ascii="VIC" w:eastAsia="VIC" w:hAnsi="VIC" w:cs="VIC"/>
                <w:color w:val="000000" w:themeColor="text1"/>
                <w:sz w:val="20"/>
              </w:rPr>
            </w:pPr>
            <w:r w:rsidRPr="00572E50">
              <w:t xml:space="preserve">It is expected that the final </w:t>
            </w:r>
            <w:proofErr w:type="spellStart"/>
            <w:r w:rsidRPr="00572E50">
              <w:t>HeART</w:t>
            </w:r>
            <w:proofErr w:type="spellEnd"/>
            <w:r w:rsidRPr="00572E50">
              <w:t xml:space="preserve"> consolidated trial balance aligns with the audited financial statements.</w:t>
            </w:r>
          </w:p>
        </w:tc>
      </w:tr>
      <w:tr w:rsidR="009B509E" w:rsidRPr="00315936" w14:paraId="37744B28"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2D2D1357" w14:textId="77777777" w:rsidR="009B509E" w:rsidRPr="00315936" w:rsidRDefault="009B509E" w:rsidP="001A453F">
            <w:r w:rsidRPr="00315936">
              <w:t>Numerator</w:t>
            </w:r>
          </w:p>
        </w:tc>
        <w:tc>
          <w:tcPr>
            <w:tcW w:w="8506" w:type="dxa"/>
            <w:tcBorders>
              <w:left w:val="single" w:sz="4" w:space="0" w:color="FFFFFF" w:themeColor="background1"/>
            </w:tcBorders>
          </w:tcPr>
          <w:p w14:paraId="6E542427" w14:textId="1B4FB989" w:rsidR="00B349D7" w:rsidRPr="00B349D7" w:rsidRDefault="00B349D7" w:rsidP="00B349D7">
            <w:pPr>
              <w:pStyle w:val="Tabletext"/>
            </w:pPr>
            <w:r w:rsidRPr="00B349D7">
              <w:t>The numerator is calculated by counting the number of components that are within the 5 per cent threshold.</w:t>
            </w:r>
          </w:p>
          <w:p w14:paraId="354BC93F" w14:textId="123175D9" w:rsidR="009B509E" w:rsidRPr="00315936" w:rsidRDefault="00B349D7" w:rsidP="00076BEC">
            <w:pPr>
              <w:pStyle w:val="Tabletext"/>
              <w:rPr>
                <w:rFonts w:ascii="VIC" w:eastAsia="VIC" w:hAnsi="VIC" w:cs="VIC"/>
                <w:color w:val="000000" w:themeColor="text1"/>
                <w:sz w:val="20"/>
              </w:rPr>
            </w:pPr>
            <w:r w:rsidRPr="00B349D7">
              <w:t>A health service meets the target for this measure only if both components are within 5 per cent that is, where the count equals two. If fewer than two components meet the threshold, the target is not achieved.</w:t>
            </w:r>
          </w:p>
        </w:tc>
      </w:tr>
      <w:tr w:rsidR="009B509E" w:rsidRPr="00315936" w14:paraId="6EDAFDD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03740C23" w14:textId="77777777" w:rsidR="009B509E" w:rsidRPr="00315936" w:rsidRDefault="009B509E">
            <w:pPr>
              <w:pStyle w:val="Tablecolhead"/>
              <w:rPr>
                <w:b w:val="0"/>
                <w:lang w:eastAsia="en-AU"/>
              </w:rPr>
            </w:pPr>
            <w:r w:rsidRPr="00315936">
              <w:rPr>
                <w:b w:val="0"/>
                <w:lang w:eastAsia="en-AU"/>
              </w:rPr>
              <w:t>Denominator</w:t>
            </w:r>
          </w:p>
        </w:tc>
        <w:tc>
          <w:tcPr>
            <w:tcW w:w="8506" w:type="dxa"/>
            <w:tcBorders>
              <w:left w:val="single" w:sz="4" w:space="0" w:color="FFFFFF" w:themeColor="background1"/>
            </w:tcBorders>
          </w:tcPr>
          <w:p w14:paraId="16023C96" w14:textId="7876DA11" w:rsidR="00A145FC" w:rsidRPr="00315936" w:rsidRDefault="00B349D7">
            <w:pPr>
              <w:pStyle w:val="Tabletext"/>
              <w:rPr>
                <w:lang w:eastAsia="en-AU"/>
              </w:rPr>
            </w:pPr>
            <w:r>
              <w:rPr>
                <w:lang w:eastAsia="en-AU"/>
              </w:rPr>
              <w:t>N/A</w:t>
            </w:r>
          </w:p>
        </w:tc>
      </w:tr>
      <w:tr w:rsidR="009B509E" w:rsidRPr="00315936" w14:paraId="66ABE7BA"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249EA0A" w14:textId="77777777" w:rsidR="009B509E" w:rsidRPr="00315936" w:rsidRDefault="009B509E">
            <w:pPr>
              <w:pStyle w:val="Tablecolhead"/>
              <w:rPr>
                <w:b w:val="0"/>
                <w:lang w:eastAsia="en-AU"/>
              </w:rPr>
            </w:pPr>
            <w:r w:rsidRPr="00315936">
              <w:rPr>
                <w:b w:val="0"/>
                <w:lang w:eastAsia="en-AU"/>
              </w:rPr>
              <w:t>Statewide target</w:t>
            </w:r>
          </w:p>
        </w:tc>
        <w:tc>
          <w:tcPr>
            <w:tcW w:w="8506" w:type="dxa"/>
            <w:tcBorders>
              <w:left w:val="single" w:sz="4" w:space="0" w:color="FFFFFF" w:themeColor="background1"/>
            </w:tcBorders>
          </w:tcPr>
          <w:p w14:paraId="2DE8EBB9" w14:textId="6EEE30E6" w:rsidR="009A431F" w:rsidRDefault="009A431F" w:rsidP="009A431F">
            <w:pPr>
              <w:pStyle w:val="Tabletext"/>
              <w:rPr>
                <w:rFonts w:eastAsia="VIC" w:cs="VIC"/>
                <w:color w:val="000000" w:themeColor="text1"/>
              </w:rPr>
            </w:pPr>
            <w:r w:rsidRPr="00E442EC">
              <w:rPr>
                <w:rFonts w:eastAsia="VIC" w:cs="VIC"/>
                <w:color w:val="000000" w:themeColor="text1"/>
              </w:rPr>
              <w:t xml:space="preserve">Variance </w:t>
            </w:r>
            <w:r>
              <w:rPr>
                <w:rFonts w:eastAsia="VIC" w:cs="VIC"/>
                <w:color w:val="000000" w:themeColor="text1"/>
              </w:rPr>
              <w:t xml:space="preserve">between forecast operating revenue and actual operating revenue is </w:t>
            </w:r>
            <w:r w:rsidRPr="00E442EC">
              <w:rPr>
                <w:rFonts w:eastAsia="VIC" w:cs="VIC"/>
                <w:color w:val="000000" w:themeColor="text1"/>
              </w:rPr>
              <w:t>within 5 per cent</w:t>
            </w:r>
            <w:r w:rsidR="0044280D">
              <w:rPr>
                <w:rFonts w:eastAsia="VIC" w:cs="VIC"/>
                <w:color w:val="000000" w:themeColor="text1"/>
              </w:rPr>
              <w:t xml:space="preserve"> (</w:t>
            </w:r>
            <w:r w:rsidR="006A1A94" w:rsidRPr="006A1A94">
              <w:rPr>
                <w:rFonts w:eastAsia="VIC" w:cs="VIC"/>
                <w:color w:val="000000" w:themeColor="text1"/>
              </w:rPr>
              <w:t>≤ 5%</w:t>
            </w:r>
            <w:r w:rsidR="0044280D">
              <w:rPr>
                <w:rFonts w:eastAsia="VIC" w:cs="VIC"/>
                <w:color w:val="000000" w:themeColor="text1"/>
              </w:rPr>
              <w:t>)</w:t>
            </w:r>
            <w:r w:rsidRPr="00E442EC">
              <w:rPr>
                <w:rFonts w:eastAsia="VIC" w:cs="VIC"/>
                <w:color w:val="000000" w:themeColor="text1"/>
              </w:rPr>
              <w:t xml:space="preserve"> of forecast </w:t>
            </w:r>
            <w:r>
              <w:rPr>
                <w:rFonts w:eastAsia="VIC" w:cs="VIC"/>
                <w:color w:val="000000" w:themeColor="text1"/>
              </w:rPr>
              <w:t>operating revenue, AND</w:t>
            </w:r>
          </w:p>
          <w:p w14:paraId="48A46B0F" w14:textId="65C67395" w:rsidR="009B509E" w:rsidRPr="00315936" w:rsidRDefault="009A431F">
            <w:pPr>
              <w:pStyle w:val="Tabletext"/>
              <w:rPr>
                <w:rFonts w:eastAsia="VIC" w:cs="VIC"/>
                <w:color w:val="000000" w:themeColor="text1"/>
              </w:rPr>
            </w:pPr>
            <w:r w:rsidRPr="00E442EC">
              <w:rPr>
                <w:rFonts w:eastAsia="VIC" w:cs="VIC"/>
                <w:color w:val="000000" w:themeColor="text1"/>
              </w:rPr>
              <w:t xml:space="preserve">Variance </w:t>
            </w:r>
            <w:r>
              <w:rPr>
                <w:rFonts w:eastAsia="VIC" w:cs="VIC"/>
                <w:color w:val="000000" w:themeColor="text1"/>
              </w:rPr>
              <w:t xml:space="preserve">between forecast operating expenditure and actual operating expenditure is </w:t>
            </w:r>
            <w:r w:rsidRPr="00E442EC">
              <w:rPr>
                <w:rFonts w:eastAsia="VIC" w:cs="VIC"/>
                <w:color w:val="000000" w:themeColor="text1"/>
              </w:rPr>
              <w:t xml:space="preserve">within 5 per cent </w:t>
            </w:r>
            <w:r w:rsidR="006A1A94">
              <w:rPr>
                <w:rFonts w:eastAsia="VIC" w:cs="VIC"/>
                <w:color w:val="000000" w:themeColor="text1"/>
              </w:rPr>
              <w:t>(</w:t>
            </w:r>
            <w:r w:rsidR="006A1A94" w:rsidRPr="006A1A94">
              <w:rPr>
                <w:rFonts w:eastAsia="VIC" w:cs="VIC"/>
                <w:color w:val="000000" w:themeColor="text1"/>
              </w:rPr>
              <w:t>≤ 5%</w:t>
            </w:r>
            <w:r w:rsidR="006A1A94">
              <w:rPr>
                <w:rFonts w:eastAsia="VIC" w:cs="VIC"/>
                <w:color w:val="000000" w:themeColor="text1"/>
              </w:rPr>
              <w:t xml:space="preserve">) </w:t>
            </w:r>
            <w:r w:rsidRPr="00E442EC">
              <w:rPr>
                <w:rFonts w:eastAsia="VIC" w:cs="VIC"/>
                <w:color w:val="000000" w:themeColor="text1"/>
              </w:rPr>
              <w:t xml:space="preserve">of forecast </w:t>
            </w:r>
            <w:r>
              <w:rPr>
                <w:rFonts w:eastAsia="VIC" w:cs="VIC"/>
                <w:color w:val="000000" w:themeColor="text1"/>
              </w:rPr>
              <w:t>operating expenditure.</w:t>
            </w:r>
          </w:p>
        </w:tc>
      </w:tr>
      <w:tr w:rsidR="009B509E" w:rsidRPr="00315936" w14:paraId="57B3876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7DA18D3D" w14:textId="29946952" w:rsidR="009B509E" w:rsidRPr="00315936" w:rsidRDefault="009B509E" w:rsidP="009B509E">
            <w:pPr>
              <w:pStyle w:val="Tablecolhead"/>
              <w:rPr>
                <w:b w:val="0"/>
                <w:lang w:eastAsia="en-AU"/>
              </w:rPr>
            </w:pPr>
            <w:r w:rsidRPr="00315936">
              <w:rPr>
                <w:b w:val="0"/>
                <w:lang w:eastAsia="en-AU"/>
              </w:rPr>
              <w:t>Achieved</w:t>
            </w:r>
          </w:p>
        </w:tc>
        <w:tc>
          <w:tcPr>
            <w:tcW w:w="8506" w:type="dxa"/>
            <w:tcBorders>
              <w:left w:val="single" w:sz="4" w:space="0" w:color="FFFFFF" w:themeColor="background1"/>
            </w:tcBorders>
          </w:tcPr>
          <w:p w14:paraId="39B45F29" w14:textId="58972924" w:rsidR="009B509E" w:rsidRPr="00315936" w:rsidRDefault="00A71883" w:rsidP="002E656C">
            <w:pPr>
              <w:pStyle w:val="Tabletext"/>
              <w:rPr>
                <w:rFonts w:eastAsia="VIC" w:cs="VIC"/>
                <w:color w:val="000000" w:themeColor="text1"/>
              </w:rPr>
            </w:pPr>
            <w:r>
              <w:t>Both variances are within 5 per cent</w:t>
            </w:r>
            <w:r w:rsidR="002E656C">
              <w:t xml:space="preserve"> (</w:t>
            </w:r>
            <w:r w:rsidR="002E656C" w:rsidRPr="006A1A94">
              <w:rPr>
                <w:rFonts w:eastAsia="VIC" w:cs="VIC"/>
                <w:color w:val="000000" w:themeColor="text1"/>
              </w:rPr>
              <w:t>≤ 5%</w:t>
            </w:r>
            <w:r w:rsidR="002E656C">
              <w:t>)</w:t>
            </w:r>
            <w:r>
              <w:t>.</w:t>
            </w:r>
          </w:p>
        </w:tc>
      </w:tr>
      <w:tr w:rsidR="009B509E" w:rsidRPr="00315936" w14:paraId="02A573B0"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1D5F5124" w14:textId="376C7A5C" w:rsidR="009B509E" w:rsidRPr="00315936" w:rsidRDefault="009B509E" w:rsidP="009B509E">
            <w:pPr>
              <w:pStyle w:val="Tablecolhead"/>
              <w:rPr>
                <w:b w:val="0"/>
                <w:lang w:eastAsia="en-AU"/>
              </w:rPr>
            </w:pPr>
            <w:r w:rsidRPr="00315936">
              <w:rPr>
                <w:b w:val="0"/>
                <w:lang w:eastAsia="en-AU"/>
              </w:rPr>
              <w:t>Not achieved</w:t>
            </w:r>
          </w:p>
        </w:tc>
        <w:tc>
          <w:tcPr>
            <w:tcW w:w="8506" w:type="dxa"/>
            <w:tcBorders>
              <w:left w:val="single" w:sz="4" w:space="0" w:color="FFFFFF" w:themeColor="background1"/>
            </w:tcBorders>
          </w:tcPr>
          <w:p w14:paraId="6CB8A52C" w14:textId="1DA43157" w:rsidR="009B509E" w:rsidRPr="00315936" w:rsidRDefault="00E200A5" w:rsidP="002E656C">
            <w:pPr>
              <w:pStyle w:val="Tabletext"/>
              <w:rPr>
                <w:rFonts w:eastAsia="VIC" w:cs="VIC"/>
                <w:color w:val="000000" w:themeColor="text1"/>
              </w:rPr>
            </w:pPr>
            <w:r>
              <w:t>At least one variance is more than 5 per cent.</w:t>
            </w:r>
          </w:p>
        </w:tc>
      </w:tr>
      <w:tr w:rsidR="009B509E" w:rsidRPr="00315936" w14:paraId="4495A13D"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60B2AA7B" w14:textId="77777777" w:rsidR="009B509E" w:rsidRPr="00315936" w:rsidRDefault="009B509E">
            <w:pPr>
              <w:pStyle w:val="Tablecolhead"/>
              <w:rPr>
                <w:b w:val="0"/>
                <w:lang w:eastAsia="en-AU"/>
              </w:rPr>
            </w:pPr>
            <w:r w:rsidRPr="00315936">
              <w:rPr>
                <w:b w:val="0"/>
                <w:lang w:eastAsia="en-AU"/>
              </w:rPr>
              <w:t>Improvement</w:t>
            </w:r>
          </w:p>
        </w:tc>
        <w:tc>
          <w:tcPr>
            <w:tcW w:w="8506" w:type="dxa"/>
            <w:tcBorders>
              <w:left w:val="single" w:sz="4" w:space="0" w:color="FFFFFF" w:themeColor="background1"/>
            </w:tcBorders>
          </w:tcPr>
          <w:p w14:paraId="41430EA5" w14:textId="755EBE8E" w:rsidR="009B509E" w:rsidRPr="00315936" w:rsidRDefault="002573E1">
            <w:pPr>
              <w:pStyle w:val="Tabletext"/>
              <w:rPr>
                <w:rFonts w:ascii="VIC" w:eastAsia="VIC" w:hAnsi="VIC" w:cs="VIC"/>
                <w:color w:val="000000" w:themeColor="text1"/>
                <w:sz w:val="20"/>
              </w:rPr>
            </w:pPr>
            <w:r>
              <w:t xml:space="preserve">Performance is assessed </w:t>
            </w:r>
            <w:r w:rsidR="003178E0">
              <w:t>based on the target only and not a r</w:t>
            </w:r>
            <w:r w:rsidR="009B509E" w:rsidRPr="00315936">
              <w:t>educed variance from the previous year</w:t>
            </w:r>
            <w:r w:rsidR="003178E0">
              <w:t>.</w:t>
            </w:r>
          </w:p>
        </w:tc>
      </w:tr>
      <w:tr w:rsidR="009B509E" w14:paraId="16E73B79" w14:textId="77777777" w:rsidTr="008E1561">
        <w:trPr>
          <w:trHeight w:val="300"/>
        </w:trPr>
        <w:tc>
          <w:tcPr>
            <w:tcW w:w="183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66"/>
          </w:tcPr>
          <w:p w14:paraId="3B577E12" w14:textId="77777777" w:rsidR="009B509E" w:rsidRPr="00315936" w:rsidRDefault="009B509E">
            <w:pPr>
              <w:pStyle w:val="Tablecolhead"/>
              <w:rPr>
                <w:b w:val="0"/>
                <w:lang w:eastAsia="en-AU"/>
              </w:rPr>
            </w:pPr>
            <w:r w:rsidRPr="00315936">
              <w:rPr>
                <w:b w:val="0"/>
                <w:lang w:eastAsia="en-AU"/>
              </w:rPr>
              <w:t>Frequency of reporting and data collection</w:t>
            </w:r>
          </w:p>
        </w:tc>
        <w:tc>
          <w:tcPr>
            <w:tcW w:w="8506" w:type="dxa"/>
            <w:tcBorders>
              <w:left w:val="single" w:sz="4" w:space="0" w:color="FFFFFF" w:themeColor="background1"/>
            </w:tcBorders>
          </w:tcPr>
          <w:p w14:paraId="268C5B5F" w14:textId="758DE1E8" w:rsidR="009B509E" w:rsidRDefault="00DE2DAC">
            <w:pPr>
              <w:pStyle w:val="Tabletext"/>
            </w:pPr>
            <w:r w:rsidRPr="00315936">
              <w:t xml:space="preserve">Performance is reported </w:t>
            </w:r>
            <w:r w:rsidR="003178E0">
              <w:t xml:space="preserve">in </w:t>
            </w:r>
            <w:r w:rsidR="00D92D65">
              <w:t xml:space="preserve">Q4 (April to June) and </w:t>
            </w:r>
            <w:r w:rsidRPr="00315936">
              <w:t>a</w:t>
            </w:r>
            <w:r w:rsidR="009B509E" w:rsidRPr="00315936">
              <w:t>nnually.</w:t>
            </w:r>
          </w:p>
          <w:p w14:paraId="274A8ED5" w14:textId="1E3D46BE" w:rsidR="00EB5BD1" w:rsidRPr="00315936" w:rsidRDefault="00EB5BD1">
            <w:pPr>
              <w:pStyle w:val="Tabletext"/>
              <w:rPr>
                <w:rFonts w:ascii="VIC" w:eastAsia="VIC" w:hAnsi="VIC" w:cs="VIC"/>
                <w:color w:val="000000" w:themeColor="text1"/>
                <w:sz w:val="20"/>
              </w:rPr>
            </w:pPr>
            <w:r w:rsidRPr="00315936">
              <w:t xml:space="preserve">Data are sourced from </w:t>
            </w:r>
            <w:proofErr w:type="spellStart"/>
            <w:r w:rsidRPr="00315936">
              <w:t>HeART</w:t>
            </w:r>
            <w:proofErr w:type="spellEnd"/>
            <w:r>
              <w:t>.</w:t>
            </w:r>
          </w:p>
          <w:p w14:paraId="719A1563" w14:textId="27D41484" w:rsidR="009B509E" w:rsidRPr="00315936" w:rsidRDefault="009B509E">
            <w:pPr>
              <w:pStyle w:val="Tabletext"/>
              <w:rPr>
                <w:rFonts w:ascii="VIC" w:eastAsia="VIC" w:hAnsi="VIC" w:cs="VIC"/>
                <w:color w:val="000000" w:themeColor="text1"/>
                <w:sz w:val="20"/>
              </w:rPr>
            </w:pPr>
            <w:r w:rsidRPr="00315936">
              <w:t>The Revised Estimates are updated and provided to the Department of Treasury and Finance multiple times each financial year. As year-end approaches, the forecasts should be most accurate when the Revised Estimates for the final feed to the Department of Treasury and Finance are provided in early June.</w:t>
            </w:r>
          </w:p>
          <w:p w14:paraId="3E106B0A" w14:textId="5A05138B" w:rsidR="009B509E" w:rsidRPr="001A453F" w:rsidRDefault="009B509E">
            <w:pPr>
              <w:pStyle w:val="Tabletext"/>
              <w:rPr>
                <w:rFonts w:ascii="VIC" w:eastAsia="VIC" w:hAnsi="VIC" w:cs="VIC"/>
                <w:color w:val="000000" w:themeColor="text1"/>
                <w:sz w:val="20"/>
              </w:rPr>
            </w:pPr>
            <w:r w:rsidRPr="00315936">
              <w:t>These estimates assist the Treasurer in determining the State’s final financial result.</w:t>
            </w:r>
          </w:p>
        </w:tc>
      </w:tr>
    </w:tbl>
    <w:p w14:paraId="708E70EE" w14:textId="0CFAC6FD" w:rsidR="00064E49" w:rsidRDefault="00064E49" w:rsidP="00064E49">
      <w:pPr>
        <w:pStyle w:val="Heading1"/>
      </w:pPr>
      <w:bookmarkStart w:id="133" w:name="_Toc234580077"/>
      <w:r>
        <w:t>Appendices</w:t>
      </w:r>
      <w:bookmarkEnd w:id="133"/>
    </w:p>
    <w:p w14:paraId="5D305F5F" w14:textId="623E30BE" w:rsidR="005727C8" w:rsidRDefault="009B6974" w:rsidP="005D2EF3">
      <w:pPr>
        <w:pStyle w:val="Heading1"/>
      </w:pPr>
      <w:bookmarkStart w:id="134" w:name="_Toc234580078"/>
      <w:r>
        <w:t>A</w:t>
      </w:r>
      <w:r w:rsidR="00125368">
        <w:t>ppendix A – Ambulance Victoria</w:t>
      </w:r>
      <w:bookmarkEnd w:id="134"/>
    </w:p>
    <w:p w14:paraId="03DCC1C5" w14:textId="79E69C8C" w:rsidR="00F4076D" w:rsidRDefault="00F4076D" w:rsidP="005D2EF3">
      <w:pPr>
        <w:pStyle w:val="Heading2"/>
      </w:pPr>
      <w:bookmarkStart w:id="135" w:name="_Toc234580079"/>
      <w:r>
        <w:t>Ambulance Victoria – Change summary</w:t>
      </w:r>
      <w:bookmarkEnd w:id="135"/>
    </w:p>
    <w:p w14:paraId="088DBC03" w14:textId="1B60BD88" w:rsidR="00670655" w:rsidRPr="00670655" w:rsidRDefault="00670655" w:rsidP="00670655">
      <w:pPr>
        <w:pStyle w:val="Body"/>
      </w:pPr>
      <w:r w:rsidRPr="00315936">
        <w:t xml:space="preserve">This section summarises key changes to </w:t>
      </w:r>
      <w:proofErr w:type="spellStart"/>
      <w:r w:rsidRPr="00315936">
        <w:t>SoP</w:t>
      </w:r>
      <w:proofErr w:type="spellEnd"/>
      <w:r w:rsidRPr="00315936">
        <w:t xml:space="preserve"> Part B measures including updated targets and reporting requirements. </w:t>
      </w:r>
    </w:p>
    <w:p w14:paraId="6DAE0662" w14:textId="2B0CDB93" w:rsidR="00DC779D" w:rsidRDefault="0055645E" w:rsidP="008E7F78">
      <w:pPr>
        <w:pStyle w:val="Heading3"/>
      </w:pPr>
      <w:r>
        <w:t>High quality and safe care</w:t>
      </w:r>
    </w:p>
    <w:p w14:paraId="2BE9DD57" w14:textId="3F4F3AE7" w:rsidR="003006A3" w:rsidRPr="003006A3" w:rsidRDefault="003006A3" w:rsidP="003006A3">
      <w:pPr>
        <w:pStyle w:val="Body"/>
      </w:pPr>
      <w:r>
        <w:t>No changes to measures in this domain.</w:t>
      </w:r>
    </w:p>
    <w:p w14:paraId="2DF76903" w14:textId="77777777" w:rsidR="00DC779D" w:rsidRDefault="00DC779D" w:rsidP="008E7F78">
      <w:pPr>
        <w:pStyle w:val="Heading3"/>
      </w:pPr>
      <w:r>
        <w:t>Strong governance, leadership and culture</w:t>
      </w:r>
    </w:p>
    <w:p w14:paraId="17CFAA2A" w14:textId="02AC2A76" w:rsidR="003006A3" w:rsidRPr="003006A3" w:rsidRDefault="003006A3" w:rsidP="008E7F78">
      <w:pPr>
        <w:pStyle w:val="Body"/>
      </w:pPr>
      <w:r>
        <w:t>No changes to measures in this domain.</w:t>
      </w:r>
    </w:p>
    <w:p w14:paraId="078463C5" w14:textId="77777777" w:rsidR="00DC779D" w:rsidRDefault="00DC779D" w:rsidP="008E7F78">
      <w:pPr>
        <w:pStyle w:val="Heading3"/>
      </w:pPr>
      <w:r>
        <w:t>Timely access to care</w:t>
      </w:r>
    </w:p>
    <w:tbl>
      <w:tblPr>
        <w:tblStyle w:val="TableGrid"/>
        <w:tblW w:w="4961" w:type="pct"/>
        <w:tblLayout w:type="fixed"/>
        <w:tblLook w:val="04A0" w:firstRow="1" w:lastRow="0" w:firstColumn="1" w:lastColumn="0" w:noHBand="0" w:noVBand="1"/>
      </w:tblPr>
      <w:tblGrid>
        <w:gridCol w:w="2971"/>
        <w:gridCol w:w="3969"/>
        <w:gridCol w:w="3434"/>
      </w:tblGrid>
      <w:tr w:rsidR="002940D4" w:rsidRPr="00315936" w14:paraId="006BED10" w14:textId="77777777" w:rsidTr="008E1561">
        <w:trPr>
          <w:trHeight w:val="340"/>
          <w:tblHeader/>
        </w:trPr>
        <w:tc>
          <w:tcPr>
            <w:tcW w:w="1432" w:type="pct"/>
            <w:shd w:val="clear" w:color="auto" w:fill="000066"/>
          </w:tcPr>
          <w:p w14:paraId="022EE687" w14:textId="77777777" w:rsidR="00E63586" w:rsidRPr="003477D2" w:rsidRDefault="00E63586">
            <w:pPr>
              <w:pStyle w:val="Tablecolhead"/>
            </w:pPr>
            <w:r w:rsidRPr="003477D2">
              <w:t>Key performance measure</w:t>
            </w:r>
          </w:p>
        </w:tc>
        <w:tc>
          <w:tcPr>
            <w:tcW w:w="1913" w:type="pct"/>
            <w:shd w:val="clear" w:color="auto" w:fill="000066"/>
          </w:tcPr>
          <w:p w14:paraId="5C4E84E9" w14:textId="77777777" w:rsidR="00E63586" w:rsidRPr="003477D2" w:rsidRDefault="00E63586">
            <w:pPr>
              <w:pStyle w:val="Tablecolhead"/>
            </w:pPr>
            <w:r w:rsidRPr="003477D2">
              <w:t>Change</w:t>
            </w:r>
          </w:p>
        </w:tc>
        <w:tc>
          <w:tcPr>
            <w:tcW w:w="1655" w:type="pct"/>
            <w:shd w:val="clear" w:color="auto" w:fill="000066"/>
          </w:tcPr>
          <w:p w14:paraId="4B4DBD81" w14:textId="77777777" w:rsidR="00E63586" w:rsidRPr="003477D2" w:rsidRDefault="00E63586">
            <w:pPr>
              <w:pStyle w:val="Tablecolhead"/>
            </w:pPr>
            <w:r w:rsidRPr="003477D2">
              <w:t>Commentary</w:t>
            </w:r>
          </w:p>
        </w:tc>
      </w:tr>
      <w:tr w:rsidR="00E63586" w:rsidRPr="00315936" w14:paraId="43A131AF" w14:textId="77777777" w:rsidTr="008E1561">
        <w:trPr>
          <w:trHeight w:val="794"/>
        </w:trPr>
        <w:tc>
          <w:tcPr>
            <w:tcW w:w="1432" w:type="pct"/>
          </w:tcPr>
          <w:p w14:paraId="2392A2A3" w14:textId="0AD0C63F" w:rsidR="00E63586" w:rsidRPr="00913936" w:rsidRDefault="00E63586">
            <w:pPr>
              <w:pStyle w:val="Tabletext"/>
            </w:pPr>
            <w:r w:rsidRPr="00A567F8">
              <w:rPr>
                <w:rFonts w:eastAsia="Arial"/>
              </w:rPr>
              <w:t>Percentage of emergency (Code 1) incidents (modified Secondary Triage call start time) responded to within 15 minutes</w:t>
            </w:r>
          </w:p>
        </w:tc>
        <w:tc>
          <w:tcPr>
            <w:tcW w:w="1913" w:type="pct"/>
          </w:tcPr>
          <w:p w14:paraId="4B761703" w14:textId="30BB57AB" w:rsidR="00E63586" w:rsidRDefault="00E63586">
            <w:pPr>
              <w:pStyle w:val="Tabletext"/>
              <w:rPr>
                <w:b/>
                <w:bCs/>
              </w:rPr>
            </w:pPr>
            <w:r w:rsidRPr="00A567F8">
              <w:rPr>
                <w:b/>
                <w:bCs/>
              </w:rPr>
              <w:t>New measure</w:t>
            </w:r>
          </w:p>
          <w:p w14:paraId="0C5DB917" w14:textId="05FBAE88" w:rsidR="00E63586" w:rsidRPr="00CD77CC" w:rsidRDefault="00E63586">
            <w:pPr>
              <w:pStyle w:val="Tabletext"/>
            </w:pPr>
            <w:r w:rsidRPr="000D7238">
              <w:rPr>
                <w:b/>
                <w:bCs/>
              </w:rPr>
              <w:t>Target</w:t>
            </w:r>
            <w:r w:rsidR="0093767F">
              <w:rPr>
                <w:b/>
                <w:bCs/>
              </w:rPr>
              <w:t>:</w:t>
            </w:r>
            <w:r w:rsidRPr="00CD77CC">
              <w:t xml:space="preserve"> </w:t>
            </w:r>
            <w:r>
              <w:t xml:space="preserve">greater than or equal to </w:t>
            </w:r>
            <w:r w:rsidRPr="00CD77CC">
              <w:t>90 per cent or</w:t>
            </w:r>
            <w:r>
              <w:t xml:space="preserve"> at least</w:t>
            </w:r>
            <w:r w:rsidRPr="00CD77CC">
              <w:t xml:space="preserve"> 4 per cent improvement from the same time last year</w:t>
            </w:r>
          </w:p>
        </w:tc>
        <w:tc>
          <w:tcPr>
            <w:tcW w:w="1655" w:type="pct"/>
          </w:tcPr>
          <w:p w14:paraId="45E6D5B4" w14:textId="6539D223" w:rsidR="00E63586" w:rsidRPr="00315936" w:rsidRDefault="00E63586" w:rsidP="000006C3">
            <w:pPr>
              <w:pStyle w:val="Tabletext"/>
            </w:pPr>
            <w:r w:rsidRPr="002D4D70">
              <w:rPr>
                <w:b/>
                <w:bCs/>
              </w:rPr>
              <w:t>Rationale:</w:t>
            </w:r>
            <w:r w:rsidR="000006C3">
              <w:rPr>
                <w:b/>
                <w:bCs/>
              </w:rPr>
              <w:t xml:space="preserve"> </w:t>
            </w:r>
            <w:r w:rsidRPr="002D4D70">
              <w:t>Inclusion of this measure addresses current performance gaps by providing visibility on potential delays in secondary triage.</w:t>
            </w:r>
          </w:p>
        </w:tc>
      </w:tr>
      <w:tr w:rsidR="00E63586" w:rsidRPr="00315936" w14:paraId="26391D72" w14:textId="77777777" w:rsidTr="008E1561">
        <w:trPr>
          <w:trHeight w:val="794"/>
        </w:trPr>
        <w:tc>
          <w:tcPr>
            <w:tcW w:w="1432" w:type="pct"/>
          </w:tcPr>
          <w:p w14:paraId="19FBE882" w14:textId="77777777" w:rsidR="00E63586" w:rsidRPr="00315936" w:rsidRDefault="00E63586">
            <w:pPr>
              <w:pStyle w:val="Tabletext"/>
              <w:rPr>
                <w:rFonts w:eastAsia="MS Gothic"/>
              </w:rPr>
            </w:pPr>
            <w:r w:rsidRPr="00315936">
              <w:t>Percentage of patients transferred from ambulance to emergency department within 40 minutes</w:t>
            </w:r>
          </w:p>
        </w:tc>
        <w:tc>
          <w:tcPr>
            <w:tcW w:w="1913" w:type="pct"/>
          </w:tcPr>
          <w:p w14:paraId="353D8C29" w14:textId="1075EA69" w:rsidR="00E63586" w:rsidRPr="00CD4B6B" w:rsidRDefault="00E63586" w:rsidP="00535D2B">
            <w:pPr>
              <w:pStyle w:val="Tabletext"/>
            </w:pPr>
            <w:r>
              <w:rPr>
                <w:b/>
              </w:rPr>
              <w:t>Target change</w:t>
            </w:r>
            <w:r w:rsidR="00A06F38">
              <w:rPr>
                <w:b/>
              </w:rPr>
              <w:t xml:space="preserve">: </w:t>
            </w:r>
            <w:r w:rsidRPr="00AC1CE9">
              <w:t xml:space="preserve">greater than or equal to 80 per cent or at least 3 per cent improvement on the same time last year </w:t>
            </w:r>
          </w:p>
        </w:tc>
        <w:tc>
          <w:tcPr>
            <w:tcW w:w="1655" w:type="pct"/>
          </w:tcPr>
          <w:p w14:paraId="43AEDBF5" w14:textId="10227AFE" w:rsidR="00E63586" w:rsidRPr="00BC2918" w:rsidRDefault="00E63586" w:rsidP="000D7238">
            <w:pPr>
              <w:pStyle w:val="Tabletext"/>
              <w:rPr>
                <w:b/>
                <w:bCs/>
              </w:rPr>
            </w:pPr>
            <w:r w:rsidRPr="00DE3506">
              <w:rPr>
                <w:b/>
                <w:bCs/>
              </w:rPr>
              <w:t>Rationale</w:t>
            </w:r>
            <w:r w:rsidR="000006C3">
              <w:rPr>
                <w:b/>
                <w:bCs/>
              </w:rPr>
              <w:t xml:space="preserve">: </w:t>
            </w:r>
            <w:r w:rsidRPr="00DE3506">
              <w:t>Aligns with targets assigned to health services for this same measure with progress expected towards 90%.</w:t>
            </w:r>
          </w:p>
        </w:tc>
      </w:tr>
      <w:tr w:rsidR="00E63586" w:rsidRPr="00315936" w14:paraId="3EF6F482" w14:textId="77777777" w:rsidTr="008E1561">
        <w:trPr>
          <w:trHeight w:val="794"/>
        </w:trPr>
        <w:tc>
          <w:tcPr>
            <w:tcW w:w="1432" w:type="pct"/>
          </w:tcPr>
          <w:p w14:paraId="7097C748" w14:textId="77777777" w:rsidR="00E63586" w:rsidRPr="00315936" w:rsidRDefault="00E63586">
            <w:pPr>
              <w:pStyle w:val="Tabletext"/>
            </w:pPr>
            <w:r w:rsidRPr="00315936">
              <w:t>Percentage of triple zero events where the caller receives advice or service from another health provider as an alternative to emergency ambulance response – statewide</w:t>
            </w:r>
          </w:p>
        </w:tc>
        <w:tc>
          <w:tcPr>
            <w:tcW w:w="1913" w:type="pct"/>
          </w:tcPr>
          <w:p w14:paraId="092EB2FA" w14:textId="746CE912" w:rsidR="00E63586" w:rsidRDefault="00E63586" w:rsidP="00535D2B">
            <w:pPr>
              <w:pStyle w:val="Tabletext"/>
            </w:pPr>
            <w:r w:rsidRPr="00A37B0D">
              <w:rPr>
                <w:b/>
                <w:bCs/>
              </w:rPr>
              <w:t>Target change</w:t>
            </w:r>
            <w:r w:rsidR="00A06F38">
              <w:rPr>
                <w:b/>
                <w:bCs/>
              </w:rPr>
              <w:t xml:space="preserve">: </w:t>
            </w:r>
            <w:r w:rsidRPr="00AF012F">
              <w:t>greater than or equal to 25 per cent or at least 5 per cent improvement compared to the same time last year</w:t>
            </w:r>
          </w:p>
        </w:tc>
        <w:tc>
          <w:tcPr>
            <w:tcW w:w="1655" w:type="pct"/>
          </w:tcPr>
          <w:p w14:paraId="69FD8C29" w14:textId="24FEE2DB" w:rsidR="00E63586" w:rsidRPr="00315936" w:rsidRDefault="00E63586" w:rsidP="000006C3">
            <w:pPr>
              <w:pStyle w:val="Tabletext"/>
            </w:pPr>
            <w:r w:rsidRPr="00644B3A">
              <w:rPr>
                <w:b/>
                <w:bCs/>
              </w:rPr>
              <w:t>Rationale:</w:t>
            </w:r>
            <w:r w:rsidR="000006C3">
              <w:rPr>
                <w:b/>
                <w:bCs/>
              </w:rPr>
              <w:t xml:space="preserve"> </w:t>
            </w:r>
            <w:r w:rsidRPr="00644B3A">
              <w:t>Reflects commitment to continue improving response times as AV consistently exceeding previous 20</w:t>
            </w:r>
            <w:r>
              <w:t xml:space="preserve"> per cent</w:t>
            </w:r>
            <w:r w:rsidRPr="00644B3A">
              <w:t xml:space="preserve"> target, demonstrating capacity for improvement.</w:t>
            </w:r>
          </w:p>
        </w:tc>
      </w:tr>
      <w:tr w:rsidR="00E63586" w:rsidRPr="00315936" w14:paraId="42D457B5" w14:textId="77777777" w:rsidTr="008E1561">
        <w:trPr>
          <w:trHeight w:val="794"/>
        </w:trPr>
        <w:tc>
          <w:tcPr>
            <w:tcW w:w="1432" w:type="pct"/>
          </w:tcPr>
          <w:p w14:paraId="42184D2C" w14:textId="77777777" w:rsidR="00E63586" w:rsidRDefault="00E63586">
            <w:pPr>
              <w:pStyle w:val="Tabletext"/>
            </w:pPr>
            <w:r w:rsidRPr="00315936">
              <w:t>Percentage of emergency (Code 1) incidents responded to within 15 minutes in centres with a population greater than 7,500</w:t>
            </w:r>
          </w:p>
        </w:tc>
        <w:tc>
          <w:tcPr>
            <w:tcW w:w="1913" w:type="pct"/>
          </w:tcPr>
          <w:p w14:paraId="395558EB" w14:textId="77777777" w:rsidR="00E63586" w:rsidRDefault="00E63586">
            <w:pPr>
              <w:pStyle w:val="Tabletext"/>
              <w:rPr>
                <w:b/>
                <w:bCs/>
              </w:rPr>
            </w:pPr>
            <w:r w:rsidRPr="00C4056D">
              <w:rPr>
                <w:b/>
                <w:bCs/>
              </w:rPr>
              <w:t>Measure removal</w:t>
            </w:r>
          </w:p>
        </w:tc>
        <w:tc>
          <w:tcPr>
            <w:tcW w:w="1655" w:type="pct"/>
          </w:tcPr>
          <w:p w14:paraId="487357AC" w14:textId="041A4725" w:rsidR="00E63586" w:rsidRDefault="00E63586">
            <w:pPr>
              <w:pStyle w:val="Tabletext"/>
            </w:pPr>
            <w:r w:rsidRPr="00323D02">
              <w:rPr>
                <w:b/>
                <w:bCs/>
              </w:rPr>
              <w:t>Rationale:</w:t>
            </w:r>
            <w:r w:rsidR="000006C3">
              <w:rPr>
                <w:b/>
                <w:bCs/>
              </w:rPr>
              <w:t xml:space="preserve"> </w:t>
            </w:r>
            <w:r w:rsidR="00FE6F9D">
              <w:t>C</w:t>
            </w:r>
            <w:r>
              <w:t xml:space="preserve">reates an artificial subdivision that doesn't align with operational realities or drive additional improvement. </w:t>
            </w:r>
            <w:r w:rsidR="00FE6F9D">
              <w:t xml:space="preserve">The state-level ambulance response time metric </w:t>
            </w:r>
            <w:r>
              <w:t>maintains a realistic and achievable target without this subdivision.</w:t>
            </w:r>
          </w:p>
          <w:p w14:paraId="28C258C5" w14:textId="3CC6BCEA" w:rsidR="00E63586" w:rsidRDefault="00FE6F9D">
            <w:pPr>
              <w:pStyle w:val="Tabletext"/>
              <w:rPr>
                <w:b/>
                <w:bCs/>
              </w:rPr>
            </w:pPr>
            <w:r>
              <w:t xml:space="preserve">This measure will </w:t>
            </w:r>
            <w:r w:rsidR="00E63586">
              <w:t xml:space="preserve">continue </w:t>
            </w:r>
            <w:r>
              <w:t>to</w:t>
            </w:r>
            <w:r w:rsidR="007603F3">
              <w:t xml:space="preserve"> </w:t>
            </w:r>
            <w:r>
              <w:t>be</w:t>
            </w:r>
            <w:r w:rsidR="007603F3">
              <w:t xml:space="preserve"> </w:t>
            </w:r>
            <w:r w:rsidR="00E63586">
              <w:t>monitored and tracked internally.</w:t>
            </w:r>
          </w:p>
        </w:tc>
      </w:tr>
    </w:tbl>
    <w:p w14:paraId="7CF44192" w14:textId="77777777" w:rsidR="00DC779D" w:rsidRDefault="00DC779D" w:rsidP="008E7F78">
      <w:pPr>
        <w:pStyle w:val="Heading3"/>
      </w:pPr>
      <w:r>
        <w:t>Effective financial management</w:t>
      </w:r>
    </w:p>
    <w:tbl>
      <w:tblPr>
        <w:tblStyle w:val="TableGrid"/>
        <w:tblW w:w="4961" w:type="pct"/>
        <w:tblLayout w:type="fixed"/>
        <w:tblLook w:val="04A0" w:firstRow="1" w:lastRow="0" w:firstColumn="1" w:lastColumn="0" w:noHBand="0" w:noVBand="1"/>
      </w:tblPr>
      <w:tblGrid>
        <w:gridCol w:w="2972"/>
        <w:gridCol w:w="3945"/>
        <w:gridCol w:w="3457"/>
      </w:tblGrid>
      <w:tr w:rsidR="00C22E57" w:rsidRPr="00315936" w14:paraId="7A2299F6" w14:textId="77777777" w:rsidTr="008E1561">
        <w:trPr>
          <w:trHeight w:val="340"/>
          <w:tblHeader/>
        </w:trPr>
        <w:tc>
          <w:tcPr>
            <w:tcW w:w="1432" w:type="pct"/>
            <w:shd w:val="clear" w:color="auto" w:fill="000066"/>
          </w:tcPr>
          <w:p w14:paraId="2652F818" w14:textId="77777777" w:rsidR="00C22E57" w:rsidRPr="003477D2" w:rsidRDefault="00C22E57">
            <w:pPr>
              <w:pStyle w:val="Tablecolhead"/>
            </w:pPr>
            <w:r w:rsidRPr="003477D2">
              <w:t>Key performance measure</w:t>
            </w:r>
          </w:p>
        </w:tc>
        <w:tc>
          <w:tcPr>
            <w:tcW w:w="1901" w:type="pct"/>
            <w:shd w:val="clear" w:color="auto" w:fill="000066"/>
          </w:tcPr>
          <w:p w14:paraId="58046B29" w14:textId="77777777" w:rsidR="00C22E57" w:rsidRPr="003477D2" w:rsidRDefault="00C22E57">
            <w:pPr>
              <w:pStyle w:val="Tablecolhead"/>
            </w:pPr>
            <w:r w:rsidRPr="003477D2">
              <w:t>Change</w:t>
            </w:r>
          </w:p>
        </w:tc>
        <w:tc>
          <w:tcPr>
            <w:tcW w:w="1666" w:type="pct"/>
            <w:shd w:val="clear" w:color="auto" w:fill="000066"/>
          </w:tcPr>
          <w:p w14:paraId="3C8FF7CF" w14:textId="77777777" w:rsidR="00C22E57" w:rsidRPr="003477D2" w:rsidRDefault="00C22E57">
            <w:pPr>
              <w:pStyle w:val="Tablecolhead"/>
            </w:pPr>
            <w:r w:rsidRPr="003477D2">
              <w:t>Commentary</w:t>
            </w:r>
          </w:p>
        </w:tc>
      </w:tr>
      <w:tr w:rsidR="00C22E57" w:rsidRPr="00315936" w14:paraId="15F7EF13" w14:textId="77777777" w:rsidTr="008E1561">
        <w:trPr>
          <w:trHeight w:val="794"/>
        </w:trPr>
        <w:tc>
          <w:tcPr>
            <w:tcW w:w="1432" w:type="pct"/>
          </w:tcPr>
          <w:p w14:paraId="1C796370" w14:textId="70287563" w:rsidR="00C22E57" w:rsidRPr="00315936" w:rsidRDefault="00C22E57">
            <w:pPr>
              <w:pStyle w:val="Tabletext"/>
            </w:pPr>
            <w:r w:rsidRPr="00315936">
              <w:t>Variance between forecast and actual Net result from transactions (NRFT) for the current financial year ending 30 June</w:t>
            </w:r>
            <w:r w:rsidR="00E25CF8" w:rsidRPr="00315936" w:rsidDel="00E25CF8">
              <w:t xml:space="preserve"> </w:t>
            </w:r>
          </w:p>
        </w:tc>
        <w:tc>
          <w:tcPr>
            <w:tcW w:w="1901" w:type="pct"/>
          </w:tcPr>
          <w:p w14:paraId="2C269D77" w14:textId="603AC967" w:rsidR="00C22E57" w:rsidRDefault="00C22E57">
            <w:pPr>
              <w:pStyle w:val="Tabletext"/>
            </w:pPr>
            <w:r>
              <w:rPr>
                <w:b/>
              </w:rPr>
              <w:t>Rename</w:t>
            </w:r>
            <w:r w:rsidR="00081CC7">
              <w:rPr>
                <w:b/>
              </w:rPr>
              <w:t xml:space="preserve"> to: </w:t>
            </w:r>
            <w:r>
              <w:t>V</w:t>
            </w:r>
            <w:r w:rsidRPr="006B2CF1">
              <w:t>ariance between the forecast and actual operating result (OR) as a percentage of the forecast OR for the current financial year ending 30 June</w:t>
            </w:r>
            <w:r>
              <w:t>.</w:t>
            </w:r>
          </w:p>
          <w:p w14:paraId="5035F58F" w14:textId="215574B9" w:rsidR="00C22E57" w:rsidRPr="00A37B0D" w:rsidRDefault="00C22E57" w:rsidP="00535D2B">
            <w:pPr>
              <w:pStyle w:val="Tabletext"/>
            </w:pPr>
            <w:r w:rsidRPr="000D7238">
              <w:rPr>
                <w:b/>
                <w:bCs/>
              </w:rPr>
              <w:t xml:space="preserve">Business rules </w:t>
            </w:r>
            <w:proofErr w:type="gramStart"/>
            <w:r w:rsidRPr="000D7238">
              <w:rPr>
                <w:b/>
                <w:bCs/>
              </w:rPr>
              <w:t>change:</w:t>
            </w:r>
            <w:proofErr w:type="gramEnd"/>
            <w:r w:rsidR="009D5BA0" w:rsidRPr="000D7238">
              <w:rPr>
                <w:b/>
                <w:bCs/>
              </w:rPr>
              <w:t xml:space="preserve"> </w:t>
            </w:r>
            <w:r w:rsidR="00B479F6">
              <w:t>variance between the forecast and actual OR as a percentage of the forecast OR for the current financial year</w:t>
            </w:r>
          </w:p>
        </w:tc>
        <w:tc>
          <w:tcPr>
            <w:tcW w:w="1666" w:type="pct"/>
          </w:tcPr>
          <w:p w14:paraId="28A67C36" w14:textId="32C0D1B6" w:rsidR="00C22E57" w:rsidRPr="00315936" w:rsidRDefault="00C22E57" w:rsidP="00081CC7">
            <w:pPr>
              <w:pStyle w:val="Tabletext"/>
            </w:pPr>
            <w:r w:rsidRPr="00DB0CA1">
              <w:rPr>
                <w:b/>
                <w:bCs/>
              </w:rPr>
              <w:t>Rationale:</w:t>
            </w:r>
            <w:r w:rsidR="00081CC7">
              <w:rPr>
                <w:b/>
                <w:bCs/>
              </w:rPr>
              <w:t xml:space="preserve"> </w:t>
            </w:r>
            <w:r w:rsidRPr="00DB0CA1">
              <w:t xml:space="preserve">Operating result forecast is a more useful </w:t>
            </w:r>
            <w:r>
              <w:t>indicator</w:t>
            </w:r>
            <w:r w:rsidRPr="00DB0CA1">
              <w:t xml:space="preserve"> of financial performance</w:t>
            </w:r>
          </w:p>
        </w:tc>
      </w:tr>
    </w:tbl>
    <w:p w14:paraId="6AD0EAA5" w14:textId="77777777" w:rsidR="00F4076D" w:rsidRPr="00F4076D" w:rsidRDefault="00F4076D" w:rsidP="001C1FD5">
      <w:pPr>
        <w:pStyle w:val="Body"/>
      </w:pPr>
    </w:p>
    <w:p w14:paraId="11044876" w14:textId="29D54853" w:rsidR="00566B30" w:rsidRDefault="00E45443" w:rsidP="001C1FD5">
      <w:pPr>
        <w:pStyle w:val="Heading2"/>
      </w:pPr>
      <w:bookmarkStart w:id="136" w:name="_Toc234580080"/>
      <w:r>
        <w:t>Ambulance Victoria</w:t>
      </w:r>
      <w:r w:rsidR="00CC0E14">
        <w:t xml:space="preserve"> </w:t>
      </w:r>
      <w:r w:rsidR="0090527C">
        <w:t xml:space="preserve">– Key </w:t>
      </w:r>
      <w:r w:rsidR="00CF3E7C">
        <w:t>p</w:t>
      </w:r>
      <w:r w:rsidR="0090527C">
        <w:t xml:space="preserve">erformance </w:t>
      </w:r>
      <w:r w:rsidR="00C407A8">
        <w:t>measures</w:t>
      </w:r>
      <w:bookmarkEnd w:id="136"/>
    </w:p>
    <w:p w14:paraId="1512159F" w14:textId="5C4D5E54" w:rsidR="00C407A8" w:rsidRDefault="00594A0B" w:rsidP="008E7F78">
      <w:pPr>
        <w:pStyle w:val="Heading3"/>
      </w:pPr>
      <w:r>
        <w:t>High quality and safe care</w:t>
      </w:r>
    </w:p>
    <w:tbl>
      <w:tblPr>
        <w:tblStyle w:val="TableGrid"/>
        <w:tblW w:w="10404" w:type="dxa"/>
        <w:tblLook w:val="04A0" w:firstRow="1" w:lastRow="0" w:firstColumn="1" w:lastColumn="0" w:noHBand="0" w:noVBand="1"/>
      </w:tblPr>
      <w:tblGrid>
        <w:gridCol w:w="2263"/>
        <w:gridCol w:w="4536"/>
        <w:gridCol w:w="3605"/>
      </w:tblGrid>
      <w:tr w:rsidR="00594A0B" w:rsidRPr="00315936" w14:paraId="08DCE386" w14:textId="77777777" w:rsidTr="008E1561">
        <w:trPr>
          <w:cantSplit/>
          <w:trHeight w:val="340"/>
          <w:tblHeader/>
        </w:trPr>
        <w:tc>
          <w:tcPr>
            <w:tcW w:w="2263" w:type="dxa"/>
            <w:shd w:val="clear" w:color="auto" w:fill="000066"/>
          </w:tcPr>
          <w:p w14:paraId="495E2730" w14:textId="77777777" w:rsidR="00594A0B" w:rsidRPr="00315936" w:rsidRDefault="00594A0B">
            <w:pPr>
              <w:pStyle w:val="Tablecolhead"/>
            </w:pPr>
            <w:r w:rsidRPr="00315936">
              <w:t>Program</w:t>
            </w:r>
          </w:p>
        </w:tc>
        <w:tc>
          <w:tcPr>
            <w:tcW w:w="4536" w:type="dxa"/>
            <w:shd w:val="clear" w:color="auto" w:fill="000066"/>
          </w:tcPr>
          <w:p w14:paraId="3C124989" w14:textId="77777777" w:rsidR="00594A0B" w:rsidRPr="00315936" w:rsidRDefault="00594A0B">
            <w:pPr>
              <w:pStyle w:val="Tablecolhead"/>
            </w:pPr>
            <w:r w:rsidRPr="00315936">
              <w:t>Measure</w:t>
            </w:r>
          </w:p>
        </w:tc>
        <w:tc>
          <w:tcPr>
            <w:tcW w:w="3605" w:type="dxa"/>
            <w:shd w:val="clear" w:color="auto" w:fill="000066"/>
          </w:tcPr>
          <w:p w14:paraId="249BD23B" w14:textId="77777777" w:rsidR="00594A0B" w:rsidRPr="00315936" w:rsidRDefault="00594A0B">
            <w:pPr>
              <w:pStyle w:val="Tablecolhead"/>
            </w:pPr>
            <w:r w:rsidRPr="00315936">
              <w:t>Target</w:t>
            </w:r>
          </w:p>
        </w:tc>
      </w:tr>
      <w:tr w:rsidR="00594A0B" w:rsidRPr="00315936" w14:paraId="2C6BECE0" w14:textId="77777777" w:rsidTr="008E1561">
        <w:trPr>
          <w:cantSplit/>
        </w:trPr>
        <w:tc>
          <w:tcPr>
            <w:tcW w:w="2263" w:type="dxa"/>
          </w:tcPr>
          <w:p w14:paraId="1D11471A" w14:textId="77777777" w:rsidR="00594A0B" w:rsidRPr="00315936" w:rsidRDefault="00594A0B">
            <w:pPr>
              <w:pStyle w:val="Tabletext"/>
            </w:pPr>
            <w:r w:rsidRPr="00315936">
              <w:t>Infection prevention and control</w:t>
            </w:r>
          </w:p>
        </w:tc>
        <w:tc>
          <w:tcPr>
            <w:tcW w:w="4536" w:type="dxa"/>
          </w:tcPr>
          <w:p w14:paraId="3AE1657F" w14:textId="1066FBC2" w:rsidR="00594A0B" w:rsidRPr="00315936" w:rsidRDefault="00594A0B">
            <w:pPr>
              <w:pStyle w:val="Tabletext"/>
              <w:rPr>
                <w:vertAlign w:val="superscript"/>
              </w:rPr>
            </w:pPr>
            <w:r w:rsidRPr="00315936">
              <w:t>Percentage of healthcare workers immunised for influenza</w:t>
            </w:r>
          </w:p>
        </w:tc>
        <w:tc>
          <w:tcPr>
            <w:tcW w:w="3605" w:type="dxa"/>
          </w:tcPr>
          <w:p w14:paraId="73FF83B0" w14:textId="77777777" w:rsidR="00594A0B" w:rsidRPr="00315936" w:rsidRDefault="00594A0B">
            <w:pPr>
              <w:pStyle w:val="Tabletext"/>
            </w:pPr>
            <w:r w:rsidRPr="00315936">
              <w:t>94 per cent</w:t>
            </w:r>
          </w:p>
        </w:tc>
      </w:tr>
      <w:tr w:rsidR="00594A0B" w:rsidRPr="00315936" w14:paraId="1AE754DB" w14:textId="77777777" w:rsidTr="008E1561">
        <w:trPr>
          <w:cantSplit/>
        </w:trPr>
        <w:tc>
          <w:tcPr>
            <w:tcW w:w="2263" w:type="dxa"/>
          </w:tcPr>
          <w:p w14:paraId="48C73971" w14:textId="04FAC435" w:rsidR="00594A0B" w:rsidRPr="00315936" w:rsidRDefault="00E42091">
            <w:pPr>
              <w:pStyle w:val="Tabletext"/>
            </w:pPr>
            <w:r w:rsidRPr="00315936">
              <w:t>Patient experience</w:t>
            </w:r>
          </w:p>
        </w:tc>
        <w:tc>
          <w:tcPr>
            <w:tcW w:w="4536" w:type="dxa"/>
          </w:tcPr>
          <w:p w14:paraId="1DF372F4" w14:textId="77777777" w:rsidR="00594A0B" w:rsidRPr="00315936" w:rsidRDefault="00594A0B">
            <w:pPr>
              <w:pStyle w:val="Tabletext"/>
              <w:rPr>
                <w:rFonts w:eastAsia="MS Gothic"/>
              </w:rPr>
            </w:pPr>
            <w:r w:rsidRPr="00315936">
              <w:t>Percentage of respondents who rated their overall experience with the ambulance services as ‘satisfied’ or ‘very satisfied’</w:t>
            </w:r>
          </w:p>
        </w:tc>
        <w:tc>
          <w:tcPr>
            <w:tcW w:w="3605" w:type="dxa"/>
          </w:tcPr>
          <w:p w14:paraId="1F8DB862" w14:textId="77777777" w:rsidR="00594A0B" w:rsidRPr="00315936" w:rsidRDefault="00594A0B">
            <w:pPr>
              <w:pStyle w:val="Tabletext"/>
            </w:pPr>
            <w:r>
              <w:t>95</w:t>
            </w:r>
            <w:r w:rsidRPr="00315936">
              <w:t xml:space="preserve"> per cent</w:t>
            </w:r>
          </w:p>
        </w:tc>
      </w:tr>
      <w:tr w:rsidR="00594A0B" w:rsidRPr="00315936" w14:paraId="5481FCF6" w14:textId="77777777" w:rsidTr="008E1561">
        <w:trPr>
          <w:cantSplit/>
        </w:trPr>
        <w:tc>
          <w:tcPr>
            <w:tcW w:w="2263" w:type="dxa"/>
          </w:tcPr>
          <w:p w14:paraId="37AF1373" w14:textId="03B1D4DC" w:rsidR="00594A0B" w:rsidRPr="00315936" w:rsidRDefault="00E42091">
            <w:pPr>
              <w:pStyle w:val="Tabletext"/>
            </w:pPr>
            <w:r w:rsidRPr="00315936">
              <w:t>Patient experience</w:t>
            </w:r>
          </w:p>
        </w:tc>
        <w:tc>
          <w:tcPr>
            <w:tcW w:w="4536" w:type="dxa"/>
          </w:tcPr>
          <w:p w14:paraId="5289FDF7" w14:textId="77777777" w:rsidR="00594A0B" w:rsidRPr="00315936" w:rsidRDefault="00594A0B">
            <w:pPr>
              <w:pStyle w:val="Tabletext"/>
              <w:rPr>
                <w:rFonts w:eastAsia="MS Gothic"/>
              </w:rPr>
            </w:pPr>
            <w:bookmarkStart w:id="137" w:name="_Hlk213062357"/>
            <w:r w:rsidRPr="00315936">
              <w:rPr>
                <w:rFonts w:eastAsia="MS Gothic"/>
              </w:rPr>
              <w:t xml:space="preserve">Percentage </w:t>
            </w:r>
            <w:r w:rsidRPr="00315936">
              <w:rPr>
                <w:rFonts w:eastAsia="MS Gothic"/>
                <w:color w:val="000000"/>
                <w:szCs w:val="21"/>
              </w:rPr>
              <w:t xml:space="preserve">of respondents who rated the </w:t>
            </w:r>
            <w:r>
              <w:rPr>
                <w:rFonts w:eastAsia="MS Gothic"/>
                <w:color w:val="000000"/>
                <w:szCs w:val="21"/>
              </w:rPr>
              <w:t>level</w:t>
            </w:r>
            <w:r w:rsidRPr="00315936">
              <w:rPr>
                <w:rFonts w:eastAsia="MS Gothic"/>
                <w:color w:val="000000"/>
                <w:szCs w:val="21"/>
              </w:rPr>
              <w:t xml:space="preserve"> of care provided by paramedics as ‘good’ or ‘very good</w:t>
            </w:r>
            <w:r>
              <w:rPr>
                <w:rFonts w:eastAsia="MS Gothic"/>
                <w:color w:val="000000"/>
                <w:szCs w:val="21"/>
              </w:rPr>
              <w:t>’</w:t>
            </w:r>
            <w:bookmarkEnd w:id="137"/>
          </w:p>
        </w:tc>
        <w:tc>
          <w:tcPr>
            <w:tcW w:w="3605" w:type="dxa"/>
          </w:tcPr>
          <w:p w14:paraId="12E0C8BF" w14:textId="77777777" w:rsidR="00594A0B" w:rsidRPr="00AC34D9" w:rsidRDefault="00594A0B">
            <w:pPr>
              <w:pStyle w:val="Tabletext"/>
            </w:pPr>
            <w:r>
              <w:t>95 per cent</w:t>
            </w:r>
          </w:p>
        </w:tc>
      </w:tr>
      <w:tr w:rsidR="00594A0B" w:rsidRPr="00315936" w14:paraId="26189675" w14:textId="77777777" w:rsidTr="008E1561">
        <w:trPr>
          <w:cantSplit/>
        </w:trPr>
        <w:tc>
          <w:tcPr>
            <w:tcW w:w="2263" w:type="dxa"/>
          </w:tcPr>
          <w:p w14:paraId="19D23E57" w14:textId="487BBEDF" w:rsidR="00594A0B" w:rsidRPr="00315936" w:rsidRDefault="00E42091">
            <w:pPr>
              <w:pStyle w:val="Tabletext"/>
              <w:rPr>
                <w:rFonts w:eastAsia="MS Gothic"/>
              </w:rPr>
            </w:pPr>
            <w:r w:rsidRPr="00315936">
              <w:t>Patient experience</w:t>
            </w:r>
          </w:p>
        </w:tc>
        <w:tc>
          <w:tcPr>
            <w:tcW w:w="4536" w:type="dxa"/>
          </w:tcPr>
          <w:p w14:paraId="31AE4255" w14:textId="77777777" w:rsidR="00594A0B" w:rsidRPr="00315936" w:rsidRDefault="00594A0B">
            <w:pPr>
              <w:pStyle w:val="Tabletext"/>
              <w:rPr>
                <w:rFonts w:eastAsia="MS Gothic"/>
                <w:b/>
              </w:rPr>
            </w:pPr>
            <w:r w:rsidRPr="00315936">
              <w:t>Percentage of patients experiencing severe cardiac or traumatic pain whose level of pain was reduced significantly</w:t>
            </w:r>
          </w:p>
        </w:tc>
        <w:tc>
          <w:tcPr>
            <w:tcW w:w="3605" w:type="dxa"/>
          </w:tcPr>
          <w:p w14:paraId="05338F99" w14:textId="77777777" w:rsidR="00594A0B" w:rsidRPr="00315936" w:rsidRDefault="00594A0B">
            <w:pPr>
              <w:pStyle w:val="Tabletext"/>
            </w:pPr>
            <w:r>
              <w:t>90 per cent</w:t>
            </w:r>
          </w:p>
        </w:tc>
      </w:tr>
      <w:tr w:rsidR="00594A0B" w:rsidRPr="00315936" w14:paraId="637223C0" w14:textId="77777777" w:rsidTr="008E1561">
        <w:trPr>
          <w:cantSplit/>
        </w:trPr>
        <w:tc>
          <w:tcPr>
            <w:tcW w:w="2263" w:type="dxa"/>
            <w:vAlign w:val="center"/>
          </w:tcPr>
          <w:p w14:paraId="1850D0FC" w14:textId="027F288D" w:rsidR="00594A0B" w:rsidRPr="00315936" w:rsidRDefault="00E42091">
            <w:pPr>
              <w:pStyle w:val="Tabletext"/>
              <w:rPr>
                <w:rFonts w:cs="Arial"/>
                <w:color w:val="000000"/>
                <w:sz w:val="18"/>
                <w:szCs w:val="18"/>
                <w:shd w:val="clear" w:color="auto" w:fill="FFFFFF"/>
              </w:rPr>
            </w:pPr>
            <w:r w:rsidRPr="00315936">
              <w:t>Patient experience</w:t>
            </w:r>
          </w:p>
        </w:tc>
        <w:tc>
          <w:tcPr>
            <w:tcW w:w="4536" w:type="dxa"/>
          </w:tcPr>
          <w:p w14:paraId="6F6E1C26" w14:textId="77777777" w:rsidR="00594A0B" w:rsidRPr="00315936" w:rsidRDefault="00594A0B">
            <w:pPr>
              <w:pStyle w:val="Tabletext"/>
              <w:rPr>
                <w:rFonts w:eastAsia="MS Gothic"/>
              </w:rPr>
            </w:pPr>
            <w:r w:rsidRPr="00315936">
              <w:t>Percentage of adult stroke patients transported to definitive care within 60 minutes</w:t>
            </w:r>
          </w:p>
        </w:tc>
        <w:tc>
          <w:tcPr>
            <w:tcW w:w="3605" w:type="dxa"/>
          </w:tcPr>
          <w:p w14:paraId="6E3ADE61" w14:textId="77777777" w:rsidR="00594A0B" w:rsidRPr="00315936" w:rsidRDefault="00594A0B">
            <w:pPr>
              <w:pStyle w:val="Tabletext"/>
            </w:pPr>
            <w:r>
              <w:t>90 per cent</w:t>
            </w:r>
          </w:p>
        </w:tc>
      </w:tr>
      <w:tr w:rsidR="00594A0B" w:rsidRPr="00315936" w14:paraId="798C9397" w14:textId="77777777" w:rsidTr="008E1561">
        <w:trPr>
          <w:cantSplit/>
        </w:trPr>
        <w:tc>
          <w:tcPr>
            <w:tcW w:w="2263" w:type="dxa"/>
          </w:tcPr>
          <w:p w14:paraId="2CD267F9" w14:textId="76562C01" w:rsidR="00594A0B" w:rsidRPr="00315936" w:rsidRDefault="00BA1F79">
            <w:pPr>
              <w:pStyle w:val="Tabletext"/>
              <w:rPr>
                <w:rFonts w:cs="Arial"/>
                <w:color w:val="000000"/>
                <w:sz w:val="18"/>
                <w:szCs w:val="18"/>
                <w:shd w:val="clear" w:color="auto" w:fill="FFFFFF"/>
              </w:rPr>
            </w:pPr>
            <w:r w:rsidRPr="00315936">
              <w:t>Patient experience</w:t>
            </w:r>
          </w:p>
        </w:tc>
        <w:tc>
          <w:tcPr>
            <w:tcW w:w="4536" w:type="dxa"/>
          </w:tcPr>
          <w:p w14:paraId="1EEB9287" w14:textId="77777777" w:rsidR="00594A0B" w:rsidRPr="00315936" w:rsidRDefault="00594A0B">
            <w:pPr>
              <w:pStyle w:val="Tabletext"/>
              <w:rPr>
                <w:rFonts w:eastAsia="MS Gothic"/>
              </w:rPr>
            </w:pPr>
            <w:r w:rsidRPr="00315936">
              <w:t>Percentage of major trauma patients that meet destination compliance (by 45 minutes)</w:t>
            </w:r>
          </w:p>
        </w:tc>
        <w:tc>
          <w:tcPr>
            <w:tcW w:w="3605" w:type="dxa"/>
          </w:tcPr>
          <w:p w14:paraId="4E60FB11" w14:textId="77777777" w:rsidR="00594A0B" w:rsidRPr="00315936" w:rsidRDefault="00594A0B">
            <w:pPr>
              <w:pStyle w:val="Tabletext"/>
            </w:pPr>
            <w:r>
              <w:t>85 per cent</w:t>
            </w:r>
          </w:p>
        </w:tc>
      </w:tr>
      <w:tr w:rsidR="00594A0B" w:rsidRPr="00315936" w14:paraId="5EE500D7" w14:textId="77777777" w:rsidTr="008E1561">
        <w:trPr>
          <w:cantSplit/>
        </w:trPr>
        <w:tc>
          <w:tcPr>
            <w:tcW w:w="2263" w:type="dxa"/>
          </w:tcPr>
          <w:p w14:paraId="2106EE96" w14:textId="7D0CD9AE" w:rsidR="00594A0B" w:rsidRPr="00315936" w:rsidRDefault="00BA1F79">
            <w:pPr>
              <w:pStyle w:val="Tabletext"/>
              <w:rPr>
                <w:rFonts w:cs="Arial"/>
                <w:color w:val="000000"/>
                <w:sz w:val="18"/>
                <w:szCs w:val="18"/>
                <w:shd w:val="clear" w:color="auto" w:fill="FFFFFF"/>
              </w:rPr>
            </w:pPr>
            <w:r w:rsidRPr="00315936">
              <w:t>Patient experience</w:t>
            </w:r>
          </w:p>
        </w:tc>
        <w:tc>
          <w:tcPr>
            <w:tcW w:w="4536" w:type="dxa"/>
          </w:tcPr>
          <w:p w14:paraId="21FBA52B" w14:textId="77777777" w:rsidR="00594A0B" w:rsidRPr="00315936" w:rsidRDefault="00594A0B">
            <w:pPr>
              <w:pStyle w:val="Tabletext"/>
              <w:rPr>
                <w:rFonts w:eastAsia="MS Gothic"/>
              </w:rPr>
            </w:pPr>
            <w:r w:rsidRPr="00315936">
              <w:t>Percentage of adult cardiac arrest patients surviving to hospital</w:t>
            </w:r>
          </w:p>
        </w:tc>
        <w:tc>
          <w:tcPr>
            <w:tcW w:w="3605" w:type="dxa"/>
          </w:tcPr>
          <w:p w14:paraId="4DFC30B2" w14:textId="77777777" w:rsidR="00594A0B" w:rsidRPr="00315936" w:rsidRDefault="00594A0B">
            <w:pPr>
              <w:pStyle w:val="Tabletext"/>
            </w:pPr>
            <w:r>
              <w:t>50 per cent</w:t>
            </w:r>
          </w:p>
        </w:tc>
      </w:tr>
      <w:tr w:rsidR="00594A0B" w:rsidRPr="00315936" w14:paraId="73C38DEF" w14:textId="77777777" w:rsidTr="008E1561">
        <w:trPr>
          <w:cantSplit/>
        </w:trPr>
        <w:tc>
          <w:tcPr>
            <w:tcW w:w="2263" w:type="dxa"/>
          </w:tcPr>
          <w:p w14:paraId="125E32B1" w14:textId="3C12FBD9" w:rsidR="00594A0B" w:rsidRPr="00315936" w:rsidRDefault="00BA1F79">
            <w:pPr>
              <w:pStyle w:val="Tabletext"/>
            </w:pPr>
            <w:r w:rsidRPr="00315936">
              <w:t>Patient experience</w:t>
            </w:r>
          </w:p>
        </w:tc>
        <w:tc>
          <w:tcPr>
            <w:tcW w:w="4536" w:type="dxa"/>
          </w:tcPr>
          <w:p w14:paraId="42CB6A12" w14:textId="77777777" w:rsidR="00594A0B" w:rsidRPr="00315936" w:rsidRDefault="00594A0B">
            <w:pPr>
              <w:pStyle w:val="Tabletext"/>
            </w:pPr>
            <w:r w:rsidRPr="00315936">
              <w:t>Percentage of adult cardiac arrest patients surviving to hospital discharge</w:t>
            </w:r>
          </w:p>
        </w:tc>
        <w:tc>
          <w:tcPr>
            <w:tcW w:w="3605" w:type="dxa"/>
          </w:tcPr>
          <w:p w14:paraId="10B1101B" w14:textId="77777777" w:rsidR="00594A0B" w:rsidRPr="00315936" w:rsidRDefault="00594A0B">
            <w:pPr>
              <w:pStyle w:val="Tabletext"/>
            </w:pPr>
            <w:r>
              <w:t>25 per cent</w:t>
            </w:r>
          </w:p>
        </w:tc>
      </w:tr>
    </w:tbl>
    <w:p w14:paraId="7D9363CA" w14:textId="77777777" w:rsidR="00EA1570" w:rsidRDefault="00EA1570" w:rsidP="008E7F78">
      <w:pPr>
        <w:pStyle w:val="Heading3"/>
      </w:pPr>
      <w:r>
        <w:t>Strong governance, leadership and culture</w:t>
      </w:r>
    </w:p>
    <w:tbl>
      <w:tblPr>
        <w:tblStyle w:val="TableGrid"/>
        <w:tblW w:w="10435" w:type="dxa"/>
        <w:tblLook w:val="04A0" w:firstRow="1" w:lastRow="0" w:firstColumn="1" w:lastColumn="0" w:noHBand="0" w:noVBand="1"/>
      </w:tblPr>
      <w:tblGrid>
        <w:gridCol w:w="2263"/>
        <w:gridCol w:w="4536"/>
        <w:gridCol w:w="3636"/>
      </w:tblGrid>
      <w:tr w:rsidR="002967EB" w:rsidRPr="00315936" w14:paraId="03287199" w14:textId="77777777" w:rsidTr="008E1561">
        <w:trPr>
          <w:cantSplit/>
          <w:trHeight w:val="340"/>
          <w:tblHeader/>
        </w:trPr>
        <w:tc>
          <w:tcPr>
            <w:tcW w:w="2263" w:type="dxa"/>
            <w:shd w:val="clear" w:color="auto" w:fill="000066"/>
          </w:tcPr>
          <w:p w14:paraId="3AB0779C" w14:textId="77777777" w:rsidR="002967EB" w:rsidRPr="00315936" w:rsidRDefault="002967EB">
            <w:pPr>
              <w:pStyle w:val="Tablecolhead"/>
            </w:pPr>
            <w:r w:rsidRPr="00315936">
              <w:t>Program</w:t>
            </w:r>
          </w:p>
        </w:tc>
        <w:tc>
          <w:tcPr>
            <w:tcW w:w="4536" w:type="dxa"/>
            <w:shd w:val="clear" w:color="auto" w:fill="000066"/>
          </w:tcPr>
          <w:p w14:paraId="1EE97DD5" w14:textId="77777777" w:rsidR="002967EB" w:rsidRPr="00315936" w:rsidRDefault="002967EB">
            <w:pPr>
              <w:pStyle w:val="Tablecolhead"/>
            </w:pPr>
            <w:r w:rsidRPr="00315936">
              <w:t>Measure</w:t>
            </w:r>
          </w:p>
        </w:tc>
        <w:tc>
          <w:tcPr>
            <w:tcW w:w="3636" w:type="dxa"/>
            <w:shd w:val="clear" w:color="auto" w:fill="000066"/>
          </w:tcPr>
          <w:p w14:paraId="7E8D05E7" w14:textId="77777777" w:rsidR="002967EB" w:rsidRPr="00315936" w:rsidRDefault="002967EB">
            <w:pPr>
              <w:pStyle w:val="Tablecolhead"/>
            </w:pPr>
            <w:r w:rsidRPr="00315936">
              <w:t>Target</w:t>
            </w:r>
          </w:p>
        </w:tc>
      </w:tr>
      <w:tr w:rsidR="002967EB" w:rsidRPr="00315936" w14:paraId="329ABB7B" w14:textId="77777777" w:rsidTr="008E1561">
        <w:trPr>
          <w:cantSplit/>
          <w:trHeight w:val="801"/>
        </w:trPr>
        <w:tc>
          <w:tcPr>
            <w:tcW w:w="2263" w:type="dxa"/>
          </w:tcPr>
          <w:p w14:paraId="419AA5AB" w14:textId="77777777" w:rsidR="002967EB" w:rsidRPr="00315936" w:rsidRDefault="002967EB">
            <w:pPr>
              <w:pStyle w:val="Tabletext"/>
            </w:pPr>
            <w:r w:rsidRPr="00315936">
              <w:t>Organisational culture</w:t>
            </w:r>
          </w:p>
        </w:tc>
        <w:tc>
          <w:tcPr>
            <w:tcW w:w="4536" w:type="dxa"/>
          </w:tcPr>
          <w:p w14:paraId="64D2559B" w14:textId="227194BD" w:rsidR="002967EB" w:rsidRPr="00315936" w:rsidRDefault="002967EB">
            <w:pPr>
              <w:pStyle w:val="Tabletext"/>
            </w:pPr>
            <w:r w:rsidRPr="00315936">
              <w:t>People matter survey – Percentage of staff with an overall positive response to safety culture survey questions</w:t>
            </w:r>
          </w:p>
        </w:tc>
        <w:tc>
          <w:tcPr>
            <w:tcW w:w="3636" w:type="dxa"/>
          </w:tcPr>
          <w:p w14:paraId="742B0CE6" w14:textId="77777777" w:rsidR="002967EB" w:rsidRPr="00315936" w:rsidRDefault="002967EB">
            <w:pPr>
              <w:pStyle w:val="Tabletext"/>
            </w:pPr>
            <w:r>
              <w:t>80 per cent</w:t>
            </w:r>
          </w:p>
        </w:tc>
      </w:tr>
    </w:tbl>
    <w:p w14:paraId="363B99F9" w14:textId="77777777" w:rsidR="002967EB" w:rsidRPr="002967EB" w:rsidRDefault="002967EB" w:rsidP="008E7F78">
      <w:pPr>
        <w:pStyle w:val="Body"/>
      </w:pPr>
    </w:p>
    <w:p w14:paraId="1A684129" w14:textId="77777777" w:rsidR="00EA1570" w:rsidRDefault="00EA1570" w:rsidP="008E7F78">
      <w:pPr>
        <w:pStyle w:val="Heading3"/>
      </w:pPr>
      <w:r>
        <w:t>Timely access to care</w:t>
      </w:r>
    </w:p>
    <w:tbl>
      <w:tblPr>
        <w:tblStyle w:val="TableGrid"/>
        <w:tblW w:w="10435" w:type="dxa"/>
        <w:tblLook w:val="04A0" w:firstRow="1" w:lastRow="0" w:firstColumn="1" w:lastColumn="0" w:noHBand="0" w:noVBand="1"/>
      </w:tblPr>
      <w:tblGrid>
        <w:gridCol w:w="2263"/>
        <w:gridCol w:w="4536"/>
        <w:gridCol w:w="3636"/>
      </w:tblGrid>
      <w:tr w:rsidR="000C1C90" w:rsidRPr="00315936" w14:paraId="6EEB574F" w14:textId="77777777" w:rsidTr="008E1561">
        <w:trPr>
          <w:cantSplit/>
          <w:trHeight w:val="340"/>
          <w:tblHeader/>
        </w:trPr>
        <w:tc>
          <w:tcPr>
            <w:tcW w:w="2263" w:type="dxa"/>
            <w:shd w:val="clear" w:color="auto" w:fill="000066"/>
          </w:tcPr>
          <w:p w14:paraId="06FEF8CB" w14:textId="77777777" w:rsidR="000C1C90" w:rsidRPr="00315936" w:rsidRDefault="000C1C90">
            <w:pPr>
              <w:pStyle w:val="Tablecolhead"/>
            </w:pPr>
            <w:r w:rsidRPr="00315936">
              <w:t>Program</w:t>
            </w:r>
          </w:p>
        </w:tc>
        <w:tc>
          <w:tcPr>
            <w:tcW w:w="4536" w:type="dxa"/>
            <w:shd w:val="clear" w:color="auto" w:fill="000066"/>
          </w:tcPr>
          <w:p w14:paraId="7E9B34BF" w14:textId="77777777" w:rsidR="000C1C90" w:rsidRPr="00315936" w:rsidRDefault="000C1C90">
            <w:pPr>
              <w:pStyle w:val="Tablecolhead"/>
            </w:pPr>
            <w:r w:rsidRPr="00315936">
              <w:t>Measure</w:t>
            </w:r>
          </w:p>
        </w:tc>
        <w:tc>
          <w:tcPr>
            <w:tcW w:w="3636" w:type="dxa"/>
            <w:shd w:val="clear" w:color="auto" w:fill="000066"/>
          </w:tcPr>
          <w:p w14:paraId="23437BA6" w14:textId="77777777" w:rsidR="000C1C90" w:rsidRPr="00315936" w:rsidRDefault="000C1C90">
            <w:pPr>
              <w:pStyle w:val="Tablecolhead"/>
            </w:pPr>
            <w:r w:rsidRPr="00315936">
              <w:t>Target</w:t>
            </w:r>
          </w:p>
        </w:tc>
      </w:tr>
      <w:tr w:rsidR="000C1C90" w:rsidRPr="00315936" w14:paraId="30F060D6" w14:textId="77777777" w:rsidTr="008E1561">
        <w:trPr>
          <w:cantSplit/>
        </w:trPr>
        <w:tc>
          <w:tcPr>
            <w:tcW w:w="2263" w:type="dxa"/>
          </w:tcPr>
          <w:p w14:paraId="7D57DB89" w14:textId="77777777" w:rsidR="000C1C90" w:rsidRPr="00315936" w:rsidRDefault="000C1C90">
            <w:pPr>
              <w:pStyle w:val="Tabletext"/>
              <w:rPr>
                <w:rFonts w:eastAsia="MS Gothic"/>
              </w:rPr>
            </w:pPr>
            <w:r w:rsidRPr="00315936">
              <w:rPr>
                <w:rFonts w:eastAsia="MS Gothic"/>
              </w:rPr>
              <w:t>Emergency care</w:t>
            </w:r>
          </w:p>
        </w:tc>
        <w:tc>
          <w:tcPr>
            <w:tcW w:w="4536" w:type="dxa"/>
          </w:tcPr>
          <w:p w14:paraId="2E8E22D0" w14:textId="1F2C7A9D" w:rsidR="000C1C90" w:rsidRPr="00691DC3" w:rsidRDefault="000C1C90">
            <w:pPr>
              <w:pStyle w:val="Tabletext"/>
              <w:rPr>
                <w:rFonts w:eastAsia="MS Gothic"/>
              </w:rPr>
            </w:pPr>
            <w:r w:rsidRPr="00691DC3">
              <w:t>Percentage of patients transferred from ambulance to emergency department within 40 minutes</w:t>
            </w:r>
          </w:p>
        </w:tc>
        <w:tc>
          <w:tcPr>
            <w:tcW w:w="3636" w:type="dxa"/>
          </w:tcPr>
          <w:p w14:paraId="44EF71DF" w14:textId="77777777" w:rsidR="000C1C90" w:rsidRPr="000D7238" w:rsidRDefault="000C1C90" w:rsidP="000D7238">
            <w:pPr>
              <w:pStyle w:val="Tabletext"/>
            </w:pPr>
            <w:r w:rsidRPr="00691DC3">
              <w:t xml:space="preserve">80 per cent or 3 per cent improvement on the same time last year </w:t>
            </w:r>
          </w:p>
        </w:tc>
      </w:tr>
      <w:tr w:rsidR="000C1C90" w:rsidRPr="00315936" w14:paraId="75B57C95" w14:textId="77777777" w:rsidTr="008E1561">
        <w:trPr>
          <w:cantSplit/>
        </w:trPr>
        <w:tc>
          <w:tcPr>
            <w:tcW w:w="2263" w:type="dxa"/>
          </w:tcPr>
          <w:p w14:paraId="6B603E73" w14:textId="77777777" w:rsidR="000C1C90" w:rsidRPr="00315936" w:rsidRDefault="000C1C90">
            <w:pPr>
              <w:pStyle w:val="Tabletext"/>
            </w:pPr>
            <w:r w:rsidRPr="00315936">
              <w:t>Ambulance Victoria</w:t>
            </w:r>
          </w:p>
        </w:tc>
        <w:tc>
          <w:tcPr>
            <w:tcW w:w="4536" w:type="dxa"/>
          </w:tcPr>
          <w:p w14:paraId="6648BC0F" w14:textId="77777777" w:rsidR="000C1C90" w:rsidRPr="00315936" w:rsidRDefault="000C1C90">
            <w:pPr>
              <w:pStyle w:val="Tabletext"/>
            </w:pPr>
            <w:r w:rsidRPr="00315936">
              <w:t>Percentage of emergency (Code 1) incidents</w:t>
            </w:r>
            <w:r>
              <w:t xml:space="preserve"> (modified Secondary Triage call start time)</w:t>
            </w:r>
            <w:r w:rsidRPr="00315936">
              <w:t xml:space="preserve"> responded to within 15 minutes</w:t>
            </w:r>
          </w:p>
        </w:tc>
        <w:tc>
          <w:tcPr>
            <w:tcW w:w="3636" w:type="dxa"/>
          </w:tcPr>
          <w:p w14:paraId="0F637613" w14:textId="77777777" w:rsidR="000C1C90" w:rsidRDefault="000C1C90">
            <w:pPr>
              <w:pStyle w:val="Tabletext"/>
            </w:pPr>
            <w:r>
              <w:t>Greater than or equal to 90 per cent or at least 4 per cent improvement compared to same time last year</w:t>
            </w:r>
          </w:p>
        </w:tc>
      </w:tr>
      <w:tr w:rsidR="000C1C90" w:rsidRPr="00315936" w14:paraId="04D00773" w14:textId="77777777" w:rsidTr="008E1561">
        <w:trPr>
          <w:cantSplit/>
        </w:trPr>
        <w:tc>
          <w:tcPr>
            <w:tcW w:w="2263" w:type="dxa"/>
          </w:tcPr>
          <w:p w14:paraId="4E795D7C" w14:textId="77777777" w:rsidR="000C1C90" w:rsidRPr="00315936" w:rsidRDefault="000C1C90">
            <w:pPr>
              <w:pStyle w:val="Tabletext"/>
            </w:pPr>
            <w:r w:rsidRPr="00315936">
              <w:t>Ambulance Victoria</w:t>
            </w:r>
          </w:p>
        </w:tc>
        <w:tc>
          <w:tcPr>
            <w:tcW w:w="4536" w:type="dxa"/>
          </w:tcPr>
          <w:p w14:paraId="2104338B" w14:textId="77777777" w:rsidR="000C1C90" w:rsidRPr="00315936" w:rsidRDefault="000C1C90">
            <w:pPr>
              <w:pStyle w:val="Tabletext"/>
              <w:rPr>
                <w:rFonts w:eastAsia="MS Gothic"/>
              </w:rPr>
            </w:pPr>
            <w:r w:rsidRPr="00315936">
              <w:t>Percentage of emergency (Code 1) incidents responded to within 15 minutes</w:t>
            </w:r>
          </w:p>
        </w:tc>
        <w:tc>
          <w:tcPr>
            <w:tcW w:w="3636" w:type="dxa"/>
          </w:tcPr>
          <w:p w14:paraId="393A18A3" w14:textId="2CCF9456" w:rsidR="000C1C90" w:rsidRPr="00315936" w:rsidRDefault="000C1C90">
            <w:pPr>
              <w:pStyle w:val="Tabletext"/>
            </w:pPr>
            <w:r w:rsidRPr="00B4553D">
              <w:t>Greater than or equal to 85 per cent or at least a 4 per</w:t>
            </w:r>
            <w:r w:rsidRPr="00C4056D">
              <w:t xml:space="preserve"> </w:t>
            </w:r>
            <w:r w:rsidRPr="00B4553D">
              <w:t>cent improvement compared to same time last year</w:t>
            </w:r>
          </w:p>
        </w:tc>
      </w:tr>
      <w:tr w:rsidR="000C1C90" w:rsidRPr="00315936" w14:paraId="5CE06474" w14:textId="77777777" w:rsidTr="008E1561">
        <w:trPr>
          <w:cantSplit/>
        </w:trPr>
        <w:tc>
          <w:tcPr>
            <w:tcW w:w="2263" w:type="dxa"/>
          </w:tcPr>
          <w:p w14:paraId="3BBA7F46" w14:textId="77777777" w:rsidR="000C1C90" w:rsidRPr="00315936" w:rsidRDefault="000C1C90">
            <w:pPr>
              <w:pStyle w:val="Tabletext"/>
              <w:rPr>
                <w:rFonts w:eastAsia="MS Gothic"/>
              </w:rPr>
            </w:pPr>
            <w:r w:rsidRPr="00315936">
              <w:t>Ambulance Victoria</w:t>
            </w:r>
          </w:p>
        </w:tc>
        <w:tc>
          <w:tcPr>
            <w:tcW w:w="4536" w:type="dxa"/>
          </w:tcPr>
          <w:p w14:paraId="7CB1789E" w14:textId="77777777" w:rsidR="000C1C90" w:rsidRPr="00315936" w:rsidRDefault="000C1C90">
            <w:pPr>
              <w:pStyle w:val="Tabletext"/>
              <w:rPr>
                <w:rFonts w:eastAsia="MS Gothic"/>
                <w:b/>
              </w:rPr>
            </w:pPr>
            <w:r w:rsidRPr="00315936">
              <w:t>Percentage of emergency (Priority 0) incidents responded to within 13 minutes</w:t>
            </w:r>
          </w:p>
        </w:tc>
        <w:tc>
          <w:tcPr>
            <w:tcW w:w="3636" w:type="dxa"/>
          </w:tcPr>
          <w:p w14:paraId="3F6D3D95" w14:textId="327A62BD" w:rsidR="000C1C90" w:rsidRPr="00315936" w:rsidRDefault="000C1C90">
            <w:pPr>
              <w:pStyle w:val="Tabletext"/>
            </w:pPr>
            <w:r w:rsidRPr="00B4553D">
              <w:t>Greater than or equal to 85 per cent or at least a 3 per</w:t>
            </w:r>
            <w:r w:rsidRPr="00C4056D">
              <w:t xml:space="preserve"> </w:t>
            </w:r>
            <w:r w:rsidRPr="00B4553D">
              <w:t>cent improvement compared to same time last year</w:t>
            </w:r>
          </w:p>
        </w:tc>
      </w:tr>
      <w:tr w:rsidR="000C1C90" w:rsidRPr="00315936" w14:paraId="1561A3C3" w14:textId="77777777" w:rsidTr="008E1561">
        <w:trPr>
          <w:cantSplit/>
        </w:trPr>
        <w:tc>
          <w:tcPr>
            <w:tcW w:w="2263" w:type="dxa"/>
          </w:tcPr>
          <w:p w14:paraId="277AA27D" w14:textId="77777777" w:rsidR="000C1C90" w:rsidRPr="00315936" w:rsidRDefault="000C1C90">
            <w:pPr>
              <w:pStyle w:val="Tabletext"/>
              <w:rPr>
                <w:rFonts w:cs="Arial"/>
                <w:color w:val="000000"/>
                <w:sz w:val="18"/>
                <w:szCs w:val="18"/>
                <w:shd w:val="clear" w:color="auto" w:fill="FFFFFF"/>
              </w:rPr>
            </w:pPr>
            <w:r w:rsidRPr="00315936">
              <w:t>Ambulance Victoria</w:t>
            </w:r>
          </w:p>
        </w:tc>
        <w:tc>
          <w:tcPr>
            <w:tcW w:w="4536" w:type="dxa"/>
          </w:tcPr>
          <w:p w14:paraId="26B861EA" w14:textId="77777777" w:rsidR="000C1C90" w:rsidRPr="00315936" w:rsidRDefault="000C1C90">
            <w:pPr>
              <w:pStyle w:val="Tabletext"/>
              <w:rPr>
                <w:rFonts w:eastAsia="MS Gothic"/>
              </w:rPr>
            </w:pPr>
            <w:r w:rsidRPr="00315936">
              <w:t>Percentage of triple zero events where the caller receives advice or service from another health provider as an alternative to emergency ambulance response – statewide</w:t>
            </w:r>
          </w:p>
        </w:tc>
        <w:tc>
          <w:tcPr>
            <w:tcW w:w="3636" w:type="dxa"/>
          </w:tcPr>
          <w:p w14:paraId="7A908595" w14:textId="2C199517" w:rsidR="000C1C90" w:rsidRPr="00315936" w:rsidRDefault="000C1C90">
            <w:pPr>
              <w:pStyle w:val="Tabletext"/>
            </w:pPr>
            <w:r>
              <w:t>Greater than or equal to 25 per cent or at least 5 per cent improvement compared to the same time last year</w:t>
            </w:r>
          </w:p>
        </w:tc>
      </w:tr>
      <w:tr w:rsidR="000C1C90" w:rsidRPr="00315936" w14:paraId="271871C0" w14:textId="77777777" w:rsidTr="008E1561">
        <w:trPr>
          <w:cantSplit/>
        </w:trPr>
        <w:tc>
          <w:tcPr>
            <w:tcW w:w="2263" w:type="dxa"/>
          </w:tcPr>
          <w:p w14:paraId="5DD4226A" w14:textId="77777777" w:rsidR="000C1C90" w:rsidRPr="00315936" w:rsidRDefault="000C1C90">
            <w:pPr>
              <w:pStyle w:val="Tabletext"/>
              <w:rPr>
                <w:rFonts w:cs="Arial"/>
                <w:color w:val="000000"/>
                <w:sz w:val="18"/>
                <w:szCs w:val="18"/>
                <w:shd w:val="clear" w:color="auto" w:fill="FFFFFF"/>
              </w:rPr>
            </w:pPr>
            <w:r w:rsidRPr="00315936">
              <w:t>Ambulance Victoria</w:t>
            </w:r>
          </w:p>
        </w:tc>
        <w:tc>
          <w:tcPr>
            <w:tcW w:w="4536" w:type="dxa"/>
          </w:tcPr>
          <w:p w14:paraId="2E392DA7" w14:textId="77777777" w:rsidR="000C1C90" w:rsidRPr="00315936" w:rsidRDefault="000C1C90">
            <w:pPr>
              <w:pStyle w:val="Tabletext"/>
              <w:rPr>
                <w:rFonts w:eastAsia="MS Gothic"/>
              </w:rPr>
            </w:pPr>
            <w:r w:rsidRPr="00315936">
              <w:t>Average ambulance hospital clearing time</w:t>
            </w:r>
          </w:p>
        </w:tc>
        <w:tc>
          <w:tcPr>
            <w:tcW w:w="3636" w:type="dxa"/>
          </w:tcPr>
          <w:p w14:paraId="62991DC8" w14:textId="77777777" w:rsidR="000C1C90" w:rsidRPr="00315936" w:rsidRDefault="000C1C90">
            <w:pPr>
              <w:pStyle w:val="Tabletext"/>
            </w:pPr>
            <w:r w:rsidRPr="00315936">
              <w:t>20 minutes</w:t>
            </w:r>
          </w:p>
        </w:tc>
      </w:tr>
    </w:tbl>
    <w:p w14:paraId="2C987047" w14:textId="77777777" w:rsidR="00EA1570" w:rsidRDefault="00EA1570" w:rsidP="008E7F78">
      <w:pPr>
        <w:pStyle w:val="Heading3"/>
      </w:pPr>
      <w:r>
        <w:t>Effective financial management</w:t>
      </w:r>
    </w:p>
    <w:tbl>
      <w:tblPr>
        <w:tblStyle w:val="TableGrid"/>
        <w:tblW w:w="10485" w:type="dxa"/>
        <w:tblLook w:val="04A0" w:firstRow="1" w:lastRow="0" w:firstColumn="1" w:lastColumn="0" w:noHBand="0" w:noVBand="1"/>
      </w:tblPr>
      <w:tblGrid>
        <w:gridCol w:w="2268"/>
        <w:gridCol w:w="4535"/>
        <w:gridCol w:w="3682"/>
      </w:tblGrid>
      <w:tr w:rsidR="00E16CB5" w:rsidRPr="00315936" w14:paraId="35B12C05" w14:textId="77777777" w:rsidTr="008E1561">
        <w:trPr>
          <w:cantSplit/>
          <w:trHeight w:val="340"/>
          <w:tblHeader/>
        </w:trPr>
        <w:tc>
          <w:tcPr>
            <w:tcW w:w="2268" w:type="dxa"/>
            <w:shd w:val="clear" w:color="auto" w:fill="000066"/>
          </w:tcPr>
          <w:p w14:paraId="1F9896C2" w14:textId="77777777" w:rsidR="00E16CB5" w:rsidRPr="00315936" w:rsidRDefault="00E16CB5">
            <w:pPr>
              <w:pStyle w:val="Tablecolhead"/>
            </w:pPr>
            <w:r w:rsidRPr="00315936">
              <w:t>Program</w:t>
            </w:r>
          </w:p>
        </w:tc>
        <w:tc>
          <w:tcPr>
            <w:tcW w:w="4535" w:type="dxa"/>
            <w:shd w:val="clear" w:color="auto" w:fill="000066"/>
          </w:tcPr>
          <w:p w14:paraId="3BDC490C" w14:textId="77777777" w:rsidR="00E16CB5" w:rsidRPr="00315936" w:rsidRDefault="00E16CB5">
            <w:pPr>
              <w:pStyle w:val="Tablecolhead"/>
            </w:pPr>
            <w:r w:rsidRPr="00315936">
              <w:t>Measure</w:t>
            </w:r>
          </w:p>
        </w:tc>
        <w:tc>
          <w:tcPr>
            <w:tcW w:w="3682" w:type="dxa"/>
            <w:shd w:val="clear" w:color="auto" w:fill="000066"/>
          </w:tcPr>
          <w:p w14:paraId="0CEB3086" w14:textId="77777777" w:rsidR="00E16CB5" w:rsidRPr="00315936" w:rsidRDefault="00E16CB5">
            <w:pPr>
              <w:pStyle w:val="Tablecolhead"/>
            </w:pPr>
            <w:r w:rsidRPr="00315936">
              <w:t>Target</w:t>
            </w:r>
          </w:p>
        </w:tc>
      </w:tr>
      <w:tr w:rsidR="00E16CB5" w:rsidRPr="00315936" w14:paraId="6AD2F593" w14:textId="77777777" w:rsidTr="008E1561">
        <w:trPr>
          <w:cantSplit/>
        </w:trPr>
        <w:tc>
          <w:tcPr>
            <w:tcW w:w="2268" w:type="dxa"/>
          </w:tcPr>
          <w:p w14:paraId="68F27D27" w14:textId="77777777" w:rsidR="00E16CB5" w:rsidRPr="00315936" w:rsidRDefault="00E16CB5">
            <w:pPr>
              <w:pStyle w:val="Tabletext"/>
            </w:pPr>
            <w:r w:rsidRPr="00315936">
              <w:t>Effective financial management</w:t>
            </w:r>
          </w:p>
        </w:tc>
        <w:tc>
          <w:tcPr>
            <w:tcW w:w="4535" w:type="dxa"/>
          </w:tcPr>
          <w:p w14:paraId="39B829FE" w14:textId="4B6E0687" w:rsidR="00E16CB5" w:rsidRPr="00315936" w:rsidRDefault="00E16CB5">
            <w:pPr>
              <w:pStyle w:val="Tabletext"/>
            </w:pPr>
            <w:r w:rsidRPr="00315936">
              <w:t>Operating result ($M)</w:t>
            </w:r>
          </w:p>
        </w:tc>
        <w:tc>
          <w:tcPr>
            <w:tcW w:w="3682" w:type="dxa"/>
          </w:tcPr>
          <w:p w14:paraId="692FD388" w14:textId="5757B668" w:rsidR="00E16CB5" w:rsidRPr="00315936" w:rsidRDefault="004B3CAA">
            <w:pPr>
              <w:pStyle w:val="Tabletext"/>
            </w:pPr>
            <w:r>
              <w:t>S</w:t>
            </w:r>
            <w:r w:rsidR="00E16CB5" w:rsidRPr="00315936">
              <w:t>ervice specific</w:t>
            </w:r>
          </w:p>
        </w:tc>
      </w:tr>
      <w:tr w:rsidR="00E16CB5" w:rsidRPr="00315936" w14:paraId="2CFF6A55" w14:textId="77777777" w:rsidTr="008E1561">
        <w:trPr>
          <w:cantSplit/>
        </w:trPr>
        <w:tc>
          <w:tcPr>
            <w:tcW w:w="2268" w:type="dxa"/>
          </w:tcPr>
          <w:p w14:paraId="3A23FB31" w14:textId="77777777" w:rsidR="00E16CB5" w:rsidRPr="00315936" w:rsidRDefault="00E16CB5">
            <w:pPr>
              <w:pStyle w:val="Tabletext"/>
            </w:pPr>
            <w:r w:rsidRPr="00315936">
              <w:t>Effective financial management</w:t>
            </w:r>
          </w:p>
        </w:tc>
        <w:tc>
          <w:tcPr>
            <w:tcW w:w="4535" w:type="dxa"/>
          </w:tcPr>
          <w:p w14:paraId="11686B22" w14:textId="166758AE" w:rsidR="00E16CB5" w:rsidRPr="00315936" w:rsidRDefault="00E16CB5">
            <w:pPr>
              <w:pStyle w:val="Tabletext"/>
            </w:pPr>
            <w:r w:rsidRPr="00315936">
              <w:t>Adjusted Current Asset Ratio (ACAR)</w:t>
            </w:r>
          </w:p>
        </w:tc>
        <w:tc>
          <w:tcPr>
            <w:tcW w:w="3682" w:type="dxa"/>
          </w:tcPr>
          <w:p w14:paraId="6DE2B324" w14:textId="77777777" w:rsidR="00E16CB5" w:rsidRPr="00315936" w:rsidRDefault="00E16CB5">
            <w:pPr>
              <w:pStyle w:val="Tabletext"/>
            </w:pPr>
            <w:r>
              <w:t>Greater than or equal to 0</w:t>
            </w:r>
            <w:r w:rsidRPr="00315936">
              <w:t xml:space="preserve">.7 or </w:t>
            </w:r>
            <w:r>
              <w:t xml:space="preserve">at least </w:t>
            </w:r>
            <w:r w:rsidRPr="00315936">
              <w:t xml:space="preserve">3 per cent improvement from health service base target </w:t>
            </w:r>
          </w:p>
        </w:tc>
      </w:tr>
      <w:tr w:rsidR="00E16CB5" w:rsidRPr="00315936" w14:paraId="65631E16" w14:textId="77777777" w:rsidTr="008E1561">
        <w:trPr>
          <w:cantSplit/>
        </w:trPr>
        <w:tc>
          <w:tcPr>
            <w:tcW w:w="2268" w:type="dxa"/>
          </w:tcPr>
          <w:p w14:paraId="5D9F1B44" w14:textId="77777777" w:rsidR="00E16CB5" w:rsidRPr="00315936" w:rsidRDefault="00E16CB5">
            <w:pPr>
              <w:pStyle w:val="Tabletext"/>
            </w:pPr>
            <w:r w:rsidRPr="00315936">
              <w:t>Effective financial management</w:t>
            </w:r>
          </w:p>
        </w:tc>
        <w:tc>
          <w:tcPr>
            <w:tcW w:w="4535" w:type="dxa"/>
          </w:tcPr>
          <w:p w14:paraId="3BE5D81E" w14:textId="77777777" w:rsidR="00E16CB5" w:rsidRPr="00315936" w:rsidRDefault="00E16CB5">
            <w:pPr>
              <w:pStyle w:val="Tabletext"/>
            </w:pPr>
            <w:r w:rsidRPr="006B2CF1">
              <w:t>Variance between the forecast and actual operating result (OR) as a percentage of the forecast OR for the current financial year ending 30 June</w:t>
            </w:r>
          </w:p>
        </w:tc>
        <w:tc>
          <w:tcPr>
            <w:tcW w:w="3682" w:type="dxa"/>
          </w:tcPr>
          <w:p w14:paraId="7BA0DD9F" w14:textId="77777777" w:rsidR="00E16CB5" w:rsidRPr="00315936" w:rsidRDefault="00E16CB5">
            <w:pPr>
              <w:pStyle w:val="Tabletext"/>
            </w:pPr>
            <w:r w:rsidRPr="00D15422">
              <w:t>Less than or equal to 5 per cent variance</w:t>
            </w:r>
          </w:p>
        </w:tc>
      </w:tr>
    </w:tbl>
    <w:p w14:paraId="320257D3" w14:textId="0BFDF1DD" w:rsidR="00594A0B" w:rsidRDefault="00A66F42" w:rsidP="001C1FD5">
      <w:pPr>
        <w:pStyle w:val="Heading1"/>
      </w:pPr>
      <w:bookmarkStart w:id="138" w:name="_Toc234580081"/>
      <w:r>
        <w:t xml:space="preserve">Appendix </w:t>
      </w:r>
      <w:r w:rsidR="00EF7B11">
        <w:t xml:space="preserve">B – </w:t>
      </w:r>
      <w:proofErr w:type="spellStart"/>
      <w:r w:rsidR="00EF7B11">
        <w:t>Forensicare</w:t>
      </w:r>
      <w:bookmarkEnd w:id="138"/>
      <w:proofErr w:type="spellEnd"/>
    </w:p>
    <w:p w14:paraId="416DF16A" w14:textId="5A10815A" w:rsidR="00EF7B11" w:rsidRDefault="0004204E" w:rsidP="001C1FD5">
      <w:pPr>
        <w:pStyle w:val="Heading2"/>
      </w:pPr>
      <w:bookmarkStart w:id="139" w:name="_Toc234580082"/>
      <w:proofErr w:type="spellStart"/>
      <w:r>
        <w:t>Forensicare</w:t>
      </w:r>
      <w:proofErr w:type="spellEnd"/>
      <w:r>
        <w:t xml:space="preserve"> – Change summary</w:t>
      </w:r>
      <w:bookmarkEnd w:id="139"/>
    </w:p>
    <w:p w14:paraId="47B6E0EE" w14:textId="7E74EA11" w:rsidR="00670655" w:rsidRPr="00670655" w:rsidRDefault="00670655" w:rsidP="00670655">
      <w:pPr>
        <w:pStyle w:val="Body"/>
      </w:pPr>
      <w:r w:rsidRPr="00315936">
        <w:t xml:space="preserve">This section summarises key changes to </w:t>
      </w:r>
      <w:proofErr w:type="spellStart"/>
      <w:r w:rsidRPr="00315936">
        <w:t>SoP</w:t>
      </w:r>
      <w:proofErr w:type="spellEnd"/>
      <w:r w:rsidRPr="00315936">
        <w:t xml:space="preserve"> Part B measures including updated targets and reporting requirements. </w:t>
      </w:r>
    </w:p>
    <w:p w14:paraId="5296A889" w14:textId="24CEE334" w:rsidR="0004204E" w:rsidRDefault="0004204E" w:rsidP="001C1FD5">
      <w:pPr>
        <w:pStyle w:val="Heading3"/>
      </w:pPr>
      <w:r>
        <w:t>High quality and safe care</w:t>
      </w:r>
    </w:p>
    <w:tbl>
      <w:tblPr>
        <w:tblStyle w:val="TableGrid"/>
        <w:tblW w:w="4933" w:type="pct"/>
        <w:tblLayout w:type="fixed"/>
        <w:tblLook w:val="04A0" w:firstRow="1" w:lastRow="0" w:firstColumn="1" w:lastColumn="0" w:noHBand="0" w:noVBand="1"/>
      </w:tblPr>
      <w:tblGrid>
        <w:gridCol w:w="2835"/>
        <w:gridCol w:w="3798"/>
        <w:gridCol w:w="3683"/>
      </w:tblGrid>
      <w:tr w:rsidR="0004204E" w:rsidRPr="00315936" w14:paraId="60E0A614" w14:textId="77777777" w:rsidTr="008E1561">
        <w:trPr>
          <w:trHeight w:val="340"/>
          <w:tblHeader/>
        </w:trPr>
        <w:tc>
          <w:tcPr>
            <w:tcW w:w="1374" w:type="pct"/>
            <w:shd w:val="clear" w:color="auto" w:fill="000066"/>
          </w:tcPr>
          <w:p w14:paraId="3AFD49B6" w14:textId="77777777" w:rsidR="0004204E" w:rsidRPr="003477D2" w:rsidRDefault="0004204E">
            <w:pPr>
              <w:pStyle w:val="Tablecolhead"/>
            </w:pPr>
            <w:r w:rsidRPr="003477D2">
              <w:t>Key performance measure</w:t>
            </w:r>
          </w:p>
        </w:tc>
        <w:tc>
          <w:tcPr>
            <w:tcW w:w="1841" w:type="pct"/>
            <w:shd w:val="clear" w:color="auto" w:fill="000066"/>
          </w:tcPr>
          <w:p w14:paraId="220190A7" w14:textId="77777777" w:rsidR="0004204E" w:rsidRPr="003477D2" w:rsidRDefault="0004204E">
            <w:pPr>
              <w:pStyle w:val="Tablecolhead"/>
            </w:pPr>
            <w:r w:rsidRPr="003477D2">
              <w:t>Change</w:t>
            </w:r>
          </w:p>
        </w:tc>
        <w:tc>
          <w:tcPr>
            <w:tcW w:w="1785" w:type="pct"/>
            <w:shd w:val="clear" w:color="auto" w:fill="000066"/>
          </w:tcPr>
          <w:p w14:paraId="31172B30" w14:textId="77777777" w:rsidR="0004204E" w:rsidRPr="003477D2" w:rsidRDefault="0004204E">
            <w:pPr>
              <w:pStyle w:val="Tablecolhead"/>
            </w:pPr>
            <w:r w:rsidRPr="003477D2">
              <w:t>Commentary</w:t>
            </w:r>
          </w:p>
        </w:tc>
      </w:tr>
      <w:tr w:rsidR="0004204E" w14:paraId="351B439A" w14:textId="77777777" w:rsidTr="008E1561">
        <w:tc>
          <w:tcPr>
            <w:tcW w:w="1374" w:type="pct"/>
          </w:tcPr>
          <w:p w14:paraId="3055EF1C" w14:textId="77777777" w:rsidR="0004204E" w:rsidRDefault="0004204E">
            <w:pPr>
              <w:pStyle w:val="Tabletext"/>
              <w:rPr>
                <w:rStyle w:val="FootnoteReference"/>
                <w:rFonts w:eastAsia="MS Gothic"/>
              </w:rPr>
            </w:pPr>
            <w:r>
              <w:t>Percentage of consumers/families/carers reporting a ‘very good’ or ‘excellent’ overall experience of the service</w:t>
            </w:r>
          </w:p>
        </w:tc>
        <w:tc>
          <w:tcPr>
            <w:tcW w:w="1841" w:type="pct"/>
          </w:tcPr>
          <w:p w14:paraId="2C8AF7EE" w14:textId="3850ED40" w:rsidR="0004204E" w:rsidRPr="00A567F8" w:rsidRDefault="0004204E">
            <w:pPr>
              <w:pStyle w:val="Tabletext"/>
            </w:pPr>
            <w:r w:rsidRPr="00A567F8">
              <w:rPr>
                <w:b/>
                <w:bCs/>
              </w:rPr>
              <w:t>Business rule change</w:t>
            </w:r>
            <w:r w:rsidRPr="00005EAE">
              <w:rPr>
                <w:b/>
                <w:bCs/>
              </w:rPr>
              <w:t>:</w:t>
            </w:r>
            <w:r w:rsidR="009D5BA0">
              <w:rPr>
                <w:b/>
                <w:bCs/>
              </w:rPr>
              <w:t xml:space="preserve"> </w:t>
            </w:r>
            <w:r>
              <w:t>S</w:t>
            </w:r>
            <w:r w:rsidRPr="00A567F8">
              <w:t>eparate the existing measure into the following:</w:t>
            </w:r>
          </w:p>
          <w:p w14:paraId="6A5628F8" w14:textId="77777777" w:rsidR="0004204E" w:rsidRPr="00435CB2" w:rsidRDefault="0004204E">
            <w:pPr>
              <w:pStyle w:val="Tablebullet1"/>
            </w:pPr>
            <w:r w:rsidRPr="00435CB2">
              <w:t>Percentage of consumers who rated their overall experience with a service in the last three months as positive</w:t>
            </w:r>
          </w:p>
          <w:p w14:paraId="066EA530" w14:textId="77777777" w:rsidR="0004204E" w:rsidRPr="00A567F8" w:rsidRDefault="0004204E">
            <w:pPr>
              <w:pStyle w:val="Tablebullet1"/>
              <w:rPr>
                <w:rStyle w:val="FootnoteReference"/>
                <w:vertAlign w:val="baseline"/>
              </w:rPr>
            </w:pPr>
            <w:r w:rsidRPr="00435CB2">
              <w:t>Percentage of families/carers reporting a ‘very good’ or ‘excellent’ overall experience of the service</w:t>
            </w:r>
          </w:p>
        </w:tc>
        <w:tc>
          <w:tcPr>
            <w:tcW w:w="1785" w:type="pct"/>
          </w:tcPr>
          <w:p w14:paraId="3CF243AE" w14:textId="35836E9B" w:rsidR="0004204E" w:rsidRDefault="0004204E" w:rsidP="00AD4342">
            <w:pPr>
              <w:pStyle w:val="Tabletext"/>
            </w:pPr>
            <w:r w:rsidRPr="00AF0240">
              <w:rPr>
                <w:b/>
                <w:bCs/>
              </w:rPr>
              <w:t>Rationale:</w:t>
            </w:r>
            <w:r w:rsidR="00AD4342">
              <w:rPr>
                <w:b/>
                <w:bCs/>
              </w:rPr>
              <w:t xml:space="preserve"> </w:t>
            </w:r>
            <w:r>
              <w:t>Measure was previously a consolidation of two separate measures supported by discrete surveys and questions. Keeping the measures separate is a robust and statistical sound approach.</w:t>
            </w:r>
          </w:p>
        </w:tc>
      </w:tr>
      <w:tr w:rsidR="0004204E" w:rsidRPr="00315936" w14:paraId="475968B8" w14:textId="77777777" w:rsidTr="008E1561">
        <w:tc>
          <w:tcPr>
            <w:tcW w:w="1374" w:type="pct"/>
          </w:tcPr>
          <w:p w14:paraId="71FD392B" w14:textId="431F9D2D" w:rsidR="0004204E" w:rsidRPr="00315936" w:rsidRDefault="0004204E">
            <w:pPr>
              <w:pStyle w:val="Tabletext"/>
              <w:rPr>
                <w:rFonts w:eastAsia="MS Gothic"/>
              </w:rPr>
            </w:pPr>
            <w:r w:rsidRPr="00315936">
              <w:t>Rate of seclusion episodes per 1,000 occupied bed days - Inpatient</w:t>
            </w:r>
          </w:p>
        </w:tc>
        <w:tc>
          <w:tcPr>
            <w:tcW w:w="1841" w:type="pct"/>
          </w:tcPr>
          <w:p w14:paraId="574A597E" w14:textId="1347314E" w:rsidR="0004204E" w:rsidRPr="00A567F8" w:rsidRDefault="0004204E" w:rsidP="00535D2B">
            <w:pPr>
              <w:pStyle w:val="Tabletext"/>
            </w:pPr>
            <w:r w:rsidRPr="00A567F8">
              <w:rPr>
                <w:b/>
                <w:bCs/>
              </w:rPr>
              <w:t>Target change:</w:t>
            </w:r>
            <w:r w:rsidR="000C48E6">
              <w:rPr>
                <w:b/>
                <w:bCs/>
              </w:rPr>
              <w:t xml:space="preserve"> </w:t>
            </w:r>
            <w:r w:rsidRPr="00606C12">
              <w:t>less than or equal to 6 seclusion episodes per 1,000 bed days or at least 5 per cent improvement compared to the same quarter last year.</w:t>
            </w:r>
            <w:r>
              <w:t xml:space="preserve"> </w:t>
            </w:r>
          </w:p>
        </w:tc>
        <w:tc>
          <w:tcPr>
            <w:tcW w:w="1785" w:type="pct"/>
          </w:tcPr>
          <w:p w14:paraId="7EEF8F4D" w14:textId="487CEDC4" w:rsidR="0004204E" w:rsidRPr="00315936" w:rsidRDefault="0004204E" w:rsidP="00AD4342">
            <w:pPr>
              <w:pStyle w:val="Tabletext"/>
            </w:pPr>
            <w:r w:rsidRPr="006F1EC8">
              <w:rPr>
                <w:b/>
                <w:bCs/>
              </w:rPr>
              <w:t>Rationale:</w:t>
            </w:r>
            <w:r w:rsidR="00AD4342">
              <w:rPr>
                <w:b/>
                <w:bCs/>
              </w:rPr>
              <w:t xml:space="preserve"> </w:t>
            </w:r>
            <w:r w:rsidRPr="00693E52">
              <w:t xml:space="preserve">Reflects consideration for the unique patient mix served by </w:t>
            </w:r>
            <w:proofErr w:type="spellStart"/>
            <w:r w:rsidRPr="00693E52">
              <w:t>Forensicare</w:t>
            </w:r>
            <w:proofErr w:type="spellEnd"/>
            <w:r>
              <w:t>.</w:t>
            </w:r>
          </w:p>
        </w:tc>
      </w:tr>
    </w:tbl>
    <w:p w14:paraId="6CD22429" w14:textId="21FE4465" w:rsidR="000C0EE5" w:rsidRDefault="000C0EE5" w:rsidP="008E7F78">
      <w:pPr>
        <w:pStyle w:val="Heading3"/>
      </w:pPr>
      <w:r>
        <w:t>Strong governance, leadership and culture</w:t>
      </w:r>
    </w:p>
    <w:p w14:paraId="298E929D" w14:textId="249D090D" w:rsidR="003006A3" w:rsidRPr="003006A3" w:rsidRDefault="003006A3" w:rsidP="003006A3">
      <w:pPr>
        <w:pStyle w:val="Body"/>
      </w:pPr>
      <w:r>
        <w:t>No changes to measures in this domain.</w:t>
      </w:r>
    </w:p>
    <w:p w14:paraId="4D440E16" w14:textId="232D62F9" w:rsidR="00BC2322" w:rsidRDefault="00BC2322" w:rsidP="008E7F78">
      <w:pPr>
        <w:pStyle w:val="Heading3"/>
      </w:pPr>
      <w:r>
        <w:t>Timely access to care</w:t>
      </w:r>
    </w:p>
    <w:tbl>
      <w:tblPr>
        <w:tblStyle w:val="TableGrid"/>
        <w:tblW w:w="4946" w:type="pct"/>
        <w:tblLayout w:type="fixed"/>
        <w:tblLook w:val="04A0" w:firstRow="1" w:lastRow="0" w:firstColumn="1" w:lastColumn="0" w:noHBand="0" w:noVBand="1"/>
      </w:tblPr>
      <w:tblGrid>
        <w:gridCol w:w="2835"/>
        <w:gridCol w:w="3824"/>
        <w:gridCol w:w="3684"/>
      </w:tblGrid>
      <w:tr w:rsidR="00693726" w:rsidRPr="00315936" w14:paraId="38C1BED3" w14:textId="77777777" w:rsidTr="008E1561">
        <w:trPr>
          <w:trHeight w:val="340"/>
          <w:tblHeader/>
        </w:trPr>
        <w:tc>
          <w:tcPr>
            <w:tcW w:w="1370" w:type="pct"/>
            <w:shd w:val="clear" w:color="auto" w:fill="000066"/>
          </w:tcPr>
          <w:p w14:paraId="735149F2" w14:textId="77777777" w:rsidR="00693726" w:rsidRPr="003477D2" w:rsidRDefault="00693726">
            <w:pPr>
              <w:pStyle w:val="Tablecolhead"/>
            </w:pPr>
            <w:r w:rsidRPr="003477D2">
              <w:t>Key performance measure</w:t>
            </w:r>
          </w:p>
        </w:tc>
        <w:tc>
          <w:tcPr>
            <w:tcW w:w="1848" w:type="pct"/>
            <w:shd w:val="clear" w:color="auto" w:fill="000066"/>
          </w:tcPr>
          <w:p w14:paraId="108EBE7B" w14:textId="77777777" w:rsidR="00693726" w:rsidRPr="003477D2" w:rsidRDefault="00693726">
            <w:pPr>
              <w:pStyle w:val="Tablecolhead"/>
            </w:pPr>
            <w:r w:rsidRPr="003477D2">
              <w:t>Change</w:t>
            </w:r>
          </w:p>
        </w:tc>
        <w:tc>
          <w:tcPr>
            <w:tcW w:w="1781" w:type="pct"/>
            <w:shd w:val="clear" w:color="auto" w:fill="000066"/>
          </w:tcPr>
          <w:p w14:paraId="4F2E2802" w14:textId="77777777" w:rsidR="00693726" w:rsidRPr="003477D2" w:rsidRDefault="00693726">
            <w:pPr>
              <w:pStyle w:val="Tablecolhead"/>
            </w:pPr>
            <w:r w:rsidRPr="003477D2">
              <w:t>Commentary</w:t>
            </w:r>
          </w:p>
        </w:tc>
      </w:tr>
      <w:tr w:rsidR="00693726" w:rsidRPr="00315936" w14:paraId="4CD6CF8D" w14:textId="77777777" w:rsidTr="008E1561">
        <w:tc>
          <w:tcPr>
            <w:tcW w:w="1370" w:type="pct"/>
          </w:tcPr>
          <w:p w14:paraId="6BA4D51F" w14:textId="77777777" w:rsidR="00693726" w:rsidRPr="00315936" w:rsidRDefault="00693726">
            <w:pPr>
              <w:pStyle w:val="Tabletext"/>
            </w:pPr>
            <w:r w:rsidRPr="00315936">
              <w:rPr>
                <w:rFonts w:eastAsia="MS Gothic"/>
              </w:rPr>
              <w:t xml:space="preserve">Percentage of male </w:t>
            </w:r>
            <w:r>
              <w:rPr>
                <w:rFonts w:eastAsia="MS Gothic"/>
              </w:rPr>
              <w:t>s</w:t>
            </w:r>
            <w:r w:rsidRPr="001A453F">
              <w:rPr>
                <w:rFonts w:eastAsia="MS Gothic"/>
              </w:rPr>
              <w:t xml:space="preserve">ecurity </w:t>
            </w:r>
            <w:r>
              <w:rPr>
                <w:rFonts w:eastAsia="MS Gothic"/>
              </w:rPr>
              <w:t>p</w:t>
            </w:r>
            <w:r w:rsidRPr="001A453F">
              <w:rPr>
                <w:rFonts w:eastAsia="MS Gothic"/>
              </w:rPr>
              <w:t>atients</w:t>
            </w:r>
            <w:r w:rsidRPr="00315936">
              <w:rPr>
                <w:rFonts w:eastAsia="MS Gothic"/>
              </w:rPr>
              <w:t xml:space="preserve"> admitted to Thomas </w:t>
            </w:r>
            <w:proofErr w:type="spellStart"/>
            <w:r w:rsidRPr="00315936">
              <w:rPr>
                <w:rFonts w:eastAsia="MS Gothic"/>
              </w:rPr>
              <w:t>Embling</w:t>
            </w:r>
            <w:proofErr w:type="spellEnd"/>
            <w:r w:rsidRPr="00315936">
              <w:rPr>
                <w:rFonts w:eastAsia="MS Gothic"/>
              </w:rPr>
              <w:t xml:space="preserve"> Hospital within 7 days of recommendation for compulsory treatment</w:t>
            </w:r>
          </w:p>
        </w:tc>
        <w:tc>
          <w:tcPr>
            <w:tcW w:w="1848" w:type="pct"/>
          </w:tcPr>
          <w:p w14:paraId="3CB6FBC5" w14:textId="43D17A2B" w:rsidR="00693726" w:rsidRPr="007F1E8B" w:rsidRDefault="00693726" w:rsidP="00535D2B">
            <w:pPr>
              <w:pStyle w:val="Tabletext"/>
            </w:pPr>
            <w:r w:rsidRPr="00A37B0D">
              <w:rPr>
                <w:b/>
                <w:bCs/>
              </w:rPr>
              <w:t>Target change:</w:t>
            </w:r>
            <w:r w:rsidR="000C48E6">
              <w:rPr>
                <w:b/>
                <w:bCs/>
              </w:rPr>
              <w:t xml:space="preserve"> </w:t>
            </w:r>
            <w:r w:rsidRPr="007F1E8B">
              <w:t>greater than or equal to 80 per cent or a</w:t>
            </w:r>
            <w:r>
              <w:t>t least a</w:t>
            </w:r>
            <w:r w:rsidRPr="007F1E8B">
              <w:t xml:space="preserve"> 5-percentage point improvement on the same quarter last year</w:t>
            </w:r>
          </w:p>
          <w:p w14:paraId="52E5954C" w14:textId="77777777" w:rsidR="00693726" w:rsidRPr="00315936" w:rsidRDefault="00693726">
            <w:pPr>
              <w:pStyle w:val="Tablebullet1"/>
              <w:numPr>
                <w:ilvl w:val="0"/>
                <w:numId w:val="0"/>
              </w:numPr>
            </w:pPr>
            <w:r>
              <w:t xml:space="preserve">This measure applies to </w:t>
            </w:r>
            <w:proofErr w:type="spellStart"/>
            <w:r>
              <w:t>Forensicare</w:t>
            </w:r>
            <w:proofErr w:type="spellEnd"/>
            <w:r>
              <w:t xml:space="preserve"> only.</w:t>
            </w:r>
          </w:p>
        </w:tc>
        <w:tc>
          <w:tcPr>
            <w:tcW w:w="1781" w:type="pct"/>
          </w:tcPr>
          <w:p w14:paraId="4F1A3278" w14:textId="2800ACEC" w:rsidR="00693726" w:rsidRDefault="00693726" w:rsidP="005C5C48">
            <w:pPr>
              <w:pStyle w:val="Tabletext"/>
            </w:pPr>
            <w:r w:rsidRPr="0078031E">
              <w:rPr>
                <w:b/>
                <w:bCs/>
              </w:rPr>
              <w:t>Rationale:</w:t>
            </w:r>
            <w:r w:rsidR="00962355">
              <w:rPr>
                <w:b/>
                <w:bCs/>
              </w:rPr>
              <w:t xml:space="preserve"> </w:t>
            </w:r>
            <w:r>
              <w:t xml:space="preserve">Acknowledges that </w:t>
            </w:r>
            <w:proofErr w:type="spellStart"/>
            <w:r>
              <w:t>Forensicare</w:t>
            </w:r>
            <w:proofErr w:type="spellEnd"/>
            <w:r>
              <w:t xml:space="preserve"> is unlikely to meet these key performance measures in 2025</w:t>
            </w:r>
            <w:r w:rsidR="005C5C48">
              <w:t>–</w:t>
            </w:r>
            <w:r>
              <w:t xml:space="preserve">26 due to the continuing high demand for </w:t>
            </w:r>
            <w:proofErr w:type="spellStart"/>
            <w:r>
              <w:t>Forensicare</w:t>
            </w:r>
            <w:proofErr w:type="spellEnd"/>
            <w:r>
              <w:t xml:space="preserve"> services. </w:t>
            </w:r>
          </w:p>
          <w:p w14:paraId="3B0F1649" w14:textId="44F81EF4" w:rsidR="00693726" w:rsidRPr="00315936" w:rsidRDefault="00693726" w:rsidP="005C5C48">
            <w:pPr>
              <w:pStyle w:val="Tabletext"/>
            </w:pPr>
            <w:r>
              <w:t>Timely access to care key performance measures will be reviewed ahead of 2026</w:t>
            </w:r>
            <w:r w:rsidR="005C5C48">
              <w:t>–</w:t>
            </w:r>
            <w:r>
              <w:t>27, in the context of new capacity anticipated to come online.</w:t>
            </w:r>
          </w:p>
        </w:tc>
      </w:tr>
      <w:tr w:rsidR="00693726" w:rsidRPr="00315936" w14:paraId="779BE120" w14:textId="77777777" w:rsidTr="008E1561">
        <w:tc>
          <w:tcPr>
            <w:tcW w:w="1370" w:type="pct"/>
          </w:tcPr>
          <w:p w14:paraId="67E536AD" w14:textId="77777777" w:rsidR="00693726" w:rsidRPr="00315936" w:rsidRDefault="00693726">
            <w:pPr>
              <w:pStyle w:val="Tabletext"/>
              <w:rPr>
                <w:rFonts w:eastAsia="MS Gothic"/>
              </w:rPr>
            </w:pPr>
            <w:r w:rsidRPr="00315936">
              <w:t xml:space="preserve">Percentage of male security patients discharged from Thomas </w:t>
            </w:r>
            <w:proofErr w:type="spellStart"/>
            <w:r w:rsidRPr="00315936">
              <w:t>Embling</w:t>
            </w:r>
            <w:proofErr w:type="spellEnd"/>
            <w:r w:rsidRPr="00315936">
              <w:t xml:space="preserve"> Hospital to a correctional centre within 21 days</w:t>
            </w:r>
          </w:p>
        </w:tc>
        <w:tc>
          <w:tcPr>
            <w:tcW w:w="1848" w:type="pct"/>
          </w:tcPr>
          <w:p w14:paraId="1C1BA93C" w14:textId="615D2850" w:rsidR="00693726" w:rsidRPr="007F1E8B" w:rsidRDefault="00693726" w:rsidP="00535D2B">
            <w:pPr>
              <w:pStyle w:val="Tabletext"/>
            </w:pPr>
            <w:r w:rsidRPr="00A37B0D">
              <w:rPr>
                <w:b/>
                <w:bCs/>
              </w:rPr>
              <w:t>Target change:</w:t>
            </w:r>
            <w:r w:rsidR="000C48E6">
              <w:rPr>
                <w:b/>
                <w:bCs/>
              </w:rPr>
              <w:t xml:space="preserve"> </w:t>
            </w:r>
            <w:r w:rsidRPr="007F1E8B">
              <w:t>greater than or equal to 80 per cent or a</w:t>
            </w:r>
            <w:r>
              <w:t>t least a</w:t>
            </w:r>
            <w:r w:rsidRPr="007F1E8B">
              <w:t xml:space="preserve"> 5-percentage point improvement on the same quarter last year</w:t>
            </w:r>
          </w:p>
          <w:p w14:paraId="6C381931" w14:textId="77777777" w:rsidR="00693726" w:rsidRPr="00315936" w:rsidRDefault="00693726">
            <w:pPr>
              <w:pStyle w:val="Tabletext"/>
            </w:pPr>
            <w:r>
              <w:t xml:space="preserve">This measure applies to </w:t>
            </w:r>
            <w:proofErr w:type="spellStart"/>
            <w:r>
              <w:t>Forensicare</w:t>
            </w:r>
            <w:proofErr w:type="spellEnd"/>
            <w:r>
              <w:t xml:space="preserve"> only.</w:t>
            </w:r>
          </w:p>
        </w:tc>
        <w:tc>
          <w:tcPr>
            <w:tcW w:w="1781" w:type="pct"/>
          </w:tcPr>
          <w:p w14:paraId="7F43D9A4" w14:textId="51D54C98" w:rsidR="00693726" w:rsidRDefault="00693726" w:rsidP="005C5C48">
            <w:pPr>
              <w:pStyle w:val="Tabletext"/>
            </w:pPr>
            <w:r w:rsidRPr="0078031E">
              <w:rPr>
                <w:b/>
                <w:bCs/>
              </w:rPr>
              <w:t>Rationale:</w:t>
            </w:r>
            <w:r w:rsidR="002F141C">
              <w:rPr>
                <w:b/>
                <w:bCs/>
              </w:rPr>
              <w:t xml:space="preserve"> </w:t>
            </w:r>
            <w:r w:rsidR="002F141C">
              <w:t>A</w:t>
            </w:r>
            <w:r>
              <w:t xml:space="preserve">cknowledges that </w:t>
            </w:r>
            <w:proofErr w:type="spellStart"/>
            <w:r>
              <w:t>Forensicare</w:t>
            </w:r>
            <w:proofErr w:type="spellEnd"/>
            <w:r>
              <w:t xml:space="preserve"> is unlikely to meet these key performance measures in 2025</w:t>
            </w:r>
            <w:r w:rsidR="005C5C48">
              <w:t>–</w:t>
            </w:r>
            <w:r>
              <w:t xml:space="preserve">26 due to the continuing high demand for </w:t>
            </w:r>
            <w:proofErr w:type="spellStart"/>
            <w:r>
              <w:t>Forensicare</w:t>
            </w:r>
            <w:proofErr w:type="spellEnd"/>
            <w:r>
              <w:t xml:space="preserve"> services. </w:t>
            </w:r>
          </w:p>
          <w:p w14:paraId="690172BE" w14:textId="768432A9" w:rsidR="00693726" w:rsidRPr="00315936" w:rsidRDefault="00693726" w:rsidP="005C5C48">
            <w:pPr>
              <w:pStyle w:val="Tabletext"/>
            </w:pPr>
            <w:r>
              <w:t>Timely access to care key performance measures will be reviewed ahead of 2026</w:t>
            </w:r>
            <w:r w:rsidR="005C5C48">
              <w:t>–</w:t>
            </w:r>
            <w:r>
              <w:t>27, in the context of new capacity anticipated to come online.</w:t>
            </w:r>
          </w:p>
        </w:tc>
      </w:tr>
    </w:tbl>
    <w:p w14:paraId="24155219" w14:textId="6523E408" w:rsidR="000C0EE5" w:rsidRDefault="000C0EE5" w:rsidP="005C5C48">
      <w:pPr>
        <w:pStyle w:val="Heading3"/>
      </w:pPr>
      <w:r>
        <w:t>Effective financial management</w:t>
      </w:r>
    </w:p>
    <w:tbl>
      <w:tblPr>
        <w:tblStyle w:val="TableGrid"/>
        <w:tblW w:w="4946" w:type="pct"/>
        <w:tblLayout w:type="fixed"/>
        <w:tblLook w:val="04A0" w:firstRow="1" w:lastRow="0" w:firstColumn="1" w:lastColumn="0" w:noHBand="0" w:noVBand="1"/>
      </w:tblPr>
      <w:tblGrid>
        <w:gridCol w:w="2836"/>
        <w:gridCol w:w="3823"/>
        <w:gridCol w:w="3684"/>
      </w:tblGrid>
      <w:tr w:rsidR="004C51DD" w:rsidRPr="00315936" w14:paraId="21A43DB0" w14:textId="77777777" w:rsidTr="008E1561">
        <w:trPr>
          <w:trHeight w:val="340"/>
          <w:tblHeader/>
        </w:trPr>
        <w:tc>
          <w:tcPr>
            <w:tcW w:w="1371" w:type="pct"/>
            <w:shd w:val="clear" w:color="auto" w:fill="000066"/>
          </w:tcPr>
          <w:p w14:paraId="177ED263" w14:textId="77777777" w:rsidR="004C51DD" w:rsidRPr="003477D2" w:rsidRDefault="004C51DD">
            <w:pPr>
              <w:pStyle w:val="Tablecolhead"/>
            </w:pPr>
            <w:r w:rsidRPr="003477D2">
              <w:t>Key performance measure</w:t>
            </w:r>
          </w:p>
        </w:tc>
        <w:tc>
          <w:tcPr>
            <w:tcW w:w="1848" w:type="pct"/>
            <w:shd w:val="clear" w:color="auto" w:fill="000066"/>
          </w:tcPr>
          <w:p w14:paraId="7759CF51" w14:textId="77777777" w:rsidR="004C51DD" w:rsidRPr="003477D2" w:rsidRDefault="004C51DD">
            <w:pPr>
              <w:pStyle w:val="Tablecolhead"/>
            </w:pPr>
            <w:r w:rsidRPr="003477D2">
              <w:t>Change</w:t>
            </w:r>
          </w:p>
        </w:tc>
        <w:tc>
          <w:tcPr>
            <w:tcW w:w="1781" w:type="pct"/>
            <w:shd w:val="clear" w:color="auto" w:fill="000066"/>
          </w:tcPr>
          <w:p w14:paraId="4B734ED6" w14:textId="77777777" w:rsidR="004C51DD" w:rsidRPr="003477D2" w:rsidRDefault="004C51DD">
            <w:pPr>
              <w:pStyle w:val="Tablecolhead"/>
            </w:pPr>
            <w:r w:rsidRPr="003477D2">
              <w:t>Commentary</w:t>
            </w:r>
          </w:p>
        </w:tc>
      </w:tr>
      <w:tr w:rsidR="004C51DD" w:rsidRPr="00315936" w14:paraId="129C0DA6" w14:textId="77777777" w:rsidTr="008E1561">
        <w:tc>
          <w:tcPr>
            <w:tcW w:w="1371" w:type="pct"/>
          </w:tcPr>
          <w:p w14:paraId="34DF4987" w14:textId="184314A1" w:rsidR="004C51DD" w:rsidRPr="00315936" w:rsidRDefault="004C51DD">
            <w:pPr>
              <w:pStyle w:val="Tabletext"/>
            </w:pPr>
            <w:r w:rsidRPr="00315936">
              <w:t xml:space="preserve">Variance between forecast and actual Net result from transactions (NRFT) for the current financial year ending 30 June </w:t>
            </w:r>
          </w:p>
        </w:tc>
        <w:tc>
          <w:tcPr>
            <w:tcW w:w="1848" w:type="pct"/>
          </w:tcPr>
          <w:p w14:paraId="2FEDA0F8" w14:textId="2ECA6043" w:rsidR="004C51DD" w:rsidRDefault="004C51DD" w:rsidP="002F141C">
            <w:pPr>
              <w:pStyle w:val="Tabletext"/>
            </w:pPr>
            <w:r>
              <w:rPr>
                <w:b/>
              </w:rPr>
              <w:t>Rename</w:t>
            </w:r>
            <w:r w:rsidR="002F141C">
              <w:rPr>
                <w:b/>
              </w:rPr>
              <w:t xml:space="preserve"> to: </w:t>
            </w:r>
            <w:r>
              <w:rPr>
                <w:b/>
              </w:rPr>
              <w:t xml:space="preserve"> </w:t>
            </w:r>
            <w:r>
              <w:t>V</w:t>
            </w:r>
            <w:r w:rsidRPr="006B2CF1">
              <w:t>ariance between the forecast and actual operating result (OR) as a percentage of the forecast OR for the current financial year ending 30 June</w:t>
            </w:r>
            <w:r>
              <w:t>.</w:t>
            </w:r>
          </w:p>
          <w:p w14:paraId="561680CF" w14:textId="67EE3256" w:rsidR="004C51DD" w:rsidRPr="00A37B0D" w:rsidRDefault="004C51DD" w:rsidP="00535D2B">
            <w:pPr>
              <w:pStyle w:val="Tabletext"/>
              <w:rPr>
                <w:bCs/>
              </w:rPr>
            </w:pPr>
            <w:r>
              <w:rPr>
                <w:b/>
              </w:rPr>
              <w:t xml:space="preserve">Business rules </w:t>
            </w:r>
            <w:proofErr w:type="gramStart"/>
            <w:r>
              <w:rPr>
                <w:b/>
              </w:rPr>
              <w:t>change:</w:t>
            </w:r>
            <w:proofErr w:type="gramEnd"/>
            <w:r w:rsidR="009D5BA0">
              <w:rPr>
                <w:b/>
              </w:rPr>
              <w:t xml:space="preserve"> </w:t>
            </w:r>
            <w:r w:rsidR="008D10AF">
              <w:rPr>
                <w:bCs/>
              </w:rPr>
              <w:t>variance between the forecast and actual OR</w:t>
            </w:r>
            <w:r w:rsidR="001A0852">
              <w:rPr>
                <w:bCs/>
              </w:rPr>
              <w:t xml:space="preserve"> as a percentage of the forecast OR</w:t>
            </w:r>
            <w:r w:rsidR="00C94DE8">
              <w:t xml:space="preserve"> for the current financial year</w:t>
            </w:r>
          </w:p>
        </w:tc>
        <w:tc>
          <w:tcPr>
            <w:tcW w:w="1781" w:type="pct"/>
          </w:tcPr>
          <w:p w14:paraId="34F769A1" w14:textId="1F20582C" w:rsidR="004C51DD" w:rsidRPr="00315936" w:rsidRDefault="004C51DD" w:rsidP="002F141C">
            <w:pPr>
              <w:pStyle w:val="Tabletext"/>
            </w:pPr>
            <w:r w:rsidRPr="00DB0CA1">
              <w:rPr>
                <w:b/>
                <w:bCs/>
              </w:rPr>
              <w:t>Rationale:</w:t>
            </w:r>
            <w:r w:rsidR="002F141C">
              <w:rPr>
                <w:b/>
                <w:bCs/>
              </w:rPr>
              <w:t xml:space="preserve"> </w:t>
            </w:r>
            <w:r w:rsidRPr="00DB0CA1">
              <w:t xml:space="preserve">Operating result forecast is a more useful </w:t>
            </w:r>
            <w:r>
              <w:t>indicator</w:t>
            </w:r>
            <w:r w:rsidRPr="00DB0CA1">
              <w:t xml:space="preserve"> of financial performance</w:t>
            </w:r>
          </w:p>
        </w:tc>
      </w:tr>
    </w:tbl>
    <w:p w14:paraId="083B193C" w14:textId="45370549" w:rsidR="00B131C8" w:rsidRDefault="00B131C8" w:rsidP="005C5C48">
      <w:pPr>
        <w:pStyle w:val="Heading2"/>
      </w:pPr>
      <w:bookmarkStart w:id="140" w:name="_Toc234580083"/>
      <w:proofErr w:type="spellStart"/>
      <w:r>
        <w:t>Forensicare</w:t>
      </w:r>
      <w:proofErr w:type="spellEnd"/>
      <w:r>
        <w:t xml:space="preserve"> – Key </w:t>
      </w:r>
      <w:r w:rsidR="00CF3E7C">
        <w:t xml:space="preserve">performance </w:t>
      </w:r>
      <w:r w:rsidR="00C407A8">
        <w:t>measures</w:t>
      </w:r>
      <w:bookmarkEnd w:id="140"/>
    </w:p>
    <w:p w14:paraId="36CDF3EA" w14:textId="2FD93470" w:rsidR="009F388A" w:rsidRDefault="009F388A" w:rsidP="008E7F78">
      <w:pPr>
        <w:pStyle w:val="Heading3"/>
      </w:pPr>
      <w:r>
        <w:t>High quality and safe care</w:t>
      </w:r>
    </w:p>
    <w:tbl>
      <w:tblPr>
        <w:tblStyle w:val="TableGrid"/>
        <w:tblW w:w="10318" w:type="dxa"/>
        <w:tblLook w:val="04A0" w:firstRow="1" w:lastRow="0" w:firstColumn="1" w:lastColumn="0" w:noHBand="0" w:noVBand="1"/>
      </w:tblPr>
      <w:tblGrid>
        <w:gridCol w:w="2263"/>
        <w:gridCol w:w="4536"/>
        <w:gridCol w:w="3519"/>
      </w:tblGrid>
      <w:tr w:rsidR="00793C71" w:rsidRPr="00315936" w14:paraId="665680A2" w14:textId="77777777" w:rsidTr="008E1561">
        <w:trPr>
          <w:cantSplit/>
          <w:trHeight w:val="380"/>
          <w:tblHeader/>
        </w:trPr>
        <w:tc>
          <w:tcPr>
            <w:tcW w:w="2263" w:type="dxa"/>
            <w:shd w:val="clear" w:color="auto" w:fill="000066"/>
          </w:tcPr>
          <w:p w14:paraId="75F2BED5" w14:textId="77777777" w:rsidR="009F388A" w:rsidRPr="00315936" w:rsidRDefault="009F388A">
            <w:pPr>
              <w:pStyle w:val="Tablecolhead"/>
            </w:pPr>
            <w:r w:rsidRPr="00315936">
              <w:t>Program</w:t>
            </w:r>
          </w:p>
        </w:tc>
        <w:tc>
          <w:tcPr>
            <w:tcW w:w="4536" w:type="dxa"/>
            <w:shd w:val="clear" w:color="auto" w:fill="000066"/>
          </w:tcPr>
          <w:p w14:paraId="7C8FE4C4" w14:textId="77777777" w:rsidR="009F388A" w:rsidRPr="00315936" w:rsidRDefault="009F388A">
            <w:pPr>
              <w:pStyle w:val="Tablecolhead"/>
            </w:pPr>
            <w:r w:rsidRPr="00315936">
              <w:t>Measure</w:t>
            </w:r>
          </w:p>
        </w:tc>
        <w:tc>
          <w:tcPr>
            <w:tcW w:w="3519" w:type="dxa"/>
            <w:shd w:val="clear" w:color="auto" w:fill="000066"/>
          </w:tcPr>
          <w:p w14:paraId="374828EB" w14:textId="77777777" w:rsidR="009F388A" w:rsidRPr="00315936" w:rsidRDefault="009F388A">
            <w:pPr>
              <w:pStyle w:val="Tablecolhead"/>
            </w:pPr>
            <w:r w:rsidRPr="00315936">
              <w:t>Target</w:t>
            </w:r>
          </w:p>
        </w:tc>
      </w:tr>
      <w:tr w:rsidR="00793C71" w:rsidRPr="00315936" w14:paraId="58582CC1" w14:textId="77777777" w:rsidTr="008E1561">
        <w:trPr>
          <w:cantSplit/>
        </w:trPr>
        <w:tc>
          <w:tcPr>
            <w:tcW w:w="2263" w:type="dxa"/>
          </w:tcPr>
          <w:p w14:paraId="1F91A8B6" w14:textId="77777777" w:rsidR="009F388A" w:rsidRPr="00315936" w:rsidRDefault="009F388A">
            <w:pPr>
              <w:pStyle w:val="Tabletext"/>
            </w:pPr>
            <w:r w:rsidRPr="00315936">
              <w:t>Infection prevention and control</w:t>
            </w:r>
          </w:p>
        </w:tc>
        <w:tc>
          <w:tcPr>
            <w:tcW w:w="4536" w:type="dxa"/>
          </w:tcPr>
          <w:p w14:paraId="32020A23" w14:textId="22BDF40B" w:rsidR="009F388A" w:rsidRPr="00315936" w:rsidRDefault="009F388A">
            <w:pPr>
              <w:pStyle w:val="Tabletext"/>
              <w:rPr>
                <w:vertAlign w:val="superscript"/>
              </w:rPr>
            </w:pPr>
            <w:r w:rsidRPr="00315936">
              <w:t>Percentage of healthcare workers immunised for influenza</w:t>
            </w:r>
          </w:p>
        </w:tc>
        <w:tc>
          <w:tcPr>
            <w:tcW w:w="3519" w:type="dxa"/>
          </w:tcPr>
          <w:p w14:paraId="134BA727" w14:textId="77777777" w:rsidR="009F388A" w:rsidRPr="00315936" w:rsidRDefault="009F388A">
            <w:pPr>
              <w:pStyle w:val="Tabletext"/>
            </w:pPr>
            <w:r w:rsidRPr="00315936">
              <w:t>94 per cent</w:t>
            </w:r>
          </w:p>
        </w:tc>
      </w:tr>
      <w:tr w:rsidR="00793C71" w:rsidRPr="00315936" w14:paraId="728641B2" w14:textId="77777777" w:rsidTr="008E1561">
        <w:trPr>
          <w:cantSplit/>
        </w:trPr>
        <w:tc>
          <w:tcPr>
            <w:tcW w:w="2263" w:type="dxa"/>
          </w:tcPr>
          <w:p w14:paraId="49B9BAAF" w14:textId="77777777" w:rsidR="009F388A" w:rsidRPr="00315936" w:rsidRDefault="009F388A">
            <w:pPr>
              <w:pStyle w:val="Tabletext"/>
            </w:pPr>
            <w:r w:rsidRPr="00315936">
              <w:t>Adverse events</w:t>
            </w:r>
          </w:p>
        </w:tc>
        <w:tc>
          <w:tcPr>
            <w:tcW w:w="4536" w:type="dxa"/>
          </w:tcPr>
          <w:p w14:paraId="753BABDB" w14:textId="62E30B80" w:rsidR="009F388A" w:rsidRPr="00315936" w:rsidRDefault="009F388A">
            <w:pPr>
              <w:pStyle w:val="Tabletext"/>
            </w:pPr>
            <w:r w:rsidRPr="00315936">
              <w:rPr>
                <w:rFonts w:eastAsia="MS Gothic"/>
              </w:rPr>
              <w:t>Percentage of reported sentinel events for which a root cause analysis (RCA) report was submitted within 30 business days from notification of the event</w:t>
            </w:r>
          </w:p>
        </w:tc>
        <w:tc>
          <w:tcPr>
            <w:tcW w:w="3519" w:type="dxa"/>
          </w:tcPr>
          <w:p w14:paraId="0D3CDA10" w14:textId="77777777" w:rsidR="009F388A" w:rsidRPr="00315936" w:rsidRDefault="009F388A">
            <w:pPr>
              <w:pStyle w:val="Tabletext"/>
            </w:pPr>
            <w:r w:rsidRPr="00315936">
              <w:t>All sentinel event reports submitted within 30 business days from notification</w:t>
            </w:r>
          </w:p>
        </w:tc>
      </w:tr>
      <w:tr w:rsidR="00793C71" w:rsidRPr="00315936" w14:paraId="2E772827" w14:textId="77777777" w:rsidTr="008E1561">
        <w:trPr>
          <w:cantSplit/>
        </w:trPr>
        <w:tc>
          <w:tcPr>
            <w:tcW w:w="2263" w:type="dxa"/>
          </w:tcPr>
          <w:p w14:paraId="4CBD2CE5" w14:textId="77777777" w:rsidR="009F388A" w:rsidRPr="00315936" w:rsidRDefault="009F388A">
            <w:pPr>
              <w:pStyle w:val="Tabletext"/>
              <w:rPr>
                <w:rFonts w:eastAsia="MS Gothic"/>
              </w:rPr>
            </w:pPr>
            <w:r w:rsidRPr="00315936">
              <w:rPr>
                <w:rFonts w:eastAsia="MS Gothic"/>
              </w:rPr>
              <w:t>Mental health patient experience</w:t>
            </w:r>
          </w:p>
        </w:tc>
        <w:tc>
          <w:tcPr>
            <w:tcW w:w="4536" w:type="dxa"/>
          </w:tcPr>
          <w:p w14:paraId="10701D71" w14:textId="28BC823D" w:rsidR="009F388A" w:rsidRDefault="009F388A">
            <w:pPr>
              <w:pStyle w:val="Tabletext"/>
            </w:pPr>
            <w:r w:rsidRPr="00435CB2">
              <w:t>Percentage of consumers who rated their overall experience with a service in the last three months as positive</w:t>
            </w:r>
          </w:p>
        </w:tc>
        <w:tc>
          <w:tcPr>
            <w:tcW w:w="3519" w:type="dxa"/>
          </w:tcPr>
          <w:p w14:paraId="38264022" w14:textId="77777777" w:rsidR="009F388A" w:rsidDel="00482182" w:rsidRDefault="009F388A">
            <w:pPr>
              <w:pStyle w:val="Tabletext"/>
            </w:pPr>
            <w:r>
              <w:t>80 per cent</w:t>
            </w:r>
          </w:p>
        </w:tc>
      </w:tr>
      <w:tr w:rsidR="00793C71" w:rsidRPr="00315936" w14:paraId="03454443" w14:textId="77777777" w:rsidTr="008E1561">
        <w:trPr>
          <w:cantSplit/>
        </w:trPr>
        <w:tc>
          <w:tcPr>
            <w:tcW w:w="2263" w:type="dxa"/>
          </w:tcPr>
          <w:p w14:paraId="2C4C24CE" w14:textId="77777777" w:rsidR="009F388A" w:rsidRPr="00315936" w:rsidRDefault="009F388A">
            <w:pPr>
              <w:pStyle w:val="Tabletext"/>
              <w:rPr>
                <w:rFonts w:eastAsia="MS Gothic"/>
              </w:rPr>
            </w:pPr>
            <w:r w:rsidRPr="00315936">
              <w:rPr>
                <w:rFonts w:eastAsia="MS Gothic"/>
              </w:rPr>
              <w:t>Mental health patient experience</w:t>
            </w:r>
          </w:p>
        </w:tc>
        <w:tc>
          <w:tcPr>
            <w:tcW w:w="4536" w:type="dxa"/>
          </w:tcPr>
          <w:p w14:paraId="002CB500" w14:textId="6F74119C" w:rsidR="009F388A" w:rsidRPr="00315936" w:rsidRDefault="009F388A">
            <w:pPr>
              <w:pStyle w:val="Tabletext"/>
            </w:pPr>
            <w:r>
              <w:t>Percentage of families/carers reporting a ‘very good’ or ‘excellent’ overall experience of the service</w:t>
            </w:r>
          </w:p>
        </w:tc>
        <w:tc>
          <w:tcPr>
            <w:tcW w:w="3519" w:type="dxa"/>
          </w:tcPr>
          <w:p w14:paraId="4E288363" w14:textId="77777777" w:rsidR="009F388A" w:rsidRPr="00315936" w:rsidRDefault="009F388A">
            <w:pPr>
              <w:pStyle w:val="Tabletext"/>
            </w:pPr>
            <w:r>
              <w:t>80 per cent</w:t>
            </w:r>
          </w:p>
        </w:tc>
      </w:tr>
      <w:tr w:rsidR="00793C71" w:rsidRPr="00315936" w14:paraId="5772038F" w14:textId="77777777" w:rsidTr="008E1561">
        <w:trPr>
          <w:cantSplit/>
        </w:trPr>
        <w:tc>
          <w:tcPr>
            <w:tcW w:w="2263" w:type="dxa"/>
          </w:tcPr>
          <w:p w14:paraId="1358714B" w14:textId="77777777" w:rsidR="009F388A" w:rsidRPr="00315936" w:rsidRDefault="009F388A">
            <w:pPr>
              <w:pStyle w:val="Tabletext"/>
              <w:rPr>
                <w:rFonts w:eastAsia="MS Gothic"/>
              </w:rPr>
            </w:pPr>
            <w:r w:rsidRPr="00315936">
              <w:rPr>
                <w:rFonts w:eastAsia="MS Gothic"/>
              </w:rPr>
              <w:t>Mental health patient experience</w:t>
            </w:r>
          </w:p>
        </w:tc>
        <w:tc>
          <w:tcPr>
            <w:tcW w:w="4536" w:type="dxa"/>
          </w:tcPr>
          <w:p w14:paraId="42FF1181" w14:textId="581EEF27" w:rsidR="009F388A" w:rsidRPr="00315936" w:rsidRDefault="009F388A">
            <w:pPr>
              <w:pStyle w:val="Tabletext"/>
              <w:rPr>
                <w:rFonts w:eastAsia="MS Gothic"/>
              </w:rPr>
            </w:pPr>
            <w:r w:rsidRPr="00315936">
              <w:t>Percentage of families/carers who report they ‘always’ or ‘usually’ felt their opinions as a carer were respected</w:t>
            </w:r>
          </w:p>
        </w:tc>
        <w:tc>
          <w:tcPr>
            <w:tcW w:w="3519" w:type="dxa"/>
          </w:tcPr>
          <w:p w14:paraId="4E4F68BD" w14:textId="77777777" w:rsidR="009F388A" w:rsidRPr="00315936" w:rsidRDefault="009F388A">
            <w:pPr>
              <w:pStyle w:val="Tabletext"/>
            </w:pPr>
            <w:r>
              <w:t>90 per cent</w:t>
            </w:r>
          </w:p>
        </w:tc>
      </w:tr>
      <w:tr w:rsidR="00793C71" w:rsidRPr="00315936" w14:paraId="6205845D" w14:textId="77777777" w:rsidTr="008E1561">
        <w:trPr>
          <w:cantSplit/>
        </w:trPr>
        <w:tc>
          <w:tcPr>
            <w:tcW w:w="2263" w:type="dxa"/>
          </w:tcPr>
          <w:p w14:paraId="4BFF6A2D" w14:textId="77777777" w:rsidR="009F388A" w:rsidRPr="00315936" w:rsidRDefault="009F388A">
            <w:pPr>
              <w:pStyle w:val="Tabletext"/>
              <w:rPr>
                <w:rFonts w:eastAsia="MS Gothic"/>
              </w:rPr>
            </w:pPr>
            <w:r w:rsidRPr="00315936">
              <w:rPr>
                <w:rFonts w:eastAsia="MS Gothic"/>
              </w:rPr>
              <w:t>Mental health patient experience</w:t>
            </w:r>
          </w:p>
        </w:tc>
        <w:tc>
          <w:tcPr>
            <w:tcW w:w="4536" w:type="dxa"/>
          </w:tcPr>
          <w:p w14:paraId="20992966" w14:textId="77417AD0" w:rsidR="009F388A" w:rsidRPr="00315936" w:rsidRDefault="009F388A">
            <w:pPr>
              <w:pStyle w:val="Tabletext"/>
            </w:pPr>
            <w:r w:rsidRPr="00315936">
              <w:t>Percentage of mental health consumers reporting they ‘usually’ or ‘always’ felt safe using this service</w:t>
            </w:r>
          </w:p>
        </w:tc>
        <w:tc>
          <w:tcPr>
            <w:tcW w:w="3519" w:type="dxa"/>
          </w:tcPr>
          <w:p w14:paraId="2ED5FADC" w14:textId="77777777" w:rsidR="009F388A" w:rsidRPr="00315936" w:rsidRDefault="009F388A">
            <w:pPr>
              <w:pStyle w:val="Tabletext"/>
            </w:pPr>
            <w:r>
              <w:t>90 per cent</w:t>
            </w:r>
          </w:p>
        </w:tc>
      </w:tr>
      <w:tr w:rsidR="00793C71" w:rsidRPr="00315936" w14:paraId="08230425" w14:textId="77777777" w:rsidTr="008E1561">
        <w:trPr>
          <w:cantSplit/>
        </w:trPr>
        <w:tc>
          <w:tcPr>
            <w:tcW w:w="2263" w:type="dxa"/>
          </w:tcPr>
          <w:p w14:paraId="08B3D7B4" w14:textId="77777777" w:rsidR="009F388A" w:rsidRPr="00315936" w:rsidRDefault="009F388A">
            <w:pPr>
              <w:pStyle w:val="Tabletext"/>
              <w:rPr>
                <w:rFonts w:eastAsia="MS Gothic"/>
              </w:rPr>
            </w:pPr>
            <w:r w:rsidRPr="00315936">
              <w:rPr>
                <w:rFonts w:eastAsia="MS Gothic"/>
              </w:rPr>
              <w:t>Mental health seclusions</w:t>
            </w:r>
          </w:p>
        </w:tc>
        <w:tc>
          <w:tcPr>
            <w:tcW w:w="4536" w:type="dxa"/>
          </w:tcPr>
          <w:p w14:paraId="7666C7CA" w14:textId="4D31C6A3" w:rsidR="009F388A" w:rsidRPr="00315936" w:rsidRDefault="009F388A">
            <w:pPr>
              <w:pStyle w:val="Tabletext"/>
              <w:rPr>
                <w:rFonts w:eastAsia="MS Gothic"/>
              </w:rPr>
            </w:pPr>
            <w:r w:rsidRPr="00315936">
              <w:t>Rate of seclusion episodes per 1,000 occupied bed days - Inpatient</w:t>
            </w:r>
          </w:p>
        </w:tc>
        <w:tc>
          <w:tcPr>
            <w:tcW w:w="3519" w:type="dxa"/>
          </w:tcPr>
          <w:p w14:paraId="671412D3" w14:textId="137F4B88" w:rsidR="009F388A" w:rsidRPr="00315936" w:rsidRDefault="009F388A" w:rsidP="00CD5A20">
            <w:pPr>
              <w:pStyle w:val="Tabletext"/>
            </w:pPr>
            <w:r>
              <w:t>Less than or equal to 6 episodes</w:t>
            </w:r>
            <w:r w:rsidR="00CD5A20">
              <w:t xml:space="preserve"> </w:t>
            </w:r>
            <w:r w:rsidRPr="00535D2B">
              <w:rPr>
                <w:b/>
                <w:bCs/>
              </w:rPr>
              <w:t>or</w:t>
            </w:r>
            <w:r w:rsidR="00CD5A20">
              <w:rPr>
                <w:b/>
                <w:bCs/>
              </w:rPr>
              <w:t xml:space="preserve"> </w:t>
            </w:r>
            <w:r>
              <w:t>at least 5 per cent improvement compared to the same quarter last year</w:t>
            </w:r>
            <w:r w:rsidR="008B45AE">
              <w:rPr>
                <w:rStyle w:val="EndnoteReference"/>
              </w:rPr>
              <w:endnoteReference w:id="18"/>
            </w:r>
          </w:p>
        </w:tc>
      </w:tr>
    </w:tbl>
    <w:p w14:paraId="42BF7982" w14:textId="01CEC2C8" w:rsidR="006B1E76" w:rsidRDefault="006B1E76" w:rsidP="008E7F78">
      <w:pPr>
        <w:pStyle w:val="Heading3"/>
      </w:pPr>
      <w:r>
        <w:t>Strong governance, leadership and culture</w:t>
      </w:r>
    </w:p>
    <w:tbl>
      <w:tblPr>
        <w:tblStyle w:val="TableGrid"/>
        <w:tblW w:w="10318" w:type="dxa"/>
        <w:tblLook w:val="04A0" w:firstRow="1" w:lastRow="0" w:firstColumn="1" w:lastColumn="0" w:noHBand="0" w:noVBand="1"/>
      </w:tblPr>
      <w:tblGrid>
        <w:gridCol w:w="2263"/>
        <w:gridCol w:w="4536"/>
        <w:gridCol w:w="3519"/>
      </w:tblGrid>
      <w:tr w:rsidR="00793C71" w:rsidRPr="00315936" w14:paraId="41AC7C9E" w14:textId="77777777" w:rsidTr="008E1561">
        <w:trPr>
          <w:cantSplit/>
          <w:trHeight w:val="340"/>
          <w:tblHeader/>
        </w:trPr>
        <w:tc>
          <w:tcPr>
            <w:tcW w:w="2263" w:type="dxa"/>
            <w:shd w:val="clear" w:color="auto" w:fill="000066"/>
          </w:tcPr>
          <w:p w14:paraId="6A239A36" w14:textId="77777777" w:rsidR="00980220" w:rsidRPr="00315936" w:rsidRDefault="00980220">
            <w:pPr>
              <w:pStyle w:val="Tablecolhead"/>
            </w:pPr>
            <w:r w:rsidRPr="00315936">
              <w:t>Program</w:t>
            </w:r>
          </w:p>
        </w:tc>
        <w:tc>
          <w:tcPr>
            <w:tcW w:w="4536" w:type="dxa"/>
            <w:shd w:val="clear" w:color="auto" w:fill="000066"/>
          </w:tcPr>
          <w:p w14:paraId="72DFF2AA" w14:textId="77777777" w:rsidR="00980220" w:rsidRPr="00315936" w:rsidRDefault="00980220">
            <w:pPr>
              <w:pStyle w:val="Tablecolhead"/>
            </w:pPr>
            <w:r w:rsidRPr="00315936">
              <w:t>Measure</w:t>
            </w:r>
          </w:p>
        </w:tc>
        <w:tc>
          <w:tcPr>
            <w:tcW w:w="3519" w:type="dxa"/>
            <w:shd w:val="clear" w:color="auto" w:fill="000066"/>
          </w:tcPr>
          <w:p w14:paraId="146D56ED" w14:textId="77777777" w:rsidR="00980220" w:rsidRPr="00315936" w:rsidRDefault="00980220">
            <w:pPr>
              <w:pStyle w:val="Tablecolhead"/>
            </w:pPr>
            <w:r w:rsidRPr="00315936">
              <w:t>Target</w:t>
            </w:r>
          </w:p>
        </w:tc>
      </w:tr>
      <w:tr w:rsidR="00793C71" w:rsidRPr="00315936" w14:paraId="545D8565" w14:textId="77777777" w:rsidTr="008E1561">
        <w:trPr>
          <w:cantSplit/>
        </w:trPr>
        <w:tc>
          <w:tcPr>
            <w:tcW w:w="2263" w:type="dxa"/>
          </w:tcPr>
          <w:p w14:paraId="11358DEC" w14:textId="77777777" w:rsidR="00980220" w:rsidRPr="00315936" w:rsidRDefault="00980220">
            <w:pPr>
              <w:pStyle w:val="Tabletext"/>
            </w:pPr>
            <w:r w:rsidRPr="00315936">
              <w:t>Organisational culture</w:t>
            </w:r>
          </w:p>
        </w:tc>
        <w:tc>
          <w:tcPr>
            <w:tcW w:w="4536" w:type="dxa"/>
          </w:tcPr>
          <w:p w14:paraId="4E924603" w14:textId="77777777" w:rsidR="00980220" w:rsidRPr="00315936" w:rsidRDefault="00980220">
            <w:pPr>
              <w:pStyle w:val="Tabletext"/>
            </w:pPr>
            <w:r w:rsidRPr="00315936">
              <w:t>People matter survey – Percentage of staff with an overall positive response to safety culture survey questions</w:t>
            </w:r>
          </w:p>
        </w:tc>
        <w:tc>
          <w:tcPr>
            <w:tcW w:w="3519" w:type="dxa"/>
          </w:tcPr>
          <w:p w14:paraId="5C94D288" w14:textId="77777777" w:rsidR="00980220" w:rsidRPr="00315936" w:rsidRDefault="00980220">
            <w:pPr>
              <w:pStyle w:val="Tabletext"/>
            </w:pPr>
            <w:r>
              <w:t>80 per cent</w:t>
            </w:r>
          </w:p>
        </w:tc>
      </w:tr>
    </w:tbl>
    <w:p w14:paraId="3C9F1E18" w14:textId="48FC29D5" w:rsidR="006B1E76" w:rsidRDefault="006B1E76" w:rsidP="008E7F78">
      <w:pPr>
        <w:pStyle w:val="Heading3"/>
      </w:pPr>
      <w:r>
        <w:t>Timely access to care</w:t>
      </w:r>
      <w:r w:rsidR="003B1202">
        <w:rPr>
          <w:rStyle w:val="EndnoteReference"/>
        </w:rPr>
        <w:endnoteReference w:id="19"/>
      </w:r>
    </w:p>
    <w:tbl>
      <w:tblPr>
        <w:tblStyle w:val="TableGrid"/>
        <w:tblW w:w="10318" w:type="dxa"/>
        <w:tblLook w:val="04A0" w:firstRow="1" w:lastRow="0" w:firstColumn="1" w:lastColumn="0" w:noHBand="0" w:noVBand="1"/>
      </w:tblPr>
      <w:tblGrid>
        <w:gridCol w:w="2263"/>
        <w:gridCol w:w="4536"/>
        <w:gridCol w:w="3519"/>
      </w:tblGrid>
      <w:tr w:rsidR="00D11EA6" w:rsidRPr="00315936" w14:paraId="5F44CCC4" w14:textId="77777777" w:rsidTr="008E1561">
        <w:trPr>
          <w:cantSplit/>
          <w:trHeight w:val="340"/>
          <w:tblHeader/>
        </w:trPr>
        <w:tc>
          <w:tcPr>
            <w:tcW w:w="2263" w:type="dxa"/>
            <w:shd w:val="clear" w:color="auto" w:fill="000066"/>
          </w:tcPr>
          <w:p w14:paraId="5EF571C9" w14:textId="77777777" w:rsidR="00455E65" w:rsidRPr="00315936" w:rsidRDefault="00455E65">
            <w:pPr>
              <w:pStyle w:val="Tablecolhead"/>
            </w:pPr>
            <w:r w:rsidRPr="00315936">
              <w:t>Program</w:t>
            </w:r>
          </w:p>
        </w:tc>
        <w:tc>
          <w:tcPr>
            <w:tcW w:w="4536" w:type="dxa"/>
            <w:shd w:val="clear" w:color="auto" w:fill="000066"/>
          </w:tcPr>
          <w:p w14:paraId="091B0C9B" w14:textId="77777777" w:rsidR="00455E65" w:rsidRPr="00315936" w:rsidRDefault="00455E65">
            <w:pPr>
              <w:pStyle w:val="Tablecolhead"/>
            </w:pPr>
            <w:r w:rsidRPr="00315936">
              <w:t>Measure</w:t>
            </w:r>
          </w:p>
        </w:tc>
        <w:tc>
          <w:tcPr>
            <w:tcW w:w="3519" w:type="dxa"/>
            <w:shd w:val="clear" w:color="auto" w:fill="000066"/>
          </w:tcPr>
          <w:p w14:paraId="6DBF4EF4" w14:textId="77777777" w:rsidR="00455E65" w:rsidRPr="00315936" w:rsidRDefault="00455E65">
            <w:pPr>
              <w:pStyle w:val="Tablecolhead"/>
            </w:pPr>
            <w:r w:rsidRPr="00315936">
              <w:t>Target</w:t>
            </w:r>
          </w:p>
        </w:tc>
      </w:tr>
      <w:tr w:rsidR="00793C71" w:rsidRPr="00315936" w14:paraId="16873829" w14:textId="77777777" w:rsidTr="008E1561">
        <w:trPr>
          <w:cantSplit/>
        </w:trPr>
        <w:tc>
          <w:tcPr>
            <w:tcW w:w="2263" w:type="dxa"/>
          </w:tcPr>
          <w:p w14:paraId="45412398" w14:textId="77777777" w:rsidR="00455E65" w:rsidRPr="00315936" w:rsidRDefault="00455E65">
            <w:pPr>
              <w:pStyle w:val="Tabletext"/>
            </w:pPr>
            <w:proofErr w:type="spellStart"/>
            <w:r w:rsidRPr="00315936">
              <w:t>Forensicare</w:t>
            </w:r>
            <w:proofErr w:type="spellEnd"/>
          </w:p>
        </w:tc>
        <w:tc>
          <w:tcPr>
            <w:tcW w:w="4536" w:type="dxa"/>
          </w:tcPr>
          <w:p w14:paraId="6EFF58BB" w14:textId="77777777" w:rsidR="00455E65" w:rsidRPr="00315936" w:rsidRDefault="00455E65">
            <w:pPr>
              <w:pStyle w:val="Tabletext"/>
            </w:pPr>
            <w:r w:rsidRPr="00315936">
              <w:rPr>
                <w:rFonts w:eastAsia="MS Gothic"/>
              </w:rPr>
              <w:t xml:space="preserve">Percentage of male </w:t>
            </w:r>
            <w:r>
              <w:rPr>
                <w:rFonts w:eastAsia="MS Gothic"/>
              </w:rPr>
              <w:t>s</w:t>
            </w:r>
            <w:r w:rsidRPr="001A453F">
              <w:rPr>
                <w:rFonts w:eastAsia="MS Gothic"/>
              </w:rPr>
              <w:t xml:space="preserve">ecurity </w:t>
            </w:r>
            <w:r>
              <w:rPr>
                <w:rFonts w:eastAsia="MS Gothic"/>
              </w:rPr>
              <w:t>p</w:t>
            </w:r>
            <w:r w:rsidRPr="001A453F">
              <w:rPr>
                <w:rFonts w:eastAsia="MS Gothic"/>
              </w:rPr>
              <w:t>atients</w:t>
            </w:r>
            <w:r w:rsidRPr="00315936">
              <w:rPr>
                <w:rFonts w:eastAsia="MS Gothic"/>
              </w:rPr>
              <w:t xml:space="preserve"> admitted to Thomas </w:t>
            </w:r>
            <w:proofErr w:type="spellStart"/>
            <w:r w:rsidRPr="00315936">
              <w:rPr>
                <w:rFonts w:eastAsia="MS Gothic"/>
              </w:rPr>
              <w:t>Embling</w:t>
            </w:r>
            <w:proofErr w:type="spellEnd"/>
            <w:r w:rsidRPr="00315936">
              <w:rPr>
                <w:rFonts w:eastAsia="MS Gothic"/>
              </w:rPr>
              <w:t xml:space="preserve"> Hospital within 7 days of recommendation for compulsory treatment</w:t>
            </w:r>
          </w:p>
        </w:tc>
        <w:tc>
          <w:tcPr>
            <w:tcW w:w="3519" w:type="dxa"/>
          </w:tcPr>
          <w:p w14:paraId="64045D96" w14:textId="15814E7D" w:rsidR="00455E65" w:rsidRPr="00315936" w:rsidRDefault="00455E65" w:rsidP="002F141C">
            <w:pPr>
              <w:pStyle w:val="Tabletext"/>
            </w:pPr>
            <w:r>
              <w:t xml:space="preserve">Greater than or equal to 80 per cent </w:t>
            </w:r>
            <w:r w:rsidRPr="00535D2B">
              <w:rPr>
                <w:b/>
                <w:bCs/>
              </w:rPr>
              <w:t>or</w:t>
            </w:r>
            <w:r w:rsidR="002F141C" w:rsidRPr="00575B8A">
              <w:rPr>
                <w:b/>
                <w:bCs/>
              </w:rPr>
              <w:t xml:space="preserve"> </w:t>
            </w:r>
            <w:r>
              <w:t>at least a 5-percentage point improvement compared to the same quarter last year</w:t>
            </w:r>
            <w:bookmarkStart w:id="141" w:name="_Ref201836115"/>
            <w:r w:rsidR="008709D7">
              <w:rPr>
                <w:rStyle w:val="EndnoteReference"/>
              </w:rPr>
              <w:endnoteReference w:id="20"/>
            </w:r>
            <w:bookmarkEnd w:id="141"/>
          </w:p>
        </w:tc>
      </w:tr>
      <w:tr w:rsidR="00793C71" w:rsidRPr="00315936" w14:paraId="737DA231" w14:textId="77777777" w:rsidTr="008E1561">
        <w:trPr>
          <w:cantSplit/>
        </w:trPr>
        <w:tc>
          <w:tcPr>
            <w:tcW w:w="2263" w:type="dxa"/>
          </w:tcPr>
          <w:p w14:paraId="5C822940" w14:textId="77777777" w:rsidR="00455E65" w:rsidRPr="00315936" w:rsidRDefault="00455E65">
            <w:pPr>
              <w:pStyle w:val="Tabletext"/>
            </w:pPr>
            <w:proofErr w:type="spellStart"/>
            <w:r w:rsidRPr="00315936">
              <w:t>Forensicare</w:t>
            </w:r>
            <w:proofErr w:type="spellEnd"/>
          </w:p>
        </w:tc>
        <w:tc>
          <w:tcPr>
            <w:tcW w:w="4536" w:type="dxa"/>
          </w:tcPr>
          <w:p w14:paraId="08756A79" w14:textId="77777777" w:rsidR="00455E65" w:rsidRPr="00315936" w:rsidRDefault="00455E65">
            <w:pPr>
              <w:pStyle w:val="Tabletext"/>
            </w:pPr>
            <w:r w:rsidRPr="00315936">
              <w:t xml:space="preserve">Percentage of female </w:t>
            </w:r>
            <w:r>
              <w:t>s</w:t>
            </w:r>
            <w:r w:rsidRPr="001A453F">
              <w:t xml:space="preserve">ecurity </w:t>
            </w:r>
            <w:r>
              <w:t>p</w:t>
            </w:r>
            <w:r w:rsidRPr="001A453F">
              <w:t>atients</w:t>
            </w:r>
            <w:r w:rsidRPr="00315936">
              <w:t xml:space="preserve"> admitted to Thomas </w:t>
            </w:r>
            <w:proofErr w:type="spellStart"/>
            <w:r w:rsidRPr="00315936">
              <w:t>Embling</w:t>
            </w:r>
            <w:proofErr w:type="spellEnd"/>
            <w:r w:rsidRPr="00315936">
              <w:t xml:space="preserve"> Hospital within 7 days of recommendation for compulsory treatment.</w:t>
            </w:r>
            <w:r w:rsidRPr="00315936">
              <w:rPr>
                <w:rFonts w:eastAsia="MS Gothic"/>
              </w:rPr>
              <w:t> </w:t>
            </w:r>
          </w:p>
        </w:tc>
        <w:tc>
          <w:tcPr>
            <w:tcW w:w="3519" w:type="dxa"/>
          </w:tcPr>
          <w:p w14:paraId="1B825EDA" w14:textId="77777777" w:rsidR="00455E65" w:rsidRPr="00315936" w:rsidRDefault="00455E65">
            <w:pPr>
              <w:pStyle w:val="Tabletext"/>
            </w:pPr>
            <w:r>
              <w:t xml:space="preserve">80 per cent </w:t>
            </w:r>
          </w:p>
        </w:tc>
      </w:tr>
      <w:tr w:rsidR="00793C71" w:rsidRPr="00315936" w14:paraId="3C491161" w14:textId="77777777" w:rsidTr="008E1561">
        <w:trPr>
          <w:cantSplit/>
        </w:trPr>
        <w:tc>
          <w:tcPr>
            <w:tcW w:w="2263" w:type="dxa"/>
          </w:tcPr>
          <w:p w14:paraId="35C41934" w14:textId="77777777" w:rsidR="00455E65" w:rsidRPr="00315936" w:rsidRDefault="00455E65">
            <w:pPr>
              <w:pStyle w:val="Tabletext"/>
            </w:pPr>
            <w:proofErr w:type="spellStart"/>
            <w:r w:rsidRPr="00315936">
              <w:t>Forensicare</w:t>
            </w:r>
            <w:proofErr w:type="spellEnd"/>
          </w:p>
        </w:tc>
        <w:tc>
          <w:tcPr>
            <w:tcW w:w="4536" w:type="dxa"/>
          </w:tcPr>
          <w:p w14:paraId="3F07ACD8" w14:textId="77777777" w:rsidR="00455E65" w:rsidRPr="00315936" w:rsidRDefault="00455E65">
            <w:pPr>
              <w:pStyle w:val="Tabletext"/>
            </w:pPr>
            <w:r w:rsidRPr="00315936">
              <w:t xml:space="preserve">Percentage of male security patients discharged from Thomas </w:t>
            </w:r>
            <w:proofErr w:type="spellStart"/>
            <w:r w:rsidRPr="00315936">
              <w:t>Embling</w:t>
            </w:r>
            <w:proofErr w:type="spellEnd"/>
            <w:r w:rsidRPr="00315936">
              <w:t xml:space="preserve"> Hospital to a correctional centre within 21 days</w:t>
            </w:r>
          </w:p>
        </w:tc>
        <w:tc>
          <w:tcPr>
            <w:tcW w:w="3519" w:type="dxa"/>
          </w:tcPr>
          <w:p w14:paraId="293A4A81" w14:textId="190BE06B" w:rsidR="00455E65" w:rsidRPr="00315936" w:rsidRDefault="00455E65" w:rsidP="00575B8A">
            <w:pPr>
              <w:pStyle w:val="Tabletext"/>
            </w:pPr>
            <w:r>
              <w:t xml:space="preserve">Greater than or equal to 80 per cent </w:t>
            </w:r>
            <w:r w:rsidRPr="00535D2B">
              <w:rPr>
                <w:b/>
                <w:bCs/>
              </w:rPr>
              <w:t>or</w:t>
            </w:r>
            <w:r w:rsidR="00575B8A">
              <w:rPr>
                <w:b/>
                <w:bCs/>
              </w:rPr>
              <w:t xml:space="preserve"> </w:t>
            </w:r>
            <w:r>
              <w:t>at least a 5-percentage point improvement compared to the same quarter last year</w:t>
            </w:r>
            <w:r w:rsidR="00575B8A">
              <w:t xml:space="preserve"> </w:t>
            </w:r>
            <w:r w:rsidR="003B7DF7">
              <w:fldChar w:fldCharType="begin"/>
            </w:r>
            <w:r w:rsidR="003B7DF7">
              <w:instrText xml:space="preserve"> NOTEREF _Ref201836115 \f \h </w:instrText>
            </w:r>
            <w:r w:rsidR="00321B9F">
              <w:instrText xml:space="preserve"> \* MERGEFORMAT </w:instrText>
            </w:r>
            <w:r w:rsidR="003B7DF7">
              <w:fldChar w:fldCharType="separate"/>
            </w:r>
            <w:r w:rsidR="003B7DF7" w:rsidRPr="003B7DF7">
              <w:rPr>
                <w:rStyle w:val="EndnoteReference"/>
              </w:rPr>
              <w:t>xix</w:t>
            </w:r>
            <w:r w:rsidR="003B7DF7">
              <w:fldChar w:fldCharType="end"/>
            </w:r>
          </w:p>
        </w:tc>
      </w:tr>
      <w:tr w:rsidR="00793C71" w:rsidRPr="00315936" w14:paraId="49DAF00C" w14:textId="77777777" w:rsidTr="008E1561">
        <w:trPr>
          <w:cantSplit/>
        </w:trPr>
        <w:tc>
          <w:tcPr>
            <w:tcW w:w="2263" w:type="dxa"/>
          </w:tcPr>
          <w:p w14:paraId="5A2C79E6" w14:textId="77777777" w:rsidR="00455E65" w:rsidRPr="00315936" w:rsidRDefault="00455E65">
            <w:pPr>
              <w:pStyle w:val="Tabletext"/>
            </w:pPr>
            <w:proofErr w:type="spellStart"/>
            <w:r w:rsidRPr="00315936">
              <w:t>Forensicare</w:t>
            </w:r>
            <w:proofErr w:type="spellEnd"/>
          </w:p>
        </w:tc>
        <w:tc>
          <w:tcPr>
            <w:tcW w:w="4536" w:type="dxa"/>
          </w:tcPr>
          <w:p w14:paraId="774D4737" w14:textId="77777777" w:rsidR="00455E65" w:rsidRPr="00315936" w:rsidRDefault="00455E65">
            <w:pPr>
              <w:pStyle w:val="Tabletext"/>
            </w:pPr>
            <w:r w:rsidRPr="00315936">
              <w:rPr>
                <w:rFonts w:eastAsia="MS Gothic"/>
              </w:rPr>
              <w:t xml:space="preserve">Percentage of female security patients discharged from Thomas </w:t>
            </w:r>
            <w:proofErr w:type="spellStart"/>
            <w:r w:rsidRPr="00315936">
              <w:rPr>
                <w:rFonts w:eastAsia="MS Gothic"/>
              </w:rPr>
              <w:t>Embling</w:t>
            </w:r>
            <w:proofErr w:type="spellEnd"/>
            <w:r w:rsidRPr="00315936">
              <w:rPr>
                <w:rFonts w:eastAsia="MS Gothic"/>
              </w:rPr>
              <w:t xml:space="preserve"> Hospital to a correctional centre within 28 days </w:t>
            </w:r>
          </w:p>
        </w:tc>
        <w:tc>
          <w:tcPr>
            <w:tcW w:w="3519" w:type="dxa"/>
          </w:tcPr>
          <w:p w14:paraId="6AB200F0" w14:textId="77777777" w:rsidR="00455E65" w:rsidRPr="00315936" w:rsidRDefault="00455E65">
            <w:pPr>
              <w:pStyle w:val="Tabletext"/>
            </w:pPr>
            <w:r>
              <w:t>80</w:t>
            </w:r>
            <w:r w:rsidRPr="00315936">
              <w:t xml:space="preserve"> per cent </w:t>
            </w:r>
          </w:p>
        </w:tc>
      </w:tr>
      <w:tr w:rsidR="00793C71" w:rsidRPr="00315936" w14:paraId="7A91F10B" w14:textId="77777777" w:rsidTr="008E1561">
        <w:trPr>
          <w:cantSplit/>
        </w:trPr>
        <w:tc>
          <w:tcPr>
            <w:tcW w:w="2263" w:type="dxa"/>
          </w:tcPr>
          <w:p w14:paraId="6F37D5AC" w14:textId="77777777" w:rsidR="00455E65" w:rsidRPr="00315936" w:rsidRDefault="00455E65">
            <w:pPr>
              <w:pStyle w:val="Tabletext"/>
            </w:pPr>
            <w:proofErr w:type="spellStart"/>
            <w:r w:rsidRPr="4A3EC911">
              <w:t>Forensicare</w:t>
            </w:r>
            <w:proofErr w:type="spellEnd"/>
          </w:p>
        </w:tc>
        <w:tc>
          <w:tcPr>
            <w:tcW w:w="4536" w:type="dxa"/>
          </w:tcPr>
          <w:p w14:paraId="4C0D151B" w14:textId="77777777" w:rsidR="00455E65" w:rsidRPr="00315936" w:rsidRDefault="00455E65">
            <w:pPr>
              <w:pStyle w:val="Tabletext"/>
            </w:pPr>
            <w:r w:rsidRPr="00315936">
              <w:t>Percentage of male security patients discharged within 7 days of becoming a civil client</w:t>
            </w:r>
          </w:p>
        </w:tc>
        <w:tc>
          <w:tcPr>
            <w:tcW w:w="3519" w:type="dxa"/>
          </w:tcPr>
          <w:p w14:paraId="2CEF7CC2" w14:textId="77777777" w:rsidR="00455E65" w:rsidRPr="00315936" w:rsidRDefault="00455E65">
            <w:pPr>
              <w:pStyle w:val="Tabletext"/>
            </w:pPr>
            <w:r>
              <w:t>80 per cent</w:t>
            </w:r>
          </w:p>
        </w:tc>
      </w:tr>
    </w:tbl>
    <w:p w14:paraId="352BEAFA" w14:textId="6ECC6BEC" w:rsidR="006B1E76" w:rsidRDefault="006B1E76" w:rsidP="008E7F78">
      <w:pPr>
        <w:pStyle w:val="Heading3"/>
      </w:pPr>
      <w:r>
        <w:t>Effective financial management</w:t>
      </w:r>
    </w:p>
    <w:tbl>
      <w:tblPr>
        <w:tblStyle w:val="TableGrid"/>
        <w:tblW w:w="10318" w:type="dxa"/>
        <w:tblLayout w:type="fixed"/>
        <w:tblLook w:val="04A0" w:firstRow="1" w:lastRow="0" w:firstColumn="1" w:lastColumn="0" w:noHBand="0" w:noVBand="1"/>
      </w:tblPr>
      <w:tblGrid>
        <w:gridCol w:w="2263"/>
        <w:gridCol w:w="4536"/>
        <w:gridCol w:w="3519"/>
      </w:tblGrid>
      <w:tr w:rsidR="00793C71" w:rsidRPr="00315936" w14:paraId="3C6B2851" w14:textId="77777777" w:rsidTr="008E1561">
        <w:trPr>
          <w:cantSplit/>
          <w:trHeight w:val="340"/>
          <w:tblHeader/>
        </w:trPr>
        <w:tc>
          <w:tcPr>
            <w:tcW w:w="2263" w:type="dxa"/>
            <w:shd w:val="clear" w:color="auto" w:fill="000066"/>
          </w:tcPr>
          <w:p w14:paraId="671FA5F5" w14:textId="77777777" w:rsidR="005A4BA1" w:rsidRPr="00315936" w:rsidRDefault="005A4BA1">
            <w:pPr>
              <w:pStyle w:val="Tablecolhead"/>
            </w:pPr>
            <w:r w:rsidRPr="00315936">
              <w:t>Program</w:t>
            </w:r>
          </w:p>
        </w:tc>
        <w:tc>
          <w:tcPr>
            <w:tcW w:w="4536" w:type="dxa"/>
            <w:shd w:val="clear" w:color="auto" w:fill="000066"/>
          </w:tcPr>
          <w:p w14:paraId="442E897C" w14:textId="77777777" w:rsidR="005A4BA1" w:rsidRPr="00315936" w:rsidRDefault="005A4BA1">
            <w:pPr>
              <w:pStyle w:val="Tablecolhead"/>
            </w:pPr>
            <w:r w:rsidRPr="00315936">
              <w:t>Measure</w:t>
            </w:r>
          </w:p>
        </w:tc>
        <w:tc>
          <w:tcPr>
            <w:tcW w:w="3519" w:type="dxa"/>
            <w:shd w:val="clear" w:color="auto" w:fill="000066"/>
          </w:tcPr>
          <w:p w14:paraId="485D3FF3" w14:textId="77777777" w:rsidR="005A4BA1" w:rsidRPr="00315936" w:rsidRDefault="005A4BA1">
            <w:pPr>
              <w:pStyle w:val="Tablecolhead"/>
            </w:pPr>
            <w:r w:rsidRPr="00315936">
              <w:t>Target</w:t>
            </w:r>
          </w:p>
        </w:tc>
      </w:tr>
      <w:tr w:rsidR="00793C71" w:rsidRPr="00315936" w14:paraId="3D5CA5F7" w14:textId="77777777" w:rsidTr="008E1561">
        <w:trPr>
          <w:cantSplit/>
        </w:trPr>
        <w:tc>
          <w:tcPr>
            <w:tcW w:w="2263" w:type="dxa"/>
          </w:tcPr>
          <w:p w14:paraId="75F67980" w14:textId="77777777" w:rsidR="005A4BA1" w:rsidRPr="00315936" w:rsidRDefault="005A4BA1">
            <w:pPr>
              <w:pStyle w:val="Tabletext"/>
            </w:pPr>
            <w:r w:rsidRPr="00315936">
              <w:t>Effective financial management</w:t>
            </w:r>
          </w:p>
        </w:tc>
        <w:tc>
          <w:tcPr>
            <w:tcW w:w="4536" w:type="dxa"/>
          </w:tcPr>
          <w:p w14:paraId="0BA007AF" w14:textId="77777777" w:rsidR="005A4BA1" w:rsidRPr="00315936" w:rsidRDefault="005A4BA1">
            <w:pPr>
              <w:pStyle w:val="Tabletext"/>
            </w:pPr>
            <w:r w:rsidRPr="00315936">
              <w:t>Operating result ($M)</w:t>
            </w:r>
          </w:p>
        </w:tc>
        <w:tc>
          <w:tcPr>
            <w:tcW w:w="3519" w:type="dxa"/>
          </w:tcPr>
          <w:p w14:paraId="15537282" w14:textId="1E329BEC" w:rsidR="005A4BA1" w:rsidRPr="00315936" w:rsidRDefault="00FD5602">
            <w:pPr>
              <w:pStyle w:val="Tabletext"/>
            </w:pPr>
            <w:r>
              <w:t>S</w:t>
            </w:r>
            <w:r w:rsidR="003E4695">
              <w:t>ervice specific</w:t>
            </w:r>
          </w:p>
        </w:tc>
      </w:tr>
      <w:tr w:rsidR="00793C71" w:rsidRPr="00315936" w14:paraId="60124DF6" w14:textId="77777777" w:rsidTr="008E1561">
        <w:trPr>
          <w:cantSplit/>
        </w:trPr>
        <w:tc>
          <w:tcPr>
            <w:tcW w:w="2263" w:type="dxa"/>
          </w:tcPr>
          <w:p w14:paraId="2657CC2C" w14:textId="77777777" w:rsidR="005A4BA1" w:rsidRPr="00315936" w:rsidRDefault="005A4BA1">
            <w:pPr>
              <w:pStyle w:val="Tabletext"/>
            </w:pPr>
            <w:r w:rsidRPr="00315936">
              <w:t>Effective financial management</w:t>
            </w:r>
          </w:p>
        </w:tc>
        <w:tc>
          <w:tcPr>
            <w:tcW w:w="4536" w:type="dxa"/>
          </w:tcPr>
          <w:p w14:paraId="11408CDA" w14:textId="77777777" w:rsidR="005A4BA1" w:rsidRPr="00315936" w:rsidRDefault="005A4BA1">
            <w:pPr>
              <w:pStyle w:val="Tabletext"/>
            </w:pPr>
            <w:r w:rsidRPr="00315936">
              <w:t>Adjusted Current Asset Ratio (ACAR)</w:t>
            </w:r>
          </w:p>
        </w:tc>
        <w:tc>
          <w:tcPr>
            <w:tcW w:w="3519" w:type="dxa"/>
          </w:tcPr>
          <w:p w14:paraId="74684B01" w14:textId="77777777" w:rsidR="005A4BA1" w:rsidRPr="00315936" w:rsidRDefault="005A4BA1">
            <w:pPr>
              <w:pStyle w:val="Tabletext"/>
            </w:pPr>
            <w:r>
              <w:t>Greater than or equal to 0</w:t>
            </w:r>
            <w:r w:rsidRPr="00315936">
              <w:t xml:space="preserve">.7 or </w:t>
            </w:r>
            <w:r>
              <w:t xml:space="preserve">at least </w:t>
            </w:r>
            <w:r w:rsidRPr="00315936">
              <w:t xml:space="preserve">3 per cent improvement from health service base target </w:t>
            </w:r>
          </w:p>
        </w:tc>
      </w:tr>
      <w:tr w:rsidR="00793C71" w:rsidRPr="00315936" w14:paraId="60ED8FD7" w14:textId="77777777" w:rsidTr="008E1561">
        <w:trPr>
          <w:cantSplit/>
        </w:trPr>
        <w:tc>
          <w:tcPr>
            <w:tcW w:w="2263" w:type="dxa"/>
          </w:tcPr>
          <w:p w14:paraId="3945C616" w14:textId="77777777" w:rsidR="005A4BA1" w:rsidRPr="00315936" w:rsidRDefault="005A4BA1">
            <w:pPr>
              <w:pStyle w:val="Tabletext"/>
            </w:pPr>
            <w:r w:rsidRPr="00315936">
              <w:t>Effective financial management</w:t>
            </w:r>
          </w:p>
        </w:tc>
        <w:tc>
          <w:tcPr>
            <w:tcW w:w="4536" w:type="dxa"/>
          </w:tcPr>
          <w:p w14:paraId="44CD0D2A" w14:textId="77777777" w:rsidR="005A4BA1" w:rsidRPr="00315936" w:rsidRDefault="005A4BA1">
            <w:pPr>
              <w:pStyle w:val="Tabletext"/>
            </w:pPr>
            <w:r w:rsidRPr="006B2CF1">
              <w:t>Variance between the forecast and actual operating result (OR) as a percentage of the forecast OR for the current financial year ending 30 June</w:t>
            </w:r>
          </w:p>
        </w:tc>
        <w:tc>
          <w:tcPr>
            <w:tcW w:w="3519" w:type="dxa"/>
          </w:tcPr>
          <w:p w14:paraId="097ECF90" w14:textId="77777777" w:rsidR="005A4BA1" w:rsidRPr="00315936" w:rsidRDefault="005A4BA1">
            <w:pPr>
              <w:pStyle w:val="Tabletext"/>
            </w:pPr>
            <w:r w:rsidRPr="00C4056D">
              <w:t>Less than or equal to 5 per cent variance</w:t>
            </w:r>
          </w:p>
        </w:tc>
      </w:tr>
    </w:tbl>
    <w:p w14:paraId="5092FBC4" w14:textId="40836965" w:rsidR="006055E8" w:rsidRDefault="004E5067" w:rsidP="004E5067">
      <w:pPr>
        <w:pStyle w:val="Heading1"/>
        <w:rPr>
          <w:rFonts w:eastAsia="Times"/>
        </w:rPr>
      </w:pPr>
      <w:bookmarkStart w:id="142" w:name="_Toc234580084"/>
      <w:r>
        <w:t>Endnotes</w:t>
      </w:r>
      <w:bookmarkEnd w:id="142"/>
    </w:p>
    <w:p w14:paraId="2733C82F" w14:textId="77777777" w:rsidR="006055E8" w:rsidRPr="00CC6FEF" w:rsidRDefault="006055E8" w:rsidP="0063241C">
      <w:pPr>
        <w:spacing w:after="0" w:line="240" w:lineRule="auto"/>
        <w:rPr>
          <w:rFonts w:eastAsia="Times"/>
        </w:rPr>
      </w:pPr>
    </w:p>
    <w:sectPr w:rsidR="006055E8" w:rsidRPr="00CC6FEF" w:rsidSect="00321B9F">
      <w:footerReference w:type="even" r:id="rId36"/>
      <w:footerReference w:type="default" r:id="rId37"/>
      <w:footerReference w:type="first" r:id="rId38"/>
      <w:pgSz w:w="11906" w:h="16838" w:code="9"/>
      <w:pgMar w:top="720" w:right="720" w:bottom="720" w:left="720" w:header="680"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71824" w14:textId="77777777" w:rsidR="009C3E76" w:rsidRDefault="009C3E76">
      <w:r>
        <w:separator/>
      </w:r>
    </w:p>
    <w:p w14:paraId="6A05F6D7" w14:textId="77777777" w:rsidR="009C3E76" w:rsidRDefault="009C3E76"/>
  </w:endnote>
  <w:endnote w:type="continuationSeparator" w:id="0">
    <w:p w14:paraId="5DDD807E" w14:textId="77777777" w:rsidR="009C3E76" w:rsidRDefault="009C3E76">
      <w:r>
        <w:continuationSeparator/>
      </w:r>
    </w:p>
    <w:p w14:paraId="159755FE" w14:textId="77777777" w:rsidR="009C3E76" w:rsidRDefault="009C3E76"/>
  </w:endnote>
  <w:endnote w:type="continuationNotice" w:id="1">
    <w:p w14:paraId="1FFC55F5" w14:textId="77777777" w:rsidR="009C3E76" w:rsidRDefault="009C3E76">
      <w:pPr>
        <w:spacing w:after="0" w:line="240" w:lineRule="auto"/>
      </w:pPr>
    </w:p>
  </w:endnote>
  <w:endnote w:id="2">
    <w:p w14:paraId="1B34D2C7" w14:textId="77777777" w:rsidR="00A15C95" w:rsidRDefault="0044436A" w:rsidP="00A15C95">
      <w:pPr>
        <w:pStyle w:val="FootnoteText"/>
      </w:pPr>
      <w:r>
        <w:rPr>
          <w:rStyle w:val="EndnoteReference"/>
        </w:rPr>
        <w:endnoteRef/>
      </w:r>
      <w:r>
        <w:t xml:space="preserve"> </w:t>
      </w:r>
      <w:r w:rsidR="00A15C95" w:rsidRPr="00AC198A">
        <w:t xml:space="preserve">Differential targets have been set </w:t>
      </w:r>
      <w:r w:rsidR="00A15C95">
        <w:t>for each individual health service campus</w:t>
      </w:r>
      <w:r w:rsidR="00A15C95" w:rsidRPr="00AC198A">
        <w:t xml:space="preserve"> to encourage and recognise incremental improvement towards the overall statewide target. </w:t>
      </w:r>
    </w:p>
    <w:p w14:paraId="5486E0ED" w14:textId="77777777" w:rsidR="00A15C95" w:rsidRDefault="00A15C95" w:rsidP="004E5067">
      <w:pPr>
        <w:pStyle w:val="FootnoteText"/>
        <w:numPr>
          <w:ilvl w:val="0"/>
          <w:numId w:val="84"/>
        </w:numPr>
      </w:pPr>
      <w:r w:rsidRPr="00AC198A">
        <w:t xml:space="preserve">Tier 1: &gt;= 80% </w:t>
      </w:r>
    </w:p>
    <w:p w14:paraId="556FCC9F" w14:textId="77777777" w:rsidR="00A15C95" w:rsidRDefault="00A15C95" w:rsidP="004E5067">
      <w:pPr>
        <w:pStyle w:val="FootnoteText"/>
        <w:numPr>
          <w:ilvl w:val="0"/>
          <w:numId w:val="84"/>
        </w:numPr>
      </w:pPr>
      <w:r w:rsidRPr="00AC198A">
        <w:t xml:space="preserve">Tier 2: 8% improvement from the same time last year </w:t>
      </w:r>
    </w:p>
    <w:p w14:paraId="3D09D883" w14:textId="77777777" w:rsidR="00A15C95" w:rsidRDefault="00A15C95" w:rsidP="004E5067">
      <w:pPr>
        <w:pStyle w:val="FootnoteText"/>
        <w:numPr>
          <w:ilvl w:val="0"/>
          <w:numId w:val="84"/>
        </w:numPr>
      </w:pPr>
      <w:r w:rsidRPr="00AC198A">
        <w:t xml:space="preserve">Tier 3: 6% improvement from the same time last year </w:t>
      </w:r>
    </w:p>
    <w:p w14:paraId="75D8299B" w14:textId="3DC3F0E2" w:rsidR="0044436A" w:rsidRPr="00A042CF" w:rsidRDefault="00A15C95" w:rsidP="00535D2B">
      <w:pPr>
        <w:pStyle w:val="FootnoteText"/>
        <w:numPr>
          <w:ilvl w:val="0"/>
          <w:numId w:val="84"/>
        </w:numPr>
      </w:pPr>
      <w:r w:rsidRPr="00A042CF">
        <w:t>Tier 4: 4% improvement from the same time last year</w:t>
      </w:r>
    </w:p>
  </w:endnote>
  <w:endnote w:id="3">
    <w:p w14:paraId="217B9999" w14:textId="15077B47" w:rsidR="00153B17" w:rsidRDefault="00153B17" w:rsidP="004E5067">
      <w:pPr>
        <w:pStyle w:val="FootnoteText"/>
      </w:pPr>
      <w:r>
        <w:rPr>
          <w:rStyle w:val="EndnoteReference"/>
        </w:rPr>
        <w:endnoteRef/>
      </w:r>
      <w:r>
        <w:t xml:space="preserve"> </w:t>
      </w:r>
      <w:r>
        <w:rPr>
          <w:bCs/>
        </w:rPr>
        <w:t>If there were no remaining long waiting patients at the end of the reference period, the health service is assessed as having met the target regardless of the improvement rate from the prior year.</w:t>
      </w:r>
    </w:p>
  </w:endnote>
  <w:endnote w:id="4">
    <w:p w14:paraId="6841945E" w14:textId="2C4D7F24" w:rsidR="00004764" w:rsidRPr="004E5067" w:rsidRDefault="00004764">
      <w:pPr>
        <w:pStyle w:val="EndnoteText"/>
        <w:rPr>
          <w:sz w:val="18"/>
          <w:szCs w:val="18"/>
        </w:rPr>
      </w:pPr>
      <w:r w:rsidRPr="004E5067">
        <w:rPr>
          <w:rStyle w:val="EndnoteReference"/>
          <w:sz w:val="18"/>
          <w:szCs w:val="18"/>
        </w:rPr>
        <w:endnoteRef/>
      </w:r>
      <w:r w:rsidRPr="004E5067">
        <w:rPr>
          <w:sz w:val="18"/>
          <w:szCs w:val="18"/>
        </w:rPr>
        <w:t xml:space="preserve"> 30 days for urgent patients, 365 days for routine patients</w:t>
      </w:r>
    </w:p>
  </w:endnote>
  <w:endnote w:id="5">
    <w:p w14:paraId="6B4C118D" w14:textId="02A3F136" w:rsidR="00004764" w:rsidRPr="004E5067" w:rsidRDefault="00004764">
      <w:pPr>
        <w:pStyle w:val="EndnoteText"/>
        <w:rPr>
          <w:sz w:val="18"/>
          <w:szCs w:val="18"/>
        </w:rPr>
      </w:pPr>
      <w:r w:rsidRPr="004E5067">
        <w:rPr>
          <w:rStyle w:val="EndnoteReference"/>
          <w:sz w:val="18"/>
          <w:szCs w:val="18"/>
        </w:rPr>
        <w:endnoteRef/>
      </w:r>
      <w:r w:rsidRPr="004E5067">
        <w:rPr>
          <w:sz w:val="18"/>
          <w:szCs w:val="18"/>
        </w:rPr>
        <w:t xml:space="preserve"> Measure is also captured in Forensicare’s statement of priorities and dedicated Monitor report</w:t>
      </w:r>
    </w:p>
  </w:endnote>
  <w:endnote w:id="6">
    <w:p w14:paraId="030B3C0B" w14:textId="071D3590" w:rsidR="00D91127" w:rsidRPr="004E5067" w:rsidRDefault="00D91127">
      <w:pPr>
        <w:pStyle w:val="EndnoteText"/>
        <w:rPr>
          <w:sz w:val="18"/>
          <w:szCs w:val="18"/>
        </w:rPr>
      </w:pPr>
      <w:r w:rsidRPr="004E5067">
        <w:rPr>
          <w:rStyle w:val="EndnoteReference"/>
          <w:sz w:val="18"/>
          <w:szCs w:val="18"/>
        </w:rPr>
        <w:endnoteRef/>
      </w:r>
      <w:r w:rsidRPr="004E5067">
        <w:rPr>
          <w:sz w:val="18"/>
          <w:szCs w:val="18"/>
        </w:rPr>
        <w:t xml:space="preserve"> Measure is also captured in Ambulance Victoria’s statement of priorities and dedicated Monitor report</w:t>
      </w:r>
    </w:p>
  </w:endnote>
  <w:endnote w:id="7">
    <w:p w14:paraId="7D77BCC5" w14:textId="0EF7BF2F" w:rsidR="00FD1C2F" w:rsidRPr="004E5067" w:rsidRDefault="00FD1C2F">
      <w:pPr>
        <w:pStyle w:val="EndnoteText"/>
        <w:rPr>
          <w:sz w:val="18"/>
          <w:szCs w:val="18"/>
        </w:rPr>
      </w:pPr>
      <w:r w:rsidRPr="004E5067">
        <w:rPr>
          <w:rStyle w:val="EndnoteReference"/>
          <w:sz w:val="18"/>
          <w:szCs w:val="18"/>
        </w:rPr>
        <w:endnoteRef/>
      </w:r>
      <w:r w:rsidRPr="004E5067">
        <w:rPr>
          <w:sz w:val="18"/>
          <w:szCs w:val="18"/>
        </w:rPr>
        <w:t xml:space="preserve"> The term RCA is used interchangeably with other reports aligned with the applied review methodology such as London Protocol or AcciMap.</w:t>
      </w:r>
    </w:p>
  </w:endnote>
  <w:endnote w:id="8">
    <w:p w14:paraId="20AE7B11" w14:textId="14A0D978" w:rsidR="00630ADA" w:rsidRPr="004E5067" w:rsidRDefault="00630ADA">
      <w:pPr>
        <w:pStyle w:val="EndnoteText"/>
        <w:rPr>
          <w:sz w:val="18"/>
          <w:szCs w:val="18"/>
        </w:rPr>
      </w:pPr>
      <w:r w:rsidRPr="004E5067">
        <w:rPr>
          <w:rStyle w:val="EndnoteReference"/>
          <w:sz w:val="18"/>
          <w:szCs w:val="18"/>
        </w:rPr>
        <w:endnoteRef/>
      </w:r>
      <w:r w:rsidRPr="004E5067">
        <w:rPr>
          <w:sz w:val="18"/>
          <w:szCs w:val="18"/>
        </w:rPr>
        <w:t xml:space="preserve"> Definition extracted from the Victorian sentinel events guide</w:t>
      </w:r>
    </w:p>
  </w:endnote>
  <w:endnote w:id="9">
    <w:p w14:paraId="079F1515" w14:textId="58B16FB8" w:rsidR="00501722" w:rsidRDefault="00501722">
      <w:pPr>
        <w:pStyle w:val="EndnoteText"/>
      </w:pPr>
      <w:r w:rsidRPr="004E5067">
        <w:rPr>
          <w:rStyle w:val="EndnoteReference"/>
          <w:sz w:val="18"/>
          <w:szCs w:val="18"/>
        </w:rPr>
        <w:endnoteRef/>
      </w:r>
      <w:r w:rsidRPr="004E5067">
        <w:rPr>
          <w:sz w:val="18"/>
          <w:szCs w:val="18"/>
        </w:rPr>
        <w:t xml:space="preserve"> Examples of services managed within the governance structure of health services may include, but are not limited to, Hospital in the Home (HITH), residential aged care facilities and community health services.</w:t>
      </w:r>
    </w:p>
  </w:endnote>
  <w:endnote w:id="10">
    <w:p w14:paraId="012BD1AE" w14:textId="16FF7A37" w:rsidR="00460C27" w:rsidRPr="004E5067" w:rsidRDefault="00460C27">
      <w:pPr>
        <w:pStyle w:val="EndnoteText"/>
        <w:rPr>
          <w:sz w:val="18"/>
          <w:szCs w:val="18"/>
        </w:rPr>
      </w:pPr>
      <w:r w:rsidRPr="004E5067">
        <w:rPr>
          <w:rStyle w:val="EndnoteReference"/>
          <w:sz w:val="18"/>
          <w:szCs w:val="18"/>
        </w:rPr>
        <w:endnoteRef/>
      </w:r>
      <w:r w:rsidRPr="004E5067">
        <w:rPr>
          <w:sz w:val="18"/>
          <w:szCs w:val="18"/>
        </w:rPr>
        <w:t xml:space="preserve"> </w:t>
      </w:r>
      <w:r w:rsidR="005E1057" w:rsidRPr="004E5067">
        <w:rPr>
          <w:sz w:val="18"/>
          <w:szCs w:val="18"/>
        </w:rPr>
        <w:t>Measure only applies to Ambulance Victoria – refer to Appendix A</w:t>
      </w:r>
    </w:p>
  </w:endnote>
  <w:endnote w:id="11">
    <w:p w14:paraId="2D13A24B" w14:textId="5F6E5A53" w:rsidR="00EF314D" w:rsidRPr="004E5067" w:rsidRDefault="00EF314D">
      <w:pPr>
        <w:pStyle w:val="EndnoteText"/>
        <w:rPr>
          <w:sz w:val="18"/>
          <w:szCs w:val="18"/>
        </w:rPr>
      </w:pPr>
      <w:r w:rsidRPr="004E5067">
        <w:rPr>
          <w:rStyle w:val="EndnoteReference"/>
          <w:sz w:val="18"/>
          <w:szCs w:val="18"/>
        </w:rPr>
        <w:endnoteRef/>
      </w:r>
      <w:r w:rsidRPr="004E5067">
        <w:rPr>
          <w:sz w:val="18"/>
          <w:szCs w:val="18"/>
        </w:rPr>
        <w:t xml:space="preserve"> PMS participation is voluntary for publicly funded Victorian denominational health services</w:t>
      </w:r>
    </w:p>
  </w:endnote>
  <w:endnote w:id="12">
    <w:p w14:paraId="36AECED6" w14:textId="3EBF0028" w:rsidR="00EF314D" w:rsidRPr="004E5067" w:rsidRDefault="00EF314D">
      <w:pPr>
        <w:pStyle w:val="EndnoteText"/>
        <w:rPr>
          <w:sz w:val="18"/>
          <w:szCs w:val="18"/>
        </w:rPr>
      </w:pPr>
      <w:r w:rsidRPr="004E5067">
        <w:rPr>
          <w:rStyle w:val="EndnoteReference"/>
          <w:sz w:val="18"/>
          <w:szCs w:val="18"/>
        </w:rPr>
        <w:endnoteRef/>
      </w:r>
      <w:r w:rsidRPr="004E5067">
        <w:rPr>
          <w:sz w:val="18"/>
          <w:szCs w:val="18"/>
        </w:rPr>
        <w:t xml:space="preserve"> This policy replaces the </w:t>
      </w:r>
      <w:r w:rsidRPr="004E5067">
        <w:rPr>
          <w:i/>
          <w:iCs/>
          <w:sz w:val="18"/>
          <w:szCs w:val="18"/>
        </w:rPr>
        <w:t>Elective surgery access policy 2015</w:t>
      </w:r>
    </w:p>
  </w:endnote>
  <w:endnote w:id="13">
    <w:p w14:paraId="7121B3A3" w14:textId="1D2567E6" w:rsidR="00012605" w:rsidRPr="004E5067" w:rsidRDefault="00012605">
      <w:pPr>
        <w:pStyle w:val="EndnoteText"/>
        <w:rPr>
          <w:sz w:val="18"/>
          <w:szCs w:val="18"/>
        </w:rPr>
      </w:pPr>
      <w:r w:rsidRPr="004E5067">
        <w:rPr>
          <w:rStyle w:val="EndnoteReference"/>
          <w:sz w:val="18"/>
          <w:szCs w:val="18"/>
        </w:rPr>
        <w:endnoteRef/>
      </w:r>
      <w:r w:rsidRPr="004E5067">
        <w:rPr>
          <w:sz w:val="18"/>
          <w:szCs w:val="18"/>
        </w:rPr>
        <w:t xml:space="preserve"> All Victorian public health services report to planned surgery data to the department</w:t>
      </w:r>
      <w:r w:rsidR="008F45F4">
        <w:rPr>
          <w:sz w:val="18"/>
          <w:szCs w:val="18"/>
        </w:rPr>
        <w:t>;</w:t>
      </w:r>
      <w:r w:rsidRPr="004E5067">
        <w:rPr>
          <w:sz w:val="18"/>
          <w:szCs w:val="18"/>
        </w:rPr>
        <w:t xml:space="preserve"> however</w:t>
      </w:r>
      <w:r w:rsidR="008F45F4">
        <w:rPr>
          <w:sz w:val="18"/>
          <w:szCs w:val="18"/>
        </w:rPr>
        <w:t>,</w:t>
      </w:r>
      <w:r w:rsidRPr="004E5067">
        <w:rPr>
          <w:sz w:val="18"/>
          <w:szCs w:val="18"/>
        </w:rPr>
        <w:t xml:space="preserve"> not all services currently report to ESIS. As part of the department’s ESIS Expansion Project, 8 additional rural and regional health services are expected to commence reporting planned surgery activity via ESIS across 2024–25 and 2025–26.  </w:t>
      </w:r>
    </w:p>
  </w:endnote>
  <w:endnote w:id="14">
    <w:p w14:paraId="2FB6AFF7" w14:textId="3844936C" w:rsidR="00A11901" w:rsidRPr="004E5067" w:rsidRDefault="00A11901">
      <w:pPr>
        <w:pStyle w:val="EndnoteText"/>
        <w:rPr>
          <w:sz w:val="18"/>
          <w:szCs w:val="18"/>
        </w:rPr>
      </w:pPr>
      <w:r w:rsidRPr="004E5067">
        <w:rPr>
          <w:rStyle w:val="EndnoteReference"/>
          <w:sz w:val="18"/>
          <w:szCs w:val="18"/>
        </w:rPr>
        <w:endnoteRef/>
      </w:r>
      <w:r w:rsidRPr="004E5067">
        <w:rPr>
          <w:sz w:val="18"/>
          <w:szCs w:val="18"/>
        </w:rPr>
        <w:t xml:space="preserve"> Principal Prescribed Procedure (PPP) codes of less than 500 are accepted for episodes that were registered before 1 July 2019.</w:t>
      </w:r>
    </w:p>
  </w:endnote>
  <w:endnote w:id="15">
    <w:p w14:paraId="1788734E" w14:textId="669A9F94" w:rsidR="0094229C" w:rsidRPr="004E5067" w:rsidRDefault="0094229C">
      <w:pPr>
        <w:pStyle w:val="EndnoteText"/>
        <w:rPr>
          <w:sz w:val="18"/>
          <w:szCs w:val="18"/>
        </w:rPr>
      </w:pPr>
      <w:r w:rsidRPr="004E5067">
        <w:rPr>
          <w:rStyle w:val="EndnoteReference"/>
          <w:sz w:val="18"/>
          <w:szCs w:val="18"/>
        </w:rPr>
        <w:endnoteRef/>
      </w:r>
      <w:r w:rsidRPr="004E5067">
        <w:rPr>
          <w:sz w:val="18"/>
          <w:szCs w:val="18"/>
        </w:rPr>
        <w:t xml:space="preserve"> The Clinical Registration Date is used as the start of the waiting period where the Administrative Registration Date is greater than the Admission or Removal Date.</w:t>
      </w:r>
    </w:p>
  </w:endnote>
  <w:endnote w:id="16">
    <w:p w14:paraId="05FB7012" w14:textId="43398C91" w:rsidR="002D13DE" w:rsidRPr="004E5067" w:rsidRDefault="002D13DE">
      <w:pPr>
        <w:pStyle w:val="EndnoteText"/>
        <w:rPr>
          <w:sz w:val="18"/>
          <w:szCs w:val="18"/>
        </w:rPr>
      </w:pPr>
      <w:r w:rsidRPr="004E5067">
        <w:rPr>
          <w:rStyle w:val="EndnoteReference"/>
          <w:sz w:val="18"/>
          <w:szCs w:val="18"/>
        </w:rPr>
        <w:endnoteRef/>
      </w:r>
      <w:r w:rsidRPr="004E5067">
        <w:rPr>
          <w:sz w:val="18"/>
          <w:szCs w:val="18"/>
        </w:rPr>
        <w:t xml:space="preserve"> This policy replaces the Specialist clinics in Victorian public hospitals: access policy (2013)</w:t>
      </w:r>
    </w:p>
  </w:endnote>
  <w:endnote w:id="17">
    <w:p w14:paraId="02F9552C" w14:textId="47061058" w:rsidR="00CA6B2D" w:rsidRPr="004E5067" w:rsidRDefault="00CA6B2D">
      <w:pPr>
        <w:pStyle w:val="EndnoteText"/>
        <w:rPr>
          <w:sz w:val="18"/>
          <w:szCs w:val="18"/>
        </w:rPr>
      </w:pPr>
      <w:r w:rsidRPr="004E5067">
        <w:rPr>
          <w:rStyle w:val="EndnoteReference"/>
          <w:sz w:val="18"/>
          <w:szCs w:val="18"/>
        </w:rPr>
        <w:endnoteRef/>
      </w:r>
      <w:r w:rsidRPr="004E5067">
        <w:rPr>
          <w:sz w:val="18"/>
          <w:szCs w:val="18"/>
        </w:rPr>
        <w:t xml:space="preserve"> Measure only applies to Forensicare – Refer to Appendix B</w:t>
      </w:r>
    </w:p>
  </w:endnote>
  <w:endnote w:id="18">
    <w:p w14:paraId="546427F7" w14:textId="544EDED4" w:rsidR="008B45AE" w:rsidRPr="004E5067" w:rsidRDefault="008B45AE">
      <w:pPr>
        <w:pStyle w:val="EndnoteText"/>
        <w:rPr>
          <w:sz w:val="18"/>
          <w:szCs w:val="18"/>
        </w:rPr>
      </w:pPr>
      <w:r w:rsidRPr="004E5067">
        <w:rPr>
          <w:rStyle w:val="EndnoteReference"/>
          <w:sz w:val="18"/>
          <w:szCs w:val="18"/>
        </w:rPr>
        <w:endnoteRef/>
      </w:r>
      <w:r w:rsidRPr="004E5067">
        <w:rPr>
          <w:sz w:val="18"/>
          <w:szCs w:val="18"/>
        </w:rPr>
        <w:t xml:space="preserve"> The department acknowledges that Forensicare is unlikely to meet this key performance measure in 2025</w:t>
      </w:r>
      <w:r w:rsidR="00834A5B">
        <w:rPr>
          <w:rFonts w:cs="Arial"/>
          <w:sz w:val="18"/>
          <w:szCs w:val="18"/>
        </w:rPr>
        <w:t>‒</w:t>
      </w:r>
      <w:r w:rsidRPr="004E5067">
        <w:rPr>
          <w:sz w:val="18"/>
          <w:szCs w:val="18"/>
        </w:rPr>
        <w:t xml:space="preserve">26 due to its unique issue with rates of seclusion. </w:t>
      </w:r>
      <w:r w:rsidR="00D80BC6">
        <w:rPr>
          <w:sz w:val="18"/>
          <w:szCs w:val="18"/>
        </w:rPr>
        <w:t>While</w:t>
      </w:r>
      <w:r w:rsidR="00D80BC6" w:rsidRPr="004E5067">
        <w:rPr>
          <w:sz w:val="18"/>
          <w:szCs w:val="18"/>
        </w:rPr>
        <w:t xml:space="preserve"> </w:t>
      </w:r>
      <w:r w:rsidRPr="004E5067">
        <w:rPr>
          <w:sz w:val="18"/>
          <w:szCs w:val="18"/>
        </w:rPr>
        <w:t>the target is &lt; 6, Forensicare should also aim for a 5% improvement compared to same time last year.</w:t>
      </w:r>
    </w:p>
  </w:endnote>
  <w:endnote w:id="19">
    <w:p w14:paraId="44A466DB" w14:textId="26A36902" w:rsidR="003B1202" w:rsidRPr="004E5067" w:rsidRDefault="003B1202">
      <w:pPr>
        <w:pStyle w:val="EndnoteText"/>
        <w:rPr>
          <w:sz w:val="18"/>
          <w:szCs w:val="18"/>
        </w:rPr>
      </w:pPr>
      <w:r w:rsidRPr="004E5067">
        <w:rPr>
          <w:rStyle w:val="EndnoteReference"/>
          <w:sz w:val="18"/>
          <w:szCs w:val="18"/>
        </w:rPr>
        <w:endnoteRef/>
      </w:r>
      <w:r w:rsidRPr="004E5067">
        <w:rPr>
          <w:sz w:val="18"/>
          <w:szCs w:val="18"/>
        </w:rPr>
        <w:t xml:space="preserve"> The department acknowledges that Forensicare is unlikely to meet these key performance measures in 2025</w:t>
      </w:r>
      <w:r w:rsidR="00834A5B">
        <w:rPr>
          <w:rFonts w:cs="Arial"/>
          <w:sz w:val="18"/>
          <w:szCs w:val="18"/>
        </w:rPr>
        <w:t>‒</w:t>
      </w:r>
      <w:r w:rsidRPr="004E5067">
        <w:rPr>
          <w:sz w:val="18"/>
          <w:szCs w:val="18"/>
        </w:rPr>
        <w:t>26 due to continuing high demand for Forensicare services. Timely access to care key performance measures will be reviewed ahead of 2026</w:t>
      </w:r>
      <w:r w:rsidR="004235AF">
        <w:rPr>
          <w:rFonts w:cs="Arial"/>
          <w:sz w:val="18"/>
          <w:szCs w:val="18"/>
        </w:rPr>
        <w:t>‒</w:t>
      </w:r>
      <w:r w:rsidRPr="004E5067">
        <w:rPr>
          <w:sz w:val="18"/>
          <w:szCs w:val="18"/>
        </w:rPr>
        <w:t>27, in the context of new capacity anticipated to come online.</w:t>
      </w:r>
    </w:p>
  </w:endnote>
  <w:endnote w:id="20">
    <w:p w14:paraId="765D2B35" w14:textId="2596DB09" w:rsidR="008709D7" w:rsidRPr="004E5067" w:rsidRDefault="008709D7">
      <w:pPr>
        <w:pStyle w:val="EndnoteText"/>
        <w:rPr>
          <w:sz w:val="18"/>
          <w:szCs w:val="18"/>
        </w:rPr>
      </w:pPr>
      <w:r w:rsidRPr="004E5067">
        <w:rPr>
          <w:rStyle w:val="EndnoteReference"/>
          <w:sz w:val="18"/>
          <w:szCs w:val="18"/>
        </w:rPr>
        <w:endnoteRef/>
      </w:r>
      <w:r w:rsidRPr="004E5067">
        <w:rPr>
          <w:sz w:val="18"/>
          <w:szCs w:val="18"/>
        </w:rPr>
        <w:t xml:space="preserve"> The department acknowledges that Forensicare is unlikely to meet this key performance measure in 2025</w:t>
      </w:r>
      <w:r w:rsidR="00834A5B">
        <w:rPr>
          <w:rFonts w:cs="Arial"/>
          <w:sz w:val="18"/>
          <w:szCs w:val="18"/>
        </w:rPr>
        <w:t>‒</w:t>
      </w:r>
      <w:r w:rsidRPr="004E5067">
        <w:rPr>
          <w:sz w:val="18"/>
          <w:szCs w:val="18"/>
        </w:rPr>
        <w:t xml:space="preserve">26 due to continuing high demand for Forensicare services. </w:t>
      </w:r>
      <w:r w:rsidR="00D44E84">
        <w:rPr>
          <w:sz w:val="18"/>
          <w:szCs w:val="18"/>
        </w:rPr>
        <w:t>While</w:t>
      </w:r>
      <w:r w:rsidR="00D44E84" w:rsidRPr="004E5067">
        <w:rPr>
          <w:sz w:val="18"/>
          <w:szCs w:val="18"/>
        </w:rPr>
        <w:t xml:space="preserve"> </w:t>
      </w:r>
      <w:r w:rsidRPr="004E5067">
        <w:rPr>
          <w:sz w:val="18"/>
          <w:szCs w:val="18"/>
        </w:rPr>
        <w:t>the target is 80%, Forensicare should also aim for a 5-percentage point improvement compared to same time last year.</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IC">
    <w:panose1 w:val="00000500000000000000"/>
    <w:charset w:val="00"/>
    <w:family w:val="auto"/>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8DDC4" w14:textId="5CA72975" w:rsidR="00EB4BC7" w:rsidRDefault="00B30170">
    <w:pPr>
      <w:pStyle w:val="Footer"/>
    </w:pPr>
    <w:r>
      <w:rPr>
        <w:noProof/>
      </w:rPr>
      <mc:AlternateContent>
        <mc:Choice Requires="wps">
          <w:drawing>
            <wp:anchor distT="0" distB="0" distL="0" distR="0" simplePos="0" relativeHeight="251658241" behindDoc="0" locked="0" layoutInCell="1" allowOverlap="1" wp14:anchorId="13EE556F" wp14:editId="6A9E346D">
              <wp:simplePos x="635" y="635"/>
              <wp:positionH relativeFrom="page">
                <wp:align>center</wp:align>
              </wp:positionH>
              <wp:positionV relativeFrom="page">
                <wp:align>bottom</wp:align>
              </wp:positionV>
              <wp:extent cx="656590" cy="369570"/>
              <wp:effectExtent l="0" t="0" r="10160" b="0"/>
              <wp:wrapNone/>
              <wp:docPr id="1180595680"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4F44C69" w14:textId="3B244671"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EE556F" id="_x0000_t202" coordsize="21600,21600" o:spt="202" path="m,l,21600r21600,l21600,xe">
              <v:stroke joinstyle="miter"/>
              <v:path gradientshapeok="t" o:connecttype="rect"/>
            </v:shapetype>
            <v:shape id="Text Box 2" o:spid="_x0000_s1026" type="#_x0000_t202" alt="OFFICIAL" style="position:absolute;left:0;text-align:left;margin-left:0;margin-top:0;width:51.7pt;height:29.1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textbox style="mso-fit-shape-to-text:t" inset="0,0,0,15pt">
                <w:txbxContent>
                  <w:p w14:paraId="54F44C69" w14:textId="3B244671"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0B215" w14:textId="5283AD71" w:rsidR="00B30170" w:rsidRDefault="00B30170">
    <w:pPr>
      <w:pStyle w:val="Footer"/>
    </w:pPr>
    <w:r>
      <w:rPr>
        <w:noProof/>
      </w:rPr>
      <mc:AlternateContent>
        <mc:Choice Requires="wps">
          <w:drawing>
            <wp:anchor distT="0" distB="0" distL="0" distR="0" simplePos="0" relativeHeight="251658250" behindDoc="0" locked="0" layoutInCell="1" allowOverlap="1" wp14:anchorId="20A1972D" wp14:editId="727F8AF9">
              <wp:simplePos x="635" y="635"/>
              <wp:positionH relativeFrom="page">
                <wp:align>center</wp:align>
              </wp:positionH>
              <wp:positionV relativeFrom="page">
                <wp:align>bottom</wp:align>
              </wp:positionV>
              <wp:extent cx="656590" cy="369570"/>
              <wp:effectExtent l="0" t="0" r="10160" b="0"/>
              <wp:wrapNone/>
              <wp:docPr id="2146689355"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071AB836" w14:textId="2719A7E4"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A1972D" id="_x0000_t202" coordsize="21600,21600" o:spt="202" path="m,l,21600r21600,l21600,xe">
              <v:stroke joinstyle="miter"/>
              <v:path gradientshapeok="t" o:connecttype="rect"/>
            </v:shapetype>
            <v:shape id="Text Box 14" o:spid="_x0000_s1035" type="#_x0000_t202" alt="OFFICIAL" style="position:absolute;left:0;text-align:left;margin-left:0;margin-top:0;width:51.7pt;height:29.1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3jhULDgIAABwE&#10;AAAOAAAAAAAAAAAAAAAAAC4CAABkcnMvZTJvRG9jLnhtbFBLAQItABQABgAIAAAAIQDrG1UU2gAA&#10;AAQBAAAPAAAAAAAAAAAAAAAAAGgEAABkcnMvZG93bnJldi54bWxQSwUGAAAAAAQABADzAAAAbwUA&#10;AAAA&#10;" filled="f" stroked="f">
              <v:textbox style="mso-fit-shape-to-text:t" inset="0,0,0,15pt">
                <w:txbxContent>
                  <w:p w14:paraId="071AB836" w14:textId="2719A7E4"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17227" w14:textId="7894D7AC" w:rsidR="00A92B2B" w:rsidRDefault="00B30170">
    <w:pPr>
      <w:pStyle w:val="Footer"/>
    </w:pPr>
    <w:r>
      <w:rPr>
        <w:noProof/>
      </w:rPr>
      <mc:AlternateContent>
        <mc:Choice Requires="wps">
          <w:drawing>
            <wp:anchor distT="0" distB="0" distL="0" distR="0" simplePos="0" relativeHeight="251658251" behindDoc="0" locked="0" layoutInCell="1" allowOverlap="1" wp14:anchorId="0122EBA8" wp14:editId="1E993170">
              <wp:simplePos x="635" y="635"/>
              <wp:positionH relativeFrom="page">
                <wp:align>center</wp:align>
              </wp:positionH>
              <wp:positionV relativeFrom="page">
                <wp:align>bottom</wp:align>
              </wp:positionV>
              <wp:extent cx="656590" cy="369570"/>
              <wp:effectExtent l="0" t="0" r="10160" b="0"/>
              <wp:wrapNone/>
              <wp:docPr id="1898794673"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6E2DA83" w14:textId="17E57F9D"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22EBA8" id="_x0000_t202" coordsize="21600,21600" o:spt="202" path="m,l,21600r21600,l21600,xe">
              <v:stroke joinstyle="miter"/>
              <v:path gradientshapeok="t" o:connecttype="rect"/>
            </v:shapetype>
            <v:shape id="Text Box 15" o:spid="_x0000_s1036" type="#_x0000_t202" alt="OFFICIAL" style="position:absolute;left:0;text-align:left;margin-left:0;margin-top:0;width:51.7pt;height:29.1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xqIDQ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" filled="f" stroked="f">
              <v:textbox style="mso-fit-shape-to-text:t" inset="0,0,0,15pt">
                <w:txbxContent>
                  <w:p w14:paraId="16E2DA83" w14:textId="17E57F9D"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0E9E" w14:textId="34E8EB13" w:rsidR="00A92B2B" w:rsidRDefault="00B30170">
    <w:pPr>
      <w:pStyle w:val="Footer"/>
      <w:rPr>
        <w:noProof/>
        <w:lang w:eastAsia="en-AU"/>
      </w:rPr>
    </w:pPr>
    <w:r>
      <w:rPr>
        <w:noProof/>
        <w:lang w:eastAsia="en-AU"/>
      </w:rPr>
      <mc:AlternateContent>
        <mc:Choice Requires="wps">
          <w:drawing>
            <wp:anchor distT="0" distB="0" distL="0" distR="0" simplePos="0" relativeHeight="251658249" behindDoc="0" locked="0" layoutInCell="1" allowOverlap="1" wp14:anchorId="668F1689" wp14:editId="3F5A8607">
              <wp:simplePos x="635" y="635"/>
              <wp:positionH relativeFrom="page">
                <wp:align>center</wp:align>
              </wp:positionH>
              <wp:positionV relativeFrom="page">
                <wp:align>bottom</wp:align>
              </wp:positionV>
              <wp:extent cx="656590" cy="369570"/>
              <wp:effectExtent l="0" t="0" r="10160" b="0"/>
              <wp:wrapNone/>
              <wp:docPr id="1734137252"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7831149" w14:textId="7A3B146E"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F1689" id="_x0000_t202" coordsize="21600,21600" o:spt="202" path="m,l,21600r21600,l21600,xe">
              <v:stroke joinstyle="miter"/>
              <v:path gradientshapeok="t" o:connecttype="rect"/>
            </v:shapetype>
            <v:shape id="Text Box 13" o:spid="_x0000_s1037" type="#_x0000_t202" alt="OFFICIAL" style="position:absolute;left:0;text-align:left;margin-left:0;margin-top:0;width:51.7pt;height:29.1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Ki1DgIAAB0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D6y/hbKo7YytKJcGfkqkbvtXD+SVgwjHGh&#10;Wv+Io2yoyzmdLc4qsr/e8od8AI8oZx0Uk3MNSXPW/NAgJIhrMOxgbKMxnqWTFHG9b+8IOhzjSRgZ&#10;TXitbwaztNS+QM/L0AghoSXa5Xw7mHf+JF28B6mWy5gEHRnh13pjZCgd8ApgPvcvwpoz4h5UPdAg&#10;J5G9Av6UG246s9x7wB9ZCdiegDxDDg1Gss7vJYj8z/+YdX3Vi9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ulKi1DgIAAB0E&#10;AAAOAAAAAAAAAAAAAAAAAC4CAABkcnMvZTJvRG9jLnhtbFBLAQItABQABgAIAAAAIQDrG1UU2gAA&#10;AAQBAAAPAAAAAAAAAAAAAAAAAGgEAABkcnMvZG93bnJldi54bWxQSwUGAAAAAAQABADzAAAAbwUA&#10;AAAA&#10;" filled="f" stroked="f">
              <v:textbox style="mso-fit-shape-to-text:t" inset="0,0,0,15pt">
                <w:txbxContent>
                  <w:p w14:paraId="77831149" w14:textId="7A3B146E"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p w14:paraId="102E8F8A" w14:textId="4240A84C" w:rsidR="00A92B2B" w:rsidRDefault="00A92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3F814" w14:textId="1A746888" w:rsidR="00431A70" w:rsidRDefault="00B30170">
    <w:pPr>
      <w:pStyle w:val="Footer"/>
    </w:pPr>
    <w:r>
      <w:rPr>
        <w:noProof/>
      </w:rPr>
      <mc:AlternateContent>
        <mc:Choice Requires="wps">
          <w:drawing>
            <wp:anchor distT="0" distB="0" distL="0" distR="0" simplePos="0" relativeHeight="251658242" behindDoc="0" locked="0" layoutInCell="1" allowOverlap="1" wp14:anchorId="7EDAEAD1" wp14:editId="190AEF88">
              <wp:simplePos x="635" y="635"/>
              <wp:positionH relativeFrom="page">
                <wp:align>center</wp:align>
              </wp:positionH>
              <wp:positionV relativeFrom="page">
                <wp:align>bottom</wp:align>
              </wp:positionV>
              <wp:extent cx="656590" cy="369570"/>
              <wp:effectExtent l="0" t="0" r="10160" b="0"/>
              <wp:wrapNone/>
              <wp:docPr id="146365304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A85C3FB" w14:textId="58BC61BA"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DAEAD1" id="_x0000_t202" coordsize="21600,21600" o:spt="202" path="m,l,21600r21600,l21600,xe">
              <v:stroke joinstyle="miter"/>
              <v:path gradientshapeok="t" o:connecttype="rect"/>
            </v:shapetype>
            <v:shape id="Text Box 3" o:spid="_x0000_s1027" type="#_x0000_t202" alt="OFFICIAL" style="position:absolute;left:0;text-align:left;margin-left:0;margin-top:0;width:51.7pt;height:29.1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" filled="f" stroked="f">
              <v:textbox style="mso-fit-shape-to-text:t" inset="0,0,0,15pt">
                <w:txbxContent>
                  <w:p w14:paraId="5A85C3FB" w14:textId="58BC61BA"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CDFA" w14:textId="4C10573D" w:rsidR="00EB4BC7" w:rsidRDefault="00B30170">
    <w:pPr>
      <w:pStyle w:val="Footer"/>
    </w:pPr>
    <w:r>
      <w:rPr>
        <w:noProof/>
      </w:rPr>
      <mc:AlternateContent>
        <mc:Choice Requires="wps">
          <w:drawing>
            <wp:anchor distT="0" distB="0" distL="0" distR="0" simplePos="0" relativeHeight="251658240" behindDoc="0" locked="0" layoutInCell="1" allowOverlap="1" wp14:anchorId="29EF9D46" wp14:editId="4969E7D8">
              <wp:simplePos x="635" y="635"/>
              <wp:positionH relativeFrom="page">
                <wp:align>center</wp:align>
              </wp:positionH>
              <wp:positionV relativeFrom="page">
                <wp:align>bottom</wp:align>
              </wp:positionV>
              <wp:extent cx="656590" cy="369570"/>
              <wp:effectExtent l="0" t="0" r="10160" b="0"/>
              <wp:wrapNone/>
              <wp:docPr id="75306478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D4E0DDA" w14:textId="16765D6F"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EF9D46" id="_x0000_t202" coordsize="21600,21600" o:spt="202" path="m,l,21600r21600,l21600,xe">
              <v:stroke joinstyle="miter"/>
              <v:path gradientshapeok="t" o:connecttype="rect"/>
            </v:shapetype>
            <v:shape id="Text Box 1" o:spid="_x0000_s1028" type="#_x0000_t202" alt="OFFICIAL" style="position:absolute;left:0;text-align:left;margin-left:0;margin-top:0;width:51.7pt;height:29.1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textbox style="mso-fit-shape-to-text:t" inset="0,0,0,15pt">
                <w:txbxContent>
                  <w:p w14:paraId="5D4E0DDA" w14:textId="16765D6F"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C28B6" w14:textId="71DE2A64" w:rsidR="00D63636" w:rsidRDefault="00B30170">
    <w:pPr>
      <w:pStyle w:val="Footer"/>
    </w:pPr>
    <w:r>
      <w:rPr>
        <w:noProof/>
      </w:rPr>
      <mc:AlternateContent>
        <mc:Choice Requires="wps">
          <w:drawing>
            <wp:anchor distT="0" distB="0" distL="0" distR="0" simplePos="0" relativeHeight="251658244" behindDoc="0" locked="0" layoutInCell="1" allowOverlap="1" wp14:anchorId="730D2B32" wp14:editId="606444CB">
              <wp:simplePos x="635" y="635"/>
              <wp:positionH relativeFrom="page">
                <wp:align>center</wp:align>
              </wp:positionH>
              <wp:positionV relativeFrom="page">
                <wp:align>bottom</wp:align>
              </wp:positionV>
              <wp:extent cx="656590" cy="369570"/>
              <wp:effectExtent l="0" t="0" r="10160" b="0"/>
              <wp:wrapNone/>
              <wp:docPr id="3520839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E935D0" w14:textId="73C229B3"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0D2B32" id="_x0000_t202" coordsize="21600,21600" o:spt="202" path="m,l,21600r21600,l21600,xe">
              <v:stroke joinstyle="miter"/>
              <v:path gradientshapeok="t" o:connecttype="rect"/>
            </v:shapetype>
            <v:shape id="Text Box 5" o:spid="_x0000_s1029" type="#_x0000_t202" alt="OFFICIAL" style="position:absolute;left:0;text-align:left;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1EE935D0" w14:textId="73C229B3"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CC4CE" w14:textId="58349395" w:rsidR="00431A70" w:rsidRDefault="00B30170">
    <w:pPr>
      <w:pStyle w:val="Footer"/>
    </w:pPr>
    <w:r>
      <w:rPr>
        <w:noProof/>
      </w:rPr>
      <mc:AlternateContent>
        <mc:Choice Requires="wps">
          <w:drawing>
            <wp:anchor distT="0" distB="0" distL="0" distR="0" simplePos="0" relativeHeight="251658245" behindDoc="0" locked="0" layoutInCell="1" allowOverlap="1" wp14:anchorId="740EB02B" wp14:editId="68CBE6A2">
              <wp:simplePos x="635" y="635"/>
              <wp:positionH relativeFrom="page">
                <wp:align>center</wp:align>
              </wp:positionH>
              <wp:positionV relativeFrom="page">
                <wp:align>bottom</wp:align>
              </wp:positionV>
              <wp:extent cx="656590" cy="369570"/>
              <wp:effectExtent l="0" t="0" r="10160" b="0"/>
              <wp:wrapNone/>
              <wp:docPr id="23908850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7953A34" w14:textId="52E69A8E"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0EB02B" id="_x0000_t202" coordsize="21600,21600" o:spt="202" path="m,l,21600r21600,l21600,xe">
              <v:stroke joinstyle="miter"/>
              <v:path gradientshapeok="t" o:connecttype="rect"/>
            </v:shapetype>
            <v:shape id="Text Box 6" o:spid="_x0000_s1030" type="#_x0000_t202" alt="OFFICIAL" style="position:absolute;left:0;text-align:left;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textbox style="mso-fit-shape-to-text:t" inset="0,0,0,15pt">
                <w:txbxContent>
                  <w:p w14:paraId="17953A34" w14:textId="52E69A8E"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64EA" w14:textId="69E0456E" w:rsidR="00B30170" w:rsidRDefault="00B30170">
    <w:pPr>
      <w:pStyle w:val="Footer"/>
    </w:pPr>
    <w:r>
      <w:rPr>
        <w:noProof/>
      </w:rPr>
      <mc:AlternateContent>
        <mc:Choice Requires="wps">
          <w:drawing>
            <wp:anchor distT="0" distB="0" distL="0" distR="0" simplePos="0" relativeHeight="251658243" behindDoc="0" locked="0" layoutInCell="1" allowOverlap="1" wp14:anchorId="5BD4794E" wp14:editId="3036254B">
              <wp:simplePos x="635" y="635"/>
              <wp:positionH relativeFrom="page">
                <wp:align>center</wp:align>
              </wp:positionH>
              <wp:positionV relativeFrom="page">
                <wp:align>bottom</wp:align>
              </wp:positionV>
              <wp:extent cx="656590" cy="369570"/>
              <wp:effectExtent l="0" t="0" r="10160" b="0"/>
              <wp:wrapNone/>
              <wp:docPr id="16048269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961C7D3" w14:textId="173BC7B1"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D4794E" id="_x0000_t202" coordsize="21600,21600" o:spt="202" path="m,l,21600r21600,l21600,xe">
              <v:stroke joinstyle="miter"/>
              <v:path gradientshapeok="t" o:connecttype="rect"/>
            </v:shapetype>
            <v:shape id="Text Box 4" o:spid="_x0000_s1031" type="#_x0000_t202" alt="OFFICIAL" style="position:absolute;left:0;text-align:left;margin-left:0;margin-top:0;width:51.7pt;height:29.1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5961C7D3" w14:textId="173BC7B1"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C70E" w14:textId="26002497" w:rsidR="00B30170" w:rsidRDefault="00B30170">
    <w:pPr>
      <w:pStyle w:val="Footer"/>
    </w:pPr>
    <w:r>
      <w:rPr>
        <w:noProof/>
      </w:rPr>
      <mc:AlternateContent>
        <mc:Choice Requires="wps">
          <w:drawing>
            <wp:anchor distT="0" distB="0" distL="0" distR="0" simplePos="0" relativeHeight="251658247" behindDoc="0" locked="0" layoutInCell="1" allowOverlap="1" wp14:anchorId="6E8887F3" wp14:editId="7006A652">
              <wp:simplePos x="635" y="635"/>
              <wp:positionH relativeFrom="page">
                <wp:align>center</wp:align>
              </wp:positionH>
              <wp:positionV relativeFrom="page">
                <wp:align>bottom</wp:align>
              </wp:positionV>
              <wp:extent cx="656590" cy="369570"/>
              <wp:effectExtent l="0" t="0" r="10160" b="0"/>
              <wp:wrapNone/>
              <wp:docPr id="171147956"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C72C679" w14:textId="7A34E2D3"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8887F3" id="_x0000_t202" coordsize="21600,21600" o:spt="202" path="m,l,21600r21600,l21600,xe">
              <v:stroke joinstyle="miter"/>
              <v:path gradientshapeok="t" o:connecttype="rect"/>
            </v:shapetype>
            <v:shape id="Text Box 8" o:spid="_x0000_s1032" type="#_x0000_t202" alt="OFFICIAL" style="position:absolute;left:0;text-align:left;margin-left:0;margin-top:0;width:51.7pt;height:29.1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yN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WCQYfotFUcsZenEtzNyVaP1Wjj/JCwIxrQQ&#10;rX/EUTbU5ZzOFmcV2V9v+UM+cEeUsw6CybmGojlrfmjwEbQ1GHYwttEYz9JJirjet3cEGY7xIoyM&#10;JrzWN4NZWmpfIOdlaISQ0BLtcr4dzDt/Ui6eg1TLZUyCjIzwa70xMpQOcAUsn/sXYc0ZcA+mHmhQ&#10;k8he4X7KDTedWe490I+kBGhPQJ4RhwQjV+fnEjT+53/Muj7qxW8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CdT+yNDgIAABwE&#10;AAAOAAAAAAAAAAAAAAAAAC4CAABkcnMvZTJvRG9jLnhtbFBLAQItABQABgAIAAAAIQDrG1UU2gAA&#10;AAQBAAAPAAAAAAAAAAAAAAAAAGgEAABkcnMvZG93bnJldi54bWxQSwUGAAAAAAQABADzAAAAbwUA&#10;AAAA&#10;" filled="f" stroked="f">
              <v:textbox style="mso-fit-shape-to-text:t" inset="0,0,0,15pt">
                <w:txbxContent>
                  <w:p w14:paraId="1C72C679" w14:textId="7A34E2D3"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3EC6" w14:textId="6864069B" w:rsidR="00F82062" w:rsidRDefault="00B30170">
    <w:pPr>
      <w:pStyle w:val="Footer"/>
    </w:pPr>
    <w:r>
      <w:rPr>
        <w:noProof/>
      </w:rPr>
      <mc:AlternateContent>
        <mc:Choice Requires="wps">
          <w:drawing>
            <wp:anchor distT="0" distB="0" distL="0" distR="0" simplePos="0" relativeHeight="251658248" behindDoc="0" locked="0" layoutInCell="1" allowOverlap="1" wp14:anchorId="605E6224" wp14:editId="6D2B403A">
              <wp:simplePos x="635" y="635"/>
              <wp:positionH relativeFrom="page">
                <wp:align>center</wp:align>
              </wp:positionH>
              <wp:positionV relativeFrom="page">
                <wp:align>bottom</wp:align>
              </wp:positionV>
              <wp:extent cx="656590" cy="369570"/>
              <wp:effectExtent l="0" t="0" r="10160" b="0"/>
              <wp:wrapNone/>
              <wp:docPr id="1083818159"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E792A06" w14:textId="294DFCED"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5E6224" id="_x0000_t202" coordsize="21600,21600" o:spt="202" path="m,l,21600r21600,l21600,xe">
              <v:stroke joinstyle="miter"/>
              <v:path gradientshapeok="t" o:connecttype="rect"/>
            </v:shapetype>
            <v:shape id="Text Box 9" o:spid="_x0000_s1033" type="#_x0000_t202" alt="OFFICIAL" style="position:absolute;left:0;text-align:left;margin-left:0;margin-top:0;width:51.7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w8F6wDgIAABwE&#10;AAAOAAAAAAAAAAAAAAAAAC4CAABkcnMvZTJvRG9jLnhtbFBLAQItABQABgAIAAAAIQDrG1UU2gAA&#10;AAQBAAAPAAAAAAAAAAAAAAAAAGgEAABkcnMvZG93bnJldi54bWxQSwUGAAAAAAQABADzAAAAbwUA&#10;AAAA&#10;" filled="f" stroked="f">
              <v:textbox style="mso-fit-shape-to-text:t" inset="0,0,0,15pt">
                <w:txbxContent>
                  <w:p w14:paraId="1E792A06" w14:textId="294DFCED"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11758" w14:textId="674936F3" w:rsidR="00F9328E" w:rsidRDefault="00B30170">
    <w:pPr>
      <w:pStyle w:val="Footer"/>
    </w:pPr>
    <w:r>
      <w:rPr>
        <w:noProof/>
      </w:rPr>
      <mc:AlternateContent>
        <mc:Choice Requires="wps">
          <w:drawing>
            <wp:anchor distT="0" distB="0" distL="0" distR="0" simplePos="0" relativeHeight="251658246" behindDoc="0" locked="0" layoutInCell="1" allowOverlap="1" wp14:anchorId="7ECE0362" wp14:editId="316CB08C">
              <wp:simplePos x="635" y="635"/>
              <wp:positionH relativeFrom="page">
                <wp:align>center</wp:align>
              </wp:positionH>
              <wp:positionV relativeFrom="page">
                <wp:align>bottom</wp:align>
              </wp:positionV>
              <wp:extent cx="656590" cy="369570"/>
              <wp:effectExtent l="0" t="0" r="10160" b="0"/>
              <wp:wrapNone/>
              <wp:docPr id="109751366"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1ECE408" w14:textId="27F4EFF5"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CE0362" id="_x0000_t202" coordsize="21600,21600" o:spt="202" path="m,l,21600r21600,l21600,xe">
              <v:stroke joinstyle="miter"/>
              <v:path gradientshapeok="t" o:connecttype="rect"/>
            </v:shapetype>
            <v:shape id="Text Box 7" o:spid="_x0000_s1034" type="#_x0000_t202" alt="OFFICIAL" style="position:absolute;left:0;text-align:left;margin-left:0;margin-top:0;width:51.7pt;height:29.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DaMac2DgIAABwE&#10;AAAOAAAAAAAAAAAAAAAAAC4CAABkcnMvZTJvRG9jLnhtbFBLAQItABQABgAIAAAAIQDrG1UU2gAA&#10;AAQBAAAPAAAAAAAAAAAAAAAAAGgEAABkcnMvZG93bnJldi54bWxQSwUGAAAAAAQABADzAAAAbwUA&#10;AAAA&#10;" filled="f" stroked="f">
              <v:textbox style="mso-fit-shape-to-text:t" inset="0,0,0,15pt">
                <w:txbxContent>
                  <w:p w14:paraId="71ECE408" w14:textId="27F4EFF5" w:rsidR="00B30170" w:rsidRPr="00B30170" w:rsidRDefault="00B30170" w:rsidP="00B30170">
                    <w:pPr>
                      <w:spacing w:after="0"/>
                      <w:rPr>
                        <w:rFonts w:ascii="Arial Black" w:eastAsia="Arial Black" w:hAnsi="Arial Black" w:cs="Arial Black"/>
                        <w:noProof/>
                        <w:color w:val="000000"/>
                        <w:sz w:val="20"/>
                      </w:rPr>
                    </w:pPr>
                    <w:r w:rsidRPr="00B30170">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40FE3" w14:textId="77777777" w:rsidR="009C3E76" w:rsidRDefault="009C3E76" w:rsidP="00207717">
      <w:pPr>
        <w:spacing w:before="120"/>
      </w:pPr>
      <w:r>
        <w:separator/>
      </w:r>
    </w:p>
  </w:footnote>
  <w:footnote w:type="continuationSeparator" w:id="0">
    <w:p w14:paraId="44BEA553" w14:textId="77777777" w:rsidR="009C3E76" w:rsidRDefault="009C3E76">
      <w:r>
        <w:continuationSeparator/>
      </w:r>
    </w:p>
    <w:p w14:paraId="60D93F09" w14:textId="77777777" w:rsidR="009C3E76" w:rsidRDefault="009C3E76"/>
  </w:footnote>
  <w:footnote w:type="continuationNotice" w:id="1">
    <w:p w14:paraId="7D4DBA65" w14:textId="77777777" w:rsidR="009C3E76" w:rsidRDefault="009C3E7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8FB1110" w14:paraId="7DDB7A8F" w14:textId="77777777" w:rsidTr="48FB1110">
      <w:trPr>
        <w:trHeight w:val="300"/>
      </w:trPr>
      <w:tc>
        <w:tcPr>
          <w:tcW w:w="3095" w:type="dxa"/>
        </w:tcPr>
        <w:p w14:paraId="18C04345" w14:textId="118CBBEA" w:rsidR="48FB1110" w:rsidRDefault="48FB1110" w:rsidP="48FB1110">
          <w:pPr>
            <w:pStyle w:val="Header"/>
            <w:ind w:left="-115"/>
          </w:pPr>
        </w:p>
      </w:tc>
      <w:tc>
        <w:tcPr>
          <w:tcW w:w="3095" w:type="dxa"/>
        </w:tcPr>
        <w:p w14:paraId="6A77E96B" w14:textId="3238422D" w:rsidR="48FB1110" w:rsidRDefault="48FB1110" w:rsidP="48FB1110">
          <w:pPr>
            <w:pStyle w:val="Header"/>
            <w:jc w:val="center"/>
          </w:pPr>
        </w:p>
      </w:tc>
      <w:tc>
        <w:tcPr>
          <w:tcW w:w="3095" w:type="dxa"/>
        </w:tcPr>
        <w:p w14:paraId="3783C9AB" w14:textId="4E9A2353" w:rsidR="48FB1110" w:rsidRDefault="48FB1110" w:rsidP="48FB1110">
          <w:pPr>
            <w:pStyle w:val="Header"/>
            <w:ind w:right="-115"/>
            <w:jc w:val="right"/>
          </w:pPr>
        </w:p>
      </w:tc>
    </w:tr>
  </w:tbl>
  <w:p w14:paraId="320C0923" w14:textId="76110643" w:rsidR="48FB1110" w:rsidRDefault="48FB1110" w:rsidP="48FB11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95"/>
      <w:gridCol w:w="3095"/>
      <w:gridCol w:w="3095"/>
    </w:tblGrid>
    <w:tr w:rsidR="48FB1110" w14:paraId="3090AF43" w14:textId="77777777" w:rsidTr="48FB1110">
      <w:trPr>
        <w:trHeight w:val="300"/>
      </w:trPr>
      <w:tc>
        <w:tcPr>
          <w:tcW w:w="3095" w:type="dxa"/>
        </w:tcPr>
        <w:p w14:paraId="0CEB31B7" w14:textId="737F809E" w:rsidR="48FB1110" w:rsidRDefault="48FB1110" w:rsidP="48FB1110">
          <w:pPr>
            <w:pStyle w:val="Header"/>
            <w:ind w:left="-115"/>
          </w:pPr>
        </w:p>
      </w:tc>
      <w:tc>
        <w:tcPr>
          <w:tcW w:w="3095" w:type="dxa"/>
        </w:tcPr>
        <w:p w14:paraId="57E099E1" w14:textId="35380C6D" w:rsidR="48FB1110" w:rsidRDefault="48FB1110" w:rsidP="48FB1110">
          <w:pPr>
            <w:pStyle w:val="Header"/>
            <w:jc w:val="center"/>
          </w:pPr>
        </w:p>
      </w:tc>
      <w:tc>
        <w:tcPr>
          <w:tcW w:w="3095" w:type="dxa"/>
        </w:tcPr>
        <w:p w14:paraId="13B52F32" w14:textId="4B244ECD" w:rsidR="48FB1110" w:rsidRDefault="48FB1110" w:rsidP="48FB1110">
          <w:pPr>
            <w:pStyle w:val="Header"/>
            <w:ind w:right="-115"/>
            <w:jc w:val="right"/>
          </w:pPr>
        </w:p>
      </w:tc>
    </w:tr>
  </w:tbl>
  <w:p w14:paraId="1A878615" w14:textId="7F2A4C7C" w:rsidR="48FB1110" w:rsidRDefault="48FB1110" w:rsidP="48FB11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9F25" w14:textId="77777777" w:rsidR="00431A70" w:rsidRPr="00454A7D" w:rsidRDefault="00431A70" w:rsidP="00454A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22D9" w14:textId="3BD84F29" w:rsidR="00562811" w:rsidRPr="0051568D" w:rsidRDefault="00D936DB" w:rsidP="0017674D">
    <w:pPr>
      <w:pStyle w:val="Header"/>
    </w:pPr>
    <w:r>
      <w:t>Victorian Health Services Performance Monitoring Framework 202</w:t>
    </w:r>
    <w:r w:rsidR="00785DE7">
      <w:t>5</w:t>
    </w:r>
    <w:r>
      <w:t>–2</w:t>
    </w:r>
    <w:r w:rsidR="00785DE7">
      <w:t>6</w:t>
    </w:r>
    <w:r>
      <w:t xml:space="preserve"> Business rules</w:t>
    </w:r>
    <w:r w:rsidR="005C719F">
      <w:t xml:space="preserve"> v1.1</w:t>
    </w:r>
    <w:r w:rsidR="00562811">
      <w:ptab w:relativeTo="margin" w:alignment="right" w:leader="none"/>
    </w:r>
    <w:r w:rsidR="00562811" w:rsidRPr="00DE6C85">
      <w:rPr>
        <w:b w:val="0"/>
        <w:bCs/>
      </w:rPr>
      <w:fldChar w:fldCharType="begin"/>
    </w:r>
    <w:r w:rsidR="00562811" w:rsidRPr="00DE6C85">
      <w:rPr>
        <w:bCs/>
      </w:rPr>
      <w:instrText xml:space="preserve"> PAGE </w:instrText>
    </w:r>
    <w:r w:rsidR="00562811" w:rsidRPr="00DE6C85">
      <w:rPr>
        <w:b w:val="0"/>
        <w:bCs/>
      </w:rPr>
      <w:fldChar w:fldCharType="separate"/>
    </w:r>
    <w:r w:rsidR="00562811" w:rsidRPr="00DE6C85">
      <w:rPr>
        <w:bCs/>
      </w:rPr>
      <w:t>2</w:t>
    </w:r>
    <w:r w:rsidR="00562811" w:rsidRPr="00DE6C85">
      <w:rPr>
        <w:b w:val="0"/>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706B3" w14:textId="77777777" w:rsidR="00CB158A" w:rsidRDefault="00CB158A" w:rsidP="48FB1110">
    <w:pPr>
      <w:pStyle w:val="Header"/>
      <w:tabs>
        <w:tab w:val="left" w:pos="3203"/>
        <w:tab w:val="left" w:pos="6298"/>
      </w:tabs>
      <w:ind w:left="108" w:right="-115"/>
    </w:pPr>
    <w:r>
      <w:tab/>
    </w:r>
    <w:r>
      <w:tab/>
    </w:r>
  </w:p>
  <w:p w14:paraId="0EBDC5D4" w14:textId="4DDCB68E" w:rsidR="48FB1110" w:rsidRDefault="48FB1110" w:rsidP="48FB111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2AE10" w14:textId="36AE2620" w:rsidR="00CB158A" w:rsidRDefault="00CB158A" w:rsidP="48FB1110">
    <w:pPr>
      <w:pStyle w:val="Header"/>
      <w:tabs>
        <w:tab w:val="left" w:pos="3203"/>
        <w:tab w:val="left" w:pos="6298"/>
      </w:tabs>
      <w:ind w:left="108" w:right="-115"/>
    </w:pPr>
    <w:r>
      <w:tab/>
    </w:r>
    <w:r>
      <w:tab/>
    </w:r>
  </w:p>
  <w:p w14:paraId="28A5C30C" w14:textId="62C67395" w:rsidR="00CB158A" w:rsidRDefault="00F9328E" w:rsidP="00F9328E">
    <w:pPr>
      <w:pStyle w:val="Header"/>
    </w:pPr>
    <w:r>
      <w:t>Victorian Health Services Performance Monitoring Framework 2025–26 - Business rules</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 w:val="0"/>
        <w:bCs/>
      </w:rPr>
      <w:t>5</w:t>
    </w:r>
    <w:r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textHash int2:hashCode="74IB4TopvMMNTf" int2:id="ElNrBKGc">
      <int2:state int2:value="Rejected" int2:type="spell"/>
    </int2:textHash>
    <int2:textHash int2:hashCode="8+p02Qb6n+l8H+" int2:id="sxNr0jPH">
      <int2:state int2:value="Rejected" int2:type="spell"/>
    </int2:textHash>
    <int2:textHash int2:hashCode="yr/u3yI9NkdEKr" int2:id="flvYoTNe">
      <int2:state int2:value="Rejected" int2:type="spell"/>
    </int2:textHash>
    <int2:textHash int2:hashCode="0ySmHN9PsZhNtF" int2:id="tmU1R0au">
      <int2:state int2:value="Rejected" int2:type="spell"/>
    </int2:textHash>
    <int2:textHash int2:hashCode="AAFQ67K4LOw8JJ" int2:id="BUF6Ph6O">
      <int2:state int2:value="Rejected" int2:type="spell"/>
    </int2:textHash>
    <int2:textHash int2:hashCode="l0kMJ3PyxPR/ep" int2:id="Y0snQzVk">
      <int2:state int2:value="Rejected" int2:type="spell"/>
    </int2:textHash>
    <int2:textHash int2:hashCode="jrF18zQHG1bDbW" int2:id="oQFMXBVG">
      <int2:state int2:value="Rejected" int2:type="spell"/>
    </int2:textHash>
    <int2:textHash int2:hashCode="7U/Y8wQMfz1A/N" int2:id="WUOntbgz">
      <int2:state int2:value="Rejected" int2:type="spell"/>
    </int2:textHash>
    <int2:textHash int2:hashCode="w3AlPzHJ0W5eGL" int2:id="9yJhnkLF">
      <int2:state int2:value="Rejected" int2:type="spell"/>
    </int2:textHash>
    <int2:textHash int2:hashCode="lWMZMkIaJCKdbm" int2:id="fNy7gu7K">
      <int2:state int2:value="Rejected" int2:type="spell"/>
    </int2:textHash>
    <int2:textHash int2:hashCode="xdl6BWvQyHX50x" int2:id="ZTpgbClL">
      <int2:state int2:value="Rejected" int2:type="spell"/>
    </int2:textHash>
    <int2:textHash int2:hashCode="+68VW2xUebTY4y" int2:id="dFkxG1Kr">
      <int2:state int2:value="Rejected" int2:type="spell"/>
    </int2:textHash>
    <int2:bookmark int2:bookmarkName="_Int_I5Sj3c9U" int2:invalidationBookmarkName="" int2:hashCode="izcSF3yGseGt5q" int2:id="TKNqhxWu">
      <int2:state int2:value="Rejected" int2:type="gram"/>
    </int2:bookmark>
    <int2:bookmark int2:bookmarkName="_Int_QTWqdyNk" int2:invalidationBookmarkName="" int2:hashCode="izcSF3yGseGt5q" int2:id="33Kd90Na">
      <int2:state int2:value="Rejected" int2:type="gram"/>
    </int2:bookmark>
    <int2:bookmark int2:bookmarkName="_Int_uZTOe5eM" int2:invalidationBookmarkName="" int2:hashCode="izcSF3yGseGt5q" int2:id="0Deigu5n">
      <int2:state int2:value="Rejected" int2:type="gram"/>
    </int2:bookmark>
    <int2:bookmark int2:bookmarkName="_Int_Oozg3so8" int2:invalidationBookmarkName="" int2:hashCode="1NmEERnwHS7P5T" int2:id="GnBMj4eX">
      <int2:state int2:value="Rejected" int2:type="gram"/>
    </int2:bookmark>
    <int2:bookmark int2:bookmarkName="_Int_dHveqv1N" int2:invalidationBookmarkName="" int2:hashCode="Xsnww9aQQK/jqv" int2:id="AnyTxFnT">
      <int2:state int2:value="Rejected" int2:type="style"/>
    </int2:bookmark>
    <int2:bookmark int2:bookmarkName="_Int_VQUqHgxa" int2:invalidationBookmarkName="" int2:hashCode="Doo62YDsF5hWAS" int2:id="4eDrGsTG">
      <int2:state int2:value="Rejected" int2:type="gram"/>
    </int2:bookmark>
    <int2:bookmark int2:bookmarkName="_Int_uS2h2t4k" int2:invalidationBookmarkName="" int2:hashCode="dh0cLdaFEoF5e+" int2:id="wLMhD5QR">
      <int2:state int2:value="Rejected" int2:type="gram"/>
    </int2:bookmark>
    <int2:bookmark int2:bookmarkName="_Int_oVaUN1Zx" int2:invalidationBookmarkName="" int2:hashCode="P2YFKhB+r5uufK" int2:id="JSPmuWt3">
      <int2:state int2:value="Rejected" int2:type="gram"/>
    </int2:bookmark>
    <int2:bookmark int2:bookmarkName="_Int_iNZb8sXf" int2:invalidationBookmarkName="" int2:hashCode="hPnRm2HuZsf69b" int2:id="Ms8LFMd1">
      <int2:state int2:value="Rejected" int2:type="style"/>
    </int2:bookmark>
    <int2:bookmark int2:bookmarkName="_Int_HesvURbH" int2:invalidationBookmarkName="" int2:hashCode="hPnRm2HuZsf69b" int2:id="LgvQXBIV">
      <int2:state int2:value="Rejected" int2:type="style"/>
    </int2:bookmark>
    <int2:bookmark int2:bookmarkName="_Int_SAEYGyN8" int2:invalidationBookmarkName="" int2:hashCode="hPnRm2HuZsf69b" int2:id="lLZFXdDR">
      <int2:state int2:value="Rejected" int2:type="style"/>
    </int2:bookmark>
    <int2:bookmark int2:bookmarkName="_Int_Y5xImpz0" int2:invalidationBookmarkName="" int2:hashCode="hPnRm2HuZsf69b" int2:id="QiKNmJTN">
      <int2:state int2:value="Rejected" int2:type="style"/>
    </int2:bookmark>
    <int2:bookmark int2:bookmarkName="_Int_pzwcZQos" int2:invalidationBookmarkName="" int2:hashCode="hPnRm2HuZsf69b" int2:id="PFpShVwy">
      <int2:state int2:value="Rejected" int2:type="style"/>
    </int2:bookmark>
    <int2:bookmark int2:bookmarkName="_Int_x0c7ZRhs" int2:invalidationBookmarkName="" int2:hashCode="hPnRm2HuZsf69b" int2:id="Qk72pASq">
      <int2:state int2:value="Rejected" int2:type="style"/>
    </int2:bookmark>
    <int2:bookmark int2:bookmarkName="_Int_JMPZdX0h" int2:invalidationBookmarkName="" int2:hashCode="hPnRm2HuZsf69b" int2:id="7WgfVp10">
      <int2:state int2:value="Rejected" int2:type="style"/>
    </int2:bookmark>
    <int2:bookmark int2:bookmarkName="_Int_sjbpFyDA" int2:invalidationBookmarkName="" int2:hashCode="VX8lVRZxnqFvj0" int2:id="YgaFytK1">
      <int2:state int2:value="Rejected" int2:type="gram"/>
    </int2:bookmark>
    <int2:bookmark int2:bookmarkName="_Int_CSzk8ew1" int2:invalidationBookmarkName="" int2:hashCode="21kAbStRIOsfZI" int2:id="VuakDlBo">
      <int2:state int2:value="Rejected" int2:type="gram"/>
    </int2:bookmark>
    <int2:bookmark int2:bookmarkName="_Int_hFQmYJhG" int2:invalidationBookmarkName="" int2:hashCode="21kAbStRIOsfZI" int2:id="U9sNHlWC">
      <int2:state int2:value="Rejected" int2:type="gram"/>
    </int2:bookmark>
    <int2:bookmark int2:bookmarkName="_Int_E4XDwf12" int2:invalidationBookmarkName="" int2:hashCode="21kAbStRIOsfZI" int2:id="YK55iXib">
      <int2:state int2:value="Rejected" int2:type="gram"/>
    </int2:bookmark>
    <int2:bookmark int2:bookmarkName="_Int_1dTQbPM5" int2:invalidationBookmarkName="" int2:hashCode="21kAbStRIOsfZI" int2:id="pbhzEsY0">
      <int2:state int2:value="Rejected" int2:type="gram"/>
    </int2:bookmark>
    <int2:bookmark int2:bookmarkName="_Int_872bfw4q" int2:invalidationBookmarkName="" int2:hashCode="tH82PitDDAZH8U" int2:id="vZQfr2vm">
      <int2:state int2:value="Rejected" int2:type="gram"/>
    </int2:bookmark>
    <int2:bookmark int2:bookmarkName="_Int_MVUAo2MD" int2:invalidationBookmarkName="" int2:hashCode="4mIguhtRZJLWe7" int2:id="Bbx2jUj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62CE"/>
    <w:multiLevelType w:val="hybridMultilevel"/>
    <w:tmpl w:val="FBA2139C"/>
    <w:lvl w:ilvl="0" w:tplc="B4A2371E">
      <w:start w:val="1"/>
      <w:numFmt w:val="bullet"/>
      <w:lvlText w:val="·"/>
      <w:lvlJc w:val="left"/>
      <w:pPr>
        <w:ind w:left="720" w:hanging="360"/>
      </w:pPr>
      <w:rPr>
        <w:rFonts w:ascii="Symbol" w:hAnsi="Symbol" w:hint="default"/>
      </w:rPr>
    </w:lvl>
    <w:lvl w:ilvl="1" w:tplc="D53CECF4">
      <w:start w:val="1"/>
      <w:numFmt w:val="bullet"/>
      <w:lvlText w:val="o"/>
      <w:lvlJc w:val="left"/>
      <w:pPr>
        <w:ind w:left="1440" w:hanging="360"/>
      </w:pPr>
      <w:rPr>
        <w:rFonts w:ascii="Courier New" w:hAnsi="Courier New" w:hint="default"/>
      </w:rPr>
    </w:lvl>
    <w:lvl w:ilvl="2" w:tplc="D264DC8A">
      <w:start w:val="1"/>
      <w:numFmt w:val="bullet"/>
      <w:lvlText w:val=""/>
      <w:lvlJc w:val="left"/>
      <w:pPr>
        <w:ind w:left="2160" w:hanging="360"/>
      </w:pPr>
      <w:rPr>
        <w:rFonts w:ascii="Wingdings" w:hAnsi="Wingdings" w:hint="default"/>
      </w:rPr>
    </w:lvl>
    <w:lvl w:ilvl="3" w:tplc="2AAA48DE">
      <w:start w:val="1"/>
      <w:numFmt w:val="bullet"/>
      <w:lvlText w:val=""/>
      <w:lvlJc w:val="left"/>
      <w:pPr>
        <w:ind w:left="2880" w:hanging="360"/>
      </w:pPr>
      <w:rPr>
        <w:rFonts w:ascii="Symbol" w:hAnsi="Symbol" w:hint="default"/>
      </w:rPr>
    </w:lvl>
    <w:lvl w:ilvl="4" w:tplc="D3702120">
      <w:start w:val="1"/>
      <w:numFmt w:val="bullet"/>
      <w:lvlText w:val="o"/>
      <w:lvlJc w:val="left"/>
      <w:pPr>
        <w:ind w:left="3600" w:hanging="360"/>
      </w:pPr>
      <w:rPr>
        <w:rFonts w:ascii="Courier New" w:hAnsi="Courier New" w:hint="default"/>
      </w:rPr>
    </w:lvl>
    <w:lvl w:ilvl="5" w:tplc="29BA2946">
      <w:start w:val="1"/>
      <w:numFmt w:val="bullet"/>
      <w:lvlText w:val=""/>
      <w:lvlJc w:val="left"/>
      <w:pPr>
        <w:ind w:left="4320" w:hanging="360"/>
      </w:pPr>
      <w:rPr>
        <w:rFonts w:ascii="Wingdings" w:hAnsi="Wingdings" w:hint="default"/>
      </w:rPr>
    </w:lvl>
    <w:lvl w:ilvl="6" w:tplc="C396DA9C">
      <w:start w:val="1"/>
      <w:numFmt w:val="bullet"/>
      <w:lvlText w:val=""/>
      <w:lvlJc w:val="left"/>
      <w:pPr>
        <w:ind w:left="5040" w:hanging="360"/>
      </w:pPr>
      <w:rPr>
        <w:rFonts w:ascii="Symbol" w:hAnsi="Symbol" w:hint="default"/>
      </w:rPr>
    </w:lvl>
    <w:lvl w:ilvl="7" w:tplc="34F4D154">
      <w:start w:val="1"/>
      <w:numFmt w:val="bullet"/>
      <w:lvlText w:val="o"/>
      <w:lvlJc w:val="left"/>
      <w:pPr>
        <w:ind w:left="5760" w:hanging="360"/>
      </w:pPr>
      <w:rPr>
        <w:rFonts w:ascii="Courier New" w:hAnsi="Courier New" w:hint="default"/>
      </w:rPr>
    </w:lvl>
    <w:lvl w:ilvl="8" w:tplc="1A7C4FC8">
      <w:start w:val="1"/>
      <w:numFmt w:val="bullet"/>
      <w:lvlText w:val=""/>
      <w:lvlJc w:val="left"/>
      <w:pPr>
        <w:ind w:left="6480" w:hanging="360"/>
      </w:pPr>
      <w:rPr>
        <w:rFonts w:ascii="Wingdings" w:hAnsi="Wingdings" w:hint="default"/>
      </w:rPr>
    </w:lvl>
  </w:abstractNum>
  <w:abstractNum w:abstractNumId="1" w15:restartNumberingAfterBreak="0">
    <w:nsid w:val="01E6AAA4"/>
    <w:multiLevelType w:val="multilevel"/>
    <w:tmpl w:val="B34A943A"/>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31B5326"/>
    <w:multiLevelType w:val="multilevel"/>
    <w:tmpl w:val="36E2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5C155A"/>
    <w:multiLevelType w:val="multilevel"/>
    <w:tmpl w:val="2ECEE34A"/>
    <w:lvl w:ilvl="0">
      <w:start w:val="1"/>
      <w:numFmt w:val="bullet"/>
      <w:lvlText w:val="►"/>
      <w:lvlJc w:val="left"/>
      <w:pPr>
        <w:ind w:left="227" w:hanging="227"/>
      </w:pPr>
      <w:rPr>
        <w:rFonts w:ascii="Arial" w:hAnsi="Aria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3A50056"/>
    <w:multiLevelType w:val="multilevel"/>
    <w:tmpl w:val="0AAE1EBA"/>
    <w:numStyleLink w:val="ZZNumbersloweralpha"/>
  </w:abstractNum>
  <w:abstractNum w:abstractNumId="5" w15:restartNumberingAfterBreak="0">
    <w:nsid w:val="03DD64DA"/>
    <w:multiLevelType w:val="hybridMultilevel"/>
    <w:tmpl w:val="9E464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51F3826"/>
    <w:multiLevelType w:val="multilevel"/>
    <w:tmpl w:val="7D94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9712D0"/>
    <w:multiLevelType w:val="multilevel"/>
    <w:tmpl w:val="A4B416C4"/>
    <w:lvl w:ilvl="0">
      <w:start w:val="1"/>
      <w:numFmt w:val="bullet"/>
      <w:lvlText w:val=""/>
      <w:lvlJc w:val="left"/>
      <w:pPr>
        <w:tabs>
          <w:tab w:val="num" w:pos="397"/>
        </w:tabs>
        <w:ind w:left="397" w:hanging="397"/>
      </w:pPr>
      <w:rPr>
        <w:rFonts w:ascii="Symbol" w:hAnsi="Symbol"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05A54B91"/>
    <w:multiLevelType w:val="multilevel"/>
    <w:tmpl w:val="9AF078D0"/>
    <w:lvl w:ilvl="0">
      <w:start w:val="1"/>
      <w:numFmt w:val="bullet"/>
      <w:lvlText w:val=""/>
      <w:lvlJc w:val="left"/>
      <w:pPr>
        <w:ind w:left="227"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669242A"/>
    <w:multiLevelType w:val="multilevel"/>
    <w:tmpl w:val="0CB02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2C5E8C"/>
    <w:multiLevelType w:val="hybridMultilevel"/>
    <w:tmpl w:val="F1FA92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8D6DC74"/>
    <w:multiLevelType w:val="multilevel"/>
    <w:tmpl w:val="3D52BF0C"/>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8E747EE"/>
    <w:multiLevelType w:val="hybridMultilevel"/>
    <w:tmpl w:val="504E4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C9B3ADD"/>
    <w:multiLevelType w:val="hybridMultilevel"/>
    <w:tmpl w:val="2AAEC99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DB802DA"/>
    <w:multiLevelType w:val="multilevel"/>
    <w:tmpl w:val="AA5E61C0"/>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F2F30B3"/>
    <w:multiLevelType w:val="hybridMultilevel"/>
    <w:tmpl w:val="D41A797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0F6A75F3"/>
    <w:multiLevelType w:val="hybridMultilevel"/>
    <w:tmpl w:val="DE2C018E"/>
    <w:lvl w:ilvl="0" w:tplc="0C090001">
      <w:start w:val="1"/>
      <w:numFmt w:val="bullet"/>
      <w:lvlText w:val=""/>
      <w:lvlJc w:val="left"/>
      <w:pPr>
        <w:ind w:left="360" w:hanging="360"/>
      </w:pPr>
      <w:rPr>
        <w:rFonts w:ascii="Symbol" w:hAnsi="Symbol" w:hint="default"/>
      </w:rPr>
    </w:lvl>
    <w:lvl w:ilvl="1" w:tplc="BCA228F4">
      <w:numFmt w:val="bullet"/>
      <w:lvlText w:val="-"/>
      <w:lvlJc w:val="left"/>
      <w:pPr>
        <w:ind w:left="1080" w:hanging="360"/>
      </w:pPr>
      <w:rPr>
        <w:rFonts w:ascii="VIC" w:eastAsiaTheme="minorHAnsi" w:hAnsi="VIC" w:cs="VIC"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37E7C8C"/>
    <w:multiLevelType w:val="multilevel"/>
    <w:tmpl w:val="9DEA8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3D16C28"/>
    <w:multiLevelType w:val="multilevel"/>
    <w:tmpl w:val="147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53D6CE7"/>
    <w:multiLevelType w:val="hybridMultilevel"/>
    <w:tmpl w:val="30E65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72E21B2"/>
    <w:multiLevelType w:val="hybridMultilevel"/>
    <w:tmpl w:val="68C0260E"/>
    <w:lvl w:ilvl="0" w:tplc="28EAE906">
      <w:start w:val="1"/>
      <w:numFmt w:val="bullet"/>
      <w:lvlText w:val="·"/>
      <w:lvlJc w:val="left"/>
      <w:pPr>
        <w:ind w:left="720" w:hanging="360"/>
      </w:pPr>
      <w:rPr>
        <w:rFonts w:ascii="Symbol" w:hAnsi="Symbol" w:hint="default"/>
      </w:rPr>
    </w:lvl>
    <w:lvl w:ilvl="1" w:tplc="429CE364">
      <w:start w:val="1"/>
      <w:numFmt w:val="bullet"/>
      <w:lvlText w:val="o"/>
      <w:lvlJc w:val="left"/>
      <w:pPr>
        <w:ind w:left="1440" w:hanging="360"/>
      </w:pPr>
      <w:rPr>
        <w:rFonts w:ascii="Courier New" w:hAnsi="Courier New" w:hint="default"/>
      </w:rPr>
    </w:lvl>
    <w:lvl w:ilvl="2" w:tplc="2FF09B50">
      <w:start w:val="1"/>
      <w:numFmt w:val="bullet"/>
      <w:lvlText w:val=""/>
      <w:lvlJc w:val="left"/>
      <w:pPr>
        <w:ind w:left="2160" w:hanging="360"/>
      </w:pPr>
      <w:rPr>
        <w:rFonts w:ascii="Wingdings" w:hAnsi="Wingdings" w:hint="default"/>
      </w:rPr>
    </w:lvl>
    <w:lvl w:ilvl="3" w:tplc="BA1EA966">
      <w:start w:val="1"/>
      <w:numFmt w:val="bullet"/>
      <w:lvlText w:val=""/>
      <w:lvlJc w:val="left"/>
      <w:pPr>
        <w:ind w:left="2880" w:hanging="360"/>
      </w:pPr>
      <w:rPr>
        <w:rFonts w:ascii="Symbol" w:hAnsi="Symbol" w:hint="default"/>
      </w:rPr>
    </w:lvl>
    <w:lvl w:ilvl="4" w:tplc="2CB8DD74">
      <w:start w:val="1"/>
      <w:numFmt w:val="bullet"/>
      <w:lvlText w:val="o"/>
      <w:lvlJc w:val="left"/>
      <w:pPr>
        <w:ind w:left="3600" w:hanging="360"/>
      </w:pPr>
      <w:rPr>
        <w:rFonts w:ascii="Courier New" w:hAnsi="Courier New" w:hint="default"/>
      </w:rPr>
    </w:lvl>
    <w:lvl w:ilvl="5" w:tplc="25AC9D9E">
      <w:start w:val="1"/>
      <w:numFmt w:val="bullet"/>
      <w:lvlText w:val=""/>
      <w:lvlJc w:val="left"/>
      <w:pPr>
        <w:ind w:left="4320" w:hanging="360"/>
      </w:pPr>
      <w:rPr>
        <w:rFonts w:ascii="Wingdings" w:hAnsi="Wingdings" w:hint="default"/>
      </w:rPr>
    </w:lvl>
    <w:lvl w:ilvl="6" w:tplc="45DEC02A">
      <w:start w:val="1"/>
      <w:numFmt w:val="bullet"/>
      <w:lvlText w:val=""/>
      <w:lvlJc w:val="left"/>
      <w:pPr>
        <w:ind w:left="5040" w:hanging="360"/>
      </w:pPr>
      <w:rPr>
        <w:rFonts w:ascii="Symbol" w:hAnsi="Symbol" w:hint="default"/>
      </w:rPr>
    </w:lvl>
    <w:lvl w:ilvl="7" w:tplc="86469052">
      <w:start w:val="1"/>
      <w:numFmt w:val="bullet"/>
      <w:lvlText w:val="o"/>
      <w:lvlJc w:val="left"/>
      <w:pPr>
        <w:ind w:left="5760" w:hanging="360"/>
      </w:pPr>
      <w:rPr>
        <w:rFonts w:ascii="Courier New" w:hAnsi="Courier New" w:hint="default"/>
      </w:rPr>
    </w:lvl>
    <w:lvl w:ilvl="8" w:tplc="3DA2FECC">
      <w:start w:val="1"/>
      <w:numFmt w:val="bullet"/>
      <w:lvlText w:val=""/>
      <w:lvlJc w:val="left"/>
      <w:pPr>
        <w:ind w:left="6480" w:hanging="360"/>
      </w:pPr>
      <w:rPr>
        <w:rFonts w:ascii="Wingdings" w:hAnsi="Wingdings" w:hint="default"/>
      </w:rPr>
    </w:lvl>
  </w:abstractNum>
  <w:abstractNum w:abstractNumId="23" w15:restartNumberingAfterBreak="0">
    <w:nsid w:val="17501CF7"/>
    <w:multiLevelType w:val="multilevel"/>
    <w:tmpl w:val="E6025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5502D4"/>
    <w:multiLevelType w:val="multilevel"/>
    <w:tmpl w:val="3968B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46009A"/>
    <w:multiLevelType w:val="hybridMultilevel"/>
    <w:tmpl w:val="70701434"/>
    <w:lvl w:ilvl="0" w:tplc="C332006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C308BFA"/>
    <w:multiLevelType w:val="multilevel"/>
    <w:tmpl w:val="99D62306"/>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D1D0AC7"/>
    <w:multiLevelType w:val="multilevel"/>
    <w:tmpl w:val="49467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BE217E"/>
    <w:multiLevelType w:val="multilevel"/>
    <w:tmpl w:val="26BEC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541D97"/>
    <w:multiLevelType w:val="hybridMultilevel"/>
    <w:tmpl w:val="ADB0B4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F744D75"/>
    <w:multiLevelType w:val="multilevel"/>
    <w:tmpl w:val="AC269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F983137"/>
    <w:multiLevelType w:val="multilevel"/>
    <w:tmpl w:val="8076D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CB3302"/>
    <w:multiLevelType w:val="multilevel"/>
    <w:tmpl w:val="610218AC"/>
    <w:lvl w:ilvl="0">
      <w:start w:val="1"/>
      <w:numFmt w:val="lowerRoman"/>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25E3E3A1"/>
    <w:multiLevelType w:val="hybridMultilevel"/>
    <w:tmpl w:val="0714EF92"/>
    <w:lvl w:ilvl="0" w:tplc="3E906398">
      <w:start w:val="1"/>
      <w:numFmt w:val="bullet"/>
      <w:lvlText w:val="·"/>
      <w:lvlJc w:val="left"/>
      <w:pPr>
        <w:ind w:left="720" w:hanging="360"/>
      </w:pPr>
      <w:rPr>
        <w:rFonts w:ascii="Symbol" w:hAnsi="Symbol" w:hint="default"/>
      </w:rPr>
    </w:lvl>
    <w:lvl w:ilvl="1" w:tplc="2A2409F4">
      <w:start w:val="1"/>
      <w:numFmt w:val="bullet"/>
      <w:lvlText w:val="o"/>
      <w:lvlJc w:val="left"/>
      <w:pPr>
        <w:ind w:left="1440" w:hanging="360"/>
      </w:pPr>
      <w:rPr>
        <w:rFonts w:ascii="Courier New" w:hAnsi="Courier New" w:hint="default"/>
      </w:rPr>
    </w:lvl>
    <w:lvl w:ilvl="2" w:tplc="2682ABF0">
      <w:start w:val="1"/>
      <w:numFmt w:val="bullet"/>
      <w:lvlText w:val=""/>
      <w:lvlJc w:val="left"/>
      <w:pPr>
        <w:ind w:left="2160" w:hanging="360"/>
      </w:pPr>
      <w:rPr>
        <w:rFonts w:ascii="Wingdings" w:hAnsi="Wingdings" w:hint="default"/>
      </w:rPr>
    </w:lvl>
    <w:lvl w:ilvl="3" w:tplc="AA36618E">
      <w:start w:val="1"/>
      <w:numFmt w:val="bullet"/>
      <w:lvlText w:val=""/>
      <w:lvlJc w:val="left"/>
      <w:pPr>
        <w:ind w:left="2880" w:hanging="360"/>
      </w:pPr>
      <w:rPr>
        <w:rFonts w:ascii="Symbol" w:hAnsi="Symbol" w:hint="default"/>
      </w:rPr>
    </w:lvl>
    <w:lvl w:ilvl="4" w:tplc="DF988528">
      <w:start w:val="1"/>
      <w:numFmt w:val="bullet"/>
      <w:lvlText w:val="o"/>
      <w:lvlJc w:val="left"/>
      <w:pPr>
        <w:ind w:left="3600" w:hanging="360"/>
      </w:pPr>
      <w:rPr>
        <w:rFonts w:ascii="Courier New" w:hAnsi="Courier New" w:hint="default"/>
      </w:rPr>
    </w:lvl>
    <w:lvl w:ilvl="5" w:tplc="F0DA8C40">
      <w:start w:val="1"/>
      <w:numFmt w:val="bullet"/>
      <w:lvlText w:val=""/>
      <w:lvlJc w:val="left"/>
      <w:pPr>
        <w:ind w:left="4320" w:hanging="360"/>
      </w:pPr>
      <w:rPr>
        <w:rFonts w:ascii="Wingdings" w:hAnsi="Wingdings" w:hint="default"/>
      </w:rPr>
    </w:lvl>
    <w:lvl w:ilvl="6" w:tplc="0C1A8EC4">
      <w:start w:val="1"/>
      <w:numFmt w:val="bullet"/>
      <w:lvlText w:val=""/>
      <w:lvlJc w:val="left"/>
      <w:pPr>
        <w:ind w:left="5040" w:hanging="360"/>
      </w:pPr>
      <w:rPr>
        <w:rFonts w:ascii="Symbol" w:hAnsi="Symbol" w:hint="default"/>
      </w:rPr>
    </w:lvl>
    <w:lvl w:ilvl="7" w:tplc="78C2472C">
      <w:start w:val="1"/>
      <w:numFmt w:val="bullet"/>
      <w:lvlText w:val="o"/>
      <w:lvlJc w:val="left"/>
      <w:pPr>
        <w:ind w:left="5760" w:hanging="360"/>
      </w:pPr>
      <w:rPr>
        <w:rFonts w:ascii="Courier New" w:hAnsi="Courier New" w:hint="default"/>
      </w:rPr>
    </w:lvl>
    <w:lvl w:ilvl="8" w:tplc="E8AA3EFC">
      <w:start w:val="1"/>
      <w:numFmt w:val="bullet"/>
      <w:lvlText w:val=""/>
      <w:lvlJc w:val="left"/>
      <w:pPr>
        <w:ind w:left="6480" w:hanging="360"/>
      </w:pPr>
      <w:rPr>
        <w:rFonts w:ascii="Wingdings" w:hAnsi="Wingdings" w:hint="default"/>
      </w:rPr>
    </w:lvl>
  </w:abstractNum>
  <w:abstractNum w:abstractNumId="34" w15:restartNumberingAfterBreak="0">
    <w:nsid w:val="28CFAEF2"/>
    <w:multiLevelType w:val="hybridMultilevel"/>
    <w:tmpl w:val="FFFFFFFF"/>
    <w:lvl w:ilvl="0" w:tplc="F266C448">
      <w:start w:val="1"/>
      <w:numFmt w:val="bullet"/>
      <w:lvlText w:val=""/>
      <w:lvlJc w:val="left"/>
      <w:pPr>
        <w:ind w:left="720" w:hanging="360"/>
      </w:pPr>
      <w:rPr>
        <w:rFonts w:ascii="Symbol" w:hAnsi="Symbol" w:hint="default"/>
      </w:rPr>
    </w:lvl>
    <w:lvl w:ilvl="1" w:tplc="71902230">
      <w:start w:val="1"/>
      <w:numFmt w:val="bullet"/>
      <w:lvlText w:val="o"/>
      <w:lvlJc w:val="left"/>
      <w:pPr>
        <w:ind w:left="1440" w:hanging="360"/>
      </w:pPr>
      <w:rPr>
        <w:rFonts w:ascii="Courier New" w:hAnsi="Courier New" w:hint="default"/>
      </w:rPr>
    </w:lvl>
    <w:lvl w:ilvl="2" w:tplc="D834EA48">
      <w:start w:val="1"/>
      <w:numFmt w:val="bullet"/>
      <w:lvlText w:val=""/>
      <w:lvlJc w:val="left"/>
      <w:pPr>
        <w:ind w:left="2160" w:hanging="360"/>
      </w:pPr>
      <w:rPr>
        <w:rFonts w:ascii="Wingdings" w:hAnsi="Wingdings" w:hint="default"/>
      </w:rPr>
    </w:lvl>
    <w:lvl w:ilvl="3" w:tplc="4B488730">
      <w:start w:val="1"/>
      <w:numFmt w:val="bullet"/>
      <w:lvlText w:val=""/>
      <w:lvlJc w:val="left"/>
      <w:pPr>
        <w:ind w:left="2880" w:hanging="360"/>
      </w:pPr>
      <w:rPr>
        <w:rFonts w:ascii="Symbol" w:hAnsi="Symbol" w:hint="default"/>
      </w:rPr>
    </w:lvl>
    <w:lvl w:ilvl="4" w:tplc="A1DAC2C2">
      <w:start w:val="1"/>
      <w:numFmt w:val="bullet"/>
      <w:lvlText w:val="o"/>
      <w:lvlJc w:val="left"/>
      <w:pPr>
        <w:ind w:left="3600" w:hanging="360"/>
      </w:pPr>
      <w:rPr>
        <w:rFonts w:ascii="Courier New" w:hAnsi="Courier New" w:hint="default"/>
      </w:rPr>
    </w:lvl>
    <w:lvl w:ilvl="5" w:tplc="2A2AE68E">
      <w:start w:val="1"/>
      <w:numFmt w:val="bullet"/>
      <w:lvlText w:val=""/>
      <w:lvlJc w:val="left"/>
      <w:pPr>
        <w:ind w:left="4320" w:hanging="360"/>
      </w:pPr>
      <w:rPr>
        <w:rFonts w:ascii="Wingdings" w:hAnsi="Wingdings" w:hint="default"/>
      </w:rPr>
    </w:lvl>
    <w:lvl w:ilvl="6" w:tplc="69988D10">
      <w:start w:val="1"/>
      <w:numFmt w:val="bullet"/>
      <w:lvlText w:val=""/>
      <w:lvlJc w:val="left"/>
      <w:pPr>
        <w:ind w:left="5040" w:hanging="360"/>
      </w:pPr>
      <w:rPr>
        <w:rFonts w:ascii="Symbol" w:hAnsi="Symbol" w:hint="default"/>
      </w:rPr>
    </w:lvl>
    <w:lvl w:ilvl="7" w:tplc="17EC2E9E">
      <w:start w:val="1"/>
      <w:numFmt w:val="bullet"/>
      <w:lvlText w:val="o"/>
      <w:lvlJc w:val="left"/>
      <w:pPr>
        <w:ind w:left="5760" w:hanging="360"/>
      </w:pPr>
      <w:rPr>
        <w:rFonts w:ascii="Courier New" w:hAnsi="Courier New" w:hint="default"/>
      </w:rPr>
    </w:lvl>
    <w:lvl w:ilvl="8" w:tplc="E1B2232C">
      <w:start w:val="1"/>
      <w:numFmt w:val="bullet"/>
      <w:lvlText w:val=""/>
      <w:lvlJc w:val="left"/>
      <w:pPr>
        <w:ind w:left="6480" w:hanging="360"/>
      </w:pPr>
      <w:rPr>
        <w:rFonts w:ascii="Wingdings" w:hAnsi="Wingdings" w:hint="default"/>
      </w:rPr>
    </w:lvl>
  </w:abstractNum>
  <w:abstractNum w:abstractNumId="35" w15:restartNumberingAfterBreak="0">
    <w:nsid w:val="293F216D"/>
    <w:multiLevelType w:val="multilevel"/>
    <w:tmpl w:val="198EC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356B4A"/>
    <w:multiLevelType w:val="hybridMultilevel"/>
    <w:tmpl w:val="3EE0A170"/>
    <w:lvl w:ilvl="0" w:tplc="D0C0EFF4">
      <w:start w:val="1"/>
      <w:numFmt w:val="bullet"/>
      <w:lvlText w:val="·"/>
      <w:lvlJc w:val="left"/>
      <w:pPr>
        <w:ind w:left="720" w:hanging="360"/>
      </w:pPr>
      <w:rPr>
        <w:rFonts w:ascii="Symbol" w:hAnsi="Symbol" w:hint="default"/>
      </w:rPr>
    </w:lvl>
    <w:lvl w:ilvl="1" w:tplc="F2E00264">
      <w:start w:val="1"/>
      <w:numFmt w:val="bullet"/>
      <w:lvlText w:val="o"/>
      <w:lvlJc w:val="left"/>
      <w:pPr>
        <w:ind w:left="1440" w:hanging="360"/>
      </w:pPr>
      <w:rPr>
        <w:rFonts w:ascii="Courier New" w:hAnsi="Courier New" w:hint="default"/>
      </w:rPr>
    </w:lvl>
    <w:lvl w:ilvl="2" w:tplc="1F3EF09E">
      <w:start w:val="1"/>
      <w:numFmt w:val="bullet"/>
      <w:lvlText w:val=""/>
      <w:lvlJc w:val="left"/>
      <w:pPr>
        <w:ind w:left="2160" w:hanging="360"/>
      </w:pPr>
      <w:rPr>
        <w:rFonts w:ascii="Wingdings" w:hAnsi="Wingdings" w:hint="default"/>
      </w:rPr>
    </w:lvl>
    <w:lvl w:ilvl="3" w:tplc="84D0C6F2">
      <w:start w:val="1"/>
      <w:numFmt w:val="bullet"/>
      <w:lvlText w:val=""/>
      <w:lvlJc w:val="left"/>
      <w:pPr>
        <w:ind w:left="2880" w:hanging="360"/>
      </w:pPr>
      <w:rPr>
        <w:rFonts w:ascii="Symbol" w:hAnsi="Symbol" w:hint="default"/>
      </w:rPr>
    </w:lvl>
    <w:lvl w:ilvl="4" w:tplc="B7E692CE">
      <w:start w:val="1"/>
      <w:numFmt w:val="bullet"/>
      <w:lvlText w:val="o"/>
      <w:lvlJc w:val="left"/>
      <w:pPr>
        <w:ind w:left="3600" w:hanging="360"/>
      </w:pPr>
      <w:rPr>
        <w:rFonts w:ascii="Courier New" w:hAnsi="Courier New" w:hint="default"/>
      </w:rPr>
    </w:lvl>
    <w:lvl w:ilvl="5" w:tplc="6F521C3E">
      <w:start w:val="1"/>
      <w:numFmt w:val="bullet"/>
      <w:lvlText w:val=""/>
      <w:lvlJc w:val="left"/>
      <w:pPr>
        <w:ind w:left="4320" w:hanging="360"/>
      </w:pPr>
      <w:rPr>
        <w:rFonts w:ascii="Wingdings" w:hAnsi="Wingdings" w:hint="default"/>
      </w:rPr>
    </w:lvl>
    <w:lvl w:ilvl="6" w:tplc="FEDA922A">
      <w:start w:val="1"/>
      <w:numFmt w:val="bullet"/>
      <w:lvlText w:val=""/>
      <w:lvlJc w:val="left"/>
      <w:pPr>
        <w:ind w:left="5040" w:hanging="360"/>
      </w:pPr>
      <w:rPr>
        <w:rFonts w:ascii="Symbol" w:hAnsi="Symbol" w:hint="default"/>
      </w:rPr>
    </w:lvl>
    <w:lvl w:ilvl="7" w:tplc="C3983100">
      <w:start w:val="1"/>
      <w:numFmt w:val="bullet"/>
      <w:lvlText w:val="o"/>
      <w:lvlJc w:val="left"/>
      <w:pPr>
        <w:ind w:left="5760" w:hanging="360"/>
      </w:pPr>
      <w:rPr>
        <w:rFonts w:ascii="Courier New" w:hAnsi="Courier New" w:hint="default"/>
      </w:rPr>
    </w:lvl>
    <w:lvl w:ilvl="8" w:tplc="54B2C082">
      <w:start w:val="1"/>
      <w:numFmt w:val="bullet"/>
      <w:lvlText w:val=""/>
      <w:lvlJc w:val="left"/>
      <w:pPr>
        <w:ind w:left="6480" w:hanging="360"/>
      </w:pPr>
      <w:rPr>
        <w:rFonts w:ascii="Wingdings" w:hAnsi="Wingdings" w:hint="default"/>
      </w:rPr>
    </w:lvl>
  </w:abstractNum>
  <w:abstractNum w:abstractNumId="37" w15:restartNumberingAfterBreak="0">
    <w:nsid w:val="302E1B68"/>
    <w:multiLevelType w:val="multilevel"/>
    <w:tmpl w:val="3B70A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0351581"/>
    <w:multiLevelType w:val="multilevel"/>
    <w:tmpl w:val="47CAA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30E50A80"/>
    <w:multiLevelType w:val="hybridMultilevel"/>
    <w:tmpl w:val="0D189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2104BE2"/>
    <w:multiLevelType w:val="multilevel"/>
    <w:tmpl w:val="B8E0F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4694E18"/>
    <w:multiLevelType w:val="multilevel"/>
    <w:tmpl w:val="65086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56356CD"/>
    <w:multiLevelType w:val="multilevel"/>
    <w:tmpl w:val="8190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8637074"/>
    <w:multiLevelType w:val="multilevel"/>
    <w:tmpl w:val="AF3A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A32461F"/>
    <w:multiLevelType w:val="hybridMultilevel"/>
    <w:tmpl w:val="D1CE7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A4661AC"/>
    <w:multiLevelType w:val="hybridMultilevel"/>
    <w:tmpl w:val="084A4A8A"/>
    <w:lvl w:ilvl="0" w:tplc="0B44B57E">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6" w15:restartNumberingAfterBreak="0">
    <w:nsid w:val="3A6E3D9D"/>
    <w:multiLevelType w:val="multilevel"/>
    <w:tmpl w:val="770443AA"/>
    <w:lvl w:ilvl="0">
      <w:start w:val="1"/>
      <w:numFmt w:val="lowerRoman"/>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3ABB5166"/>
    <w:multiLevelType w:val="multilevel"/>
    <w:tmpl w:val="EE447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AEF2191"/>
    <w:multiLevelType w:val="multilevel"/>
    <w:tmpl w:val="FD6A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0"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1" w15:restartNumberingAfterBreak="0">
    <w:nsid w:val="42987127"/>
    <w:multiLevelType w:val="hybridMultilevel"/>
    <w:tmpl w:val="DB584364"/>
    <w:lvl w:ilvl="0" w:tplc="109A3926">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41F1B77"/>
    <w:multiLevelType w:val="multilevel"/>
    <w:tmpl w:val="94C6E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55B08F0"/>
    <w:multiLevelType w:val="hybridMultilevel"/>
    <w:tmpl w:val="4C748A2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462C3E22"/>
    <w:multiLevelType w:val="hybridMultilevel"/>
    <w:tmpl w:val="B1C8C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811FE66"/>
    <w:multiLevelType w:val="multilevel"/>
    <w:tmpl w:val="1AF46B4E"/>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493668D3"/>
    <w:multiLevelType w:val="multilevel"/>
    <w:tmpl w:val="68D06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9E3481E"/>
    <w:multiLevelType w:val="multilevel"/>
    <w:tmpl w:val="CA9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BB1133E"/>
    <w:multiLevelType w:val="hybridMultilevel"/>
    <w:tmpl w:val="CB90E6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E5425E6"/>
    <w:multiLevelType w:val="multilevel"/>
    <w:tmpl w:val="5BA42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E567B04"/>
    <w:multiLevelType w:val="multilevel"/>
    <w:tmpl w:val="5A1A2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F507C80"/>
    <w:multiLevelType w:val="hybridMultilevel"/>
    <w:tmpl w:val="A1EED610"/>
    <w:lvl w:ilvl="0" w:tplc="D902C176">
      <w:start w:val="1"/>
      <w:numFmt w:val="bullet"/>
      <w:lvlText w:val="○"/>
      <w:lvlJc w:val="left"/>
      <w:pPr>
        <w:ind w:left="947" w:hanging="360"/>
      </w:pPr>
      <w:rPr>
        <w:rFonts w:ascii="Arial" w:hAnsi="Arial" w:hint="default"/>
        <w:sz w:val="18"/>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62" w15:restartNumberingAfterBreak="0">
    <w:nsid w:val="4F913F2F"/>
    <w:multiLevelType w:val="hybridMultilevel"/>
    <w:tmpl w:val="5D46E2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501328F3"/>
    <w:multiLevelType w:val="hybridMultilevel"/>
    <w:tmpl w:val="7422C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07BD6FA"/>
    <w:multiLevelType w:val="multilevel"/>
    <w:tmpl w:val="85EC38F8"/>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51631C6A"/>
    <w:multiLevelType w:val="multilevel"/>
    <w:tmpl w:val="76C83F36"/>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529E38A5"/>
    <w:multiLevelType w:val="multilevel"/>
    <w:tmpl w:val="E1F89F68"/>
    <w:lvl w:ilvl="0">
      <w:start w:val="1"/>
      <w:numFmt w:val="lowerRoman"/>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7" w15:restartNumberingAfterBreak="0">
    <w:nsid w:val="5375089B"/>
    <w:multiLevelType w:val="multilevel"/>
    <w:tmpl w:val="3306B968"/>
    <w:lvl w:ilvl="0">
      <w:start w:val="1"/>
      <w:numFmt w:val="bullet"/>
      <w:lvlText w:val="›"/>
      <w:lvlJc w:val="left"/>
      <w:pPr>
        <w:ind w:left="227" w:hanging="227"/>
      </w:pPr>
      <w:rPr>
        <w:rFonts w:ascii="Arial" w:hAnsi="Arial" w:hint="default"/>
        <w:sz w:val="16"/>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41611C2"/>
    <w:multiLevelType w:val="multilevel"/>
    <w:tmpl w:val="B5D075BE"/>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9" w15:restartNumberingAfterBreak="0">
    <w:nsid w:val="54BA1E5A"/>
    <w:multiLevelType w:val="multilevel"/>
    <w:tmpl w:val="0C1E48DC"/>
    <w:styleLink w:val="ZZBullets"/>
    <w:lvl w:ilvl="0">
      <w:start w:val="1"/>
      <w:numFmt w:val="lowerRoman"/>
      <w:pStyle w:val="Bullet1"/>
      <w:lvlText w:val="(%1)"/>
      <w:lvlJc w:val="left"/>
      <w:pPr>
        <w:tabs>
          <w:tab w:val="num" w:pos="397"/>
        </w:tabs>
        <w:ind w:left="397" w:hanging="397"/>
      </w:pPr>
      <w:rPr>
        <w:rFonts w:hint="default"/>
      </w:rPr>
    </w:lvl>
    <w:lvl w:ilvl="1">
      <w:start w:val="1"/>
      <w:numFmt w:val="lowerRoman"/>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0" w15:restartNumberingAfterBreak="0">
    <w:nsid w:val="588D6437"/>
    <w:multiLevelType w:val="hybridMultilevel"/>
    <w:tmpl w:val="D2E8AE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5A9A173F"/>
    <w:multiLevelType w:val="hybridMultilevel"/>
    <w:tmpl w:val="25CA2F5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5C447461"/>
    <w:multiLevelType w:val="hybridMultilevel"/>
    <w:tmpl w:val="C6DEB0F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5CCB1B39"/>
    <w:multiLevelType w:val="hybridMultilevel"/>
    <w:tmpl w:val="D1BCB924"/>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068463D"/>
    <w:multiLevelType w:val="multilevel"/>
    <w:tmpl w:val="9E187A70"/>
    <w:lvl w:ilvl="0">
      <w:start w:val="1"/>
      <w:numFmt w:val="decimal"/>
      <w:lvlText w:val="%1."/>
      <w:lvlJc w:val="left"/>
      <w:pPr>
        <w:tabs>
          <w:tab w:val="num" w:pos="720"/>
        </w:tabs>
        <w:ind w:left="360" w:hanging="360"/>
      </w:pPr>
    </w:lvl>
    <w:lvl w:ilvl="1">
      <w:start w:val="1"/>
      <w:numFmt w:val="decimal"/>
      <w:lvlText w:val="%2."/>
      <w:lvlJc w:val="left"/>
      <w:pPr>
        <w:tabs>
          <w:tab w:val="num" w:pos="1440"/>
        </w:tabs>
        <w:ind w:left="1080" w:hanging="360"/>
      </w:pPr>
    </w:lvl>
    <w:lvl w:ilvl="2">
      <w:start w:val="1"/>
      <w:numFmt w:val="decimal"/>
      <w:lvlText w:val="%3."/>
      <w:lvlJc w:val="left"/>
      <w:pPr>
        <w:tabs>
          <w:tab w:val="num" w:pos="2160"/>
        </w:tabs>
        <w:ind w:left="1800" w:hanging="360"/>
      </w:pPr>
    </w:lvl>
    <w:lvl w:ilvl="3">
      <w:start w:val="1"/>
      <w:numFmt w:val="decimal"/>
      <w:lvlText w:val="%4."/>
      <w:lvlJc w:val="left"/>
      <w:pPr>
        <w:tabs>
          <w:tab w:val="num" w:pos="2880"/>
        </w:tabs>
        <w:ind w:left="2520" w:hanging="360"/>
      </w:pPr>
    </w:lvl>
    <w:lvl w:ilvl="4">
      <w:start w:val="1"/>
      <w:numFmt w:val="decimal"/>
      <w:lvlText w:val="%5."/>
      <w:lvlJc w:val="left"/>
      <w:pPr>
        <w:tabs>
          <w:tab w:val="num" w:pos="3600"/>
        </w:tabs>
        <w:ind w:left="3240" w:hanging="360"/>
      </w:pPr>
    </w:lvl>
    <w:lvl w:ilvl="5">
      <w:start w:val="1"/>
      <w:numFmt w:val="decimal"/>
      <w:lvlText w:val="%6."/>
      <w:lvlJc w:val="left"/>
      <w:pPr>
        <w:tabs>
          <w:tab w:val="num" w:pos="4320"/>
        </w:tabs>
        <w:ind w:left="3960" w:hanging="360"/>
      </w:pPr>
    </w:lvl>
    <w:lvl w:ilvl="6">
      <w:start w:val="1"/>
      <w:numFmt w:val="decimal"/>
      <w:lvlText w:val="%7."/>
      <w:lvlJc w:val="left"/>
      <w:pPr>
        <w:tabs>
          <w:tab w:val="num" w:pos="5040"/>
        </w:tabs>
        <w:ind w:left="4680" w:hanging="360"/>
      </w:pPr>
    </w:lvl>
    <w:lvl w:ilvl="7">
      <w:start w:val="1"/>
      <w:numFmt w:val="decimal"/>
      <w:lvlText w:val="%8."/>
      <w:lvlJc w:val="left"/>
      <w:pPr>
        <w:tabs>
          <w:tab w:val="num" w:pos="5760"/>
        </w:tabs>
        <w:ind w:left="5400" w:hanging="360"/>
      </w:pPr>
    </w:lvl>
    <w:lvl w:ilvl="8">
      <w:start w:val="1"/>
      <w:numFmt w:val="decimal"/>
      <w:lvlText w:val="%9."/>
      <w:lvlJc w:val="left"/>
      <w:pPr>
        <w:tabs>
          <w:tab w:val="num" w:pos="6480"/>
        </w:tabs>
        <w:ind w:left="6120" w:hanging="360"/>
      </w:pPr>
    </w:lvl>
  </w:abstractNum>
  <w:abstractNum w:abstractNumId="75" w15:restartNumberingAfterBreak="0">
    <w:nsid w:val="61A53425"/>
    <w:multiLevelType w:val="hybridMultilevel"/>
    <w:tmpl w:val="E012A7D8"/>
    <w:lvl w:ilvl="0" w:tplc="BBDC5D54">
      <w:start w:val="1"/>
      <w:numFmt w:val="upperLetter"/>
      <w:lvlText w:val="%1)"/>
      <w:lvlJc w:val="left"/>
      <w:pPr>
        <w:ind w:left="720" w:hanging="360"/>
      </w:pPr>
    </w:lvl>
    <w:lvl w:ilvl="1" w:tplc="D3808C58">
      <w:start w:val="1"/>
      <w:numFmt w:val="lowerLetter"/>
      <w:lvlText w:val="%2."/>
      <w:lvlJc w:val="left"/>
      <w:pPr>
        <w:ind w:left="1440" w:hanging="360"/>
      </w:pPr>
    </w:lvl>
    <w:lvl w:ilvl="2" w:tplc="AA3A19CA">
      <w:start w:val="1"/>
      <w:numFmt w:val="lowerRoman"/>
      <w:lvlText w:val="%3."/>
      <w:lvlJc w:val="right"/>
      <w:pPr>
        <w:ind w:left="2160" w:hanging="180"/>
      </w:pPr>
    </w:lvl>
    <w:lvl w:ilvl="3" w:tplc="98EABE72">
      <w:start w:val="1"/>
      <w:numFmt w:val="decimal"/>
      <w:lvlText w:val="%4."/>
      <w:lvlJc w:val="left"/>
      <w:pPr>
        <w:ind w:left="2880" w:hanging="360"/>
      </w:pPr>
    </w:lvl>
    <w:lvl w:ilvl="4" w:tplc="CB6A527A">
      <w:start w:val="1"/>
      <w:numFmt w:val="lowerLetter"/>
      <w:lvlText w:val="%5."/>
      <w:lvlJc w:val="left"/>
      <w:pPr>
        <w:ind w:left="3600" w:hanging="360"/>
      </w:pPr>
    </w:lvl>
    <w:lvl w:ilvl="5" w:tplc="79D2E84A">
      <w:start w:val="1"/>
      <w:numFmt w:val="lowerRoman"/>
      <w:lvlText w:val="%6."/>
      <w:lvlJc w:val="right"/>
      <w:pPr>
        <w:ind w:left="4320" w:hanging="180"/>
      </w:pPr>
    </w:lvl>
    <w:lvl w:ilvl="6" w:tplc="227C5ED6">
      <w:start w:val="1"/>
      <w:numFmt w:val="decimal"/>
      <w:lvlText w:val="%7."/>
      <w:lvlJc w:val="left"/>
      <w:pPr>
        <w:ind w:left="5040" w:hanging="360"/>
      </w:pPr>
    </w:lvl>
    <w:lvl w:ilvl="7" w:tplc="C1520EDA">
      <w:start w:val="1"/>
      <w:numFmt w:val="lowerLetter"/>
      <w:lvlText w:val="%8."/>
      <w:lvlJc w:val="left"/>
      <w:pPr>
        <w:ind w:left="5760" w:hanging="360"/>
      </w:pPr>
    </w:lvl>
    <w:lvl w:ilvl="8" w:tplc="3D6E3676">
      <w:start w:val="1"/>
      <w:numFmt w:val="lowerRoman"/>
      <w:lvlText w:val="%9."/>
      <w:lvlJc w:val="right"/>
      <w:pPr>
        <w:ind w:left="6480" w:hanging="180"/>
      </w:pPr>
    </w:lvl>
  </w:abstractNum>
  <w:abstractNum w:abstractNumId="76" w15:restartNumberingAfterBreak="0">
    <w:nsid w:val="62D0FB32"/>
    <w:multiLevelType w:val="multilevel"/>
    <w:tmpl w:val="2DFA24A4"/>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8" w15:restartNumberingAfterBreak="0">
    <w:nsid w:val="640F5FC4"/>
    <w:multiLevelType w:val="hybridMultilevel"/>
    <w:tmpl w:val="39B2E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52F1A32"/>
    <w:multiLevelType w:val="multilevel"/>
    <w:tmpl w:val="FD24FA9C"/>
    <w:lvl w:ilvl="0">
      <w:start w:val="1"/>
      <w:numFmt w:val="lowerRoman"/>
      <w:lvlText w:val="(%1)"/>
      <w:lvlJc w:val="left"/>
      <w:pPr>
        <w:tabs>
          <w:tab w:val="num" w:pos="397"/>
        </w:tabs>
        <w:ind w:left="397" w:hanging="397"/>
      </w:pPr>
      <w:rPr>
        <w:rFonts w:hint="default"/>
      </w:rPr>
    </w:lvl>
    <w:lvl w:ilvl="1">
      <w:start w:val="1"/>
      <w:numFmt w:val="bullet"/>
      <w:lvlText w:val=""/>
      <w:lvlJc w:val="left"/>
      <w:pPr>
        <w:ind w:left="757" w:hanging="360"/>
      </w:pPr>
      <w:rPr>
        <w:rFonts w:ascii="Symbol" w:hAnsi="Symbol"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0" w15:restartNumberingAfterBreak="0">
    <w:nsid w:val="6592C7CA"/>
    <w:multiLevelType w:val="multilevel"/>
    <w:tmpl w:val="C27A6928"/>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65BB7301"/>
    <w:multiLevelType w:val="multilevel"/>
    <w:tmpl w:val="8D5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6EDA7C6"/>
    <w:multiLevelType w:val="hybridMultilevel"/>
    <w:tmpl w:val="F61AF304"/>
    <w:lvl w:ilvl="0" w:tplc="8A9860C0">
      <w:start w:val="1"/>
      <w:numFmt w:val="bullet"/>
      <w:lvlText w:val=""/>
      <w:lvlJc w:val="left"/>
      <w:pPr>
        <w:ind w:left="360" w:hanging="360"/>
      </w:pPr>
      <w:rPr>
        <w:rFonts w:ascii="Symbol" w:hAnsi="Symbol" w:hint="default"/>
      </w:rPr>
    </w:lvl>
    <w:lvl w:ilvl="1" w:tplc="FD0C6A72">
      <w:start w:val="1"/>
      <w:numFmt w:val="bullet"/>
      <w:lvlText w:val="o"/>
      <w:lvlJc w:val="left"/>
      <w:pPr>
        <w:ind w:left="1080" w:hanging="360"/>
      </w:pPr>
      <w:rPr>
        <w:rFonts w:ascii="Courier New" w:hAnsi="Courier New" w:hint="default"/>
      </w:rPr>
    </w:lvl>
    <w:lvl w:ilvl="2" w:tplc="FD9E6256">
      <w:start w:val="1"/>
      <w:numFmt w:val="bullet"/>
      <w:lvlText w:val=""/>
      <w:lvlJc w:val="left"/>
      <w:pPr>
        <w:ind w:left="1800" w:hanging="360"/>
      </w:pPr>
      <w:rPr>
        <w:rFonts w:ascii="Wingdings" w:hAnsi="Wingdings" w:hint="default"/>
      </w:rPr>
    </w:lvl>
    <w:lvl w:ilvl="3" w:tplc="DCB003F6">
      <w:start w:val="1"/>
      <w:numFmt w:val="bullet"/>
      <w:lvlText w:val=""/>
      <w:lvlJc w:val="left"/>
      <w:pPr>
        <w:ind w:left="2520" w:hanging="360"/>
      </w:pPr>
      <w:rPr>
        <w:rFonts w:ascii="Symbol" w:hAnsi="Symbol" w:hint="default"/>
      </w:rPr>
    </w:lvl>
    <w:lvl w:ilvl="4" w:tplc="61EE5264">
      <w:start w:val="1"/>
      <w:numFmt w:val="bullet"/>
      <w:lvlText w:val="o"/>
      <w:lvlJc w:val="left"/>
      <w:pPr>
        <w:ind w:left="3240" w:hanging="360"/>
      </w:pPr>
      <w:rPr>
        <w:rFonts w:ascii="Courier New" w:hAnsi="Courier New" w:hint="default"/>
      </w:rPr>
    </w:lvl>
    <w:lvl w:ilvl="5" w:tplc="4F90B90A">
      <w:start w:val="1"/>
      <w:numFmt w:val="bullet"/>
      <w:lvlText w:val=""/>
      <w:lvlJc w:val="left"/>
      <w:pPr>
        <w:ind w:left="3960" w:hanging="360"/>
      </w:pPr>
      <w:rPr>
        <w:rFonts w:ascii="Wingdings" w:hAnsi="Wingdings" w:hint="default"/>
      </w:rPr>
    </w:lvl>
    <w:lvl w:ilvl="6" w:tplc="2A705E36">
      <w:start w:val="1"/>
      <w:numFmt w:val="bullet"/>
      <w:lvlText w:val=""/>
      <w:lvlJc w:val="left"/>
      <w:pPr>
        <w:ind w:left="4680" w:hanging="360"/>
      </w:pPr>
      <w:rPr>
        <w:rFonts w:ascii="Symbol" w:hAnsi="Symbol" w:hint="default"/>
      </w:rPr>
    </w:lvl>
    <w:lvl w:ilvl="7" w:tplc="B1DE0A38">
      <w:start w:val="1"/>
      <w:numFmt w:val="bullet"/>
      <w:lvlText w:val="o"/>
      <w:lvlJc w:val="left"/>
      <w:pPr>
        <w:ind w:left="5400" w:hanging="360"/>
      </w:pPr>
      <w:rPr>
        <w:rFonts w:ascii="Courier New" w:hAnsi="Courier New" w:hint="default"/>
      </w:rPr>
    </w:lvl>
    <w:lvl w:ilvl="8" w:tplc="4BC66DBC">
      <w:start w:val="1"/>
      <w:numFmt w:val="bullet"/>
      <w:lvlText w:val=""/>
      <w:lvlJc w:val="left"/>
      <w:pPr>
        <w:ind w:left="6120" w:hanging="360"/>
      </w:pPr>
      <w:rPr>
        <w:rFonts w:ascii="Wingdings" w:hAnsi="Wingdings" w:hint="default"/>
      </w:rPr>
    </w:lvl>
  </w:abstractNum>
  <w:abstractNum w:abstractNumId="83" w15:restartNumberingAfterBreak="0">
    <w:nsid w:val="693722B6"/>
    <w:multiLevelType w:val="multilevel"/>
    <w:tmpl w:val="445E4F9C"/>
    <w:lvl w:ilvl="0">
      <w:start w:val="1"/>
      <w:numFmt w:val="bullet"/>
      <w:pStyle w:val="Bullet2"/>
      <w:lvlText w:val="○"/>
      <w:lvlJc w:val="left"/>
      <w:pPr>
        <w:ind w:left="227" w:hanging="227"/>
      </w:pPr>
      <w:rPr>
        <w:rFonts w:ascii="Arial" w:hAnsi="Arial" w:hint="default"/>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697E746F"/>
    <w:multiLevelType w:val="multilevel"/>
    <w:tmpl w:val="822E9B28"/>
    <w:lvl w:ilvl="0">
      <w:start w:val="1"/>
      <w:numFmt w:val="bullet"/>
      <w:lvlText w:val="•"/>
      <w:lvlJc w:val="left"/>
      <w:pPr>
        <w:ind w:left="227" w:hanging="227"/>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6B491BCB"/>
    <w:multiLevelType w:val="hybridMultilevel"/>
    <w:tmpl w:val="C08E8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F7368E9"/>
    <w:multiLevelType w:val="hybridMultilevel"/>
    <w:tmpl w:val="1924BE70"/>
    <w:lvl w:ilvl="0" w:tplc="85024026">
      <w:start w:val="1"/>
      <w:numFmt w:val="bullet"/>
      <w:lvlText w:val=""/>
      <w:lvlJc w:val="left"/>
      <w:pPr>
        <w:ind w:left="1080" w:hanging="360"/>
      </w:pPr>
      <w:rPr>
        <w:rFonts w:ascii="Symbol" w:hAnsi="Symbol"/>
      </w:rPr>
    </w:lvl>
    <w:lvl w:ilvl="1" w:tplc="6C427E5C">
      <w:start w:val="1"/>
      <w:numFmt w:val="bullet"/>
      <w:lvlText w:val=""/>
      <w:lvlJc w:val="left"/>
      <w:pPr>
        <w:ind w:left="1080" w:hanging="360"/>
      </w:pPr>
      <w:rPr>
        <w:rFonts w:ascii="Symbol" w:hAnsi="Symbol"/>
      </w:rPr>
    </w:lvl>
    <w:lvl w:ilvl="2" w:tplc="3692FF02">
      <w:start w:val="1"/>
      <w:numFmt w:val="bullet"/>
      <w:lvlText w:val=""/>
      <w:lvlJc w:val="left"/>
      <w:pPr>
        <w:ind w:left="1080" w:hanging="360"/>
      </w:pPr>
      <w:rPr>
        <w:rFonts w:ascii="Symbol" w:hAnsi="Symbol"/>
      </w:rPr>
    </w:lvl>
    <w:lvl w:ilvl="3" w:tplc="764A95C6">
      <w:start w:val="1"/>
      <w:numFmt w:val="bullet"/>
      <w:lvlText w:val=""/>
      <w:lvlJc w:val="left"/>
      <w:pPr>
        <w:ind w:left="1080" w:hanging="360"/>
      </w:pPr>
      <w:rPr>
        <w:rFonts w:ascii="Symbol" w:hAnsi="Symbol"/>
      </w:rPr>
    </w:lvl>
    <w:lvl w:ilvl="4" w:tplc="5DF26498">
      <w:start w:val="1"/>
      <w:numFmt w:val="bullet"/>
      <w:lvlText w:val=""/>
      <w:lvlJc w:val="left"/>
      <w:pPr>
        <w:ind w:left="1080" w:hanging="360"/>
      </w:pPr>
      <w:rPr>
        <w:rFonts w:ascii="Symbol" w:hAnsi="Symbol"/>
      </w:rPr>
    </w:lvl>
    <w:lvl w:ilvl="5" w:tplc="7D6E44B2">
      <w:start w:val="1"/>
      <w:numFmt w:val="bullet"/>
      <w:lvlText w:val=""/>
      <w:lvlJc w:val="left"/>
      <w:pPr>
        <w:ind w:left="1080" w:hanging="360"/>
      </w:pPr>
      <w:rPr>
        <w:rFonts w:ascii="Symbol" w:hAnsi="Symbol"/>
      </w:rPr>
    </w:lvl>
    <w:lvl w:ilvl="6" w:tplc="C3644542">
      <w:start w:val="1"/>
      <w:numFmt w:val="bullet"/>
      <w:lvlText w:val=""/>
      <w:lvlJc w:val="left"/>
      <w:pPr>
        <w:ind w:left="1080" w:hanging="360"/>
      </w:pPr>
      <w:rPr>
        <w:rFonts w:ascii="Symbol" w:hAnsi="Symbol"/>
      </w:rPr>
    </w:lvl>
    <w:lvl w:ilvl="7" w:tplc="784EC794">
      <w:start w:val="1"/>
      <w:numFmt w:val="bullet"/>
      <w:lvlText w:val=""/>
      <w:lvlJc w:val="left"/>
      <w:pPr>
        <w:ind w:left="1080" w:hanging="360"/>
      </w:pPr>
      <w:rPr>
        <w:rFonts w:ascii="Symbol" w:hAnsi="Symbol"/>
      </w:rPr>
    </w:lvl>
    <w:lvl w:ilvl="8" w:tplc="F24629CA">
      <w:start w:val="1"/>
      <w:numFmt w:val="bullet"/>
      <w:lvlText w:val=""/>
      <w:lvlJc w:val="left"/>
      <w:pPr>
        <w:ind w:left="1080" w:hanging="360"/>
      </w:pPr>
      <w:rPr>
        <w:rFonts w:ascii="Symbol" w:hAnsi="Symbol"/>
      </w:rPr>
    </w:lvl>
  </w:abstractNum>
  <w:abstractNum w:abstractNumId="87" w15:restartNumberingAfterBreak="0">
    <w:nsid w:val="72DC2593"/>
    <w:multiLevelType w:val="hybridMultilevel"/>
    <w:tmpl w:val="4F68A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73CB069D"/>
    <w:multiLevelType w:val="hybridMultilevel"/>
    <w:tmpl w:val="F0523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75064B66"/>
    <w:multiLevelType w:val="hybridMultilevel"/>
    <w:tmpl w:val="21C293D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76F43C3D"/>
    <w:multiLevelType w:val="multilevel"/>
    <w:tmpl w:val="5A10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8727F52"/>
    <w:multiLevelType w:val="hybridMultilevel"/>
    <w:tmpl w:val="B3A8DFE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7ADD3CBA"/>
    <w:multiLevelType w:val="hybridMultilevel"/>
    <w:tmpl w:val="D460E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7DDF3AE9"/>
    <w:multiLevelType w:val="hybridMultilevel"/>
    <w:tmpl w:val="72943C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F0D79A8"/>
    <w:multiLevelType w:val="hybridMultilevel"/>
    <w:tmpl w:val="DAEE7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7F610DEE"/>
    <w:multiLevelType w:val="multilevel"/>
    <w:tmpl w:val="14D8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82390931">
    <w:abstractNumId w:val="82"/>
  </w:num>
  <w:num w:numId="2" w16cid:durableId="1420131077">
    <w:abstractNumId w:val="33"/>
  </w:num>
  <w:num w:numId="3" w16cid:durableId="303237163">
    <w:abstractNumId w:val="36"/>
  </w:num>
  <w:num w:numId="4" w16cid:durableId="991983457">
    <w:abstractNumId w:val="75"/>
  </w:num>
  <w:num w:numId="5" w16cid:durableId="1700931657">
    <w:abstractNumId w:val="22"/>
  </w:num>
  <w:num w:numId="6" w16cid:durableId="1581135472">
    <w:abstractNumId w:val="64"/>
  </w:num>
  <w:num w:numId="7" w16cid:durableId="908348793">
    <w:abstractNumId w:val="49"/>
  </w:num>
  <w:num w:numId="8" w16cid:durableId="1449079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20714392">
    <w:abstractNumId w:val="69"/>
  </w:num>
  <w:num w:numId="10" w16cid:durableId="96829322">
    <w:abstractNumId w:val="68"/>
    <w:lvlOverride w:ilvl="0">
      <w:lvl w:ilvl="0">
        <w:start w:val="1"/>
        <w:numFmt w:val="bullet"/>
        <w:pStyle w:val="Tablebullet1"/>
        <w:lvlText w:val="•"/>
        <w:lvlJc w:val="left"/>
        <w:pPr>
          <w:ind w:left="227" w:hanging="227"/>
        </w:pPr>
        <w:rPr>
          <w:rFonts w:ascii="Calibri" w:hAnsi="Calibri" w:hint="default"/>
        </w:rPr>
      </w:lvl>
    </w:lvlOverride>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1" w16cid:durableId="47732189">
    <w:abstractNumId w:val="77"/>
  </w:num>
  <w:num w:numId="12" w16cid:durableId="824511810">
    <w:abstractNumId w:val="50"/>
  </w:num>
  <w:num w:numId="13" w16cid:durableId="35391982">
    <w:abstractNumId w:val="14"/>
  </w:num>
  <w:num w:numId="14" w16cid:durableId="15859917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496677">
    <w:abstractNumId w:val="40"/>
  </w:num>
  <w:num w:numId="16" w16cid:durableId="99378900">
    <w:abstractNumId w:val="39"/>
  </w:num>
  <w:num w:numId="17" w16cid:durableId="758452957">
    <w:abstractNumId w:val="70"/>
  </w:num>
  <w:num w:numId="18" w16cid:durableId="577641827">
    <w:abstractNumId w:val="0"/>
  </w:num>
  <w:num w:numId="19" w16cid:durableId="1424448710">
    <w:abstractNumId w:val="80"/>
  </w:num>
  <w:num w:numId="20" w16cid:durableId="529994328">
    <w:abstractNumId w:val="26"/>
  </w:num>
  <w:num w:numId="21" w16cid:durableId="817117422">
    <w:abstractNumId w:val="11"/>
  </w:num>
  <w:num w:numId="22" w16cid:durableId="1160776809">
    <w:abstractNumId w:val="84"/>
  </w:num>
  <w:num w:numId="23" w16cid:durableId="57478010">
    <w:abstractNumId w:val="1"/>
  </w:num>
  <w:num w:numId="24" w16cid:durableId="871039276">
    <w:abstractNumId w:val="76"/>
  </w:num>
  <w:num w:numId="25" w16cid:durableId="1996451822">
    <w:abstractNumId w:val="65"/>
  </w:num>
  <w:num w:numId="26" w16cid:durableId="294145513">
    <w:abstractNumId w:val="16"/>
  </w:num>
  <w:num w:numId="27" w16cid:durableId="1614290304">
    <w:abstractNumId w:val="55"/>
  </w:num>
  <w:num w:numId="28" w16cid:durableId="1833451873">
    <w:abstractNumId w:val="56"/>
  </w:num>
  <w:num w:numId="29" w16cid:durableId="1108041945">
    <w:abstractNumId w:val="47"/>
  </w:num>
  <w:num w:numId="30" w16cid:durableId="1594121462">
    <w:abstractNumId w:val="41"/>
  </w:num>
  <w:num w:numId="31" w16cid:durableId="1453398898">
    <w:abstractNumId w:val="19"/>
  </w:num>
  <w:num w:numId="32" w16cid:durableId="1661423125">
    <w:abstractNumId w:val="57"/>
  </w:num>
  <w:num w:numId="33" w16cid:durableId="1138382062">
    <w:abstractNumId w:val="59"/>
  </w:num>
  <w:num w:numId="34" w16cid:durableId="1203321427">
    <w:abstractNumId w:val="27"/>
  </w:num>
  <w:num w:numId="35" w16cid:durableId="2079280562">
    <w:abstractNumId w:val="60"/>
  </w:num>
  <w:num w:numId="36" w16cid:durableId="1602756122">
    <w:abstractNumId w:val="95"/>
  </w:num>
  <w:num w:numId="37" w16cid:durableId="915625195">
    <w:abstractNumId w:val="52"/>
  </w:num>
  <w:num w:numId="38" w16cid:durableId="1381632327">
    <w:abstractNumId w:val="23"/>
  </w:num>
  <w:num w:numId="39" w16cid:durableId="204104130">
    <w:abstractNumId w:val="38"/>
  </w:num>
  <w:num w:numId="40" w16cid:durableId="1622880567">
    <w:abstractNumId w:val="28"/>
  </w:num>
  <w:num w:numId="41" w16cid:durableId="695277136">
    <w:abstractNumId w:val="2"/>
  </w:num>
  <w:num w:numId="42" w16cid:durableId="1004672898">
    <w:abstractNumId w:val="90"/>
  </w:num>
  <w:num w:numId="43" w16cid:durableId="1776899164">
    <w:abstractNumId w:val="30"/>
  </w:num>
  <w:num w:numId="44" w16cid:durableId="1766731005">
    <w:abstractNumId w:val="20"/>
  </w:num>
  <w:num w:numId="45" w16cid:durableId="1492867999">
    <w:abstractNumId w:val="24"/>
  </w:num>
  <w:num w:numId="46" w16cid:durableId="431511535">
    <w:abstractNumId w:val="9"/>
  </w:num>
  <w:num w:numId="47" w16cid:durableId="636109459">
    <w:abstractNumId w:val="43"/>
  </w:num>
  <w:num w:numId="48" w16cid:durableId="1240942776">
    <w:abstractNumId w:val="48"/>
  </w:num>
  <w:num w:numId="49" w16cid:durableId="1149907259">
    <w:abstractNumId w:val="37"/>
  </w:num>
  <w:num w:numId="50" w16cid:durableId="1290284059">
    <w:abstractNumId w:val="31"/>
  </w:num>
  <w:num w:numId="51" w16cid:durableId="1632906845">
    <w:abstractNumId w:val="42"/>
  </w:num>
  <w:num w:numId="52" w16cid:durableId="1879198925">
    <w:abstractNumId w:val="6"/>
  </w:num>
  <w:num w:numId="53" w16cid:durableId="1398437364">
    <w:abstractNumId w:val="81"/>
  </w:num>
  <w:num w:numId="54" w16cid:durableId="555363652">
    <w:abstractNumId w:val="35"/>
  </w:num>
  <w:num w:numId="55" w16cid:durableId="348066193">
    <w:abstractNumId w:val="21"/>
  </w:num>
  <w:num w:numId="56" w16cid:durableId="863327031">
    <w:abstractNumId w:val="29"/>
  </w:num>
  <w:num w:numId="57" w16cid:durableId="533276167">
    <w:abstractNumId w:val="5"/>
  </w:num>
  <w:num w:numId="58" w16cid:durableId="1734042372">
    <w:abstractNumId w:val="7"/>
  </w:num>
  <w:num w:numId="59" w16cid:durableId="1129779640">
    <w:abstractNumId w:val="66"/>
  </w:num>
  <w:num w:numId="60" w16cid:durableId="874731502">
    <w:abstractNumId w:val="79"/>
  </w:num>
  <w:num w:numId="61" w16cid:durableId="15498252">
    <w:abstractNumId w:val="32"/>
  </w:num>
  <w:num w:numId="62" w16cid:durableId="1842968615">
    <w:abstractNumId w:val="46"/>
  </w:num>
  <w:num w:numId="63" w16cid:durableId="1024987631">
    <w:abstractNumId w:val="45"/>
  </w:num>
  <w:num w:numId="64" w16cid:durableId="138037577">
    <w:abstractNumId w:val="54"/>
  </w:num>
  <w:num w:numId="65" w16cid:durableId="1327325154">
    <w:abstractNumId w:val="45"/>
  </w:num>
  <w:num w:numId="66" w16cid:durableId="655308137">
    <w:abstractNumId w:val="45"/>
  </w:num>
  <w:num w:numId="67" w16cid:durableId="1436637637">
    <w:abstractNumId w:val="45"/>
  </w:num>
  <w:num w:numId="68" w16cid:durableId="1464956863">
    <w:abstractNumId w:val="45"/>
  </w:num>
  <w:num w:numId="69" w16cid:durableId="2101556830">
    <w:abstractNumId w:val="45"/>
  </w:num>
  <w:num w:numId="70" w16cid:durableId="1489981159">
    <w:abstractNumId w:val="45"/>
  </w:num>
  <w:num w:numId="71" w16cid:durableId="1921214049">
    <w:abstractNumId w:val="45"/>
  </w:num>
  <w:num w:numId="72" w16cid:durableId="1026953287">
    <w:abstractNumId w:val="25"/>
  </w:num>
  <w:num w:numId="73" w16cid:durableId="1271666867">
    <w:abstractNumId w:val="8"/>
  </w:num>
  <w:num w:numId="74" w16cid:durableId="1256670279">
    <w:abstractNumId w:val="3"/>
  </w:num>
  <w:num w:numId="75" w16cid:durableId="1510173643">
    <w:abstractNumId w:val="67"/>
  </w:num>
  <w:num w:numId="76" w16cid:durableId="1648852858">
    <w:abstractNumId w:val="83"/>
  </w:num>
  <w:num w:numId="77" w16cid:durableId="1310397651">
    <w:abstractNumId w:val="34"/>
  </w:num>
  <w:num w:numId="78" w16cid:durableId="488520546">
    <w:abstractNumId w:val="61"/>
  </w:num>
  <w:num w:numId="79" w16cid:durableId="1928952284">
    <w:abstractNumId w:val="68"/>
  </w:num>
  <w:num w:numId="80" w16cid:durableId="520555403">
    <w:abstractNumId w:val="88"/>
  </w:num>
  <w:num w:numId="81" w16cid:durableId="1559438641">
    <w:abstractNumId w:val="92"/>
  </w:num>
  <w:num w:numId="82" w16cid:durableId="1606037823">
    <w:abstractNumId w:val="85"/>
  </w:num>
  <w:num w:numId="83" w16cid:durableId="266933574">
    <w:abstractNumId w:val="63"/>
  </w:num>
  <w:num w:numId="84" w16cid:durableId="1192692736">
    <w:abstractNumId w:val="10"/>
  </w:num>
  <w:num w:numId="85" w16cid:durableId="1213230845">
    <w:abstractNumId w:val="68"/>
    <w:lvlOverride w:ilvl="0">
      <w:lvl w:ilvl="0">
        <w:start w:val="1"/>
        <w:numFmt w:val="bullet"/>
        <w:pStyle w:val="Tablebullet1"/>
        <w:lvlText w:val="•"/>
        <w:lvlJc w:val="left"/>
        <w:pPr>
          <w:ind w:left="227" w:hanging="227"/>
        </w:pPr>
        <w:rPr>
          <w:rFonts w:ascii="Calibri" w:hAnsi="Calibri" w:hint="default"/>
        </w:rPr>
      </w:lvl>
    </w:lvlOverride>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86" w16cid:durableId="669478896">
    <w:abstractNumId w:val="18"/>
  </w:num>
  <w:num w:numId="87" w16cid:durableId="2054764504">
    <w:abstractNumId w:val="12"/>
  </w:num>
  <w:num w:numId="88" w16cid:durableId="1856966666">
    <w:abstractNumId w:val="87"/>
  </w:num>
  <w:num w:numId="89" w16cid:durableId="796946724">
    <w:abstractNumId w:val="58"/>
  </w:num>
  <w:num w:numId="90" w16cid:durableId="1458986777">
    <w:abstractNumId w:val="51"/>
  </w:num>
  <w:num w:numId="91" w16cid:durableId="320042796">
    <w:abstractNumId w:val="53"/>
  </w:num>
  <w:num w:numId="92" w16cid:durableId="1217086722">
    <w:abstractNumId w:val="89"/>
  </w:num>
  <w:num w:numId="93" w16cid:durableId="88625739">
    <w:abstractNumId w:val="62"/>
  </w:num>
  <w:num w:numId="94" w16cid:durableId="395594512">
    <w:abstractNumId w:val="78"/>
  </w:num>
  <w:num w:numId="95" w16cid:durableId="1038772559">
    <w:abstractNumId w:val="91"/>
  </w:num>
  <w:num w:numId="96" w16cid:durableId="1708607683">
    <w:abstractNumId w:val="15"/>
  </w:num>
  <w:num w:numId="97" w16cid:durableId="1802069151">
    <w:abstractNumId w:val="72"/>
  </w:num>
  <w:num w:numId="98" w16cid:durableId="91244884">
    <w:abstractNumId w:val="73"/>
  </w:num>
  <w:num w:numId="99" w16cid:durableId="311563648">
    <w:abstractNumId w:val="71"/>
  </w:num>
  <w:num w:numId="100" w16cid:durableId="1907108835">
    <w:abstractNumId w:val="17"/>
  </w:num>
  <w:num w:numId="101" w16cid:durableId="13073843">
    <w:abstractNumId w:val="74"/>
  </w:num>
  <w:num w:numId="102" w16cid:durableId="1940412272">
    <w:abstractNumId w:val="44"/>
  </w:num>
  <w:num w:numId="103" w16cid:durableId="827399059">
    <w:abstractNumId w:val="93"/>
  </w:num>
  <w:num w:numId="104" w16cid:durableId="1096249217">
    <w:abstractNumId w:val="94"/>
  </w:num>
  <w:num w:numId="105" w16cid:durableId="1256668244">
    <w:abstractNumId w:val="8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0D"/>
    <w:rsid w:val="0000014C"/>
    <w:rsid w:val="000006C3"/>
    <w:rsid w:val="00000719"/>
    <w:rsid w:val="000007D7"/>
    <w:rsid w:val="00000A5E"/>
    <w:rsid w:val="00000A9D"/>
    <w:rsid w:val="00000CDC"/>
    <w:rsid w:val="00000D31"/>
    <w:rsid w:val="00000FEA"/>
    <w:rsid w:val="000010B2"/>
    <w:rsid w:val="0000115A"/>
    <w:rsid w:val="000013EA"/>
    <w:rsid w:val="00001949"/>
    <w:rsid w:val="000019E0"/>
    <w:rsid w:val="00001B00"/>
    <w:rsid w:val="00001B6F"/>
    <w:rsid w:val="00001B73"/>
    <w:rsid w:val="00001CBD"/>
    <w:rsid w:val="0000221D"/>
    <w:rsid w:val="0000222C"/>
    <w:rsid w:val="0000250B"/>
    <w:rsid w:val="00002984"/>
    <w:rsid w:val="000029D2"/>
    <w:rsid w:val="00002D68"/>
    <w:rsid w:val="00002F46"/>
    <w:rsid w:val="00002F91"/>
    <w:rsid w:val="000032F4"/>
    <w:rsid w:val="000033F7"/>
    <w:rsid w:val="00003403"/>
    <w:rsid w:val="00003583"/>
    <w:rsid w:val="00003783"/>
    <w:rsid w:val="000039F3"/>
    <w:rsid w:val="00003B81"/>
    <w:rsid w:val="00003CA9"/>
    <w:rsid w:val="00003ED4"/>
    <w:rsid w:val="00003FCD"/>
    <w:rsid w:val="0000408F"/>
    <w:rsid w:val="00004107"/>
    <w:rsid w:val="0000413D"/>
    <w:rsid w:val="00004263"/>
    <w:rsid w:val="0000455B"/>
    <w:rsid w:val="000045D9"/>
    <w:rsid w:val="00004764"/>
    <w:rsid w:val="0000480B"/>
    <w:rsid w:val="000048C6"/>
    <w:rsid w:val="00004988"/>
    <w:rsid w:val="00004ACC"/>
    <w:rsid w:val="00004CBD"/>
    <w:rsid w:val="00004E34"/>
    <w:rsid w:val="00004FEB"/>
    <w:rsid w:val="000050B1"/>
    <w:rsid w:val="0000531B"/>
    <w:rsid w:val="00005347"/>
    <w:rsid w:val="000055A6"/>
    <w:rsid w:val="00005733"/>
    <w:rsid w:val="0000580C"/>
    <w:rsid w:val="000058F6"/>
    <w:rsid w:val="00005A12"/>
    <w:rsid w:val="00005AE0"/>
    <w:rsid w:val="00005C34"/>
    <w:rsid w:val="00005EAE"/>
    <w:rsid w:val="00005F1D"/>
    <w:rsid w:val="00006433"/>
    <w:rsid w:val="00006533"/>
    <w:rsid w:val="000069FB"/>
    <w:rsid w:val="00006B07"/>
    <w:rsid w:val="00007048"/>
    <w:rsid w:val="000070D6"/>
    <w:rsid w:val="0000718B"/>
    <w:rsid w:val="000072B6"/>
    <w:rsid w:val="00007364"/>
    <w:rsid w:val="00007493"/>
    <w:rsid w:val="000075A6"/>
    <w:rsid w:val="00007719"/>
    <w:rsid w:val="00007BF7"/>
    <w:rsid w:val="00007C98"/>
    <w:rsid w:val="0001021B"/>
    <w:rsid w:val="000106F5"/>
    <w:rsid w:val="00010913"/>
    <w:rsid w:val="000109B2"/>
    <w:rsid w:val="00010D80"/>
    <w:rsid w:val="00010E7D"/>
    <w:rsid w:val="00010F24"/>
    <w:rsid w:val="00010FE4"/>
    <w:rsid w:val="0001125B"/>
    <w:rsid w:val="00011288"/>
    <w:rsid w:val="00011357"/>
    <w:rsid w:val="000114B0"/>
    <w:rsid w:val="00011735"/>
    <w:rsid w:val="00011742"/>
    <w:rsid w:val="00011A6F"/>
    <w:rsid w:val="00011B85"/>
    <w:rsid w:val="00011BAA"/>
    <w:rsid w:val="00011D89"/>
    <w:rsid w:val="00011E8B"/>
    <w:rsid w:val="000120C7"/>
    <w:rsid w:val="000122C2"/>
    <w:rsid w:val="000122F8"/>
    <w:rsid w:val="00012591"/>
    <w:rsid w:val="00012605"/>
    <w:rsid w:val="000128B9"/>
    <w:rsid w:val="0001291B"/>
    <w:rsid w:val="00012962"/>
    <w:rsid w:val="0001297A"/>
    <w:rsid w:val="00012B6F"/>
    <w:rsid w:val="00012D7A"/>
    <w:rsid w:val="00012E0C"/>
    <w:rsid w:val="00012E81"/>
    <w:rsid w:val="000131F2"/>
    <w:rsid w:val="0001320A"/>
    <w:rsid w:val="0001379F"/>
    <w:rsid w:val="000137B8"/>
    <w:rsid w:val="0001394F"/>
    <w:rsid w:val="00013972"/>
    <w:rsid w:val="00013AC9"/>
    <w:rsid w:val="00013CA1"/>
    <w:rsid w:val="00013ED7"/>
    <w:rsid w:val="000143AB"/>
    <w:rsid w:val="00014471"/>
    <w:rsid w:val="00014723"/>
    <w:rsid w:val="000148BB"/>
    <w:rsid w:val="00014A7F"/>
    <w:rsid w:val="00014B02"/>
    <w:rsid w:val="00014D17"/>
    <w:rsid w:val="00014DB1"/>
    <w:rsid w:val="00014DD6"/>
    <w:rsid w:val="00015153"/>
    <w:rsid w:val="000152D3"/>
    <w:rsid w:val="00015305"/>
    <w:rsid w:val="000154FD"/>
    <w:rsid w:val="00015828"/>
    <w:rsid w:val="00015CDD"/>
    <w:rsid w:val="00015DF0"/>
    <w:rsid w:val="00015FDD"/>
    <w:rsid w:val="00016031"/>
    <w:rsid w:val="0001633D"/>
    <w:rsid w:val="000164A7"/>
    <w:rsid w:val="000166AF"/>
    <w:rsid w:val="000167AA"/>
    <w:rsid w:val="000167E6"/>
    <w:rsid w:val="000169CE"/>
    <w:rsid w:val="00016AC8"/>
    <w:rsid w:val="00016DAF"/>
    <w:rsid w:val="00016E57"/>
    <w:rsid w:val="00016F11"/>
    <w:rsid w:val="00017281"/>
    <w:rsid w:val="00017339"/>
    <w:rsid w:val="00017461"/>
    <w:rsid w:val="000175A6"/>
    <w:rsid w:val="00017637"/>
    <w:rsid w:val="000176C5"/>
    <w:rsid w:val="00017793"/>
    <w:rsid w:val="00017A02"/>
    <w:rsid w:val="00017ADE"/>
    <w:rsid w:val="00017C8E"/>
    <w:rsid w:val="00017F3F"/>
    <w:rsid w:val="0002029B"/>
    <w:rsid w:val="0002048E"/>
    <w:rsid w:val="000206A4"/>
    <w:rsid w:val="00020874"/>
    <w:rsid w:val="00020B54"/>
    <w:rsid w:val="00020BC8"/>
    <w:rsid w:val="00020D54"/>
    <w:rsid w:val="00020D61"/>
    <w:rsid w:val="00021529"/>
    <w:rsid w:val="000215F4"/>
    <w:rsid w:val="00021778"/>
    <w:rsid w:val="000217C1"/>
    <w:rsid w:val="00021B7A"/>
    <w:rsid w:val="00021B7D"/>
    <w:rsid w:val="000221C1"/>
    <w:rsid w:val="00022271"/>
    <w:rsid w:val="00022440"/>
    <w:rsid w:val="00022590"/>
    <w:rsid w:val="00022AB4"/>
    <w:rsid w:val="00022AEB"/>
    <w:rsid w:val="00022D3C"/>
    <w:rsid w:val="0002319F"/>
    <w:rsid w:val="000232E9"/>
    <w:rsid w:val="000234CF"/>
    <w:rsid w:val="000235E8"/>
    <w:rsid w:val="0002373D"/>
    <w:rsid w:val="000238DF"/>
    <w:rsid w:val="00023C40"/>
    <w:rsid w:val="00023D5B"/>
    <w:rsid w:val="00024193"/>
    <w:rsid w:val="0002436C"/>
    <w:rsid w:val="000243DA"/>
    <w:rsid w:val="00024485"/>
    <w:rsid w:val="00024614"/>
    <w:rsid w:val="000246FE"/>
    <w:rsid w:val="00024A47"/>
    <w:rsid w:val="00024AC8"/>
    <w:rsid w:val="00024BD6"/>
    <w:rsid w:val="00024C69"/>
    <w:rsid w:val="00024D89"/>
    <w:rsid w:val="00024DBA"/>
    <w:rsid w:val="00024E00"/>
    <w:rsid w:val="00024E34"/>
    <w:rsid w:val="00024F01"/>
    <w:rsid w:val="00024F3B"/>
    <w:rsid w:val="000250B6"/>
    <w:rsid w:val="000251DE"/>
    <w:rsid w:val="000252E5"/>
    <w:rsid w:val="00025509"/>
    <w:rsid w:val="00025654"/>
    <w:rsid w:val="000257CB"/>
    <w:rsid w:val="000257F0"/>
    <w:rsid w:val="0002596A"/>
    <w:rsid w:val="00025B0C"/>
    <w:rsid w:val="00025B51"/>
    <w:rsid w:val="00025DA1"/>
    <w:rsid w:val="00025F0F"/>
    <w:rsid w:val="000260E5"/>
    <w:rsid w:val="00026204"/>
    <w:rsid w:val="00026397"/>
    <w:rsid w:val="000263B6"/>
    <w:rsid w:val="00026540"/>
    <w:rsid w:val="00026AFF"/>
    <w:rsid w:val="0002717F"/>
    <w:rsid w:val="00027737"/>
    <w:rsid w:val="00027797"/>
    <w:rsid w:val="0003017A"/>
    <w:rsid w:val="00030291"/>
    <w:rsid w:val="0003037D"/>
    <w:rsid w:val="00030617"/>
    <w:rsid w:val="0003070D"/>
    <w:rsid w:val="000307A1"/>
    <w:rsid w:val="00030827"/>
    <w:rsid w:val="00030CDD"/>
    <w:rsid w:val="000310DA"/>
    <w:rsid w:val="000311D6"/>
    <w:rsid w:val="000313AC"/>
    <w:rsid w:val="000314A4"/>
    <w:rsid w:val="0003155E"/>
    <w:rsid w:val="0003159A"/>
    <w:rsid w:val="0003159E"/>
    <w:rsid w:val="0003166D"/>
    <w:rsid w:val="000319EE"/>
    <w:rsid w:val="00031C81"/>
    <w:rsid w:val="00031F5C"/>
    <w:rsid w:val="00032109"/>
    <w:rsid w:val="00032110"/>
    <w:rsid w:val="00032116"/>
    <w:rsid w:val="0003230A"/>
    <w:rsid w:val="0003248F"/>
    <w:rsid w:val="000325A8"/>
    <w:rsid w:val="0003275E"/>
    <w:rsid w:val="00032844"/>
    <w:rsid w:val="000328F7"/>
    <w:rsid w:val="00032C5B"/>
    <w:rsid w:val="00032D4E"/>
    <w:rsid w:val="00032E2C"/>
    <w:rsid w:val="00033035"/>
    <w:rsid w:val="000331B7"/>
    <w:rsid w:val="00033B54"/>
    <w:rsid w:val="00033D81"/>
    <w:rsid w:val="00033DC9"/>
    <w:rsid w:val="00033F3A"/>
    <w:rsid w:val="000340CD"/>
    <w:rsid w:val="000340E5"/>
    <w:rsid w:val="00034115"/>
    <w:rsid w:val="0003417A"/>
    <w:rsid w:val="00034333"/>
    <w:rsid w:val="00034447"/>
    <w:rsid w:val="00034A8F"/>
    <w:rsid w:val="00034FE4"/>
    <w:rsid w:val="00035494"/>
    <w:rsid w:val="0003568B"/>
    <w:rsid w:val="00035AFC"/>
    <w:rsid w:val="00035CFF"/>
    <w:rsid w:val="00035D4B"/>
    <w:rsid w:val="00035E91"/>
    <w:rsid w:val="00036113"/>
    <w:rsid w:val="000367D7"/>
    <w:rsid w:val="000368D7"/>
    <w:rsid w:val="000369B5"/>
    <w:rsid w:val="00036B1D"/>
    <w:rsid w:val="00036BA5"/>
    <w:rsid w:val="00036D15"/>
    <w:rsid w:val="00036D4D"/>
    <w:rsid w:val="00036D6F"/>
    <w:rsid w:val="00037366"/>
    <w:rsid w:val="000376FA"/>
    <w:rsid w:val="000377EB"/>
    <w:rsid w:val="00037C4B"/>
    <w:rsid w:val="00037CE9"/>
    <w:rsid w:val="00037CF7"/>
    <w:rsid w:val="00040255"/>
    <w:rsid w:val="0004078E"/>
    <w:rsid w:val="000409B6"/>
    <w:rsid w:val="00040BB4"/>
    <w:rsid w:val="00040D76"/>
    <w:rsid w:val="00040D9E"/>
    <w:rsid w:val="00040FA2"/>
    <w:rsid w:val="00041023"/>
    <w:rsid w:val="00041315"/>
    <w:rsid w:val="000413EE"/>
    <w:rsid w:val="0004198F"/>
    <w:rsid w:val="00041A3C"/>
    <w:rsid w:val="00041AC1"/>
    <w:rsid w:val="00041BED"/>
    <w:rsid w:val="00041BF0"/>
    <w:rsid w:val="00041D4E"/>
    <w:rsid w:val="0004204E"/>
    <w:rsid w:val="0004232D"/>
    <w:rsid w:val="000423DB"/>
    <w:rsid w:val="0004273A"/>
    <w:rsid w:val="000427D2"/>
    <w:rsid w:val="000428D0"/>
    <w:rsid w:val="00042B67"/>
    <w:rsid w:val="00042C8A"/>
    <w:rsid w:val="00042D03"/>
    <w:rsid w:val="00042DA0"/>
    <w:rsid w:val="00043212"/>
    <w:rsid w:val="00043258"/>
    <w:rsid w:val="00043CDB"/>
    <w:rsid w:val="00043F39"/>
    <w:rsid w:val="000441E5"/>
    <w:rsid w:val="000443F1"/>
    <w:rsid w:val="00044535"/>
    <w:rsid w:val="000446D9"/>
    <w:rsid w:val="000446F0"/>
    <w:rsid w:val="00044963"/>
    <w:rsid w:val="00044E83"/>
    <w:rsid w:val="00044ED5"/>
    <w:rsid w:val="00044FF5"/>
    <w:rsid w:val="0004536B"/>
    <w:rsid w:val="0004536F"/>
    <w:rsid w:val="0004587C"/>
    <w:rsid w:val="00045AE8"/>
    <w:rsid w:val="00045EDE"/>
    <w:rsid w:val="0004612E"/>
    <w:rsid w:val="000461FB"/>
    <w:rsid w:val="000464D4"/>
    <w:rsid w:val="00046716"/>
    <w:rsid w:val="0004674C"/>
    <w:rsid w:val="00046AC4"/>
    <w:rsid w:val="00046B68"/>
    <w:rsid w:val="00046C5B"/>
    <w:rsid w:val="00046DF5"/>
    <w:rsid w:val="00046F5C"/>
    <w:rsid w:val="000470BB"/>
    <w:rsid w:val="0004713F"/>
    <w:rsid w:val="00047495"/>
    <w:rsid w:val="00047506"/>
    <w:rsid w:val="00047669"/>
    <w:rsid w:val="00047876"/>
    <w:rsid w:val="00047B2B"/>
    <w:rsid w:val="0005003A"/>
    <w:rsid w:val="0005003D"/>
    <w:rsid w:val="000500CC"/>
    <w:rsid w:val="0005023D"/>
    <w:rsid w:val="000504CD"/>
    <w:rsid w:val="000507B0"/>
    <w:rsid w:val="000508DA"/>
    <w:rsid w:val="0005093B"/>
    <w:rsid w:val="00050A38"/>
    <w:rsid w:val="00050A94"/>
    <w:rsid w:val="00050E04"/>
    <w:rsid w:val="0005104E"/>
    <w:rsid w:val="00051451"/>
    <w:rsid w:val="000514CA"/>
    <w:rsid w:val="0005185D"/>
    <w:rsid w:val="000518EB"/>
    <w:rsid w:val="00051DD1"/>
    <w:rsid w:val="00051EC8"/>
    <w:rsid w:val="00052290"/>
    <w:rsid w:val="000524E6"/>
    <w:rsid w:val="0005250E"/>
    <w:rsid w:val="0005259D"/>
    <w:rsid w:val="000527DD"/>
    <w:rsid w:val="000529CF"/>
    <w:rsid w:val="00052A50"/>
    <w:rsid w:val="0005301D"/>
    <w:rsid w:val="0005305B"/>
    <w:rsid w:val="0005326D"/>
    <w:rsid w:val="0005337B"/>
    <w:rsid w:val="0005368E"/>
    <w:rsid w:val="0005373D"/>
    <w:rsid w:val="00053751"/>
    <w:rsid w:val="00053871"/>
    <w:rsid w:val="00053E7B"/>
    <w:rsid w:val="00053F50"/>
    <w:rsid w:val="0005464F"/>
    <w:rsid w:val="000547D9"/>
    <w:rsid w:val="00054ACB"/>
    <w:rsid w:val="00054AEC"/>
    <w:rsid w:val="00054C6E"/>
    <w:rsid w:val="00054D32"/>
    <w:rsid w:val="00054E49"/>
    <w:rsid w:val="00054F30"/>
    <w:rsid w:val="000550A5"/>
    <w:rsid w:val="000550E1"/>
    <w:rsid w:val="000557F6"/>
    <w:rsid w:val="0005587F"/>
    <w:rsid w:val="00055F62"/>
    <w:rsid w:val="00055FD2"/>
    <w:rsid w:val="00056156"/>
    <w:rsid w:val="0005623E"/>
    <w:rsid w:val="00056311"/>
    <w:rsid w:val="00056322"/>
    <w:rsid w:val="00056331"/>
    <w:rsid w:val="0005643A"/>
    <w:rsid w:val="00056588"/>
    <w:rsid w:val="00056BC8"/>
    <w:rsid w:val="00056BEF"/>
    <w:rsid w:val="00056D36"/>
    <w:rsid w:val="00056DF8"/>
    <w:rsid w:val="00056EC4"/>
    <w:rsid w:val="0005700F"/>
    <w:rsid w:val="00057356"/>
    <w:rsid w:val="000576A9"/>
    <w:rsid w:val="00057775"/>
    <w:rsid w:val="00057793"/>
    <w:rsid w:val="000578AE"/>
    <w:rsid w:val="000578B2"/>
    <w:rsid w:val="00057936"/>
    <w:rsid w:val="000579F7"/>
    <w:rsid w:val="00057ADC"/>
    <w:rsid w:val="00057BED"/>
    <w:rsid w:val="00057C60"/>
    <w:rsid w:val="00057C77"/>
    <w:rsid w:val="0006002C"/>
    <w:rsid w:val="00060199"/>
    <w:rsid w:val="0006069F"/>
    <w:rsid w:val="0006081C"/>
    <w:rsid w:val="00060959"/>
    <w:rsid w:val="00060AA4"/>
    <w:rsid w:val="00060AB0"/>
    <w:rsid w:val="00060B3D"/>
    <w:rsid w:val="00060C8F"/>
    <w:rsid w:val="000610DC"/>
    <w:rsid w:val="00061171"/>
    <w:rsid w:val="00061517"/>
    <w:rsid w:val="00061970"/>
    <w:rsid w:val="00061BB5"/>
    <w:rsid w:val="00061E87"/>
    <w:rsid w:val="00061F19"/>
    <w:rsid w:val="000620BB"/>
    <w:rsid w:val="0006214A"/>
    <w:rsid w:val="000624C5"/>
    <w:rsid w:val="000625A0"/>
    <w:rsid w:val="000625A5"/>
    <w:rsid w:val="000626A7"/>
    <w:rsid w:val="0006298A"/>
    <w:rsid w:val="00062C80"/>
    <w:rsid w:val="00062D6B"/>
    <w:rsid w:val="00062D88"/>
    <w:rsid w:val="000630C6"/>
    <w:rsid w:val="000633B9"/>
    <w:rsid w:val="000634ED"/>
    <w:rsid w:val="00063603"/>
    <w:rsid w:val="00063752"/>
    <w:rsid w:val="00063884"/>
    <w:rsid w:val="000638B2"/>
    <w:rsid w:val="00063DEF"/>
    <w:rsid w:val="000640EB"/>
    <w:rsid w:val="0006458F"/>
    <w:rsid w:val="00064844"/>
    <w:rsid w:val="00064B39"/>
    <w:rsid w:val="00064B95"/>
    <w:rsid w:val="00064E49"/>
    <w:rsid w:val="00064FFF"/>
    <w:rsid w:val="00065085"/>
    <w:rsid w:val="00065789"/>
    <w:rsid w:val="00065E17"/>
    <w:rsid w:val="000660C9"/>
    <w:rsid w:val="000663CD"/>
    <w:rsid w:val="00066607"/>
    <w:rsid w:val="0006664B"/>
    <w:rsid w:val="00066718"/>
    <w:rsid w:val="00066866"/>
    <w:rsid w:val="00066AB3"/>
    <w:rsid w:val="00066C25"/>
    <w:rsid w:val="00066D23"/>
    <w:rsid w:val="00066DA3"/>
    <w:rsid w:val="00066F35"/>
    <w:rsid w:val="00067160"/>
    <w:rsid w:val="00067314"/>
    <w:rsid w:val="0006744B"/>
    <w:rsid w:val="000677F5"/>
    <w:rsid w:val="000678DD"/>
    <w:rsid w:val="00067A48"/>
    <w:rsid w:val="00067B87"/>
    <w:rsid w:val="00067F29"/>
    <w:rsid w:val="000707E5"/>
    <w:rsid w:val="00070B54"/>
    <w:rsid w:val="00070B6E"/>
    <w:rsid w:val="00070BF2"/>
    <w:rsid w:val="00070E7A"/>
    <w:rsid w:val="00071987"/>
    <w:rsid w:val="00071BAB"/>
    <w:rsid w:val="00071EEC"/>
    <w:rsid w:val="0007210F"/>
    <w:rsid w:val="000721AE"/>
    <w:rsid w:val="00072542"/>
    <w:rsid w:val="000725B3"/>
    <w:rsid w:val="000727DC"/>
    <w:rsid w:val="0007283C"/>
    <w:rsid w:val="00072902"/>
    <w:rsid w:val="00072986"/>
    <w:rsid w:val="00072D52"/>
    <w:rsid w:val="00072EFB"/>
    <w:rsid w:val="00072F89"/>
    <w:rsid w:val="00073165"/>
    <w:rsid w:val="00073232"/>
    <w:rsid w:val="0007324B"/>
    <w:rsid w:val="000733FE"/>
    <w:rsid w:val="00073479"/>
    <w:rsid w:val="0007357F"/>
    <w:rsid w:val="00073801"/>
    <w:rsid w:val="00073DBE"/>
    <w:rsid w:val="0007407E"/>
    <w:rsid w:val="000740BD"/>
    <w:rsid w:val="00074219"/>
    <w:rsid w:val="00074314"/>
    <w:rsid w:val="00074393"/>
    <w:rsid w:val="000743B8"/>
    <w:rsid w:val="0007456C"/>
    <w:rsid w:val="0007458E"/>
    <w:rsid w:val="000745EF"/>
    <w:rsid w:val="00074627"/>
    <w:rsid w:val="0007481A"/>
    <w:rsid w:val="000748F9"/>
    <w:rsid w:val="0007495E"/>
    <w:rsid w:val="00074B3B"/>
    <w:rsid w:val="00074E4A"/>
    <w:rsid w:val="00074E68"/>
    <w:rsid w:val="00074ED5"/>
    <w:rsid w:val="00075297"/>
    <w:rsid w:val="00075372"/>
    <w:rsid w:val="0007544F"/>
    <w:rsid w:val="00075531"/>
    <w:rsid w:val="000757F5"/>
    <w:rsid w:val="00075ABA"/>
    <w:rsid w:val="00075BA3"/>
    <w:rsid w:val="00075EEA"/>
    <w:rsid w:val="000764CF"/>
    <w:rsid w:val="000764D6"/>
    <w:rsid w:val="00076514"/>
    <w:rsid w:val="00076561"/>
    <w:rsid w:val="0007683E"/>
    <w:rsid w:val="00076935"/>
    <w:rsid w:val="00076BEC"/>
    <w:rsid w:val="00076C06"/>
    <w:rsid w:val="00076E57"/>
    <w:rsid w:val="000770B1"/>
    <w:rsid w:val="00077214"/>
    <w:rsid w:val="00077334"/>
    <w:rsid w:val="000778AF"/>
    <w:rsid w:val="00077A39"/>
    <w:rsid w:val="00077B18"/>
    <w:rsid w:val="00077B39"/>
    <w:rsid w:val="00077B8F"/>
    <w:rsid w:val="00080003"/>
    <w:rsid w:val="00080072"/>
    <w:rsid w:val="00080202"/>
    <w:rsid w:val="0008045C"/>
    <w:rsid w:val="000804C8"/>
    <w:rsid w:val="0008092C"/>
    <w:rsid w:val="0008098A"/>
    <w:rsid w:val="00080C6A"/>
    <w:rsid w:val="00081044"/>
    <w:rsid w:val="000811C9"/>
    <w:rsid w:val="0008126B"/>
    <w:rsid w:val="000819F4"/>
    <w:rsid w:val="00081BD8"/>
    <w:rsid w:val="00081CC7"/>
    <w:rsid w:val="00081EE6"/>
    <w:rsid w:val="0008204A"/>
    <w:rsid w:val="000827BA"/>
    <w:rsid w:val="0008283C"/>
    <w:rsid w:val="0008285D"/>
    <w:rsid w:val="00082A2E"/>
    <w:rsid w:val="00082A5C"/>
    <w:rsid w:val="00082B35"/>
    <w:rsid w:val="00082B6F"/>
    <w:rsid w:val="00082CB4"/>
    <w:rsid w:val="00082CD4"/>
    <w:rsid w:val="00082D41"/>
    <w:rsid w:val="0008310F"/>
    <w:rsid w:val="000837DD"/>
    <w:rsid w:val="00083DF3"/>
    <w:rsid w:val="00083ECC"/>
    <w:rsid w:val="00083F23"/>
    <w:rsid w:val="00084B88"/>
    <w:rsid w:val="00084C5A"/>
    <w:rsid w:val="0008508E"/>
    <w:rsid w:val="00085902"/>
    <w:rsid w:val="00085917"/>
    <w:rsid w:val="000859FC"/>
    <w:rsid w:val="00085A31"/>
    <w:rsid w:val="00085EC1"/>
    <w:rsid w:val="00086169"/>
    <w:rsid w:val="0008641F"/>
    <w:rsid w:val="00086BC1"/>
    <w:rsid w:val="00086D61"/>
    <w:rsid w:val="00086EB2"/>
    <w:rsid w:val="00086F72"/>
    <w:rsid w:val="00086FA3"/>
    <w:rsid w:val="000870D8"/>
    <w:rsid w:val="0008714A"/>
    <w:rsid w:val="0008793B"/>
    <w:rsid w:val="00087951"/>
    <w:rsid w:val="00087DD7"/>
    <w:rsid w:val="000903AB"/>
    <w:rsid w:val="0009043C"/>
    <w:rsid w:val="000906C6"/>
    <w:rsid w:val="00090738"/>
    <w:rsid w:val="0009089F"/>
    <w:rsid w:val="00090AD3"/>
    <w:rsid w:val="00090EB7"/>
    <w:rsid w:val="0009109E"/>
    <w:rsid w:val="000910FE"/>
    <w:rsid w:val="0009113B"/>
    <w:rsid w:val="000914B6"/>
    <w:rsid w:val="0009157D"/>
    <w:rsid w:val="000917CB"/>
    <w:rsid w:val="00091872"/>
    <w:rsid w:val="00091ADA"/>
    <w:rsid w:val="00091D58"/>
    <w:rsid w:val="00091FBB"/>
    <w:rsid w:val="000921DC"/>
    <w:rsid w:val="00092240"/>
    <w:rsid w:val="00092437"/>
    <w:rsid w:val="000926B7"/>
    <w:rsid w:val="000927A1"/>
    <w:rsid w:val="0009283A"/>
    <w:rsid w:val="00092904"/>
    <w:rsid w:val="00092930"/>
    <w:rsid w:val="0009296A"/>
    <w:rsid w:val="00092B2A"/>
    <w:rsid w:val="00093142"/>
    <w:rsid w:val="00093239"/>
    <w:rsid w:val="00093391"/>
    <w:rsid w:val="00093402"/>
    <w:rsid w:val="00093469"/>
    <w:rsid w:val="0009363C"/>
    <w:rsid w:val="000936B4"/>
    <w:rsid w:val="000937BC"/>
    <w:rsid w:val="00093874"/>
    <w:rsid w:val="0009387B"/>
    <w:rsid w:val="0009396B"/>
    <w:rsid w:val="00093B27"/>
    <w:rsid w:val="00093C18"/>
    <w:rsid w:val="00093D5A"/>
    <w:rsid w:val="00094797"/>
    <w:rsid w:val="000947A3"/>
    <w:rsid w:val="00094DA3"/>
    <w:rsid w:val="0009526F"/>
    <w:rsid w:val="00095327"/>
    <w:rsid w:val="000954B0"/>
    <w:rsid w:val="000954E3"/>
    <w:rsid w:val="0009580F"/>
    <w:rsid w:val="00095839"/>
    <w:rsid w:val="00095935"/>
    <w:rsid w:val="00095C1A"/>
    <w:rsid w:val="00095C2E"/>
    <w:rsid w:val="00095CFC"/>
    <w:rsid w:val="00095D25"/>
    <w:rsid w:val="00095DE5"/>
    <w:rsid w:val="00095FC6"/>
    <w:rsid w:val="000960CE"/>
    <w:rsid w:val="0009613D"/>
    <w:rsid w:val="00096449"/>
    <w:rsid w:val="000964D4"/>
    <w:rsid w:val="0009669D"/>
    <w:rsid w:val="00096853"/>
    <w:rsid w:val="00096BDD"/>
    <w:rsid w:val="00096C3D"/>
    <w:rsid w:val="00096CD1"/>
    <w:rsid w:val="00096D2C"/>
    <w:rsid w:val="00096E3A"/>
    <w:rsid w:val="00096EC8"/>
    <w:rsid w:val="000971CA"/>
    <w:rsid w:val="00097788"/>
    <w:rsid w:val="000978A2"/>
    <w:rsid w:val="00097AB4"/>
    <w:rsid w:val="00097E67"/>
    <w:rsid w:val="000A012C"/>
    <w:rsid w:val="000A01DF"/>
    <w:rsid w:val="000A0589"/>
    <w:rsid w:val="000A05F8"/>
    <w:rsid w:val="000A07A5"/>
    <w:rsid w:val="000A07BA"/>
    <w:rsid w:val="000A0A0A"/>
    <w:rsid w:val="000A0A1E"/>
    <w:rsid w:val="000A0A20"/>
    <w:rsid w:val="000A0EB9"/>
    <w:rsid w:val="000A1444"/>
    <w:rsid w:val="000A15C1"/>
    <w:rsid w:val="000A186C"/>
    <w:rsid w:val="000A1976"/>
    <w:rsid w:val="000A1983"/>
    <w:rsid w:val="000A1B68"/>
    <w:rsid w:val="000A1C70"/>
    <w:rsid w:val="000A1EA4"/>
    <w:rsid w:val="000A1F31"/>
    <w:rsid w:val="000A1F8E"/>
    <w:rsid w:val="000A22C8"/>
    <w:rsid w:val="000A2476"/>
    <w:rsid w:val="000A26A6"/>
    <w:rsid w:val="000A27CF"/>
    <w:rsid w:val="000A281B"/>
    <w:rsid w:val="000A2A8C"/>
    <w:rsid w:val="000A2CFD"/>
    <w:rsid w:val="000A2E0F"/>
    <w:rsid w:val="000A2EB8"/>
    <w:rsid w:val="000A2F16"/>
    <w:rsid w:val="000A2F97"/>
    <w:rsid w:val="000A326D"/>
    <w:rsid w:val="000A36F3"/>
    <w:rsid w:val="000A370E"/>
    <w:rsid w:val="000A3A16"/>
    <w:rsid w:val="000A3AA2"/>
    <w:rsid w:val="000A3C88"/>
    <w:rsid w:val="000A3E72"/>
    <w:rsid w:val="000A4281"/>
    <w:rsid w:val="000A4371"/>
    <w:rsid w:val="000A43A5"/>
    <w:rsid w:val="000A43BD"/>
    <w:rsid w:val="000A4424"/>
    <w:rsid w:val="000A44D0"/>
    <w:rsid w:val="000A463E"/>
    <w:rsid w:val="000A470C"/>
    <w:rsid w:val="000A47F7"/>
    <w:rsid w:val="000A4980"/>
    <w:rsid w:val="000A4AE6"/>
    <w:rsid w:val="000A4B87"/>
    <w:rsid w:val="000A4C6F"/>
    <w:rsid w:val="000A4F23"/>
    <w:rsid w:val="000A50BB"/>
    <w:rsid w:val="000A5504"/>
    <w:rsid w:val="000A56FD"/>
    <w:rsid w:val="000A5C77"/>
    <w:rsid w:val="000A5E4D"/>
    <w:rsid w:val="000A641A"/>
    <w:rsid w:val="000A664C"/>
    <w:rsid w:val="000A6690"/>
    <w:rsid w:val="000A67E0"/>
    <w:rsid w:val="000A6F07"/>
    <w:rsid w:val="000A726A"/>
    <w:rsid w:val="000A73E1"/>
    <w:rsid w:val="000A768C"/>
    <w:rsid w:val="000A76B2"/>
    <w:rsid w:val="000A7976"/>
    <w:rsid w:val="000A7A7C"/>
    <w:rsid w:val="000B074C"/>
    <w:rsid w:val="000B0776"/>
    <w:rsid w:val="000B0802"/>
    <w:rsid w:val="000B0E0A"/>
    <w:rsid w:val="000B0F00"/>
    <w:rsid w:val="000B10EE"/>
    <w:rsid w:val="000B1130"/>
    <w:rsid w:val="000B1280"/>
    <w:rsid w:val="000B14E5"/>
    <w:rsid w:val="000B1681"/>
    <w:rsid w:val="000B1AF2"/>
    <w:rsid w:val="000B1E7D"/>
    <w:rsid w:val="000B1F97"/>
    <w:rsid w:val="000B226A"/>
    <w:rsid w:val="000B22ED"/>
    <w:rsid w:val="000B2844"/>
    <w:rsid w:val="000B2858"/>
    <w:rsid w:val="000B2A6D"/>
    <w:rsid w:val="000B2A7D"/>
    <w:rsid w:val="000B2FC1"/>
    <w:rsid w:val="000B3117"/>
    <w:rsid w:val="000B31B3"/>
    <w:rsid w:val="000B3656"/>
    <w:rsid w:val="000B36B1"/>
    <w:rsid w:val="000B3782"/>
    <w:rsid w:val="000B39CF"/>
    <w:rsid w:val="000B3BE3"/>
    <w:rsid w:val="000B3C91"/>
    <w:rsid w:val="000B3DA1"/>
    <w:rsid w:val="000B3DC4"/>
    <w:rsid w:val="000B3E1D"/>
    <w:rsid w:val="000B3EDB"/>
    <w:rsid w:val="000B403A"/>
    <w:rsid w:val="000B40BE"/>
    <w:rsid w:val="000B43B7"/>
    <w:rsid w:val="000B451B"/>
    <w:rsid w:val="000B46A9"/>
    <w:rsid w:val="000B493A"/>
    <w:rsid w:val="000B4AD6"/>
    <w:rsid w:val="000B5143"/>
    <w:rsid w:val="000B5152"/>
    <w:rsid w:val="000B537C"/>
    <w:rsid w:val="000B543D"/>
    <w:rsid w:val="000B55EA"/>
    <w:rsid w:val="000B55F9"/>
    <w:rsid w:val="000B5616"/>
    <w:rsid w:val="000B5931"/>
    <w:rsid w:val="000B5A34"/>
    <w:rsid w:val="000B5A4E"/>
    <w:rsid w:val="000B5A65"/>
    <w:rsid w:val="000B5A93"/>
    <w:rsid w:val="000B5BF7"/>
    <w:rsid w:val="000B5EBB"/>
    <w:rsid w:val="000B5EC2"/>
    <w:rsid w:val="000B6010"/>
    <w:rsid w:val="000B60A4"/>
    <w:rsid w:val="000B617C"/>
    <w:rsid w:val="000B6432"/>
    <w:rsid w:val="000B6450"/>
    <w:rsid w:val="000B661C"/>
    <w:rsid w:val="000B6901"/>
    <w:rsid w:val="000B6A36"/>
    <w:rsid w:val="000B6B8D"/>
    <w:rsid w:val="000B6BC8"/>
    <w:rsid w:val="000B715F"/>
    <w:rsid w:val="000B7446"/>
    <w:rsid w:val="000B79C3"/>
    <w:rsid w:val="000B7AEC"/>
    <w:rsid w:val="000B7DBF"/>
    <w:rsid w:val="000B7E40"/>
    <w:rsid w:val="000B7F63"/>
    <w:rsid w:val="000B7F8F"/>
    <w:rsid w:val="000B7F98"/>
    <w:rsid w:val="000C0107"/>
    <w:rsid w:val="000C0209"/>
    <w:rsid w:val="000C0292"/>
    <w:rsid w:val="000C0303"/>
    <w:rsid w:val="000C032C"/>
    <w:rsid w:val="000C036A"/>
    <w:rsid w:val="000C04DE"/>
    <w:rsid w:val="000C05C9"/>
    <w:rsid w:val="000C0821"/>
    <w:rsid w:val="000C08D8"/>
    <w:rsid w:val="000C0B60"/>
    <w:rsid w:val="000C0EE5"/>
    <w:rsid w:val="000C0F57"/>
    <w:rsid w:val="000C113A"/>
    <w:rsid w:val="000C1349"/>
    <w:rsid w:val="000C149C"/>
    <w:rsid w:val="000C1694"/>
    <w:rsid w:val="000C1B11"/>
    <w:rsid w:val="000C1BDF"/>
    <w:rsid w:val="000C1C90"/>
    <w:rsid w:val="000C2202"/>
    <w:rsid w:val="000C226B"/>
    <w:rsid w:val="000C2292"/>
    <w:rsid w:val="000C22E1"/>
    <w:rsid w:val="000C231F"/>
    <w:rsid w:val="000C23CF"/>
    <w:rsid w:val="000C2469"/>
    <w:rsid w:val="000C274C"/>
    <w:rsid w:val="000C297F"/>
    <w:rsid w:val="000C2A50"/>
    <w:rsid w:val="000C2C59"/>
    <w:rsid w:val="000C2D77"/>
    <w:rsid w:val="000C30A1"/>
    <w:rsid w:val="000C326D"/>
    <w:rsid w:val="000C32F8"/>
    <w:rsid w:val="000C353D"/>
    <w:rsid w:val="000C35A6"/>
    <w:rsid w:val="000C3669"/>
    <w:rsid w:val="000C370A"/>
    <w:rsid w:val="000C37A6"/>
    <w:rsid w:val="000C3A65"/>
    <w:rsid w:val="000C3EC7"/>
    <w:rsid w:val="000C3F6C"/>
    <w:rsid w:val="000C40FD"/>
    <w:rsid w:val="000C42EA"/>
    <w:rsid w:val="000C4546"/>
    <w:rsid w:val="000C46B3"/>
    <w:rsid w:val="000C48E6"/>
    <w:rsid w:val="000C56D0"/>
    <w:rsid w:val="000C5882"/>
    <w:rsid w:val="000C5A0B"/>
    <w:rsid w:val="000C5C72"/>
    <w:rsid w:val="000C5CC3"/>
    <w:rsid w:val="000C5DAE"/>
    <w:rsid w:val="000C6122"/>
    <w:rsid w:val="000C6F02"/>
    <w:rsid w:val="000C71D7"/>
    <w:rsid w:val="000C7438"/>
    <w:rsid w:val="000C743F"/>
    <w:rsid w:val="000C7597"/>
    <w:rsid w:val="000C75BA"/>
    <w:rsid w:val="000C7B66"/>
    <w:rsid w:val="000C7D1B"/>
    <w:rsid w:val="000D0318"/>
    <w:rsid w:val="000D04B5"/>
    <w:rsid w:val="000D04CA"/>
    <w:rsid w:val="000D0B52"/>
    <w:rsid w:val="000D0C5F"/>
    <w:rsid w:val="000D0EF9"/>
    <w:rsid w:val="000D1189"/>
    <w:rsid w:val="000D1242"/>
    <w:rsid w:val="000D128F"/>
    <w:rsid w:val="000D1704"/>
    <w:rsid w:val="000D1BDA"/>
    <w:rsid w:val="000D1C5C"/>
    <w:rsid w:val="000D1D4B"/>
    <w:rsid w:val="000D1D97"/>
    <w:rsid w:val="000D1F6B"/>
    <w:rsid w:val="000D1FAA"/>
    <w:rsid w:val="000D213C"/>
    <w:rsid w:val="000D23E9"/>
    <w:rsid w:val="000D2696"/>
    <w:rsid w:val="000D275A"/>
    <w:rsid w:val="000D27F3"/>
    <w:rsid w:val="000D2ABA"/>
    <w:rsid w:val="000D2C58"/>
    <w:rsid w:val="000D2CAB"/>
    <w:rsid w:val="000D2DE5"/>
    <w:rsid w:val="000D2EE3"/>
    <w:rsid w:val="000D2F83"/>
    <w:rsid w:val="000D2FBE"/>
    <w:rsid w:val="000D3070"/>
    <w:rsid w:val="000D3101"/>
    <w:rsid w:val="000D3121"/>
    <w:rsid w:val="000D3827"/>
    <w:rsid w:val="000D3C73"/>
    <w:rsid w:val="000D428D"/>
    <w:rsid w:val="000D4967"/>
    <w:rsid w:val="000D4DDB"/>
    <w:rsid w:val="000D4F58"/>
    <w:rsid w:val="000D501E"/>
    <w:rsid w:val="000D545E"/>
    <w:rsid w:val="000D5485"/>
    <w:rsid w:val="000D5948"/>
    <w:rsid w:val="000D5CC7"/>
    <w:rsid w:val="000D6169"/>
    <w:rsid w:val="000D617F"/>
    <w:rsid w:val="000D628F"/>
    <w:rsid w:val="000D6A54"/>
    <w:rsid w:val="000D6C1E"/>
    <w:rsid w:val="000D6D80"/>
    <w:rsid w:val="000D7238"/>
    <w:rsid w:val="000D7296"/>
    <w:rsid w:val="000D729E"/>
    <w:rsid w:val="000D7428"/>
    <w:rsid w:val="000D7473"/>
    <w:rsid w:val="000D77DE"/>
    <w:rsid w:val="000D7AC2"/>
    <w:rsid w:val="000D7FED"/>
    <w:rsid w:val="000E0233"/>
    <w:rsid w:val="000E02C8"/>
    <w:rsid w:val="000E0970"/>
    <w:rsid w:val="000E0972"/>
    <w:rsid w:val="000E09C4"/>
    <w:rsid w:val="000E0B1C"/>
    <w:rsid w:val="000E0C38"/>
    <w:rsid w:val="000E0D1F"/>
    <w:rsid w:val="000E0E1D"/>
    <w:rsid w:val="000E0FDD"/>
    <w:rsid w:val="000E169C"/>
    <w:rsid w:val="000E1922"/>
    <w:rsid w:val="000E1ABC"/>
    <w:rsid w:val="000E1C0B"/>
    <w:rsid w:val="000E1FDF"/>
    <w:rsid w:val="000E20D8"/>
    <w:rsid w:val="000E20F2"/>
    <w:rsid w:val="000E22A8"/>
    <w:rsid w:val="000E22AC"/>
    <w:rsid w:val="000E2452"/>
    <w:rsid w:val="000E266C"/>
    <w:rsid w:val="000E26C1"/>
    <w:rsid w:val="000E2716"/>
    <w:rsid w:val="000E277E"/>
    <w:rsid w:val="000E28B8"/>
    <w:rsid w:val="000E2998"/>
    <w:rsid w:val="000E2A68"/>
    <w:rsid w:val="000E31F7"/>
    <w:rsid w:val="000E337C"/>
    <w:rsid w:val="000E33A4"/>
    <w:rsid w:val="000E3464"/>
    <w:rsid w:val="000E353B"/>
    <w:rsid w:val="000E3567"/>
    <w:rsid w:val="000E35EC"/>
    <w:rsid w:val="000E36DE"/>
    <w:rsid w:val="000E38FC"/>
    <w:rsid w:val="000E3C90"/>
    <w:rsid w:val="000E3CC7"/>
    <w:rsid w:val="000E4321"/>
    <w:rsid w:val="000E48BD"/>
    <w:rsid w:val="000E48F0"/>
    <w:rsid w:val="000E4916"/>
    <w:rsid w:val="000E4C84"/>
    <w:rsid w:val="000E4C9A"/>
    <w:rsid w:val="000E4D9E"/>
    <w:rsid w:val="000E4DB5"/>
    <w:rsid w:val="000E530B"/>
    <w:rsid w:val="000E5753"/>
    <w:rsid w:val="000E59D4"/>
    <w:rsid w:val="000E5A17"/>
    <w:rsid w:val="000E5D7C"/>
    <w:rsid w:val="000E6286"/>
    <w:rsid w:val="000E633B"/>
    <w:rsid w:val="000E67D5"/>
    <w:rsid w:val="000E6A5E"/>
    <w:rsid w:val="000E6A6E"/>
    <w:rsid w:val="000E6A75"/>
    <w:rsid w:val="000E6BD4"/>
    <w:rsid w:val="000E6CA4"/>
    <w:rsid w:val="000E6D6D"/>
    <w:rsid w:val="000E701E"/>
    <w:rsid w:val="000E7E1E"/>
    <w:rsid w:val="000F0151"/>
    <w:rsid w:val="000F02B2"/>
    <w:rsid w:val="000F0315"/>
    <w:rsid w:val="000F05C5"/>
    <w:rsid w:val="000F0753"/>
    <w:rsid w:val="000F08B6"/>
    <w:rsid w:val="000F0B40"/>
    <w:rsid w:val="000F0EDC"/>
    <w:rsid w:val="000F0F91"/>
    <w:rsid w:val="000F0FB7"/>
    <w:rsid w:val="000F122D"/>
    <w:rsid w:val="000F1425"/>
    <w:rsid w:val="000F1653"/>
    <w:rsid w:val="000F18C0"/>
    <w:rsid w:val="000F1BCA"/>
    <w:rsid w:val="000F1D2C"/>
    <w:rsid w:val="000F1F1E"/>
    <w:rsid w:val="000F2228"/>
    <w:rsid w:val="000F2259"/>
    <w:rsid w:val="000F23C0"/>
    <w:rsid w:val="000F2469"/>
    <w:rsid w:val="000F2627"/>
    <w:rsid w:val="000F2835"/>
    <w:rsid w:val="000F2D22"/>
    <w:rsid w:val="000F2D8B"/>
    <w:rsid w:val="000F2DDA"/>
    <w:rsid w:val="000F2EA0"/>
    <w:rsid w:val="000F2F2D"/>
    <w:rsid w:val="000F2F61"/>
    <w:rsid w:val="000F302E"/>
    <w:rsid w:val="000F3200"/>
    <w:rsid w:val="000F3271"/>
    <w:rsid w:val="000F339A"/>
    <w:rsid w:val="000F35D2"/>
    <w:rsid w:val="000F35F7"/>
    <w:rsid w:val="000F3650"/>
    <w:rsid w:val="000F3791"/>
    <w:rsid w:val="000F3C04"/>
    <w:rsid w:val="000F3F87"/>
    <w:rsid w:val="000F3FC2"/>
    <w:rsid w:val="000F40CA"/>
    <w:rsid w:val="000F4334"/>
    <w:rsid w:val="000F4377"/>
    <w:rsid w:val="000F444E"/>
    <w:rsid w:val="000F466E"/>
    <w:rsid w:val="000F47D9"/>
    <w:rsid w:val="000F4DE1"/>
    <w:rsid w:val="000F4F8B"/>
    <w:rsid w:val="000F5018"/>
    <w:rsid w:val="000F51D8"/>
    <w:rsid w:val="000F5213"/>
    <w:rsid w:val="000F5261"/>
    <w:rsid w:val="000F52AB"/>
    <w:rsid w:val="000F531C"/>
    <w:rsid w:val="000F53D8"/>
    <w:rsid w:val="000F5693"/>
    <w:rsid w:val="000F57D8"/>
    <w:rsid w:val="000F5ADD"/>
    <w:rsid w:val="000F5AFA"/>
    <w:rsid w:val="000F6139"/>
    <w:rsid w:val="000F6430"/>
    <w:rsid w:val="000F6505"/>
    <w:rsid w:val="000F651C"/>
    <w:rsid w:val="000F65E9"/>
    <w:rsid w:val="000F66D3"/>
    <w:rsid w:val="000F6BA4"/>
    <w:rsid w:val="000F6BCB"/>
    <w:rsid w:val="000F6ED9"/>
    <w:rsid w:val="000F720F"/>
    <w:rsid w:val="000F72AC"/>
    <w:rsid w:val="000F7621"/>
    <w:rsid w:val="000F775E"/>
    <w:rsid w:val="000F797B"/>
    <w:rsid w:val="000F7A5A"/>
    <w:rsid w:val="000F7BDF"/>
    <w:rsid w:val="000F7CD1"/>
    <w:rsid w:val="000F7DBC"/>
    <w:rsid w:val="001005FB"/>
    <w:rsid w:val="0010063E"/>
    <w:rsid w:val="001006FD"/>
    <w:rsid w:val="0010084C"/>
    <w:rsid w:val="00100995"/>
    <w:rsid w:val="00100D89"/>
    <w:rsid w:val="00101001"/>
    <w:rsid w:val="0010113D"/>
    <w:rsid w:val="0010150C"/>
    <w:rsid w:val="001015D8"/>
    <w:rsid w:val="00101654"/>
    <w:rsid w:val="001016E7"/>
    <w:rsid w:val="00101B9F"/>
    <w:rsid w:val="00101C4F"/>
    <w:rsid w:val="00101D5D"/>
    <w:rsid w:val="00101D8D"/>
    <w:rsid w:val="00101DD7"/>
    <w:rsid w:val="00102336"/>
    <w:rsid w:val="00102361"/>
    <w:rsid w:val="001026D2"/>
    <w:rsid w:val="001028CA"/>
    <w:rsid w:val="00102A8A"/>
    <w:rsid w:val="00102BAB"/>
    <w:rsid w:val="00102DBC"/>
    <w:rsid w:val="00102EE2"/>
    <w:rsid w:val="00103276"/>
    <w:rsid w:val="00103758"/>
    <w:rsid w:val="00103926"/>
    <w:rsid w:val="00103929"/>
    <w:rsid w:val="0010392D"/>
    <w:rsid w:val="00103E8C"/>
    <w:rsid w:val="0010403E"/>
    <w:rsid w:val="00104198"/>
    <w:rsid w:val="00104261"/>
    <w:rsid w:val="0010447F"/>
    <w:rsid w:val="001044E6"/>
    <w:rsid w:val="00104AA0"/>
    <w:rsid w:val="00104E69"/>
    <w:rsid w:val="00104F12"/>
    <w:rsid w:val="00104F85"/>
    <w:rsid w:val="00104FE3"/>
    <w:rsid w:val="00105309"/>
    <w:rsid w:val="001056D6"/>
    <w:rsid w:val="0010571E"/>
    <w:rsid w:val="00105D4D"/>
    <w:rsid w:val="00105E43"/>
    <w:rsid w:val="0010620F"/>
    <w:rsid w:val="00106463"/>
    <w:rsid w:val="00106478"/>
    <w:rsid w:val="00106660"/>
    <w:rsid w:val="001067F3"/>
    <w:rsid w:val="00106949"/>
    <w:rsid w:val="00106979"/>
    <w:rsid w:val="00106C60"/>
    <w:rsid w:val="0010700C"/>
    <w:rsid w:val="0010714F"/>
    <w:rsid w:val="00107163"/>
    <w:rsid w:val="001079B5"/>
    <w:rsid w:val="00107B9D"/>
    <w:rsid w:val="00107CF5"/>
    <w:rsid w:val="00107D86"/>
    <w:rsid w:val="00110017"/>
    <w:rsid w:val="0011011F"/>
    <w:rsid w:val="00110793"/>
    <w:rsid w:val="0011095F"/>
    <w:rsid w:val="001109D7"/>
    <w:rsid w:val="00110A26"/>
    <w:rsid w:val="00110D20"/>
    <w:rsid w:val="00110D3D"/>
    <w:rsid w:val="00111106"/>
    <w:rsid w:val="00111314"/>
    <w:rsid w:val="00111AFF"/>
    <w:rsid w:val="00111B19"/>
    <w:rsid w:val="00111C1A"/>
    <w:rsid w:val="00111F34"/>
    <w:rsid w:val="00112086"/>
    <w:rsid w:val="001120C5"/>
    <w:rsid w:val="001120EB"/>
    <w:rsid w:val="00112297"/>
    <w:rsid w:val="001124EB"/>
    <w:rsid w:val="00112665"/>
    <w:rsid w:val="0011299B"/>
    <w:rsid w:val="001129D7"/>
    <w:rsid w:val="001129F3"/>
    <w:rsid w:val="00112AEB"/>
    <w:rsid w:val="00113068"/>
    <w:rsid w:val="00113078"/>
    <w:rsid w:val="0011340D"/>
    <w:rsid w:val="00113597"/>
    <w:rsid w:val="001136D9"/>
    <w:rsid w:val="00113979"/>
    <w:rsid w:val="0011397B"/>
    <w:rsid w:val="00113C6C"/>
    <w:rsid w:val="0011404E"/>
    <w:rsid w:val="0011408B"/>
    <w:rsid w:val="00114182"/>
    <w:rsid w:val="0011422E"/>
    <w:rsid w:val="00114410"/>
    <w:rsid w:val="00114420"/>
    <w:rsid w:val="00114488"/>
    <w:rsid w:val="0011460B"/>
    <w:rsid w:val="00114746"/>
    <w:rsid w:val="00114978"/>
    <w:rsid w:val="00114B27"/>
    <w:rsid w:val="00114E1E"/>
    <w:rsid w:val="0011541D"/>
    <w:rsid w:val="001158E8"/>
    <w:rsid w:val="00115A3F"/>
    <w:rsid w:val="00115B36"/>
    <w:rsid w:val="00115B43"/>
    <w:rsid w:val="00115B46"/>
    <w:rsid w:val="00115E77"/>
    <w:rsid w:val="00115F07"/>
    <w:rsid w:val="00116121"/>
    <w:rsid w:val="001161CB"/>
    <w:rsid w:val="00116509"/>
    <w:rsid w:val="00116AE9"/>
    <w:rsid w:val="00116D24"/>
    <w:rsid w:val="0011705D"/>
    <w:rsid w:val="0011707E"/>
    <w:rsid w:val="00117115"/>
    <w:rsid w:val="00117364"/>
    <w:rsid w:val="0011793F"/>
    <w:rsid w:val="00120006"/>
    <w:rsid w:val="00120240"/>
    <w:rsid w:val="001202C9"/>
    <w:rsid w:val="001204C0"/>
    <w:rsid w:val="001205AE"/>
    <w:rsid w:val="00120917"/>
    <w:rsid w:val="00120BD3"/>
    <w:rsid w:val="00120E78"/>
    <w:rsid w:val="00120FED"/>
    <w:rsid w:val="0012110D"/>
    <w:rsid w:val="00121453"/>
    <w:rsid w:val="00121766"/>
    <w:rsid w:val="00121C4B"/>
    <w:rsid w:val="00121D23"/>
    <w:rsid w:val="00121D74"/>
    <w:rsid w:val="00121E99"/>
    <w:rsid w:val="001220D2"/>
    <w:rsid w:val="00122291"/>
    <w:rsid w:val="001225E1"/>
    <w:rsid w:val="001226F7"/>
    <w:rsid w:val="00122899"/>
    <w:rsid w:val="00122C08"/>
    <w:rsid w:val="00122CA1"/>
    <w:rsid w:val="00122D1B"/>
    <w:rsid w:val="00122FEA"/>
    <w:rsid w:val="0012316B"/>
    <w:rsid w:val="00123232"/>
    <w:rsid w:val="001232BD"/>
    <w:rsid w:val="00123349"/>
    <w:rsid w:val="001234F8"/>
    <w:rsid w:val="001236DC"/>
    <w:rsid w:val="001237DE"/>
    <w:rsid w:val="00123814"/>
    <w:rsid w:val="0012388B"/>
    <w:rsid w:val="00123940"/>
    <w:rsid w:val="00123985"/>
    <w:rsid w:val="00123B11"/>
    <w:rsid w:val="00123CE8"/>
    <w:rsid w:val="00123DCB"/>
    <w:rsid w:val="00123E14"/>
    <w:rsid w:val="0012432A"/>
    <w:rsid w:val="00124358"/>
    <w:rsid w:val="001243BD"/>
    <w:rsid w:val="001243C2"/>
    <w:rsid w:val="00124573"/>
    <w:rsid w:val="0012470C"/>
    <w:rsid w:val="0012488F"/>
    <w:rsid w:val="001249E7"/>
    <w:rsid w:val="00124A9F"/>
    <w:rsid w:val="00124ED5"/>
    <w:rsid w:val="00125051"/>
    <w:rsid w:val="001250F9"/>
    <w:rsid w:val="00125129"/>
    <w:rsid w:val="00125368"/>
    <w:rsid w:val="00125416"/>
    <w:rsid w:val="0012558E"/>
    <w:rsid w:val="00125679"/>
    <w:rsid w:val="001256AC"/>
    <w:rsid w:val="001256B6"/>
    <w:rsid w:val="00125824"/>
    <w:rsid w:val="0012597E"/>
    <w:rsid w:val="001259E0"/>
    <w:rsid w:val="00125CD9"/>
    <w:rsid w:val="001261E4"/>
    <w:rsid w:val="00126308"/>
    <w:rsid w:val="0012665A"/>
    <w:rsid w:val="00126711"/>
    <w:rsid w:val="00126739"/>
    <w:rsid w:val="00126879"/>
    <w:rsid w:val="00126CB1"/>
    <w:rsid w:val="00126CDF"/>
    <w:rsid w:val="001272B9"/>
    <w:rsid w:val="001272C2"/>
    <w:rsid w:val="0012749E"/>
    <w:rsid w:val="00127699"/>
    <w:rsid w:val="001276FA"/>
    <w:rsid w:val="0012776C"/>
    <w:rsid w:val="00127815"/>
    <w:rsid w:val="00127904"/>
    <w:rsid w:val="00127DA3"/>
    <w:rsid w:val="00127F63"/>
    <w:rsid w:val="00130226"/>
    <w:rsid w:val="001305F2"/>
    <w:rsid w:val="001309D2"/>
    <w:rsid w:val="00130C18"/>
    <w:rsid w:val="00131539"/>
    <w:rsid w:val="00131738"/>
    <w:rsid w:val="00131763"/>
    <w:rsid w:val="001318B6"/>
    <w:rsid w:val="001318DF"/>
    <w:rsid w:val="00131D35"/>
    <w:rsid w:val="00131DB1"/>
    <w:rsid w:val="00131DCA"/>
    <w:rsid w:val="00131F2C"/>
    <w:rsid w:val="00132057"/>
    <w:rsid w:val="001320A6"/>
    <w:rsid w:val="001322F2"/>
    <w:rsid w:val="001323F4"/>
    <w:rsid w:val="0013262A"/>
    <w:rsid w:val="00132762"/>
    <w:rsid w:val="001328B1"/>
    <w:rsid w:val="00132CFB"/>
    <w:rsid w:val="00132D66"/>
    <w:rsid w:val="00132E0A"/>
    <w:rsid w:val="0013302B"/>
    <w:rsid w:val="001332F8"/>
    <w:rsid w:val="00133332"/>
    <w:rsid w:val="001333EE"/>
    <w:rsid w:val="00133835"/>
    <w:rsid w:val="00133EDD"/>
    <w:rsid w:val="00133F8A"/>
    <w:rsid w:val="001340C4"/>
    <w:rsid w:val="00134118"/>
    <w:rsid w:val="001341D5"/>
    <w:rsid w:val="0013445F"/>
    <w:rsid w:val="001345E4"/>
    <w:rsid w:val="001346AC"/>
    <w:rsid w:val="0013480E"/>
    <w:rsid w:val="00134B9A"/>
    <w:rsid w:val="00134B9E"/>
    <w:rsid w:val="00134C62"/>
    <w:rsid w:val="00134EDF"/>
    <w:rsid w:val="0013500F"/>
    <w:rsid w:val="001351B9"/>
    <w:rsid w:val="0013576A"/>
    <w:rsid w:val="001359E9"/>
    <w:rsid w:val="00135B63"/>
    <w:rsid w:val="00135E14"/>
    <w:rsid w:val="00135F2D"/>
    <w:rsid w:val="00135FE3"/>
    <w:rsid w:val="00136118"/>
    <w:rsid w:val="00136275"/>
    <w:rsid w:val="001362AD"/>
    <w:rsid w:val="001362FB"/>
    <w:rsid w:val="00136358"/>
    <w:rsid w:val="00136458"/>
    <w:rsid w:val="00136461"/>
    <w:rsid w:val="001364ED"/>
    <w:rsid w:val="00136723"/>
    <w:rsid w:val="0013692C"/>
    <w:rsid w:val="00136A65"/>
    <w:rsid w:val="00136CD4"/>
    <w:rsid w:val="00136F5C"/>
    <w:rsid w:val="0013714B"/>
    <w:rsid w:val="001373D9"/>
    <w:rsid w:val="00137E19"/>
    <w:rsid w:val="0014004D"/>
    <w:rsid w:val="001400F3"/>
    <w:rsid w:val="00140298"/>
    <w:rsid w:val="0014034E"/>
    <w:rsid w:val="001403F3"/>
    <w:rsid w:val="0014041C"/>
    <w:rsid w:val="00140581"/>
    <w:rsid w:val="001405C3"/>
    <w:rsid w:val="001406DF"/>
    <w:rsid w:val="00140CCF"/>
    <w:rsid w:val="0014119E"/>
    <w:rsid w:val="00141322"/>
    <w:rsid w:val="00141573"/>
    <w:rsid w:val="00141845"/>
    <w:rsid w:val="00141A83"/>
    <w:rsid w:val="00141DEC"/>
    <w:rsid w:val="00141E68"/>
    <w:rsid w:val="001423F1"/>
    <w:rsid w:val="001427D7"/>
    <w:rsid w:val="00142813"/>
    <w:rsid w:val="00142864"/>
    <w:rsid w:val="00142B03"/>
    <w:rsid w:val="00142B0E"/>
    <w:rsid w:val="00142F37"/>
    <w:rsid w:val="00142F4F"/>
    <w:rsid w:val="00142F62"/>
    <w:rsid w:val="00142FA6"/>
    <w:rsid w:val="00143333"/>
    <w:rsid w:val="0014353E"/>
    <w:rsid w:val="00143AC6"/>
    <w:rsid w:val="00143C0D"/>
    <w:rsid w:val="001447B3"/>
    <w:rsid w:val="001447D0"/>
    <w:rsid w:val="00144865"/>
    <w:rsid w:val="00144900"/>
    <w:rsid w:val="00144B0E"/>
    <w:rsid w:val="00144EF3"/>
    <w:rsid w:val="001451B0"/>
    <w:rsid w:val="001453B0"/>
    <w:rsid w:val="001459D9"/>
    <w:rsid w:val="001464CB"/>
    <w:rsid w:val="00146730"/>
    <w:rsid w:val="00146760"/>
    <w:rsid w:val="001468CC"/>
    <w:rsid w:val="001469A7"/>
    <w:rsid w:val="00146A9C"/>
    <w:rsid w:val="00146E6C"/>
    <w:rsid w:val="00146EE3"/>
    <w:rsid w:val="00147244"/>
    <w:rsid w:val="0014734B"/>
    <w:rsid w:val="00147403"/>
    <w:rsid w:val="001475DD"/>
    <w:rsid w:val="001479F2"/>
    <w:rsid w:val="00147B00"/>
    <w:rsid w:val="00147B98"/>
    <w:rsid w:val="00147E86"/>
    <w:rsid w:val="00150562"/>
    <w:rsid w:val="001505CC"/>
    <w:rsid w:val="0015079B"/>
    <w:rsid w:val="00150D69"/>
    <w:rsid w:val="00151B2D"/>
    <w:rsid w:val="00151B39"/>
    <w:rsid w:val="00151C68"/>
    <w:rsid w:val="00151EE8"/>
    <w:rsid w:val="00152005"/>
    <w:rsid w:val="00152073"/>
    <w:rsid w:val="001522B4"/>
    <w:rsid w:val="00152319"/>
    <w:rsid w:val="00152329"/>
    <w:rsid w:val="00152983"/>
    <w:rsid w:val="00152AF7"/>
    <w:rsid w:val="00152CE6"/>
    <w:rsid w:val="00152EA8"/>
    <w:rsid w:val="00152F06"/>
    <w:rsid w:val="00152F81"/>
    <w:rsid w:val="001530AA"/>
    <w:rsid w:val="001530C3"/>
    <w:rsid w:val="001531E1"/>
    <w:rsid w:val="001532F3"/>
    <w:rsid w:val="00153361"/>
    <w:rsid w:val="00153876"/>
    <w:rsid w:val="00153B00"/>
    <w:rsid w:val="00153B17"/>
    <w:rsid w:val="00153B6B"/>
    <w:rsid w:val="00153D6A"/>
    <w:rsid w:val="00153D9E"/>
    <w:rsid w:val="00153DEE"/>
    <w:rsid w:val="0015407E"/>
    <w:rsid w:val="001540AC"/>
    <w:rsid w:val="00154167"/>
    <w:rsid w:val="001541C1"/>
    <w:rsid w:val="0015429A"/>
    <w:rsid w:val="001543FA"/>
    <w:rsid w:val="001544CF"/>
    <w:rsid w:val="001544F3"/>
    <w:rsid w:val="001545F6"/>
    <w:rsid w:val="0015494E"/>
    <w:rsid w:val="00154B5B"/>
    <w:rsid w:val="00154BDD"/>
    <w:rsid w:val="00154CA9"/>
    <w:rsid w:val="00154D71"/>
    <w:rsid w:val="00154D8F"/>
    <w:rsid w:val="00154ED8"/>
    <w:rsid w:val="00154FDF"/>
    <w:rsid w:val="00154FFA"/>
    <w:rsid w:val="0015506E"/>
    <w:rsid w:val="00155898"/>
    <w:rsid w:val="00155ABC"/>
    <w:rsid w:val="00155B00"/>
    <w:rsid w:val="00155CA0"/>
    <w:rsid w:val="00155D28"/>
    <w:rsid w:val="00155D67"/>
    <w:rsid w:val="00155FA9"/>
    <w:rsid w:val="0015632E"/>
    <w:rsid w:val="00156598"/>
    <w:rsid w:val="001568B4"/>
    <w:rsid w:val="00156D12"/>
    <w:rsid w:val="00156DD6"/>
    <w:rsid w:val="00156F89"/>
    <w:rsid w:val="001572E4"/>
    <w:rsid w:val="00157548"/>
    <w:rsid w:val="0015758F"/>
    <w:rsid w:val="00157603"/>
    <w:rsid w:val="001577C5"/>
    <w:rsid w:val="0015793C"/>
    <w:rsid w:val="001579A2"/>
    <w:rsid w:val="00157DDB"/>
    <w:rsid w:val="00157DF1"/>
    <w:rsid w:val="0015B647"/>
    <w:rsid w:val="0016001B"/>
    <w:rsid w:val="001607B0"/>
    <w:rsid w:val="00160C0F"/>
    <w:rsid w:val="00160C5B"/>
    <w:rsid w:val="00160E30"/>
    <w:rsid w:val="00161380"/>
    <w:rsid w:val="00161408"/>
    <w:rsid w:val="0016172C"/>
    <w:rsid w:val="001618BA"/>
    <w:rsid w:val="00161939"/>
    <w:rsid w:val="00161AA0"/>
    <w:rsid w:val="00161AE5"/>
    <w:rsid w:val="00161D2E"/>
    <w:rsid w:val="00161E0D"/>
    <w:rsid w:val="00161F3E"/>
    <w:rsid w:val="00162093"/>
    <w:rsid w:val="00162435"/>
    <w:rsid w:val="00162541"/>
    <w:rsid w:val="00162998"/>
    <w:rsid w:val="00162A53"/>
    <w:rsid w:val="00162AF2"/>
    <w:rsid w:val="00162B5C"/>
    <w:rsid w:val="00162BD7"/>
    <w:rsid w:val="00162CA9"/>
    <w:rsid w:val="0016359E"/>
    <w:rsid w:val="0016375A"/>
    <w:rsid w:val="0016384E"/>
    <w:rsid w:val="00164493"/>
    <w:rsid w:val="00164573"/>
    <w:rsid w:val="0016475B"/>
    <w:rsid w:val="001649A5"/>
    <w:rsid w:val="00164A5B"/>
    <w:rsid w:val="00164A9A"/>
    <w:rsid w:val="00164B12"/>
    <w:rsid w:val="00164FCC"/>
    <w:rsid w:val="00165163"/>
    <w:rsid w:val="00165459"/>
    <w:rsid w:val="00165594"/>
    <w:rsid w:val="001658C5"/>
    <w:rsid w:val="00165A13"/>
    <w:rsid w:val="00165A57"/>
    <w:rsid w:val="00165D43"/>
    <w:rsid w:val="00165E25"/>
    <w:rsid w:val="00166176"/>
    <w:rsid w:val="00166430"/>
    <w:rsid w:val="00166487"/>
    <w:rsid w:val="00166787"/>
    <w:rsid w:val="00166A50"/>
    <w:rsid w:val="00166A9F"/>
    <w:rsid w:val="00166BFC"/>
    <w:rsid w:val="00166C3F"/>
    <w:rsid w:val="0016702D"/>
    <w:rsid w:val="0016709E"/>
    <w:rsid w:val="0016712E"/>
    <w:rsid w:val="001672F1"/>
    <w:rsid w:val="0016737B"/>
    <w:rsid w:val="00167AFD"/>
    <w:rsid w:val="00167B24"/>
    <w:rsid w:val="001700A8"/>
    <w:rsid w:val="0017025D"/>
    <w:rsid w:val="00170743"/>
    <w:rsid w:val="001707A6"/>
    <w:rsid w:val="001708AA"/>
    <w:rsid w:val="00170904"/>
    <w:rsid w:val="00170B3A"/>
    <w:rsid w:val="00170CA8"/>
    <w:rsid w:val="001712C2"/>
    <w:rsid w:val="001712FD"/>
    <w:rsid w:val="00171576"/>
    <w:rsid w:val="00171609"/>
    <w:rsid w:val="00171924"/>
    <w:rsid w:val="00171B43"/>
    <w:rsid w:val="00171BC2"/>
    <w:rsid w:val="00171EE3"/>
    <w:rsid w:val="001727F8"/>
    <w:rsid w:val="001727FD"/>
    <w:rsid w:val="001729D0"/>
    <w:rsid w:val="00172A2A"/>
    <w:rsid w:val="00172BAF"/>
    <w:rsid w:val="00172DEA"/>
    <w:rsid w:val="00172FD3"/>
    <w:rsid w:val="0017305D"/>
    <w:rsid w:val="0017313D"/>
    <w:rsid w:val="00173262"/>
    <w:rsid w:val="001739D8"/>
    <w:rsid w:val="00173B03"/>
    <w:rsid w:val="00173B34"/>
    <w:rsid w:val="00173C40"/>
    <w:rsid w:val="00173CB5"/>
    <w:rsid w:val="00173CC7"/>
    <w:rsid w:val="00173F3E"/>
    <w:rsid w:val="0017419F"/>
    <w:rsid w:val="00174424"/>
    <w:rsid w:val="00174581"/>
    <w:rsid w:val="001749A0"/>
    <w:rsid w:val="00174A13"/>
    <w:rsid w:val="00174A23"/>
    <w:rsid w:val="00174F43"/>
    <w:rsid w:val="00175088"/>
    <w:rsid w:val="00175181"/>
    <w:rsid w:val="00175BD8"/>
    <w:rsid w:val="00175D97"/>
    <w:rsid w:val="001760CE"/>
    <w:rsid w:val="00176192"/>
    <w:rsid w:val="00176327"/>
    <w:rsid w:val="001764CD"/>
    <w:rsid w:val="00176609"/>
    <w:rsid w:val="0017674D"/>
    <w:rsid w:val="00176750"/>
    <w:rsid w:val="00176947"/>
    <w:rsid w:val="001769F7"/>
    <w:rsid w:val="00176A14"/>
    <w:rsid w:val="00176B73"/>
    <w:rsid w:val="00176F53"/>
    <w:rsid w:val="001771DD"/>
    <w:rsid w:val="00177516"/>
    <w:rsid w:val="00177665"/>
    <w:rsid w:val="0017770A"/>
    <w:rsid w:val="00177858"/>
    <w:rsid w:val="001778F8"/>
    <w:rsid w:val="00177950"/>
    <w:rsid w:val="00177995"/>
    <w:rsid w:val="00177A8C"/>
    <w:rsid w:val="00177B11"/>
    <w:rsid w:val="00177F48"/>
    <w:rsid w:val="00180017"/>
    <w:rsid w:val="00180092"/>
    <w:rsid w:val="00180180"/>
    <w:rsid w:val="00180189"/>
    <w:rsid w:val="0018044B"/>
    <w:rsid w:val="001809B8"/>
    <w:rsid w:val="00180AA3"/>
    <w:rsid w:val="00180B05"/>
    <w:rsid w:val="00180BA9"/>
    <w:rsid w:val="00180BC9"/>
    <w:rsid w:val="00180D3C"/>
    <w:rsid w:val="00180EF3"/>
    <w:rsid w:val="00181418"/>
    <w:rsid w:val="001815D3"/>
    <w:rsid w:val="00181603"/>
    <w:rsid w:val="0018164D"/>
    <w:rsid w:val="00181820"/>
    <w:rsid w:val="001818E8"/>
    <w:rsid w:val="00181AB7"/>
    <w:rsid w:val="00181B4B"/>
    <w:rsid w:val="00181F88"/>
    <w:rsid w:val="00182022"/>
    <w:rsid w:val="0018227B"/>
    <w:rsid w:val="0018244E"/>
    <w:rsid w:val="00182451"/>
    <w:rsid w:val="0018247C"/>
    <w:rsid w:val="00182517"/>
    <w:rsid w:val="00182BD0"/>
    <w:rsid w:val="00182E35"/>
    <w:rsid w:val="00182E6E"/>
    <w:rsid w:val="00182F62"/>
    <w:rsid w:val="001831A1"/>
    <w:rsid w:val="00183343"/>
    <w:rsid w:val="001835D5"/>
    <w:rsid w:val="00183826"/>
    <w:rsid w:val="00183A6E"/>
    <w:rsid w:val="0018455C"/>
    <w:rsid w:val="0018482F"/>
    <w:rsid w:val="00184832"/>
    <w:rsid w:val="0018486C"/>
    <w:rsid w:val="00184D85"/>
    <w:rsid w:val="00184E4A"/>
    <w:rsid w:val="00184F8D"/>
    <w:rsid w:val="00185003"/>
    <w:rsid w:val="0018541B"/>
    <w:rsid w:val="0018548B"/>
    <w:rsid w:val="001854F4"/>
    <w:rsid w:val="0018577E"/>
    <w:rsid w:val="00185862"/>
    <w:rsid w:val="00185A8C"/>
    <w:rsid w:val="00185CED"/>
    <w:rsid w:val="00185D6B"/>
    <w:rsid w:val="00185F76"/>
    <w:rsid w:val="00185FC5"/>
    <w:rsid w:val="0018646F"/>
    <w:rsid w:val="0018691F"/>
    <w:rsid w:val="00186950"/>
    <w:rsid w:val="00186A4F"/>
    <w:rsid w:val="00186B33"/>
    <w:rsid w:val="00186B8F"/>
    <w:rsid w:val="00186C0E"/>
    <w:rsid w:val="00186C58"/>
    <w:rsid w:val="00186FAE"/>
    <w:rsid w:val="00187076"/>
    <w:rsid w:val="001871B7"/>
    <w:rsid w:val="0018738E"/>
    <w:rsid w:val="001873B7"/>
    <w:rsid w:val="0018765E"/>
    <w:rsid w:val="00187820"/>
    <w:rsid w:val="001902BB"/>
    <w:rsid w:val="00190497"/>
    <w:rsid w:val="001904A8"/>
    <w:rsid w:val="00190780"/>
    <w:rsid w:val="00190A30"/>
    <w:rsid w:val="00190C9D"/>
    <w:rsid w:val="00191036"/>
    <w:rsid w:val="0019169F"/>
    <w:rsid w:val="00191815"/>
    <w:rsid w:val="0019192A"/>
    <w:rsid w:val="00191B61"/>
    <w:rsid w:val="00191CC1"/>
    <w:rsid w:val="00191DF3"/>
    <w:rsid w:val="00191E2E"/>
    <w:rsid w:val="00191F41"/>
    <w:rsid w:val="00191F99"/>
    <w:rsid w:val="001929EA"/>
    <w:rsid w:val="00192AF6"/>
    <w:rsid w:val="00192CA9"/>
    <w:rsid w:val="00192F9D"/>
    <w:rsid w:val="001931AF"/>
    <w:rsid w:val="0019330D"/>
    <w:rsid w:val="00193388"/>
    <w:rsid w:val="001933C9"/>
    <w:rsid w:val="001934A2"/>
    <w:rsid w:val="001938D3"/>
    <w:rsid w:val="001938F7"/>
    <w:rsid w:val="00193AE3"/>
    <w:rsid w:val="00193FA0"/>
    <w:rsid w:val="001941E7"/>
    <w:rsid w:val="0019455A"/>
    <w:rsid w:val="00194696"/>
    <w:rsid w:val="00194703"/>
    <w:rsid w:val="00194706"/>
    <w:rsid w:val="001948E7"/>
    <w:rsid w:val="00194C8B"/>
    <w:rsid w:val="00194D6B"/>
    <w:rsid w:val="00195023"/>
    <w:rsid w:val="00195039"/>
    <w:rsid w:val="001951C4"/>
    <w:rsid w:val="0019538C"/>
    <w:rsid w:val="0019565F"/>
    <w:rsid w:val="00195712"/>
    <w:rsid w:val="00195730"/>
    <w:rsid w:val="00195812"/>
    <w:rsid w:val="00195845"/>
    <w:rsid w:val="00195B4E"/>
    <w:rsid w:val="00195CE7"/>
    <w:rsid w:val="00195D79"/>
    <w:rsid w:val="0019605E"/>
    <w:rsid w:val="00196400"/>
    <w:rsid w:val="00196474"/>
    <w:rsid w:val="0019653C"/>
    <w:rsid w:val="001965C0"/>
    <w:rsid w:val="00196847"/>
    <w:rsid w:val="001969F3"/>
    <w:rsid w:val="00196D34"/>
    <w:rsid w:val="00196EB8"/>
    <w:rsid w:val="00196EFB"/>
    <w:rsid w:val="00196F44"/>
    <w:rsid w:val="001970D6"/>
    <w:rsid w:val="00197105"/>
    <w:rsid w:val="001976E2"/>
    <w:rsid w:val="001978C6"/>
    <w:rsid w:val="001979AC"/>
    <w:rsid w:val="001979FF"/>
    <w:rsid w:val="00197A15"/>
    <w:rsid w:val="00197B17"/>
    <w:rsid w:val="00197CD9"/>
    <w:rsid w:val="001A00A9"/>
    <w:rsid w:val="001A0141"/>
    <w:rsid w:val="001A0265"/>
    <w:rsid w:val="001A0488"/>
    <w:rsid w:val="001A04D4"/>
    <w:rsid w:val="001A0669"/>
    <w:rsid w:val="001A07A3"/>
    <w:rsid w:val="001A07DC"/>
    <w:rsid w:val="001A0852"/>
    <w:rsid w:val="001A0BEA"/>
    <w:rsid w:val="001A1895"/>
    <w:rsid w:val="001A189C"/>
    <w:rsid w:val="001A1950"/>
    <w:rsid w:val="001A1C54"/>
    <w:rsid w:val="001A1E45"/>
    <w:rsid w:val="001A2258"/>
    <w:rsid w:val="001A2263"/>
    <w:rsid w:val="001A231B"/>
    <w:rsid w:val="001A26BB"/>
    <w:rsid w:val="001A27ED"/>
    <w:rsid w:val="001A298F"/>
    <w:rsid w:val="001A2A9D"/>
    <w:rsid w:val="001A2B10"/>
    <w:rsid w:val="001A2B11"/>
    <w:rsid w:val="001A2C52"/>
    <w:rsid w:val="001A2FFA"/>
    <w:rsid w:val="001A3201"/>
    <w:rsid w:val="001A3202"/>
    <w:rsid w:val="001A36ED"/>
    <w:rsid w:val="001A37AC"/>
    <w:rsid w:val="001A3904"/>
    <w:rsid w:val="001A39DB"/>
    <w:rsid w:val="001A3ACE"/>
    <w:rsid w:val="001A3B9D"/>
    <w:rsid w:val="001A3D21"/>
    <w:rsid w:val="001A3E0B"/>
    <w:rsid w:val="001A3E42"/>
    <w:rsid w:val="001A4138"/>
    <w:rsid w:val="001A43DA"/>
    <w:rsid w:val="001A453F"/>
    <w:rsid w:val="001A468B"/>
    <w:rsid w:val="001A4860"/>
    <w:rsid w:val="001A4A7F"/>
    <w:rsid w:val="001A4AC0"/>
    <w:rsid w:val="001A4B17"/>
    <w:rsid w:val="001A4D2B"/>
    <w:rsid w:val="001A4E0A"/>
    <w:rsid w:val="001A510E"/>
    <w:rsid w:val="001A5283"/>
    <w:rsid w:val="001A52BC"/>
    <w:rsid w:val="001A5308"/>
    <w:rsid w:val="001A530C"/>
    <w:rsid w:val="001A5330"/>
    <w:rsid w:val="001A559A"/>
    <w:rsid w:val="001A55BD"/>
    <w:rsid w:val="001A5604"/>
    <w:rsid w:val="001A574C"/>
    <w:rsid w:val="001A5C1D"/>
    <w:rsid w:val="001A619C"/>
    <w:rsid w:val="001A6272"/>
    <w:rsid w:val="001A627C"/>
    <w:rsid w:val="001A6306"/>
    <w:rsid w:val="001A6432"/>
    <w:rsid w:val="001A6541"/>
    <w:rsid w:val="001A7165"/>
    <w:rsid w:val="001A721B"/>
    <w:rsid w:val="001A74C0"/>
    <w:rsid w:val="001A74D8"/>
    <w:rsid w:val="001A752F"/>
    <w:rsid w:val="001A79FC"/>
    <w:rsid w:val="001A7B86"/>
    <w:rsid w:val="001A7C56"/>
    <w:rsid w:val="001A7D98"/>
    <w:rsid w:val="001B0300"/>
    <w:rsid w:val="001B03D9"/>
    <w:rsid w:val="001B03DE"/>
    <w:rsid w:val="001B058F"/>
    <w:rsid w:val="001B0B4A"/>
    <w:rsid w:val="001B0BEA"/>
    <w:rsid w:val="001B106B"/>
    <w:rsid w:val="001B112C"/>
    <w:rsid w:val="001B1177"/>
    <w:rsid w:val="001B12A1"/>
    <w:rsid w:val="001B12C1"/>
    <w:rsid w:val="001B139A"/>
    <w:rsid w:val="001B1623"/>
    <w:rsid w:val="001B164B"/>
    <w:rsid w:val="001B16F4"/>
    <w:rsid w:val="001B1792"/>
    <w:rsid w:val="001B1BA3"/>
    <w:rsid w:val="001B1BE7"/>
    <w:rsid w:val="001B1C81"/>
    <w:rsid w:val="001B2412"/>
    <w:rsid w:val="001B2423"/>
    <w:rsid w:val="001B251E"/>
    <w:rsid w:val="001B268A"/>
    <w:rsid w:val="001B2AF2"/>
    <w:rsid w:val="001B2D4A"/>
    <w:rsid w:val="001B2E29"/>
    <w:rsid w:val="001B2EB9"/>
    <w:rsid w:val="001B3029"/>
    <w:rsid w:val="001B303B"/>
    <w:rsid w:val="001B350F"/>
    <w:rsid w:val="001B355D"/>
    <w:rsid w:val="001B3918"/>
    <w:rsid w:val="001B3C0E"/>
    <w:rsid w:val="001B45E1"/>
    <w:rsid w:val="001B4AEA"/>
    <w:rsid w:val="001B4B67"/>
    <w:rsid w:val="001B4CA5"/>
    <w:rsid w:val="001B4CF9"/>
    <w:rsid w:val="001B4EB7"/>
    <w:rsid w:val="001B503F"/>
    <w:rsid w:val="001B5285"/>
    <w:rsid w:val="001B5347"/>
    <w:rsid w:val="001B5428"/>
    <w:rsid w:val="001B5441"/>
    <w:rsid w:val="001B5665"/>
    <w:rsid w:val="001B5690"/>
    <w:rsid w:val="001B5917"/>
    <w:rsid w:val="001B5B69"/>
    <w:rsid w:val="001B607F"/>
    <w:rsid w:val="001B62A6"/>
    <w:rsid w:val="001B676F"/>
    <w:rsid w:val="001B6B96"/>
    <w:rsid w:val="001B6E3D"/>
    <w:rsid w:val="001B7005"/>
    <w:rsid w:val="001B738B"/>
    <w:rsid w:val="001B73B5"/>
    <w:rsid w:val="001B750D"/>
    <w:rsid w:val="001B772F"/>
    <w:rsid w:val="001B779F"/>
    <w:rsid w:val="001B7824"/>
    <w:rsid w:val="001B7830"/>
    <w:rsid w:val="001B7836"/>
    <w:rsid w:val="001B784D"/>
    <w:rsid w:val="001B7ACE"/>
    <w:rsid w:val="001B7AF6"/>
    <w:rsid w:val="001B7D00"/>
    <w:rsid w:val="001B7DC1"/>
    <w:rsid w:val="001C00E9"/>
    <w:rsid w:val="001C0400"/>
    <w:rsid w:val="001C0691"/>
    <w:rsid w:val="001C06D1"/>
    <w:rsid w:val="001C090F"/>
    <w:rsid w:val="001C09DB"/>
    <w:rsid w:val="001C0B33"/>
    <w:rsid w:val="001C0BF9"/>
    <w:rsid w:val="001C0D1B"/>
    <w:rsid w:val="001C0E54"/>
    <w:rsid w:val="001C12A0"/>
    <w:rsid w:val="001C1559"/>
    <w:rsid w:val="001C17B3"/>
    <w:rsid w:val="001C1801"/>
    <w:rsid w:val="001C1958"/>
    <w:rsid w:val="001C1BC3"/>
    <w:rsid w:val="001C1F05"/>
    <w:rsid w:val="001C1F5F"/>
    <w:rsid w:val="001C1FD5"/>
    <w:rsid w:val="001C21CC"/>
    <w:rsid w:val="001C2388"/>
    <w:rsid w:val="001C24A0"/>
    <w:rsid w:val="001C26FB"/>
    <w:rsid w:val="001C277E"/>
    <w:rsid w:val="001C2A72"/>
    <w:rsid w:val="001C2DFE"/>
    <w:rsid w:val="001C31B7"/>
    <w:rsid w:val="001C3268"/>
    <w:rsid w:val="001C3333"/>
    <w:rsid w:val="001C33E5"/>
    <w:rsid w:val="001C341C"/>
    <w:rsid w:val="001C343A"/>
    <w:rsid w:val="001C35BA"/>
    <w:rsid w:val="001C37CA"/>
    <w:rsid w:val="001C3800"/>
    <w:rsid w:val="001C3BED"/>
    <w:rsid w:val="001C3EC4"/>
    <w:rsid w:val="001C4216"/>
    <w:rsid w:val="001C44A7"/>
    <w:rsid w:val="001C44CA"/>
    <w:rsid w:val="001C44FA"/>
    <w:rsid w:val="001C459E"/>
    <w:rsid w:val="001C486C"/>
    <w:rsid w:val="001C4881"/>
    <w:rsid w:val="001C48A7"/>
    <w:rsid w:val="001C49B4"/>
    <w:rsid w:val="001C49EB"/>
    <w:rsid w:val="001C4C22"/>
    <w:rsid w:val="001C4E23"/>
    <w:rsid w:val="001C50E9"/>
    <w:rsid w:val="001C52DF"/>
    <w:rsid w:val="001C5718"/>
    <w:rsid w:val="001C5847"/>
    <w:rsid w:val="001C5906"/>
    <w:rsid w:val="001C5DEB"/>
    <w:rsid w:val="001C6543"/>
    <w:rsid w:val="001C65CD"/>
    <w:rsid w:val="001C67D7"/>
    <w:rsid w:val="001C6DE9"/>
    <w:rsid w:val="001C6E5C"/>
    <w:rsid w:val="001C6E98"/>
    <w:rsid w:val="001C6EC9"/>
    <w:rsid w:val="001C70F4"/>
    <w:rsid w:val="001C7442"/>
    <w:rsid w:val="001C7651"/>
    <w:rsid w:val="001C78BC"/>
    <w:rsid w:val="001C7C43"/>
    <w:rsid w:val="001C7D6E"/>
    <w:rsid w:val="001C7D80"/>
    <w:rsid w:val="001C7DDE"/>
    <w:rsid w:val="001C7F38"/>
    <w:rsid w:val="001D0851"/>
    <w:rsid w:val="001D0A8C"/>
    <w:rsid w:val="001D0B75"/>
    <w:rsid w:val="001D0DC8"/>
    <w:rsid w:val="001D112F"/>
    <w:rsid w:val="001D119D"/>
    <w:rsid w:val="001D159A"/>
    <w:rsid w:val="001D1A56"/>
    <w:rsid w:val="001D2295"/>
    <w:rsid w:val="001D232D"/>
    <w:rsid w:val="001D2425"/>
    <w:rsid w:val="001D2429"/>
    <w:rsid w:val="001D24ED"/>
    <w:rsid w:val="001D27A7"/>
    <w:rsid w:val="001D2823"/>
    <w:rsid w:val="001D28D1"/>
    <w:rsid w:val="001D2AA3"/>
    <w:rsid w:val="001D2DA4"/>
    <w:rsid w:val="001D2DE8"/>
    <w:rsid w:val="001D2DF5"/>
    <w:rsid w:val="001D31ED"/>
    <w:rsid w:val="001D39A5"/>
    <w:rsid w:val="001D3C06"/>
    <w:rsid w:val="001D3C09"/>
    <w:rsid w:val="001D3D44"/>
    <w:rsid w:val="001D3E57"/>
    <w:rsid w:val="001D3EC7"/>
    <w:rsid w:val="001D43C8"/>
    <w:rsid w:val="001D4419"/>
    <w:rsid w:val="001D44E8"/>
    <w:rsid w:val="001D4877"/>
    <w:rsid w:val="001D49D3"/>
    <w:rsid w:val="001D49DD"/>
    <w:rsid w:val="001D4BCA"/>
    <w:rsid w:val="001D4CD4"/>
    <w:rsid w:val="001D4E5D"/>
    <w:rsid w:val="001D4ED8"/>
    <w:rsid w:val="001D56F4"/>
    <w:rsid w:val="001D57A3"/>
    <w:rsid w:val="001D594B"/>
    <w:rsid w:val="001D5C57"/>
    <w:rsid w:val="001D5D3A"/>
    <w:rsid w:val="001D5DAD"/>
    <w:rsid w:val="001D60EC"/>
    <w:rsid w:val="001D6373"/>
    <w:rsid w:val="001D66FF"/>
    <w:rsid w:val="001D674E"/>
    <w:rsid w:val="001D683D"/>
    <w:rsid w:val="001D68A2"/>
    <w:rsid w:val="001D6B44"/>
    <w:rsid w:val="001D6BCD"/>
    <w:rsid w:val="001D6CA9"/>
    <w:rsid w:val="001D6F59"/>
    <w:rsid w:val="001D6F79"/>
    <w:rsid w:val="001D7002"/>
    <w:rsid w:val="001D71FE"/>
    <w:rsid w:val="001D725B"/>
    <w:rsid w:val="001D7414"/>
    <w:rsid w:val="001D7962"/>
    <w:rsid w:val="001D7BC3"/>
    <w:rsid w:val="001D7C3C"/>
    <w:rsid w:val="001D7CF8"/>
    <w:rsid w:val="001D7FD8"/>
    <w:rsid w:val="001E0004"/>
    <w:rsid w:val="001E0204"/>
    <w:rsid w:val="001E0410"/>
    <w:rsid w:val="001E04B2"/>
    <w:rsid w:val="001E04C0"/>
    <w:rsid w:val="001E09F2"/>
    <w:rsid w:val="001E0A0B"/>
    <w:rsid w:val="001E0B7C"/>
    <w:rsid w:val="001E0BDC"/>
    <w:rsid w:val="001E0D82"/>
    <w:rsid w:val="001E0E43"/>
    <w:rsid w:val="001E1181"/>
    <w:rsid w:val="001E1320"/>
    <w:rsid w:val="001E148E"/>
    <w:rsid w:val="001E1533"/>
    <w:rsid w:val="001E1553"/>
    <w:rsid w:val="001E187C"/>
    <w:rsid w:val="001E1C68"/>
    <w:rsid w:val="001E1DF1"/>
    <w:rsid w:val="001E1E03"/>
    <w:rsid w:val="001E1E38"/>
    <w:rsid w:val="001E2061"/>
    <w:rsid w:val="001E225C"/>
    <w:rsid w:val="001E23E6"/>
    <w:rsid w:val="001E283A"/>
    <w:rsid w:val="001E299F"/>
    <w:rsid w:val="001E3182"/>
    <w:rsid w:val="001E35B7"/>
    <w:rsid w:val="001E3632"/>
    <w:rsid w:val="001E3688"/>
    <w:rsid w:val="001E38C9"/>
    <w:rsid w:val="001E3B5F"/>
    <w:rsid w:val="001E3D53"/>
    <w:rsid w:val="001E3E4F"/>
    <w:rsid w:val="001E43DF"/>
    <w:rsid w:val="001E44DF"/>
    <w:rsid w:val="001E453A"/>
    <w:rsid w:val="001E45C0"/>
    <w:rsid w:val="001E45F6"/>
    <w:rsid w:val="001E49B8"/>
    <w:rsid w:val="001E4E50"/>
    <w:rsid w:val="001E4F6A"/>
    <w:rsid w:val="001E5182"/>
    <w:rsid w:val="001E5196"/>
    <w:rsid w:val="001E53B1"/>
    <w:rsid w:val="001E56C4"/>
    <w:rsid w:val="001E57AA"/>
    <w:rsid w:val="001E59EC"/>
    <w:rsid w:val="001E5B31"/>
    <w:rsid w:val="001E6054"/>
    <w:rsid w:val="001E6133"/>
    <w:rsid w:val="001E626C"/>
    <w:rsid w:val="001E64CE"/>
    <w:rsid w:val="001E64E1"/>
    <w:rsid w:val="001E6627"/>
    <w:rsid w:val="001E667E"/>
    <w:rsid w:val="001E674E"/>
    <w:rsid w:val="001E67DB"/>
    <w:rsid w:val="001E68A5"/>
    <w:rsid w:val="001E6923"/>
    <w:rsid w:val="001E6938"/>
    <w:rsid w:val="001E69DB"/>
    <w:rsid w:val="001E6AEA"/>
    <w:rsid w:val="001E6BB0"/>
    <w:rsid w:val="001E6C22"/>
    <w:rsid w:val="001E70B6"/>
    <w:rsid w:val="001E7282"/>
    <w:rsid w:val="001E7483"/>
    <w:rsid w:val="001E74E8"/>
    <w:rsid w:val="001E75FB"/>
    <w:rsid w:val="001E77EA"/>
    <w:rsid w:val="001E7982"/>
    <w:rsid w:val="001E7BF3"/>
    <w:rsid w:val="001E7CC5"/>
    <w:rsid w:val="001E7E13"/>
    <w:rsid w:val="001F008F"/>
    <w:rsid w:val="001F01B4"/>
    <w:rsid w:val="001F0345"/>
    <w:rsid w:val="001F038E"/>
    <w:rsid w:val="001F0417"/>
    <w:rsid w:val="001F05A4"/>
    <w:rsid w:val="001F05DB"/>
    <w:rsid w:val="001F085D"/>
    <w:rsid w:val="001F0A00"/>
    <w:rsid w:val="001F0B57"/>
    <w:rsid w:val="001F0B91"/>
    <w:rsid w:val="001F0BAD"/>
    <w:rsid w:val="001F0C04"/>
    <w:rsid w:val="001F0C4B"/>
    <w:rsid w:val="001F0FE6"/>
    <w:rsid w:val="001F0FF2"/>
    <w:rsid w:val="001F136F"/>
    <w:rsid w:val="001F1532"/>
    <w:rsid w:val="001F162A"/>
    <w:rsid w:val="001F1846"/>
    <w:rsid w:val="001F192C"/>
    <w:rsid w:val="001F19AD"/>
    <w:rsid w:val="001F1A91"/>
    <w:rsid w:val="001F1C1A"/>
    <w:rsid w:val="001F1D87"/>
    <w:rsid w:val="001F1F2F"/>
    <w:rsid w:val="001F1FDC"/>
    <w:rsid w:val="001F2519"/>
    <w:rsid w:val="001F264C"/>
    <w:rsid w:val="001F26B7"/>
    <w:rsid w:val="001F2A76"/>
    <w:rsid w:val="001F2BB6"/>
    <w:rsid w:val="001F2E0C"/>
    <w:rsid w:val="001F2FE9"/>
    <w:rsid w:val="001F30A8"/>
    <w:rsid w:val="001F31BB"/>
    <w:rsid w:val="001F3302"/>
    <w:rsid w:val="001F3314"/>
    <w:rsid w:val="001F3387"/>
    <w:rsid w:val="001F3472"/>
    <w:rsid w:val="001F37B5"/>
    <w:rsid w:val="001F3826"/>
    <w:rsid w:val="001F3944"/>
    <w:rsid w:val="001F3A3A"/>
    <w:rsid w:val="001F3D72"/>
    <w:rsid w:val="001F3EA4"/>
    <w:rsid w:val="001F3EC7"/>
    <w:rsid w:val="001F4160"/>
    <w:rsid w:val="001F44FB"/>
    <w:rsid w:val="001F45A6"/>
    <w:rsid w:val="001F4643"/>
    <w:rsid w:val="001F46B5"/>
    <w:rsid w:val="001F48DB"/>
    <w:rsid w:val="001F4963"/>
    <w:rsid w:val="001F4FCB"/>
    <w:rsid w:val="001F52BB"/>
    <w:rsid w:val="001F52F4"/>
    <w:rsid w:val="001F541A"/>
    <w:rsid w:val="001F5565"/>
    <w:rsid w:val="001F5608"/>
    <w:rsid w:val="001F5C41"/>
    <w:rsid w:val="001F5D9C"/>
    <w:rsid w:val="001F5E4D"/>
    <w:rsid w:val="001F606E"/>
    <w:rsid w:val="001F614B"/>
    <w:rsid w:val="001F61C8"/>
    <w:rsid w:val="001F6383"/>
    <w:rsid w:val="001F6647"/>
    <w:rsid w:val="001F6805"/>
    <w:rsid w:val="001F6A2F"/>
    <w:rsid w:val="001F6CCB"/>
    <w:rsid w:val="001F6E2B"/>
    <w:rsid w:val="001F6E46"/>
    <w:rsid w:val="001F6EF2"/>
    <w:rsid w:val="001F6FF1"/>
    <w:rsid w:val="001F72D1"/>
    <w:rsid w:val="001F72D8"/>
    <w:rsid w:val="001F74AA"/>
    <w:rsid w:val="001F767D"/>
    <w:rsid w:val="001F76CB"/>
    <w:rsid w:val="001F7B1F"/>
    <w:rsid w:val="001F7C91"/>
    <w:rsid w:val="00200495"/>
    <w:rsid w:val="00200580"/>
    <w:rsid w:val="00200746"/>
    <w:rsid w:val="002008AE"/>
    <w:rsid w:val="002009BB"/>
    <w:rsid w:val="00200A52"/>
    <w:rsid w:val="00200ABF"/>
    <w:rsid w:val="00200BC6"/>
    <w:rsid w:val="00200D72"/>
    <w:rsid w:val="0020123D"/>
    <w:rsid w:val="00201390"/>
    <w:rsid w:val="0020142C"/>
    <w:rsid w:val="002014A8"/>
    <w:rsid w:val="002015EC"/>
    <w:rsid w:val="002016FF"/>
    <w:rsid w:val="00201779"/>
    <w:rsid w:val="00201D51"/>
    <w:rsid w:val="00201E3C"/>
    <w:rsid w:val="002021CF"/>
    <w:rsid w:val="0020241C"/>
    <w:rsid w:val="00202944"/>
    <w:rsid w:val="00202AA9"/>
    <w:rsid w:val="00202BFB"/>
    <w:rsid w:val="00202F21"/>
    <w:rsid w:val="0020339B"/>
    <w:rsid w:val="002033B7"/>
    <w:rsid w:val="00203928"/>
    <w:rsid w:val="00203A70"/>
    <w:rsid w:val="00203A94"/>
    <w:rsid w:val="00203B11"/>
    <w:rsid w:val="002041AC"/>
    <w:rsid w:val="0020422C"/>
    <w:rsid w:val="00204262"/>
    <w:rsid w:val="0020430C"/>
    <w:rsid w:val="0020462D"/>
    <w:rsid w:val="002046C4"/>
    <w:rsid w:val="002047B7"/>
    <w:rsid w:val="00204B78"/>
    <w:rsid w:val="00204E7C"/>
    <w:rsid w:val="002051E9"/>
    <w:rsid w:val="00205216"/>
    <w:rsid w:val="00205314"/>
    <w:rsid w:val="002059D3"/>
    <w:rsid w:val="00205B62"/>
    <w:rsid w:val="00205C77"/>
    <w:rsid w:val="00205CA2"/>
    <w:rsid w:val="00205FD6"/>
    <w:rsid w:val="002061F4"/>
    <w:rsid w:val="00206463"/>
    <w:rsid w:val="0020656B"/>
    <w:rsid w:val="002068EC"/>
    <w:rsid w:val="00206F2F"/>
    <w:rsid w:val="002070FD"/>
    <w:rsid w:val="002071EA"/>
    <w:rsid w:val="002071F5"/>
    <w:rsid w:val="002072E2"/>
    <w:rsid w:val="00207491"/>
    <w:rsid w:val="00207575"/>
    <w:rsid w:val="002076AC"/>
    <w:rsid w:val="00207717"/>
    <w:rsid w:val="0020772A"/>
    <w:rsid w:val="00207743"/>
    <w:rsid w:val="00207ABB"/>
    <w:rsid w:val="00207ED5"/>
    <w:rsid w:val="00210350"/>
    <w:rsid w:val="00210413"/>
    <w:rsid w:val="0021053D"/>
    <w:rsid w:val="00210563"/>
    <w:rsid w:val="00210697"/>
    <w:rsid w:val="00210A1E"/>
    <w:rsid w:val="00210A92"/>
    <w:rsid w:val="00210E4D"/>
    <w:rsid w:val="0021132F"/>
    <w:rsid w:val="0021146F"/>
    <w:rsid w:val="0021158C"/>
    <w:rsid w:val="0021186B"/>
    <w:rsid w:val="002118D9"/>
    <w:rsid w:val="00211965"/>
    <w:rsid w:val="00211E6F"/>
    <w:rsid w:val="00211ED4"/>
    <w:rsid w:val="00212190"/>
    <w:rsid w:val="00212424"/>
    <w:rsid w:val="002129E4"/>
    <w:rsid w:val="002129EF"/>
    <w:rsid w:val="00212B95"/>
    <w:rsid w:val="00212E1D"/>
    <w:rsid w:val="00212E8A"/>
    <w:rsid w:val="00212F45"/>
    <w:rsid w:val="002130F9"/>
    <w:rsid w:val="0021314E"/>
    <w:rsid w:val="00213566"/>
    <w:rsid w:val="002135EB"/>
    <w:rsid w:val="00213613"/>
    <w:rsid w:val="0021361A"/>
    <w:rsid w:val="00213E13"/>
    <w:rsid w:val="00213E1A"/>
    <w:rsid w:val="00213EBD"/>
    <w:rsid w:val="002141B4"/>
    <w:rsid w:val="002141C5"/>
    <w:rsid w:val="00214223"/>
    <w:rsid w:val="002144D2"/>
    <w:rsid w:val="00214581"/>
    <w:rsid w:val="00214898"/>
    <w:rsid w:val="00214E68"/>
    <w:rsid w:val="00215134"/>
    <w:rsid w:val="002153EF"/>
    <w:rsid w:val="0021550F"/>
    <w:rsid w:val="002155F8"/>
    <w:rsid w:val="002158EA"/>
    <w:rsid w:val="00215C06"/>
    <w:rsid w:val="00215C0E"/>
    <w:rsid w:val="00215CC8"/>
    <w:rsid w:val="00215D34"/>
    <w:rsid w:val="00216171"/>
    <w:rsid w:val="002162C9"/>
    <w:rsid w:val="002165F4"/>
    <w:rsid w:val="002169F6"/>
    <w:rsid w:val="00216C03"/>
    <w:rsid w:val="00216D02"/>
    <w:rsid w:val="00216E39"/>
    <w:rsid w:val="00216F02"/>
    <w:rsid w:val="00216FEB"/>
    <w:rsid w:val="002173D4"/>
    <w:rsid w:val="002175F3"/>
    <w:rsid w:val="00217765"/>
    <w:rsid w:val="00217E0D"/>
    <w:rsid w:val="002201A7"/>
    <w:rsid w:val="002202FB"/>
    <w:rsid w:val="002203FD"/>
    <w:rsid w:val="00220463"/>
    <w:rsid w:val="002204BF"/>
    <w:rsid w:val="00220616"/>
    <w:rsid w:val="00220778"/>
    <w:rsid w:val="00220A1A"/>
    <w:rsid w:val="00220B49"/>
    <w:rsid w:val="00220C04"/>
    <w:rsid w:val="00220D07"/>
    <w:rsid w:val="0022121F"/>
    <w:rsid w:val="0022179F"/>
    <w:rsid w:val="002220A9"/>
    <w:rsid w:val="00222690"/>
    <w:rsid w:val="0022278D"/>
    <w:rsid w:val="002228E5"/>
    <w:rsid w:val="00222C57"/>
    <w:rsid w:val="00222CA4"/>
    <w:rsid w:val="00222EF4"/>
    <w:rsid w:val="00222FB9"/>
    <w:rsid w:val="002236BC"/>
    <w:rsid w:val="00223731"/>
    <w:rsid w:val="0022387F"/>
    <w:rsid w:val="002239D6"/>
    <w:rsid w:val="00223D7E"/>
    <w:rsid w:val="00224037"/>
    <w:rsid w:val="00224194"/>
    <w:rsid w:val="002242D2"/>
    <w:rsid w:val="00224635"/>
    <w:rsid w:val="002247E7"/>
    <w:rsid w:val="00224978"/>
    <w:rsid w:val="00224A96"/>
    <w:rsid w:val="00224E98"/>
    <w:rsid w:val="00224F39"/>
    <w:rsid w:val="0022541E"/>
    <w:rsid w:val="0022591C"/>
    <w:rsid w:val="00225AAB"/>
    <w:rsid w:val="00225D19"/>
    <w:rsid w:val="00225F5A"/>
    <w:rsid w:val="00225FC2"/>
    <w:rsid w:val="002260B8"/>
    <w:rsid w:val="002263B1"/>
    <w:rsid w:val="00226486"/>
    <w:rsid w:val="002265E0"/>
    <w:rsid w:val="00226907"/>
    <w:rsid w:val="0022691F"/>
    <w:rsid w:val="00226AAA"/>
    <w:rsid w:val="00226CB3"/>
    <w:rsid w:val="00226E46"/>
    <w:rsid w:val="0022701F"/>
    <w:rsid w:val="002270C0"/>
    <w:rsid w:val="00227345"/>
    <w:rsid w:val="00227455"/>
    <w:rsid w:val="00227549"/>
    <w:rsid w:val="0022769C"/>
    <w:rsid w:val="00227725"/>
    <w:rsid w:val="00227957"/>
    <w:rsid w:val="00227AFE"/>
    <w:rsid w:val="00227B37"/>
    <w:rsid w:val="00227C00"/>
    <w:rsid w:val="00227C68"/>
    <w:rsid w:val="00227D46"/>
    <w:rsid w:val="00227EC1"/>
    <w:rsid w:val="00230031"/>
    <w:rsid w:val="00230113"/>
    <w:rsid w:val="00230324"/>
    <w:rsid w:val="002303F9"/>
    <w:rsid w:val="00230564"/>
    <w:rsid w:val="00230607"/>
    <w:rsid w:val="00230AEA"/>
    <w:rsid w:val="00230D09"/>
    <w:rsid w:val="00230E03"/>
    <w:rsid w:val="00230EBF"/>
    <w:rsid w:val="00230EE1"/>
    <w:rsid w:val="00231576"/>
    <w:rsid w:val="00231795"/>
    <w:rsid w:val="00231B3D"/>
    <w:rsid w:val="00231C2C"/>
    <w:rsid w:val="00231D0A"/>
    <w:rsid w:val="00231D43"/>
    <w:rsid w:val="002326DF"/>
    <w:rsid w:val="00232954"/>
    <w:rsid w:val="00232A2A"/>
    <w:rsid w:val="00232FF5"/>
    <w:rsid w:val="0023314E"/>
    <w:rsid w:val="0023336F"/>
    <w:rsid w:val="002333F5"/>
    <w:rsid w:val="00233573"/>
    <w:rsid w:val="002335B9"/>
    <w:rsid w:val="00233724"/>
    <w:rsid w:val="00233A86"/>
    <w:rsid w:val="00233BA8"/>
    <w:rsid w:val="0023432D"/>
    <w:rsid w:val="002346F5"/>
    <w:rsid w:val="0023491D"/>
    <w:rsid w:val="0023497E"/>
    <w:rsid w:val="00234A5D"/>
    <w:rsid w:val="00234C72"/>
    <w:rsid w:val="00234EA1"/>
    <w:rsid w:val="00234F04"/>
    <w:rsid w:val="002352F0"/>
    <w:rsid w:val="002354F5"/>
    <w:rsid w:val="0023550B"/>
    <w:rsid w:val="00235B25"/>
    <w:rsid w:val="00235B76"/>
    <w:rsid w:val="00235C47"/>
    <w:rsid w:val="00235EC1"/>
    <w:rsid w:val="002361FA"/>
    <w:rsid w:val="0023645D"/>
    <w:rsid w:val="002364F3"/>
    <w:rsid w:val="0023657D"/>
    <w:rsid w:val="002365B4"/>
    <w:rsid w:val="002366FF"/>
    <w:rsid w:val="00236A56"/>
    <w:rsid w:val="00236D8D"/>
    <w:rsid w:val="00236ECA"/>
    <w:rsid w:val="00236F6E"/>
    <w:rsid w:val="00237087"/>
    <w:rsid w:val="002372ED"/>
    <w:rsid w:val="0023736E"/>
    <w:rsid w:val="002378BA"/>
    <w:rsid w:val="00237A2C"/>
    <w:rsid w:val="00237A44"/>
    <w:rsid w:val="00237C41"/>
    <w:rsid w:val="00240131"/>
    <w:rsid w:val="0024024F"/>
    <w:rsid w:val="002402BF"/>
    <w:rsid w:val="00240420"/>
    <w:rsid w:val="002405F8"/>
    <w:rsid w:val="002408E1"/>
    <w:rsid w:val="00240942"/>
    <w:rsid w:val="00240B20"/>
    <w:rsid w:val="00240D2E"/>
    <w:rsid w:val="00240E2F"/>
    <w:rsid w:val="00240E53"/>
    <w:rsid w:val="0024119D"/>
    <w:rsid w:val="00241442"/>
    <w:rsid w:val="002415F0"/>
    <w:rsid w:val="0024176F"/>
    <w:rsid w:val="002417A5"/>
    <w:rsid w:val="002417BB"/>
    <w:rsid w:val="00241809"/>
    <w:rsid w:val="00241862"/>
    <w:rsid w:val="00241A46"/>
    <w:rsid w:val="00241D04"/>
    <w:rsid w:val="00241DCE"/>
    <w:rsid w:val="00241F0C"/>
    <w:rsid w:val="00241F82"/>
    <w:rsid w:val="0024205F"/>
    <w:rsid w:val="00242436"/>
    <w:rsid w:val="00242691"/>
    <w:rsid w:val="00242738"/>
    <w:rsid w:val="00242F53"/>
    <w:rsid w:val="00243172"/>
    <w:rsid w:val="00243190"/>
    <w:rsid w:val="002432E1"/>
    <w:rsid w:val="002433E8"/>
    <w:rsid w:val="00243544"/>
    <w:rsid w:val="002435FD"/>
    <w:rsid w:val="00243855"/>
    <w:rsid w:val="00243B25"/>
    <w:rsid w:val="00243F96"/>
    <w:rsid w:val="002441C9"/>
    <w:rsid w:val="00244550"/>
    <w:rsid w:val="00244579"/>
    <w:rsid w:val="00244720"/>
    <w:rsid w:val="00244983"/>
    <w:rsid w:val="00244B98"/>
    <w:rsid w:val="00244B9B"/>
    <w:rsid w:val="00244C7F"/>
    <w:rsid w:val="00244E34"/>
    <w:rsid w:val="00244FCD"/>
    <w:rsid w:val="002450B6"/>
    <w:rsid w:val="0024511B"/>
    <w:rsid w:val="0024513C"/>
    <w:rsid w:val="0024531E"/>
    <w:rsid w:val="00245321"/>
    <w:rsid w:val="00245410"/>
    <w:rsid w:val="0024575D"/>
    <w:rsid w:val="0024595C"/>
    <w:rsid w:val="00245A35"/>
    <w:rsid w:val="00245AC4"/>
    <w:rsid w:val="00245AC7"/>
    <w:rsid w:val="00245BB4"/>
    <w:rsid w:val="00245CA5"/>
    <w:rsid w:val="00245E50"/>
    <w:rsid w:val="00246070"/>
    <w:rsid w:val="002460A9"/>
    <w:rsid w:val="00246207"/>
    <w:rsid w:val="0024651B"/>
    <w:rsid w:val="0024655D"/>
    <w:rsid w:val="00246703"/>
    <w:rsid w:val="00246B68"/>
    <w:rsid w:val="00246C5E"/>
    <w:rsid w:val="00246CDA"/>
    <w:rsid w:val="00246E36"/>
    <w:rsid w:val="00246FD4"/>
    <w:rsid w:val="00247167"/>
    <w:rsid w:val="002472AD"/>
    <w:rsid w:val="002472E6"/>
    <w:rsid w:val="00247A1C"/>
    <w:rsid w:val="00247A58"/>
    <w:rsid w:val="00247BE7"/>
    <w:rsid w:val="00247CB8"/>
    <w:rsid w:val="00247CB9"/>
    <w:rsid w:val="00247F5E"/>
    <w:rsid w:val="002501C5"/>
    <w:rsid w:val="00250327"/>
    <w:rsid w:val="002503C7"/>
    <w:rsid w:val="002503EB"/>
    <w:rsid w:val="0025085E"/>
    <w:rsid w:val="00250960"/>
    <w:rsid w:val="00250A0A"/>
    <w:rsid w:val="00250C43"/>
    <w:rsid w:val="00251323"/>
    <w:rsid w:val="00251343"/>
    <w:rsid w:val="00251581"/>
    <w:rsid w:val="00251638"/>
    <w:rsid w:val="00251848"/>
    <w:rsid w:val="0025199A"/>
    <w:rsid w:val="00251BCB"/>
    <w:rsid w:val="00251D99"/>
    <w:rsid w:val="0025234A"/>
    <w:rsid w:val="002523B7"/>
    <w:rsid w:val="002528DC"/>
    <w:rsid w:val="00252AD8"/>
    <w:rsid w:val="00252AEA"/>
    <w:rsid w:val="00252B53"/>
    <w:rsid w:val="00252F79"/>
    <w:rsid w:val="0025326A"/>
    <w:rsid w:val="002535F0"/>
    <w:rsid w:val="002536A4"/>
    <w:rsid w:val="00253735"/>
    <w:rsid w:val="0025374E"/>
    <w:rsid w:val="00253876"/>
    <w:rsid w:val="002538AC"/>
    <w:rsid w:val="00253CB6"/>
    <w:rsid w:val="00253D34"/>
    <w:rsid w:val="00253DF8"/>
    <w:rsid w:val="00253F2F"/>
    <w:rsid w:val="00253F88"/>
    <w:rsid w:val="002541A4"/>
    <w:rsid w:val="002541BA"/>
    <w:rsid w:val="0025423A"/>
    <w:rsid w:val="00254418"/>
    <w:rsid w:val="0025476F"/>
    <w:rsid w:val="00254796"/>
    <w:rsid w:val="00254D65"/>
    <w:rsid w:val="00254F58"/>
    <w:rsid w:val="00255021"/>
    <w:rsid w:val="00255291"/>
    <w:rsid w:val="002554D2"/>
    <w:rsid w:val="002555CD"/>
    <w:rsid w:val="002555D8"/>
    <w:rsid w:val="00255622"/>
    <w:rsid w:val="00255829"/>
    <w:rsid w:val="00255992"/>
    <w:rsid w:val="002559FD"/>
    <w:rsid w:val="00255AAD"/>
    <w:rsid w:val="00256158"/>
    <w:rsid w:val="002561A3"/>
    <w:rsid w:val="002561D6"/>
    <w:rsid w:val="0025648E"/>
    <w:rsid w:val="0025668D"/>
    <w:rsid w:val="00256690"/>
    <w:rsid w:val="002566E0"/>
    <w:rsid w:val="0025677D"/>
    <w:rsid w:val="002567F3"/>
    <w:rsid w:val="00256ABA"/>
    <w:rsid w:val="00256B61"/>
    <w:rsid w:val="00256BBE"/>
    <w:rsid w:val="00256BD6"/>
    <w:rsid w:val="00256C99"/>
    <w:rsid w:val="00256EAC"/>
    <w:rsid w:val="00257101"/>
    <w:rsid w:val="00257244"/>
    <w:rsid w:val="00257357"/>
    <w:rsid w:val="002573E1"/>
    <w:rsid w:val="0025745E"/>
    <w:rsid w:val="00257598"/>
    <w:rsid w:val="00257AAD"/>
    <w:rsid w:val="00257AAF"/>
    <w:rsid w:val="00257CA1"/>
    <w:rsid w:val="00257CC9"/>
    <w:rsid w:val="00260157"/>
    <w:rsid w:val="0026058D"/>
    <w:rsid w:val="002605F4"/>
    <w:rsid w:val="00260D73"/>
    <w:rsid w:val="00260E52"/>
    <w:rsid w:val="0026109A"/>
    <w:rsid w:val="00261634"/>
    <w:rsid w:val="002618FB"/>
    <w:rsid w:val="00261AAD"/>
    <w:rsid w:val="00261C98"/>
    <w:rsid w:val="00261E3F"/>
    <w:rsid w:val="002620BC"/>
    <w:rsid w:val="002620D5"/>
    <w:rsid w:val="00262139"/>
    <w:rsid w:val="00262281"/>
    <w:rsid w:val="00262732"/>
    <w:rsid w:val="00262802"/>
    <w:rsid w:val="00262A45"/>
    <w:rsid w:val="00262DA7"/>
    <w:rsid w:val="00262E5E"/>
    <w:rsid w:val="0026315A"/>
    <w:rsid w:val="002634B4"/>
    <w:rsid w:val="00263594"/>
    <w:rsid w:val="00263647"/>
    <w:rsid w:val="002636F5"/>
    <w:rsid w:val="002637A6"/>
    <w:rsid w:val="00263A2A"/>
    <w:rsid w:val="00263A90"/>
    <w:rsid w:val="0026408B"/>
    <w:rsid w:val="00264185"/>
    <w:rsid w:val="00264191"/>
    <w:rsid w:val="00264210"/>
    <w:rsid w:val="00264485"/>
    <w:rsid w:val="00264605"/>
    <w:rsid w:val="00264626"/>
    <w:rsid w:val="002646EE"/>
    <w:rsid w:val="0026470F"/>
    <w:rsid w:val="00264B95"/>
    <w:rsid w:val="00264BA2"/>
    <w:rsid w:val="00264F96"/>
    <w:rsid w:val="00265CA8"/>
    <w:rsid w:val="00265D25"/>
    <w:rsid w:val="002663D0"/>
    <w:rsid w:val="00266895"/>
    <w:rsid w:val="00266896"/>
    <w:rsid w:val="00266BD4"/>
    <w:rsid w:val="00267152"/>
    <w:rsid w:val="002671FE"/>
    <w:rsid w:val="0026727F"/>
    <w:rsid w:val="002672CD"/>
    <w:rsid w:val="002673BA"/>
    <w:rsid w:val="002673F2"/>
    <w:rsid w:val="00267572"/>
    <w:rsid w:val="002675EC"/>
    <w:rsid w:val="0026780B"/>
    <w:rsid w:val="00267C3E"/>
    <w:rsid w:val="00267EEF"/>
    <w:rsid w:val="00270109"/>
    <w:rsid w:val="002706CA"/>
    <w:rsid w:val="00270872"/>
    <w:rsid w:val="002708DF"/>
    <w:rsid w:val="002709BB"/>
    <w:rsid w:val="00270DAE"/>
    <w:rsid w:val="00270EB7"/>
    <w:rsid w:val="002711F4"/>
    <w:rsid w:val="0027131C"/>
    <w:rsid w:val="002715AF"/>
    <w:rsid w:val="002715C0"/>
    <w:rsid w:val="002715CD"/>
    <w:rsid w:val="0027180D"/>
    <w:rsid w:val="0027188A"/>
    <w:rsid w:val="002718B8"/>
    <w:rsid w:val="002719E0"/>
    <w:rsid w:val="00271D1F"/>
    <w:rsid w:val="00271D2C"/>
    <w:rsid w:val="00272156"/>
    <w:rsid w:val="00272481"/>
    <w:rsid w:val="0027255B"/>
    <w:rsid w:val="0027257E"/>
    <w:rsid w:val="002725D7"/>
    <w:rsid w:val="002726E1"/>
    <w:rsid w:val="002726F6"/>
    <w:rsid w:val="00272F56"/>
    <w:rsid w:val="00273298"/>
    <w:rsid w:val="002733BF"/>
    <w:rsid w:val="00273499"/>
    <w:rsid w:val="00273BAC"/>
    <w:rsid w:val="00273F25"/>
    <w:rsid w:val="00273FF9"/>
    <w:rsid w:val="00274232"/>
    <w:rsid w:val="002742A6"/>
    <w:rsid w:val="00274564"/>
    <w:rsid w:val="002746D7"/>
    <w:rsid w:val="00274975"/>
    <w:rsid w:val="00274A71"/>
    <w:rsid w:val="00274ED7"/>
    <w:rsid w:val="002754AD"/>
    <w:rsid w:val="002754EF"/>
    <w:rsid w:val="00275739"/>
    <w:rsid w:val="00275835"/>
    <w:rsid w:val="00275857"/>
    <w:rsid w:val="00275BD1"/>
    <w:rsid w:val="00275D95"/>
    <w:rsid w:val="00275EAA"/>
    <w:rsid w:val="00275FA7"/>
    <w:rsid w:val="002761A6"/>
    <w:rsid w:val="0027628F"/>
    <w:rsid w:val="002763AB"/>
    <w:rsid w:val="002763B3"/>
    <w:rsid w:val="0027647F"/>
    <w:rsid w:val="002764EC"/>
    <w:rsid w:val="002766B8"/>
    <w:rsid w:val="00276C59"/>
    <w:rsid w:val="00276C86"/>
    <w:rsid w:val="00277071"/>
    <w:rsid w:val="0027716C"/>
    <w:rsid w:val="002771F8"/>
    <w:rsid w:val="00277349"/>
    <w:rsid w:val="0027749A"/>
    <w:rsid w:val="002775F5"/>
    <w:rsid w:val="00277A2A"/>
    <w:rsid w:val="00277C35"/>
    <w:rsid w:val="00277D0E"/>
    <w:rsid w:val="00277D84"/>
    <w:rsid w:val="00277ED0"/>
    <w:rsid w:val="0028003C"/>
    <w:rsid w:val="00280177"/>
    <w:rsid w:val="00280221"/>
    <w:rsid w:val="002802BF"/>
    <w:rsid w:val="002802E3"/>
    <w:rsid w:val="0028036F"/>
    <w:rsid w:val="00280390"/>
    <w:rsid w:val="002803FE"/>
    <w:rsid w:val="00280631"/>
    <w:rsid w:val="0028071F"/>
    <w:rsid w:val="002808F8"/>
    <w:rsid w:val="00280919"/>
    <w:rsid w:val="00280C10"/>
    <w:rsid w:val="00280E5F"/>
    <w:rsid w:val="00280F35"/>
    <w:rsid w:val="002812B3"/>
    <w:rsid w:val="002814BD"/>
    <w:rsid w:val="0028155B"/>
    <w:rsid w:val="0028162D"/>
    <w:rsid w:val="00281666"/>
    <w:rsid w:val="00281AA0"/>
    <w:rsid w:val="00281B29"/>
    <w:rsid w:val="00281D33"/>
    <w:rsid w:val="00281DFB"/>
    <w:rsid w:val="00281E18"/>
    <w:rsid w:val="0028213D"/>
    <w:rsid w:val="002821E2"/>
    <w:rsid w:val="002823B9"/>
    <w:rsid w:val="002823F4"/>
    <w:rsid w:val="002824B1"/>
    <w:rsid w:val="00282AA8"/>
    <w:rsid w:val="00282BB8"/>
    <w:rsid w:val="00282C07"/>
    <w:rsid w:val="00282FC7"/>
    <w:rsid w:val="00283071"/>
    <w:rsid w:val="002833D1"/>
    <w:rsid w:val="00283474"/>
    <w:rsid w:val="0028362C"/>
    <w:rsid w:val="0028376A"/>
    <w:rsid w:val="002838EA"/>
    <w:rsid w:val="00283967"/>
    <w:rsid w:val="00283A16"/>
    <w:rsid w:val="00283BFE"/>
    <w:rsid w:val="00284032"/>
    <w:rsid w:val="00284583"/>
    <w:rsid w:val="002845E6"/>
    <w:rsid w:val="0028498C"/>
    <w:rsid w:val="00284A85"/>
    <w:rsid w:val="00284B23"/>
    <w:rsid w:val="00284D5B"/>
    <w:rsid w:val="002853B4"/>
    <w:rsid w:val="002854BE"/>
    <w:rsid w:val="002856C6"/>
    <w:rsid w:val="002857FF"/>
    <w:rsid w:val="00285B3B"/>
    <w:rsid w:val="00285C4B"/>
    <w:rsid w:val="00285D50"/>
    <w:rsid w:val="00285E9E"/>
    <w:rsid w:val="00285EB0"/>
    <w:rsid w:val="00286138"/>
    <w:rsid w:val="002862F1"/>
    <w:rsid w:val="002865C7"/>
    <w:rsid w:val="002865E9"/>
    <w:rsid w:val="0028697B"/>
    <w:rsid w:val="00286A33"/>
    <w:rsid w:val="00286ABD"/>
    <w:rsid w:val="00286BD2"/>
    <w:rsid w:val="00286CA3"/>
    <w:rsid w:val="00286F2E"/>
    <w:rsid w:val="002870A4"/>
    <w:rsid w:val="002871E6"/>
    <w:rsid w:val="0028752F"/>
    <w:rsid w:val="00287646"/>
    <w:rsid w:val="002878F3"/>
    <w:rsid w:val="00287902"/>
    <w:rsid w:val="00287A63"/>
    <w:rsid w:val="00287D8A"/>
    <w:rsid w:val="00287E66"/>
    <w:rsid w:val="00287F4F"/>
    <w:rsid w:val="00290183"/>
    <w:rsid w:val="00290243"/>
    <w:rsid w:val="0029028B"/>
    <w:rsid w:val="00290B42"/>
    <w:rsid w:val="0029110F"/>
    <w:rsid w:val="00291373"/>
    <w:rsid w:val="00291385"/>
    <w:rsid w:val="0029157B"/>
    <w:rsid w:val="002915D8"/>
    <w:rsid w:val="002915EB"/>
    <w:rsid w:val="002917A2"/>
    <w:rsid w:val="0029191F"/>
    <w:rsid w:val="00291EC6"/>
    <w:rsid w:val="00291ED2"/>
    <w:rsid w:val="00292609"/>
    <w:rsid w:val="00292648"/>
    <w:rsid w:val="00292771"/>
    <w:rsid w:val="0029286C"/>
    <w:rsid w:val="00292AE7"/>
    <w:rsid w:val="00292C73"/>
    <w:rsid w:val="00293198"/>
    <w:rsid w:val="00293217"/>
    <w:rsid w:val="00293498"/>
    <w:rsid w:val="00293834"/>
    <w:rsid w:val="00293E41"/>
    <w:rsid w:val="002940D4"/>
    <w:rsid w:val="0029419D"/>
    <w:rsid w:val="00294996"/>
    <w:rsid w:val="00294A68"/>
    <w:rsid w:val="00294AE8"/>
    <w:rsid w:val="00294B8B"/>
    <w:rsid w:val="00294BBB"/>
    <w:rsid w:val="00294D9D"/>
    <w:rsid w:val="00294DC6"/>
    <w:rsid w:val="00295216"/>
    <w:rsid w:val="00295296"/>
    <w:rsid w:val="0029564E"/>
    <w:rsid w:val="00295824"/>
    <w:rsid w:val="0029597D"/>
    <w:rsid w:val="00295A03"/>
    <w:rsid w:val="00295ECB"/>
    <w:rsid w:val="002961AA"/>
    <w:rsid w:val="00296231"/>
    <w:rsid w:val="002962C3"/>
    <w:rsid w:val="002963CE"/>
    <w:rsid w:val="002967EB"/>
    <w:rsid w:val="00296839"/>
    <w:rsid w:val="00296C8D"/>
    <w:rsid w:val="00296E44"/>
    <w:rsid w:val="00296ED6"/>
    <w:rsid w:val="002972CD"/>
    <w:rsid w:val="00297489"/>
    <w:rsid w:val="0029752B"/>
    <w:rsid w:val="002977F7"/>
    <w:rsid w:val="00297980"/>
    <w:rsid w:val="00297A1E"/>
    <w:rsid w:val="00297A28"/>
    <w:rsid w:val="00297D5D"/>
    <w:rsid w:val="00297E2A"/>
    <w:rsid w:val="00297E2F"/>
    <w:rsid w:val="00297E55"/>
    <w:rsid w:val="002A01C1"/>
    <w:rsid w:val="002A03D5"/>
    <w:rsid w:val="002A042B"/>
    <w:rsid w:val="002A0A9C"/>
    <w:rsid w:val="002A0BE2"/>
    <w:rsid w:val="002A0FC3"/>
    <w:rsid w:val="002A10A8"/>
    <w:rsid w:val="002A118F"/>
    <w:rsid w:val="002A142E"/>
    <w:rsid w:val="002A1546"/>
    <w:rsid w:val="002A1866"/>
    <w:rsid w:val="002A1891"/>
    <w:rsid w:val="002A1B86"/>
    <w:rsid w:val="002A1BFE"/>
    <w:rsid w:val="002A1D61"/>
    <w:rsid w:val="002A1E80"/>
    <w:rsid w:val="002A25C2"/>
    <w:rsid w:val="002A276F"/>
    <w:rsid w:val="002A2954"/>
    <w:rsid w:val="002A2955"/>
    <w:rsid w:val="002A2AB8"/>
    <w:rsid w:val="002A2D41"/>
    <w:rsid w:val="002A3008"/>
    <w:rsid w:val="002A32AB"/>
    <w:rsid w:val="002A3729"/>
    <w:rsid w:val="002A37F8"/>
    <w:rsid w:val="002A3C2A"/>
    <w:rsid w:val="002A3E24"/>
    <w:rsid w:val="002A3ECB"/>
    <w:rsid w:val="002A4075"/>
    <w:rsid w:val="002A40F7"/>
    <w:rsid w:val="002A4787"/>
    <w:rsid w:val="002A478C"/>
    <w:rsid w:val="002A47EE"/>
    <w:rsid w:val="002A483C"/>
    <w:rsid w:val="002A4A92"/>
    <w:rsid w:val="002A4FCD"/>
    <w:rsid w:val="002A4FEB"/>
    <w:rsid w:val="002A5336"/>
    <w:rsid w:val="002A54A5"/>
    <w:rsid w:val="002A56F3"/>
    <w:rsid w:val="002A571A"/>
    <w:rsid w:val="002A5841"/>
    <w:rsid w:val="002A58C7"/>
    <w:rsid w:val="002A593D"/>
    <w:rsid w:val="002A5A6C"/>
    <w:rsid w:val="002A5EA3"/>
    <w:rsid w:val="002A697B"/>
    <w:rsid w:val="002A6A13"/>
    <w:rsid w:val="002A6C1C"/>
    <w:rsid w:val="002A7120"/>
    <w:rsid w:val="002A7358"/>
    <w:rsid w:val="002A73FF"/>
    <w:rsid w:val="002A755E"/>
    <w:rsid w:val="002A7736"/>
    <w:rsid w:val="002A78BB"/>
    <w:rsid w:val="002A7911"/>
    <w:rsid w:val="002A7A17"/>
    <w:rsid w:val="002A7D5D"/>
    <w:rsid w:val="002A7D63"/>
    <w:rsid w:val="002A7FCB"/>
    <w:rsid w:val="002B0031"/>
    <w:rsid w:val="002B0161"/>
    <w:rsid w:val="002B05A3"/>
    <w:rsid w:val="002B096C"/>
    <w:rsid w:val="002B0AED"/>
    <w:rsid w:val="002B0C09"/>
    <w:rsid w:val="002B0C7C"/>
    <w:rsid w:val="002B0F82"/>
    <w:rsid w:val="002B101F"/>
    <w:rsid w:val="002B1157"/>
    <w:rsid w:val="002B1285"/>
    <w:rsid w:val="002B1390"/>
    <w:rsid w:val="002B1729"/>
    <w:rsid w:val="002B17EA"/>
    <w:rsid w:val="002B18FE"/>
    <w:rsid w:val="002B19EE"/>
    <w:rsid w:val="002B1B71"/>
    <w:rsid w:val="002B1F03"/>
    <w:rsid w:val="002B1F05"/>
    <w:rsid w:val="002B223A"/>
    <w:rsid w:val="002B22E3"/>
    <w:rsid w:val="002B2730"/>
    <w:rsid w:val="002B2996"/>
    <w:rsid w:val="002B2A02"/>
    <w:rsid w:val="002B2AA0"/>
    <w:rsid w:val="002B2C5E"/>
    <w:rsid w:val="002B2D29"/>
    <w:rsid w:val="002B2E76"/>
    <w:rsid w:val="002B2FA6"/>
    <w:rsid w:val="002B2FD0"/>
    <w:rsid w:val="002B3273"/>
    <w:rsid w:val="002B3413"/>
    <w:rsid w:val="002B3641"/>
    <w:rsid w:val="002B36C7"/>
    <w:rsid w:val="002B3C87"/>
    <w:rsid w:val="002B3C90"/>
    <w:rsid w:val="002B41EF"/>
    <w:rsid w:val="002B431B"/>
    <w:rsid w:val="002B43FE"/>
    <w:rsid w:val="002B4469"/>
    <w:rsid w:val="002B450B"/>
    <w:rsid w:val="002B4848"/>
    <w:rsid w:val="002B4DD4"/>
    <w:rsid w:val="002B4E2C"/>
    <w:rsid w:val="002B4E61"/>
    <w:rsid w:val="002B5277"/>
    <w:rsid w:val="002B5375"/>
    <w:rsid w:val="002B565E"/>
    <w:rsid w:val="002B5676"/>
    <w:rsid w:val="002B59A2"/>
    <w:rsid w:val="002B5B25"/>
    <w:rsid w:val="002B5BEF"/>
    <w:rsid w:val="002B5D6D"/>
    <w:rsid w:val="002B5D7E"/>
    <w:rsid w:val="002B5EF4"/>
    <w:rsid w:val="002B60C1"/>
    <w:rsid w:val="002B61C3"/>
    <w:rsid w:val="002B6A55"/>
    <w:rsid w:val="002B6C0C"/>
    <w:rsid w:val="002B6C43"/>
    <w:rsid w:val="002B6E30"/>
    <w:rsid w:val="002B6E3C"/>
    <w:rsid w:val="002B6EBF"/>
    <w:rsid w:val="002B750C"/>
    <w:rsid w:val="002B777F"/>
    <w:rsid w:val="002B77C1"/>
    <w:rsid w:val="002B7A55"/>
    <w:rsid w:val="002B7B00"/>
    <w:rsid w:val="002B7B37"/>
    <w:rsid w:val="002B7C37"/>
    <w:rsid w:val="002C011E"/>
    <w:rsid w:val="002C0244"/>
    <w:rsid w:val="002C0551"/>
    <w:rsid w:val="002C0838"/>
    <w:rsid w:val="002C085A"/>
    <w:rsid w:val="002C08F8"/>
    <w:rsid w:val="002C09C9"/>
    <w:rsid w:val="002C0A94"/>
    <w:rsid w:val="002C0C03"/>
    <w:rsid w:val="002C0E63"/>
    <w:rsid w:val="002C0ECF"/>
    <w:rsid w:val="002C0ED7"/>
    <w:rsid w:val="002C0F14"/>
    <w:rsid w:val="002C105E"/>
    <w:rsid w:val="002C1345"/>
    <w:rsid w:val="002C166E"/>
    <w:rsid w:val="002C1996"/>
    <w:rsid w:val="002C19A3"/>
    <w:rsid w:val="002C1A2F"/>
    <w:rsid w:val="002C1ABC"/>
    <w:rsid w:val="002C1E57"/>
    <w:rsid w:val="002C2068"/>
    <w:rsid w:val="002C20F6"/>
    <w:rsid w:val="002C21AD"/>
    <w:rsid w:val="002C2210"/>
    <w:rsid w:val="002C2229"/>
    <w:rsid w:val="002C233E"/>
    <w:rsid w:val="002C259E"/>
    <w:rsid w:val="002C260C"/>
    <w:rsid w:val="002C26E1"/>
    <w:rsid w:val="002C2728"/>
    <w:rsid w:val="002C299C"/>
    <w:rsid w:val="002C2F58"/>
    <w:rsid w:val="002C3151"/>
    <w:rsid w:val="002C33EF"/>
    <w:rsid w:val="002C35D4"/>
    <w:rsid w:val="002C3868"/>
    <w:rsid w:val="002C3A16"/>
    <w:rsid w:val="002C3A69"/>
    <w:rsid w:val="002C3A9A"/>
    <w:rsid w:val="002C3AC8"/>
    <w:rsid w:val="002C3FF3"/>
    <w:rsid w:val="002C41AE"/>
    <w:rsid w:val="002C4283"/>
    <w:rsid w:val="002C4390"/>
    <w:rsid w:val="002C454D"/>
    <w:rsid w:val="002C45B9"/>
    <w:rsid w:val="002C4679"/>
    <w:rsid w:val="002C4B5E"/>
    <w:rsid w:val="002C4CCF"/>
    <w:rsid w:val="002C4D01"/>
    <w:rsid w:val="002C50EA"/>
    <w:rsid w:val="002C515D"/>
    <w:rsid w:val="002C5305"/>
    <w:rsid w:val="002C534B"/>
    <w:rsid w:val="002C573A"/>
    <w:rsid w:val="002C583A"/>
    <w:rsid w:val="002C5902"/>
    <w:rsid w:val="002C5B7C"/>
    <w:rsid w:val="002C5CD8"/>
    <w:rsid w:val="002C5D1A"/>
    <w:rsid w:val="002C5D2B"/>
    <w:rsid w:val="002C5D50"/>
    <w:rsid w:val="002C6091"/>
    <w:rsid w:val="002C6161"/>
    <w:rsid w:val="002C627A"/>
    <w:rsid w:val="002C62C2"/>
    <w:rsid w:val="002C632D"/>
    <w:rsid w:val="002C6356"/>
    <w:rsid w:val="002C65B7"/>
    <w:rsid w:val="002C6D01"/>
    <w:rsid w:val="002C6FE7"/>
    <w:rsid w:val="002C70CA"/>
    <w:rsid w:val="002C74FF"/>
    <w:rsid w:val="002C7BAB"/>
    <w:rsid w:val="002C7E7B"/>
    <w:rsid w:val="002D00A0"/>
    <w:rsid w:val="002D06FD"/>
    <w:rsid w:val="002D0818"/>
    <w:rsid w:val="002D0BFA"/>
    <w:rsid w:val="002D0C00"/>
    <w:rsid w:val="002D0C02"/>
    <w:rsid w:val="002D0DA1"/>
    <w:rsid w:val="002D0F28"/>
    <w:rsid w:val="002D1015"/>
    <w:rsid w:val="002D103D"/>
    <w:rsid w:val="002D107E"/>
    <w:rsid w:val="002D13DE"/>
    <w:rsid w:val="002D14BD"/>
    <w:rsid w:val="002D1954"/>
    <w:rsid w:val="002D1AFF"/>
    <w:rsid w:val="002D1B54"/>
    <w:rsid w:val="002D1E0D"/>
    <w:rsid w:val="002D1F9B"/>
    <w:rsid w:val="002D201C"/>
    <w:rsid w:val="002D2514"/>
    <w:rsid w:val="002D255C"/>
    <w:rsid w:val="002D2957"/>
    <w:rsid w:val="002D2CA3"/>
    <w:rsid w:val="002D2D3C"/>
    <w:rsid w:val="002D32C5"/>
    <w:rsid w:val="002D32EB"/>
    <w:rsid w:val="002D365B"/>
    <w:rsid w:val="002D374E"/>
    <w:rsid w:val="002D37A7"/>
    <w:rsid w:val="002D380F"/>
    <w:rsid w:val="002D3902"/>
    <w:rsid w:val="002D3FC1"/>
    <w:rsid w:val="002D4110"/>
    <w:rsid w:val="002D4313"/>
    <w:rsid w:val="002D4828"/>
    <w:rsid w:val="002D4A84"/>
    <w:rsid w:val="002D4B8C"/>
    <w:rsid w:val="002D4BD0"/>
    <w:rsid w:val="002D4D12"/>
    <w:rsid w:val="002D4D30"/>
    <w:rsid w:val="002D4D70"/>
    <w:rsid w:val="002D4D86"/>
    <w:rsid w:val="002D4E62"/>
    <w:rsid w:val="002D5006"/>
    <w:rsid w:val="002D50FB"/>
    <w:rsid w:val="002D5192"/>
    <w:rsid w:val="002D55BA"/>
    <w:rsid w:val="002D57F1"/>
    <w:rsid w:val="002D5A36"/>
    <w:rsid w:val="002D5B21"/>
    <w:rsid w:val="002D6019"/>
    <w:rsid w:val="002D6131"/>
    <w:rsid w:val="002D6161"/>
    <w:rsid w:val="002D6193"/>
    <w:rsid w:val="002D621E"/>
    <w:rsid w:val="002D63AC"/>
    <w:rsid w:val="002D6999"/>
    <w:rsid w:val="002D6C0E"/>
    <w:rsid w:val="002D6C37"/>
    <w:rsid w:val="002D6DC3"/>
    <w:rsid w:val="002D6DEB"/>
    <w:rsid w:val="002D6F2D"/>
    <w:rsid w:val="002D71B0"/>
    <w:rsid w:val="002D71BB"/>
    <w:rsid w:val="002D7223"/>
    <w:rsid w:val="002D7236"/>
    <w:rsid w:val="002D76B4"/>
    <w:rsid w:val="002D7BC6"/>
    <w:rsid w:val="002D7C61"/>
    <w:rsid w:val="002D7C6B"/>
    <w:rsid w:val="002D7D5D"/>
    <w:rsid w:val="002D7EC8"/>
    <w:rsid w:val="002D7F2E"/>
    <w:rsid w:val="002E01D0"/>
    <w:rsid w:val="002E0313"/>
    <w:rsid w:val="002E0E2F"/>
    <w:rsid w:val="002E10AF"/>
    <w:rsid w:val="002E1535"/>
    <w:rsid w:val="002E161D"/>
    <w:rsid w:val="002E1893"/>
    <w:rsid w:val="002E1904"/>
    <w:rsid w:val="002E19D4"/>
    <w:rsid w:val="002E1AC3"/>
    <w:rsid w:val="002E1C9E"/>
    <w:rsid w:val="002E1D3F"/>
    <w:rsid w:val="002E1FEE"/>
    <w:rsid w:val="002E2467"/>
    <w:rsid w:val="002E2649"/>
    <w:rsid w:val="002E2799"/>
    <w:rsid w:val="002E28A2"/>
    <w:rsid w:val="002E2AF7"/>
    <w:rsid w:val="002E2D6B"/>
    <w:rsid w:val="002E2F7D"/>
    <w:rsid w:val="002E3100"/>
    <w:rsid w:val="002E311D"/>
    <w:rsid w:val="002E3231"/>
    <w:rsid w:val="002E3535"/>
    <w:rsid w:val="002E396D"/>
    <w:rsid w:val="002E3E7F"/>
    <w:rsid w:val="002E401C"/>
    <w:rsid w:val="002E428A"/>
    <w:rsid w:val="002E4718"/>
    <w:rsid w:val="002E47BA"/>
    <w:rsid w:val="002E4849"/>
    <w:rsid w:val="002E4C77"/>
    <w:rsid w:val="002E4D88"/>
    <w:rsid w:val="002E4EC6"/>
    <w:rsid w:val="002E528B"/>
    <w:rsid w:val="002E54A0"/>
    <w:rsid w:val="002E5551"/>
    <w:rsid w:val="002E57D8"/>
    <w:rsid w:val="002E5930"/>
    <w:rsid w:val="002E5C4E"/>
    <w:rsid w:val="002E6164"/>
    <w:rsid w:val="002E62A6"/>
    <w:rsid w:val="002E63A0"/>
    <w:rsid w:val="002E656C"/>
    <w:rsid w:val="002E6C49"/>
    <w:rsid w:val="002E6C95"/>
    <w:rsid w:val="002E6D27"/>
    <w:rsid w:val="002E6EDF"/>
    <w:rsid w:val="002E6F92"/>
    <w:rsid w:val="002E711B"/>
    <w:rsid w:val="002E7157"/>
    <w:rsid w:val="002E72A4"/>
    <w:rsid w:val="002E7492"/>
    <w:rsid w:val="002E7A7D"/>
    <w:rsid w:val="002E7C36"/>
    <w:rsid w:val="002E7E8E"/>
    <w:rsid w:val="002F024F"/>
    <w:rsid w:val="002F02C8"/>
    <w:rsid w:val="002F035A"/>
    <w:rsid w:val="002F0448"/>
    <w:rsid w:val="002F0723"/>
    <w:rsid w:val="002F07F3"/>
    <w:rsid w:val="002F0BCA"/>
    <w:rsid w:val="002F0D72"/>
    <w:rsid w:val="002F0E32"/>
    <w:rsid w:val="002F10A6"/>
    <w:rsid w:val="002F122E"/>
    <w:rsid w:val="002F141C"/>
    <w:rsid w:val="002F15C1"/>
    <w:rsid w:val="002F1721"/>
    <w:rsid w:val="002F1836"/>
    <w:rsid w:val="002F188B"/>
    <w:rsid w:val="002F1FC8"/>
    <w:rsid w:val="002F1FFC"/>
    <w:rsid w:val="002F22AF"/>
    <w:rsid w:val="002F2307"/>
    <w:rsid w:val="002F24AC"/>
    <w:rsid w:val="002F2A7F"/>
    <w:rsid w:val="002F2CD8"/>
    <w:rsid w:val="002F30AF"/>
    <w:rsid w:val="002F30C7"/>
    <w:rsid w:val="002F322D"/>
    <w:rsid w:val="002F33BF"/>
    <w:rsid w:val="002F34A0"/>
    <w:rsid w:val="002F3608"/>
    <w:rsid w:val="002F38D4"/>
    <w:rsid w:val="002F3C31"/>
    <w:rsid w:val="002F3C62"/>
    <w:rsid w:val="002F3D32"/>
    <w:rsid w:val="002F3DF8"/>
    <w:rsid w:val="002F3E09"/>
    <w:rsid w:val="002F3ECA"/>
    <w:rsid w:val="002F4036"/>
    <w:rsid w:val="002F42BF"/>
    <w:rsid w:val="002F449C"/>
    <w:rsid w:val="002F459F"/>
    <w:rsid w:val="002F48A3"/>
    <w:rsid w:val="002F48C1"/>
    <w:rsid w:val="002F49D9"/>
    <w:rsid w:val="002F4E09"/>
    <w:rsid w:val="002F5104"/>
    <w:rsid w:val="002F526F"/>
    <w:rsid w:val="002F5305"/>
    <w:rsid w:val="002F53BA"/>
    <w:rsid w:val="002F53CA"/>
    <w:rsid w:val="002F5606"/>
    <w:rsid w:val="002F5669"/>
    <w:rsid w:val="002F56F9"/>
    <w:rsid w:val="002F5726"/>
    <w:rsid w:val="002F5765"/>
    <w:rsid w:val="002F59C5"/>
    <w:rsid w:val="002F5A48"/>
    <w:rsid w:val="002F5A57"/>
    <w:rsid w:val="002F5C3D"/>
    <w:rsid w:val="002F5D36"/>
    <w:rsid w:val="002F5DC3"/>
    <w:rsid w:val="002F5F1D"/>
    <w:rsid w:val="002F5F31"/>
    <w:rsid w:val="002F5F46"/>
    <w:rsid w:val="002F61B6"/>
    <w:rsid w:val="002F6201"/>
    <w:rsid w:val="002F63F7"/>
    <w:rsid w:val="002F6508"/>
    <w:rsid w:val="002F6585"/>
    <w:rsid w:val="002F6BE3"/>
    <w:rsid w:val="002F6FDB"/>
    <w:rsid w:val="002F7001"/>
    <w:rsid w:val="002F702A"/>
    <w:rsid w:val="002F71AB"/>
    <w:rsid w:val="002F71F6"/>
    <w:rsid w:val="002F7589"/>
    <w:rsid w:val="002F77F5"/>
    <w:rsid w:val="002F78E3"/>
    <w:rsid w:val="002F7AB7"/>
    <w:rsid w:val="002F7B73"/>
    <w:rsid w:val="002F7D4B"/>
    <w:rsid w:val="002F7D53"/>
    <w:rsid w:val="00300559"/>
    <w:rsid w:val="003006A3"/>
    <w:rsid w:val="003006DE"/>
    <w:rsid w:val="0030083A"/>
    <w:rsid w:val="00300971"/>
    <w:rsid w:val="00300AA5"/>
    <w:rsid w:val="00300C5F"/>
    <w:rsid w:val="00301121"/>
    <w:rsid w:val="003014E2"/>
    <w:rsid w:val="0030151B"/>
    <w:rsid w:val="003016F8"/>
    <w:rsid w:val="00301AC5"/>
    <w:rsid w:val="00301D9F"/>
    <w:rsid w:val="0030217D"/>
    <w:rsid w:val="00302216"/>
    <w:rsid w:val="003022B1"/>
    <w:rsid w:val="003023C3"/>
    <w:rsid w:val="003028D4"/>
    <w:rsid w:val="00302DFA"/>
    <w:rsid w:val="00302ED9"/>
    <w:rsid w:val="003032EA"/>
    <w:rsid w:val="003038DB"/>
    <w:rsid w:val="00303C57"/>
    <w:rsid w:val="00303D54"/>
    <w:rsid w:val="00303E53"/>
    <w:rsid w:val="003043A1"/>
    <w:rsid w:val="00304652"/>
    <w:rsid w:val="00304694"/>
    <w:rsid w:val="00304BED"/>
    <w:rsid w:val="00304F47"/>
    <w:rsid w:val="003051C8"/>
    <w:rsid w:val="00305376"/>
    <w:rsid w:val="00305495"/>
    <w:rsid w:val="003058EF"/>
    <w:rsid w:val="00305B76"/>
    <w:rsid w:val="00305CC1"/>
    <w:rsid w:val="00305DEE"/>
    <w:rsid w:val="00305EDB"/>
    <w:rsid w:val="00306032"/>
    <w:rsid w:val="003060C6"/>
    <w:rsid w:val="0030624B"/>
    <w:rsid w:val="003064A5"/>
    <w:rsid w:val="003067FA"/>
    <w:rsid w:val="0030681E"/>
    <w:rsid w:val="00306BD4"/>
    <w:rsid w:val="00306C24"/>
    <w:rsid w:val="00306E5F"/>
    <w:rsid w:val="00306ED3"/>
    <w:rsid w:val="0030750F"/>
    <w:rsid w:val="0030751E"/>
    <w:rsid w:val="0030763D"/>
    <w:rsid w:val="0030773F"/>
    <w:rsid w:val="003078AC"/>
    <w:rsid w:val="00307B6F"/>
    <w:rsid w:val="00307C6E"/>
    <w:rsid w:val="00307D89"/>
    <w:rsid w:val="00307E14"/>
    <w:rsid w:val="00307E4B"/>
    <w:rsid w:val="00307EDC"/>
    <w:rsid w:val="003106FC"/>
    <w:rsid w:val="00310C8B"/>
    <w:rsid w:val="00310CE1"/>
    <w:rsid w:val="00310ECC"/>
    <w:rsid w:val="003110CE"/>
    <w:rsid w:val="003112BF"/>
    <w:rsid w:val="00311547"/>
    <w:rsid w:val="003116AC"/>
    <w:rsid w:val="00311A1F"/>
    <w:rsid w:val="00311A59"/>
    <w:rsid w:val="00311A79"/>
    <w:rsid w:val="00311AB0"/>
    <w:rsid w:val="00311CAB"/>
    <w:rsid w:val="00311CCC"/>
    <w:rsid w:val="00311CFD"/>
    <w:rsid w:val="00311F40"/>
    <w:rsid w:val="00312028"/>
    <w:rsid w:val="003120D0"/>
    <w:rsid w:val="00312367"/>
    <w:rsid w:val="003124D6"/>
    <w:rsid w:val="003126ED"/>
    <w:rsid w:val="0031272E"/>
    <w:rsid w:val="00312BE3"/>
    <w:rsid w:val="00312E6D"/>
    <w:rsid w:val="00312F44"/>
    <w:rsid w:val="00313341"/>
    <w:rsid w:val="0031335B"/>
    <w:rsid w:val="003134BB"/>
    <w:rsid w:val="00313712"/>
    <w:rsid w:val="0031372C"/>
    <w:rsid w:val="00313BB3"/>
    <w:rsid w:val="00314029"/>
    <w:rsid w:val="00314054"/>
    <w:rsid w:val="003140EF"/>
    <w:rsid w:val="0031416D"/>
    <w:rsid w:val="00314572"/>
    <w:rsid w:val="003149D1"/>
    <w:rsid w:val="00314BF5"/>
    <w:rsid w:val="003158DA"/>
    <w:rsid w:val="00315936"/>
    <w:rsid w:val="00315AE5"/>
    <w:rsid w:val="00316153"/>
    <w:rsid w:val="00316445"/>
    <w:rsid w:val="003167FA"/>
    <w:rsid w:val="00316847"/>
    <w:rsid w:val="00316CDA"/>
    <w:rsid w:val="00316E95"/>
    <w:rsid w:val="00316F27"/>
    <w:rsid w:val="0031708C"/>
    <w:rsid w:val="0031713B"/>
    <w:rsid w:val="003171F6"/>
    <w:rsid w:val="003173F1"/>
    <w:rsid w:val="003174F6"/>
    <w:rsid w:val="0031761B"/>
    <w:rsid w:val="0031770E"/>
    <w:rsid w:val="00317745"/>
    <w:rsid w:val="00317848"/>
    <w:rsid w:val="003178E0"/>
    <w:rsid w:val="003178F8"/>
    <w:rsid w:val="00317AEF"/>
    <w:rsid w:val="00317CAF"/>
    <w:rsid w:val="00317CF0"/>
    <w:rsid w:val="00317DA4"/>
    <w:rsid w:val="00317F0A"/>
    <w:rsid w:val="00317FE9"/>
    <w:rsid w:val="0032033C"/>
    <w:rsid w:val="003205F8"/>
    <w:rsid w:val="003208E2"/>
    <w:rsid w:val="003208E6"/>
    <w:rsid w:val="0032095E"/>
    <w:rsid w:val="00320BEA"/>
    <w:rsid w:val="00320EA2"/>
    <w:rsid w:val="00320F3B"/>
    <w:rsid w:val="00320F61"/>
    <w:rsid w:val="0032145D"/>
    <w:rsid w:val="003214F1"/>
    <w:rsid w:val="00321B9F"/>
    <w:rsid w:val="00321C1F"/>
    <w:rsid w:val="00321EA1"/>
    <w:rsid w:val="00322065"/>
    <w:rsid w:val="00322076"/>
    <w:rsid w:val="003221FB"/>
    <w:rsid w:val="003224BE"/>
    <w:rsid w:val="00322509"/>
    <w:rsid w:val="0032262E"/>
    <w:rsid w:val="003227AC"/>
    <w:rsid w:val="003227D2"/>
    <w:rsid w:val="00322889"/>
    <w:rsid w:val="00322901"/>
    <w:rsid w:val="00322D17"/>
    <w:rsid w:val="00322D97"/>
    <w:rsid w:val="00322E4B"/>
    <w:rsid w:val="00322FE4"/>
    <w:rsid w:val="00323142"/>
    <w:rsid w:val="003231A1"/>
    <w:rsid w:val="00323234"/>
    <w:rsid w:val="0032342D"/>
    <w:rsid w:val="00323576"/>
    <w:rsid w:val="0032370E"/>
    <w:rsid w:val="00323722"/>
    <w:rsid w:val="00323CF9"/>
    <w:rsid w:val="00323D02"/>
    <w:rsid w:val="00323DBE"/>
    <w:rsid w:val="003241FA"/>
    <w:rsid w:val="00324213"/>
    <w:rsid w:val="0032479A"/>
    <w:rsid w:val="003247C6"/>
    <w:rsid w:val="0032486B"/>
    <w:rsid w:val="003249ED"/>
    <w:rsid w:val="00324BCD"/>
    <w:rsid w:val="003250CA"/>
    <w:rsid w:val="00325631"/>
    <w:rsid w:val="00325AF5"/>
    <w:rsid w:val="00325F25"/>
    <w:rsid w:val="00325F91"/>
    <w:rsid w:val="003260E6"/>
    <w:rsid w:val="00326171"/>
    <w:rsid w:val="003265FE"/>
    <w:rsid w:val="00326601"/>
    <w:rsid w:val="003266A5"/>
    <w:rsid w:val="003266F5"/>
    <w:rsid w:val="003267D2"/>
    <w:rsid w:val="0032707E"/>
    <w:rsid w:val="0032725A"/>
    <w:rsid w:val="003273BD"/>
    <w:rsid w:val="00327650"/>
    <w:rsid w:val="003276D9"/>
    <w:rsid w:val="00327870"/>
    <w:rsid w:val="00327942"/>
    <w:rsid w:val="00327F4D"/>
    <w:rsid w:val="003305BC"/>
    <w:rsid w:val="00330B38"/>
    <w:rsid w:val="00330BC4"/>
    <w:rsid w:val="00330C16"/>
    <w:rsid w:val="00330CBE"/>
    <w:rsid w:val="00330CE0"/>
    <w:rsid w:val="003313BC"/>
    <w:rsid w:val="00331825"/>
    <w:rsid w:val="00331A1D"/>
    <w:rsid w:val="00331A52"/>
    <w:rsid w:val="00331D76"/>
    <w:rsid w:val="00332178"/>
    <w:rsid w:val="0033227C"/>
    <w:rsid w:val="00332349"/>
    <w:rsid w:val="00332562"/>
    <w:rsid w:val="0033259D"/>
    <w:rsid w:val="003325CA"/>
    <w:rsid w:val="0033261E"/>
    <w:rsid w:val="00332926"/>
    <w:rsid w:val="00332A52"/>
    <w:rsid w:val="00332A90"/>
    <w:rsid w:val="00332BE7"/>
    <w:rsid w:val="00333130"/>
    <w:rsid w:val="003333D2"/>
    <w:rsid w:val="00333409"/>
    <w:rsid w:val="0033341C"/>
    <w:rsid w:val="0033383D"/>
    <w:rsid w:val="00333B7A"/>
    <w:rsid w:val="00333D10"/>
    <w:rsid w:val="00333F18"/>
    <w:rsid w:val="00333FA3"/>
    <w:rsid w:val="0033405E"/>
    <w:rsid w:val="00334103"/>
    <w:rsid w:val="003342B0"/>
    <w:rsid w:val="003342BC"/>
    <w:rsid w:val="0033445A"/>
    <w:rsid w:val="00334584"/>
    <w:rsid w:val="0033460E"/>
    <w:rsid w:val="00334686"/>
    <w:rsid w:val="003347B9"/>
    <w:rsid w:val="003347FE"/>
    <w:rsid w:val="003350E4"/>
    <w:rsid w:val="003352C1"/>
    <w:rsid w:val="0033540A"/>
    <w:rsid w:val="0033568D"/>
    <w:rsid w:val="003357A8"/>
    <w:rsid w:val="003358EE"/>
    <w:rsid w:val="00335904"/>
    <w:rsid w:val="00335C25"/>
    <w:rsid w:val="00335C45"/>
    <w:rsid w:val="00335E1E"/>
    <w:rsid w:val="00336024"/>
    <w:rsid w:val="003362B3"/>
    <w:rsid w:val="00336480"/>
    <w:rsid w:val="003368FE"/>
    <w:rsid w:val="00336B35"/>
    <w:rsid w:val="00336B46"/>
    <w:rsid w:val="00336CA7"/>
    <w:rsid w:val="00336D2D"/>
    <w:rsid w:val="00336FC9"/>
    <w:rsid w:val="00337099"/>
    <w:rsid w:val="0033727C"/>
    <w:rsid w:val="00337339"/>
    <w:rsid w:val="00337416"/>
    <w:rsid w:val="0033752C"/>
    <w:rsid w:val="0033771F"/>
    <w:rsid w:val="00337850"/>
    <w:rsid w:val="003378F2"/>
    <w:rsid w:val="00337BC9"/>
    <w:rsid w:val="00340163"/>
    <w:rsid w:val="00340345"/>
    <w:rsid w:val="003403DC"/>
    <w:rsid w:val="0034041A"/>
    <w:rsid w:val="003404C6"/>
    <w:rsid w:val="0034068C"/>
    <w:rsid w:val="003406C6"/>
    <w:rsid w:val="00340850"/>
    <w:rsid w:val="00340B4C"/>
    <w:rsid w:val="00340D76"/>
    <w:rsid w:val="003410CE"/>
    <w:rsid w:val="003412B2"/>
    <w:rsid w:val="003412CF"/>
    <w:rsid w:val="003412DC"/>
    <w:rsid w:val="00341497"/>
    <w:rsid w:val="00341729"/>
    <w:rsid w:val="00341853"/>
    <w:rsid w:val="003418CC"/>
    <w:rsid w:val="003418F6"/>
    <w:rsid w:val="00342620"/>
    <w:rsid w:val="00342669"/>
    <w:rsid w:val="0034275A"/>
    <w:rsid w:val="0034285C"/>
    <w:rsid w:val="00342ADA"/>
    <w:rsid w:val="00342D6E"/>
    <w:rsid w:val="00342DDA"/>
    <w:rsid w:val="0034317A"/>
    <w:rsid w:val="003434EE"/>
    <w:rsid w:val="00343501"/>
    <w:rsid w:val="00343654"/>
    <w:rsid w:val="003436E2"/>
    <w:rsid w:val="00343D96"/>
    <w:rsid w:val="00343E71"/>
    <w:rsid w:val="003444B3"/>
    <w:rsid w:val="003445B5"/>
    <w:rsid w:val="003448B3"/>
    <w:rsid w:val="0034495C"/>
    <w:rsid w:val="00344D66"/>
    <w:rsid w:val="00344EF8"/>
    <w:rsid w:val="003450F7"/>
    <w:rsid w:val="003454E3"/>
    <w:rsid w:val="0034571F"/>
    <w:rsid w:val="003457AE"/>
    <w:rsid w:val="003457BC"/>
    <w:rsid w:val="003457F1"/>
    <w:rsid w:val="003459BD"/>
    <w:rsid w:val="003459F7"/>
    <w:rsid w:val="00345ABD"/>
    <w:rsid w:val="00345B15"/>
    <w:rsid w:val="00345B98"/>
    <w:rsid w:val="0034621E"/>
    <w:rsid w:val="00346290"/>
    <w:rsid w:val="0034642E"/>
    <w:rsid w:val="00346576"/>
    <w:rsid w:val="00346832"/>
    <w:rsid w:val="00346C7F"/>
    <w:rsid w:val="00346FF5"/>
    <w:rsid w:val="003473C9"/>
    <w:rsid w:val="00347551"/>
    <w:rsid w:val="003477D2"/>
    <w:rsid w:val="003479D4"/>
    <w:rsid w:val="00347A31"/>
    <w:rsid w:val="00347DBC"/>
    <w:rsid w:val="00347EA3"/>
    <w:rsid w:val="00347FA3"/>
    <w:rsid w:val="003504DF"/>
    <w:rsid w:val="003504EF"/>
    <w:rsid w:val="00350A76"/>
    <w:rsid w:val="00350C63"/>
    <w:rsid w:val="00350D09"/>
    <w:rsid w:val="00350D38"/>
    <w:rsid w:val="00350DA4"/>
    <w:rsid w:val="003510BF"/>
    <w:rsid w:val="00351185"/>
    <w:rsid w:val="0035132A"/>
    <w:rsid w:val="003518EC"/>
    <w:rsid w:val="00351B36"/>
    <w:rsid w:val="00351CFD"/>
    <w:rsid w:val="00351FE6"/>
    <w:rsid w:val="00352625"/>
    <w:rsid w:val="0035292B"/>
    <w:rsid w:val="0035293F"/>
    <w:rsid w:val="0035294C"/>
    <w:rsid w:val="0035299A"/>
    <w:rsid w:val="00352D20"/>
    <w:rsid w:val="00352E8A"/>
    <w:rsid w:val="00352ED0"/>
    <w:rsid w:val="00352F8D"/>
    <w:rsid w:val="00353176"/>
    <w:rsid w:val="0035341C"/>
    <w:rsid w:val="003537C7"/>
    <w:rsid w:val="0035392A"/>
    <w:rsid w:val="00353AB2"/>
    <w:rsid w:val="00353AE5"/>
    <w:rsid w:val="00353D41"/>
    <w:rsid w:val="00353F42"/>
    <w:rsid w:val="0035422F"/>
    <w:rsid w:val="0035439F"/>
    <w:rsid w:val="00354488"/>
    <w:rsid w:val="00354585"/>
    <w:rsid w:val="003545BA"/>
    <w:rsid w:val="0035477F"/>
    <w:rsid w:val="00354943"/>
    <w:rsid w:val="003549A3"/>
    <w:rsid w:val="003549B0"/>
    <w:rsid w:val="00354CD1"/>
    <w:rsid w:val="00354D66"/>
    <w:rsid w:val="00354F42"/>
    <w:rsid w:val="00355069"/>
    <w:rsid w:val="003552EF"/>
    <w:rsid w:val="003553B7"/>
    <w:rsid w:val="00355A69"/>
    <w:rsid w:val="0035630D"/>
    <w:rsid w:val="0035658C"/>
    <w:rsid w:val="00356592"/>
    <w:rsid w:val="00356633"/>
    <w:rsid w:val="003568F0"/>
    <w:rsid w:val="00356964"/>
    <w:rsid w:val="00356971"/>
    <w:rsid w:val="00356B08"/>
    <w:rsid w:val="00356B8F"/>
    <w:rsid w:val="00356EB8"/>
    <w:rsid w:val="003571F6"/>
    <w:rsid w:val="0035720E"/>
    <w:rsid w:val="00357355"/>
    <w:rsid w:val="00357596"/>
    <w:rsid w:val="00357613"/>
    <w:rsid w:val="003576FC"/>
    <w:rsid w:val="00357A55"/>
    <w:rsid w:val="00357B4E"/>
    <w:rsid w:val="00357BEF"/>
    <w:rsid w:val="00357C69"/>
    <w:rsid w:val="00357DD8"/>
    <w:rsid w:val="00357F9A"/>
    <w:rsid w:val="003600FB"/>
    <w:rsid w:val="00360477"/>
    <w:rsid w:val="00360764"/>
    <w:rsid w:val="0036099F"/>
    <w:rsid w:val="00360AD1"/>
    <w:rsid w:val="00360C26"/>
    <w:rsid w:val="00360FF5"/>
    <w:rsid w:val="0036121A"/>
    <w:rsid w:val="00361221"/>
    <w:rsid w:val="003615F8"/>
    <w:rsid w:val="003616BD"/>
    <w:rsid w:val="00361899"/>
    <w:rsid w:val="00361D49"/>
    <w:rsid w:val="00361E0F"/>
    <w:rsid w:val="00361FDB"/>
    <w:rsid w:val="003626E0"/>
    <w:rsid w:val="0036283A"/>
    <w:rsid w:val="003628F9"/>
    <w:rsid w:val="00362BBF"/>
    <w:rsid w:val="00362D47"/>
    <w:rsid w:val="00362E16"/>
    <w:rsid w:val="00363B85"/>
    <w:rsid w:val="00363C64"/>
    <w:rsid w:val="00363CC9"/>
    <w:rsid w:val="00363F35"/>
    <w:rsid w:val="00364038"/>
    <w:rsid w:val="0036407D"/>
    <w:rsid w:val="00364141"/>
    <w:rsid w:val="00364B26"/>
    <w:rsid w:val="00364BD2"/>
    <w:rsid w:val="00364CF1"/>
    <w:rsid w:val="003650AD"/>
    <w:rsid w:val="00365290"/>
    <w:rsid w:val="003652BD"/>
    <w:rsid w:val="003652FA"/>
    <w:rsid w:val="003653E9"/>
    <w:rsid w:val="00365514"/>
    <w:rsid w:val="00365566"/>
    <w:rsid w:val="00365676"/>
    <w:rsid w:val="00365843"/>
    <w:rsid w:val="0036594A"/>
    <w:rsid w:val="00365BD4"/>
    <w:rsid w:val="00365ECD"/>
    <w:rsid w:val="00365FCA"/>
    <w:rsid w:val="0036609A"/>
    <w:rsid w:val="003663A1"/>
    <w:rsid w:val="003663AB"/>
    <w:rsid w:val="00366458"/>
    <w:rsid w:val="00366688"/>
    <w:rsid w:val="00366B8C"/>
    <w:rsid w:val="00366C6A"/>
    <w:rsid w:val="00366C87"/>
    <w:rsid w:val="00366CB3"/>
    <w:rsid w:val="00366D9A"/>
    <w:rsid w:val="00366E87"/>
    <w:rsid w:val="0036720B"/>
    <w:rsid w:val="00367533"/>
    <w:rsid w:val="003675B4"/>
    <w:rsid w:val="003677B6"/>
    <w:rsid w:val="0037007B"/>
    <w:rsid w:val="0037026F"/>
    <w:rsid w:val="0037030A"/>
    <w:rsid w:val="003703FA"/>
    <w:rsid w:val="003704FD"/>
    <w:rsid w:val="003704FE"/>
    <w:rsid w:val="00370978"/>
    <w:rsid w:val="00370983"/>
    <w:rsid w:val="00370A08"/>
    <w:rsid w:val="00370E4D"/>
    <w:rsid w:val="00370EA7"/>
    <w:rsid w:val="00370EE3"/>
    <w:rsid w:val="00370EE9"/>
    <w:rsid w:val="00370FB5"/>
    <w:rsid w:val="0037105D"/>
    <w:rsid w:val="0037140B"/>
    <w:rsid w:val="003714F6"/>
    <w:rsid w:val="0037158D"/>
    <w:rsid w:val="003716FD"/>
    <w:rsid w:val="00371959"/>
    <w:rsid w:val="00371973"/>
    <w:rsid w:val="00371A2A"/>
    <w:rsid w:val="00371B18"/>
    <w:rsid w:val="00371B52"/>
    <w:rsid w:val="00371DAA"/>
    <w:rsid w:val="00371E61"/>
    <w:rsid w:val="0037204B"/>
    <w:rsid w:val="003720D5"/>
    <w:rsid w:val="00372202"/>
    <w:rsid w:val="0037226B"/>
    <w:rsid w:val="003722DC"/>
    <w:rsid w:val="00372A6A"/>
    <w:rsid w:val="00372CEB"/>
    <w:rsid w:val="00373153"/>
    <w:rsid w:val="003731F1"/>
    <w:rsid w:val="0037323F"/>
    <w:rsid w:val="0037340C"/>
    <w:rsid w:val="0037347E"/>
    <w:rsid w:val="003736FD"/>
    <w:rsid w:val="0037390C"/>
    <w:rsid w:val="0037396E"/>
    <w:rsid w:val="00373AAE"/>
    <w:rsid w:val="00373C05"/>
    <w:rsid w:val="00374189"/>
    <w:rsid w:val="0037432A"/>
    <w:rsid w:val="003744CF"/>
    <w:rsid w:val="00374717"/>
    <w:rsid w:val="00374769"/>
    <w:rsid w:val="00374C9F"/>
    <w:rsid w:val="00374E3C"/>
    <w:rsid w:val="003750D0"/>
    <w:rsid w:val="003750F6"/>
    <w:rsid w:val="00375531"/>
    <w:rsid w:val="003759E7"/>
    <w:rsid w:val="00375A58"/>
    <w:rsid w:val="00375B0A"/>
    <w:rsid w:val="00375BB1"/>
    <w:rsid w:val="00375D1B"/>
    <w:rsid w:val="00375E20"/>
    <w:rsid w:val="00375F30"/>
    <w:rsid w:val="00375FEC"/>
    <w:rsid w:val="0037629B"/>
    <w:rsid w:val="003764DE"/>
    <w:rsid w:val="003765DD"/>
    <w:rsid w:val="0037676C"/>
    <w:rsid w:val="0037685C"/>
    <w:rsid w:val="00376A4F"/>
    <w:rsid w:val="00376A6E"/>
    <w:rsid w:val="00376C5B"/>
    <w:rsid w:val="00376EBE"/>
    <w:rsid w:val="00377101"/>
    <w:rsid w:val="0037730A"/>
    <w:rsid w:val="003774A4"/>
    <w:rsid w:val="003774AA"/>
    <w:rsid w:val="0037769F"/>
    <w:rsid w:val="00377996"/>
    <w:rsid w:val="00377A20"/>
    <w:rsid w:val="00377B7E"/>
    <w:rsid w:val="00377C7C"/>
    <w:rsid w:val="00380043"/>
    <w:rsid w:val="003801B0"/>
    <w:rsid w:val="00380224"/>
    <w:rsid w:val="00380548"/>
    <w:rsid w:val="00380797"/>
    <w:rsid w:val="00381043"/>
    <w:rsid w:val="0038104D"/>
    <w:rsid w:val="0038110B"/>
    <w:rsid w:val="0038147C"/>
    <w:rsid w:val="00381A00"/>
    <w:rsid w:val="00381B36"/>
    <w:rsid w:val="00381BD6"/>
    <w:rsid w:val="00381FD4"/>
    <w:rsid w:val="003822C0"/>
    <w:rsid w:val="003826AC"/>
    <w:rsid w:val="00382738"/>
    <w:rsid w:val="003827F9"/>
    <w:rsid w:val="003829E5"/>
    <w:rsid w:val="00382C15"/>
    <w:rsid w:val="003830FB"/>
    <w:rsid w:val="003832D5"/>
    <w:rsid w:val="00383394"/>
    <w:rsid w:val="003833DA"/>
    <w:rsid w:val="0038355E"/>
    <w:rsid w:val="00383579"/>
    <w:rsid w:val="0038380E"/>
    <w:rsid w:val="00383C7D"/>
    <w:rsid w:val="00383D90"/>
    <w:rsid w:val="00383DA2"/>
    <w:rsid w:val="00383FB7"/>
    <w:rsid w:val="00383FF7"/>
    <w:rsid w:val="0038446F"/>
    <w:rsid w:val="003846B6"/>
    <w:rsid w:val="00384C77"/>
    <w:rsid w:val="00384D77"/>
    <w:rsid w:val="003853D6"/>
    <w:rsid w:val="00385778"/>
    <w:rsid w:val="003857ED"/>
    <w:rsid w:val="00385869"/>
    <w:rsid w:val="00385890"/>
    <w:rsid w:val="00385A35"/>
    <w:rsid w:val="00385AE7"/>
    <w:rsid w:val="00385B2C"/>
    <w:rsid w:val="00385CC9"/>
    <w:rsid w:val="00385DFC"/>
    <w:rsid w:val="00385E49"/>
    <w:rsid w:val="00385E87"/>
    <w:rsid w:val="00385F72"/>
    <w:rsid w:val="00386048"/>
    <w:rsid w:val="00386109"/>
    <w:rsid w:val="0038620C"/>
    <w:rsid w:val="00386361"/>
    <w:rsid w:val="00386798"/>
    <w:rsid w:val="00386836"/>
    <w:rsid w:val="00386944"/>
    <w:rsid w:val="00386A5C"/>
    <w:rsid w:val="00386B2D"/>
    <w:rsid w:val="00386B83"/>
    <w:rsid w:val="00386CE8"/>
    <w:rsid w:val="00386D2A"/>
    <w:rsid w:val="003872AD"/>
    <w:rsid w:val="003875FC"/>
    <w:rsid w:val="003877C9"/>
    <w:rsid w:val="00387B15"/>
    <w:rsid w:val="00387BC3"/>
    <w:rsid w:val="00387D2A"/>
    <w:rsid w:val="00387EDD"/>
    <w:rsid w:val="00390280"/>
    <w:rsid w:val="00390566"/>
    <w:rsid w:val="00390908"/>
    <w:rsid w:val="0039098C"/>
    <w:rsid w:val="00390A89"/>
    <w:rsid w:val="00390A9C"/>
    <w:rsid w:val="00390C77"/>
    <w:rsid w:val="00390F79"/>
    <w:rsid w:val="00390FCD"/>
    <w:rsid w:val="00391138"/>
    <w:rsid w:val="00391199"/>
    <w:rsid w:val="003912B4"/>
    <w:rsid w:val="003914B2"/>
    <w:rsid w:val="0039151C"/>
    <w:rsid w:val="00391556"/>
    <w:rsid w:val="003915D7"/>
    <w:rsid w:val="00391685"/>
    <w:rsid w:val="00391A74"/>
    <w:rsid w:val="00391B77"/>
    <w:rsid w:val="00391E25"/>
    <w:rsid w:val="003920BB"/>
    <w:rsid w:val="00392A52"/>
    <w:rsid w:val="00392B1A"/>
    <w:rsid w:val="00392E16"/>
    <w:rsid w:val="00393124"/>
    <w:rsid w:val="00393375"/>
    <w:rsid w:val="0039350D"/>
    <w:rsid w:val="003938A6"/>
    <w:rsid w:val="00393B07"/>
    <w:rsid w:val="00393CCC"/>
    <w:rsid w:val="00393D98"/>
    <w:rsid w:val="00393E48"/>
    <w:rsid w:val="00393ED0"/>
    <w:rsid w:val="00393F41"/>
    <w:rsid w:val="00394041"/>
    <w:rsid w:val="0039428B"/>
    <w:rsid w:val="003943E3"/>
    <w:rsid w:val="0039467F"/>
    <w:rsid w:val="003948B3"/>
    <w:rsid w:val="0039498B"/>
    <w:rsid w:val="00394B79"/>
    <w:rsid w:val="00394C05"/>
    <w:rsid w:val="00395026"/>
    <w:rsid w:val="003950B1"/>
    <w:rsid w:val="00395184"/>
    <w:rsid w:val="003953FA"/>
    <w:rsid w:val="003956CC"/>
    <w:rsid w:val="0039586F"/>
    <w:rsid w:val="00395A49"/>
    <w:rsid w:val="00395ADF"/>
    <w:rsid w:val="00395B0E"/>
    <w:rsid w:val="00395C3E"/>
    <w:rsid w:val="00395C9A"/>
    <w:rsid w:val="00395CDE"/>
    <w:rsid w:val="00395FBB"/>
    <w:rsid w:val="0039601B"/>
    <w:rsid w:val="00396036"/>
    <w:rsid w:val="0039632D"/>
    <w:rsid w:val="0039637B"/>
    <w:rsid w:val="00396490"/>
    <w:rsid w:val="003965A2"/>
    <w:rsid w:val="003966BC"/>
    <w:rsid w:val="0039676E"/>
    <w:rsid w:val="00396A12"/>
    <w:rsid w:val="00396DCB"/>
    <w:rsid w:val="00396DD9"/>
    <w:rsid w:val="00396F44"/>
    <w:rsid w:val="00397313"/>
    <w:rsid w:val="003978A7"/>
    <w:rsid w:val="00397E4C"/>
    <w:rsid w:val="00397E75"/>
    <w:rsid w:val="003A005F"/>
    <w:rsid w:val="003A029B"/>
    <w:rsid w:val="003A05B3"/>
    <w:rsid w:val="003A062E"/>
    <w:rsid w:val="003A0853"/>
    <w:rsid w:val="003A092A"/>
    <w:rsid w:val="003A09B7"/>
    <w:rsid w:val="003A1105"/>
    <w:rsid w:val="003A134B"/>
    <w:rsid w:val="003A14C2"/>
    <w:rsid w:val="003A1564"/>
    <w:rsid w:val="003A16AF"/>
    <w:rsid w:val="003A18D4"/>
    <w:rsid w:val="003A19CB"/>
    <w:rsid w:val="003A1A30"/>
    <w:rsid w:val="003A2202"/>
    <w:rsid w:val="003A2260"/>
    <w:rsid w:val="003A2324"/>
    <w:rsid w:val="003A23F2"/>
    <w:rsid w:val="003A28DC"/>
    <w:rsid w:val="003A2D0A"/>
    <w:rsid w:val="003A2D12"/>
    <w:rsid w:val="003A30DD"/>
    <w:rsid w:val="003A3179"/>
    <w:rsid w:val="003A33D5"/>
    <w:rsid w:val="003A3654"/>
    <w:rsid w:val="003A36BE"/>
    <w:rsid w:val="003A3750"/>
    <w:rsid w:val="003A37C0"/>
    <w:rsid w:val="003A380C"/>
    <w:rsid w:val="003A3CFB"/>
    <w:rsid w:val="003A4050"/>
    <w:rsid w:val="003A4114"/>
    <w:rsid w:val="003A439D"/>
    <w:rsid w:val="003A440D"/>
    <w:rsid w:val="003A4C28"/>
    <w:rsid w:val="003A4C40"/>
    <w:rsid w:val="003A5667"/>
    <w:rsid w:val="003A574E"/>
    <w:rsid w:val="003A5778"/>
    <w:rsid w:val="003A58D7"/>
    <w:rsid w:val="003A5C30"/>
    <w:rsid w:val="003A5EE2"/>
    <w:rsid w:val="003A5F11"/>
    <w:rsid w:val="003A5F5F"/>
    <w:rsid w:val="003A626E"/>
    <w:rsid w:val="003A65BF"/>
    <w:rsid w:val="003A682E"/>
    <w:rsid w:val="003A6929"/>
    <w:rsid w:val="003A6A9A"/>
    <w:rsid w:val="003A6B67"/>
    <w:rsid w:val="003A6B87"/>
    <w:rsid w:val="003A6DAB"/>
    <w:rsid w:val="003A6E5A"/>
    <w:rsid w:val="003A71D8"/>
    <w:rsid w:val="003A72AF"/>
    <w:rsid w:val="003A72C9"/>
    <w:rsid w:val="003A7422"/>
    <w:rsid w:val="003A76AD"/>
    <w:rsid w:val="003A7931"/>
    <w:rsid w:val="003A7958"/>
    <w:rsid w:val="003A7CE1"/>
    <w:rsid w:val="003B004D"/>
    <w:rsid w:val="003B04DA"/>
    <w:rsid w:val="003B059C"/>
    <w:rsid w:val="003B0719"/>
    <w:rsid w:val="003B079F"/>
    <w:rsid w:val="003B09F1"/>
    <w:rsid w:val="003B0A6B"/>
    <w:rsid w:val="003B0A90"/>
    <w:rsid w:val="003B0EA6"/>
    <w:rsid w:val="003B0ECA"/>
    <w:rsid w:val="003B11BD"/>
    <w:rsid w:val="003B1202"/>
    <w:rsid w:val="003B1335"/>
    <w:rsid w:val="003B13B6"/>
    <w:rsid w:val="003B14C3"/>
    <w:rsid w:val="003B15E6"/>
    <w:rsid w:val="003B163F"/>
    <w:rsid w:val="003B1892"/>
    <w:rsid w:val="003B18FD"/>
    <w:rsid w:val="003B199B"/>
    <w:rsid w:val="003B1B45"/>
    <w:rsid w:val="003B1D93"/>
    <w:rsid w:val="003B1DBB"/>
    <w:rsid w:val="003B1E1E"/>
    <w:rsid w:val="003B1E20"/>
    <w:rsid w:val="003B211A"/>
    <w:rsid w:val="003B2128"/>
    <w:rsid w:val="003B21C2"/>
    <w:rsid w:val="003B22EF"/>
    <w:rsid w:val="003B2864"/>
    <w:rsid w:val="003B2A05"/>
    <w:rsid w:val="003B2CF2"/>
    <w:rsid w:val="003B2E5F"/>
    <w:rsid w:val="003B30D5"/>
    <w:rsid w:val="003B3215"/>
    <w:rsid w:val="003B34A6"/>
    <w:rsid w:val="003B36E9"/>
    <w:rsid w:val="003B370F"/>
    <w:rsid w:val="003B37E9"/>
    <w:rsid w:val="003B3996"/>
    <w:rsid w:val="003B3DFA"/>
    <w:rsid w:val="003B3F7B"/>
    <w:rsid w:val="003B408A"/>
    <w:rsid w:val="003B40FF"/>
    <w:rsid w:val="003B4614"/>
    <w:rsid w:val="003B462B"/>
    <w:rsid w:val="003B47A7"/>
    <w:rsid w:val="003B4856"/>
    <w:rsid w:val="003B4BFE"/>
    <w:rsid w:val="003B5006"/>
    <w:rsid w:val="003B51E6"/>
    <w:rsid w:val="003B54DB"/>
    <w:rsid w:val="003B5F25"/>
    <w:rsid w:val="003B612B"/>
    <w:rsid w:val="003B62CF"/>
    <w:rsid w:val="003B643B"/>
    <w:rsid w:val="003B652E"/>
    <w:rsid w:val="003B6556"/>
    <w:rsid w:val="003B6828"/>
    <w:rsid w:val="003B6920"/>
    <w:rsid w:val="003B6A92"/>
    <w:rsid w:val="003B6E87"/>
    <w:rsid w:val="003B7137"/>
    <w:rsid w:val="003B71D1"/>
    <w:rsid w:val="003B721C"/>
    <w:rsid w:val="003B7235"/>
    <w:rsid w:val="003B7360"/>
    <w:rsid w:val="003B7442"/>
    <w:rsid w:val="003B75B6"/>
    <w:rsid w:val="003B75F2"/>
    <w:rsid w:val="003B7688"/>
    <w:rsid w:val="003B76D0"/>
    <w:rsid w:val="003B7B46"/>
    <w:rsid w:val="003B7C13"/>
    <w:rsid w:val="003B7D54"/>
    <w:rsid w:val="003B7DF7"/>
    <w:rsid w:val="003B7FB8"/>
    <w:rsid w:val="003C00BE"/>
    <w:rsid w:val="003C01BA"/>
    <w:rsid w:val="003C0230"/>
    <w:rsid w:val="003C0356"/>
    <w:rsid w:val="003C0381"/>
    <w:rsid w:val="003C049F"/>
    <w:rsid w:val="003C08A2"/>
    <w:rsid w:val="003C0F20"/>
    <w:rsid w:val="003C0F70"/>
    <w:rsid w:val="003C0FED"/>
    <w:rsid w:val="003C10F1"/>
    <w:rsid w:val="003C12D7"/>
    <w:rsid w:val="003C153F"/>
    <w:rsid w:val="003C1607"/>
    <w:rsid w:val="003C16EE"/>
    <w:rsid w:val="003C19FF"/>
    <w:rsid w:val="003C1A1E"/>
    <w:rsid w:val="003C1C36"/>
    <w:rsid w:val="003C1DB5"/>
    <w:rsid w:val="003C1EB1"/>
    <w:rsid w:val="003C1F8D"/>
    <w:rsid w:val="003C2045"/>
    <w:rsid w:val="003C24AB"/>
    <w:rsid w:val="003C28EA"/>
    <w:rsid w:val="003C29B3"/>
    <w:rsid w:val="003C29F5"/>
    <w:rsid w:val="003C2CB7"/>
    <w:rsid w:val="003C2F57"/>
    <w:rsid w:val="003C2FEB"/>
    <w:rsid w:val="003C32DB"/>
    <w:rsid w:val="003C3463"/>
    <w:rsid w:val="003C387C"/>
    <w:rsid w:val="003C3B0A"/>
    <w:rsid w:val="003C3C3E"/>
    <w:rsid w:val="003C3C51"/>
    <w:rsid w:val="003C3D76"/>
    <w:rsid w:val="003C40D2"/>
    <w:rsid w:val="003C43A1"/>
    <w:rsid w:val="003C4634"/>
    <w:rsid w:val="003C46F7"/>
    <w:rsid w:val="003C494A"/>
    <w:rsid w:val="003C4AFD"/>
    <w:rsid w:val="003C4CD8"/>
    <w:rsid w:val="003C4FC0"/>
    <w:rsid w:val="003C5049"/>
    <w:rsid w:val="003C5100"/>
    <w:rsid w:val="003C52AA"/>
    <w:rsid w:val="003C54EA"/>
    <w:rsid w:val="003C55ED"/>
    <w:rsid w:val="003C55F4"/>
    <w:rsid w:val="003C56BB"/>
    <w:rsid w:val="003C59DD"/>
    <w:rsid w:val="003C619B"/>
    <w:rsid w:val="003C6820"/>
    <w:rsid w:val="003C68CF"/>
    <w:rsid w:val="003C69D4"/>
    <w:rsid w:val="003C6BEE"/>
    <w:rsid w:val="003C6DBF"/>
    <w:rsid w:val="003C6E02"/>
    <w:rsid w:val="003C70B3"/>
    <w:rsid w:val="003C7678"/>
    <w:rsid w:val="003C7897"/>
    <w:rsid w:val="003C78CB"/>
    <w:rsid w:val="003C78E4"/>
    <w:rsid w:val="003C7A3F"/>
    <w:rsid w:val="003C7A94"/>
    <w:rsid w:val="003C7C2B"/>
    <w:rsid w:val="003C7F74"/>
    <w:rsid w:val="003D0296"/>
    <w:rsid w:val="003D02C9"/>
    <w:rsid w:val="003D0428"/>
    <w:rsid w:val="003D05B5"/>
    <w:rsid w:val="003D064D"/>
    <w:rsid w:val="003D089D"/>
    <w:rsid w:val="003D0B46"/>
    <w:rsid w:val="003D0CC2"/>
    <w:rsid w:val="003D0D8A"/>
    <w:rsid w:val="003D0F34"/>
    <w:rsid w:val="003D102C"/>
    <w:rsid w:val="003D11DA"/>
    <w:rsid w:val="003D13B0"/>
    <w:rsid w:val="003D14A6"/>
    <w:rsid w:val="003D14F5"/>
    <w:rsid w:val="003D1B14"/>
    <w:rsid w:val="003D1E1A"/>
    <w:rsid w:val="003D1E21"/>
    <w:rsid w:val="003D1F9E"/>
    <w:rsid w:val="003D2137"/>
    <w:rsid w:val="003D215C"/>
    <w:rsid w:val="003D2543"/>
    <w:rsid w:val="003D2766"/>
    <w:rsid w:val="003D2A74"/>
    <w:rsid w:val="003D2A75"/>
    <w:rsid w:val="003D2B35"/>
    <w:rsid w:val="003D2B69"/>
    <w:rsid w:val="003D2C87"/>
    <w:rsid w:val="003D2D47"/>
    <w:rsid w:val="003D3000"/>
    <w:rsid w:val="003D3180"/>
    <w:rsid w:val="003D31E5"/>
    <w:rsid w:val="003D32F6"/>
    <w:rsid w:val="003D34BB"/>
    <w:rsid w:val="003D37A6"/>
    <w:rsid w:val="003D37CA"/>
    <w:rsid w:val="003D3AA3"/>
    <w:rsid w:val="003D3D88"/>
    <w:rsid w:val="003D3E8F"/>
    <w:rsid w:val="003D3ED6"/>
    <w:rsid w:val="003D3F86"/>
    <w:rsid w:val="003D4031"/>
    <w:rsid w:val="003D40DB"/>
    <w:rsid w:val="003D41F9"/>
    <w:rsid w:val="003D4218"/>
    <w:rsid w:val="003D435F"/>
    <w:rsid w:val="003D43FB"/>
    <w:rsid w:val="003D43FD"/>
    <w:rsid w:val="003D46B4"/>
    <w:rsid w:val="003D46FF"/>
    <w:rsid w:val="003D4948"/>
    <w:rsid w:val="003D4A84"/>
    <w:rsid w:val="003D4B75"/>
    <w:rsid w:val="003D4BD8"/>
    <w:rsid w:val="003D4C7F"/>
    <w:rsid w:val="003D4E9A"/>
    <w:rsid w:val="003D4F63"/>
    <w:rsid w:val="003D512A"/>
    <w:rsid w:val="003D573D"/>
    <w:rsid w:val="003D5826"/>
    <w:rsid w:val="003D59FF"/>
    <w:rsid w:val="003D5F71"/>
    <w:rsid w:val="003D5F88"/>
    <w:rsid w:val="003D6176"/>
    <w:rsid w:val="003D63B6"/>
    <w:rsid w:val="003D6475"/>
    <w:rsid w:val="003D64FF"/>
    <w:rsid w:val="003D6573"/>
    <w:rsid w:val="003D658E"/>
    <w:rsid w:val="003D6742"/>
    <w:rsid w:val="003D68F8"/>
    <w:rsid w:val="003D6A76"/>
    <w:rsid w:val="003D6E11"/>
    <w:rsid w:val="003D6EE6"/>
    <w:rsid w:val="003D77EF"/>
    <w:rsid w:val="003D7820"/>
    <w:rsid w:val="003D7BFF"/>
    <w:rsid w:val="003D7C73"/>
    <w:rsid w:val="003D7E28"/>
    <w:rsid w:val="003D7F86"/>
    <w:rsid w:val="003E0269"/>
    <w:rsid w:val="003E02DB"/>
    <w:rsid w:val="003E06E4"/>
    <w:rsid w:val="003E0BEB"/>
    <w:rsid w:val="003E0C42"/>
    <w:rsid w:val="003E0F33"/>
    <w:rsid w:val="003E1076"/>
    <w:rsid w:val="003E10BD"/>
    <w:rsid w:val="003E1162"/>
    <w:rsid w:val="003E11F5"/>
    <w:rsid w:val="003E1479"/>
    <w:rsid w:val="003E160B"/>
    <w:rsid w:val="003E1A97"/>
    <w:rsid w:val="003E1E27"/>
    <w:rsid w:val="003E2662"/>
    <w:rsid w:val="003E27EA"/>
    <w:rsid w:val="003E28F1"/>
    <w:rsid w:val="003E29BD"/>
    <w:rsid w:val="003E2ABD"/>
    <w:rsid w:val="003E2C5D"/>
    <w:rsid w:val="003E2D62"/>
    <w:rsid w:val="003E2D67"/>
    <w:rsid w:val="003E2F1E"/>
    <w:rsid w:val="003E375C"/>
    <w:rsid w:val="003E3921"/>
    <w:rsid w:val="003E398F"/>
    <w:rsid w:val="003E3B51"/>
    <w:rsid w:val="003E4086"/>
    <w:rsid w:val="003E422F"/>
    <w:rsid w:val="003E431B"/>
    <w:rsid w:val="003E43B1"/>
    <w:rsid w:val="003E4695"/>
    <w:rsid w:val="003E480C"/>
    <w:rsid w:val="003E4D58"/>
    <w:rsid w:val="003E4D7D"/>
    <w:rsid w:val="003E5070"/>
    <w:rsid w:val="003E519C"/>
    <w:rsid w:val="003E52A5"/>
    <w:rsid w:val="003E5399"/>
    <w:rsid w:val="003E56FF"/>
    <w:rsid w:val="003E578E"/>
    <w:rsid w:val="003E5B8E"/>
    <w:rsid w:val="003E5BED"/>
    <w:rsid w:val="003E5CA3"/>
    <w:rsid w:val="003E5CCC"/>
    <w:rsid w:val="003E5F77"/>
    <w:rsid w:val="003E6041"/>
    <w:rsid w:val="003E6126"/>
    <w:rsid w:val="003E6151"/>
    <w:rsid w:val="003E618E"/>
    <w:rsid w:val="003E626C"/>
    <w:rsid w:val="003E639E"/>
    <w:rsid w:val="003E643B"/>
    <w:rsid w:val="003E6882"/>
    <w:rsid w:val="003E6AB8"/>
    <w:rsid w:val="003E6ABA"/>
    <w:rsid w:val="003E6C9D"/>
    <w:rsid w:val="003E6DEE"/>
    <w:rsid w:val="003E71E5"/>
    <w:rsid w:val="003E720F"/>
    <w:rsid w:val="003E72F0"/>
    <w:rsid w:val="003E7341"/>
    <w:rsid w:val="003E74B8"/>
    <w:rsid w:val="003E75C1"/>
    <w:rsid w:val="003E75F5"/>
    <w:rsid w:val="003E7AA7"/>
    <w:rsid w:val="003E7D42"/>
    <w:rsid w:val="003E7DE5"/>
    <w:rsid w:val="003E7FBA"/>
    <w:rsid w:val="003F0028"/>
    <w:rsid w:val="003F03CA"/>
    <w:rsid w:val="003F0401"/>
    <w:rsid w:val="003F0445"/>
    <w:rsid w:val="003F0456"/>
    <w:rsid w:val="003F04BD"/>
    <w:rsid w:val="003F06DA"/>
    <w:rsid w:val="003F08CD"/>
    <w:rsid w:val="003F0CF0"/>
    <w:rsid w:val="003F0F81"/>
    <w:rsid w:val="003F1118"/>
    <w:rsid w:val="003F14B1"/>
    <w:rsid w:val="003F155B"/>
    <w:rsid w:val="003F19A5"/>
    <w:rsid w:val="003F1CE8"/>
    <w:rsid w:val="003F204A"/>
    <w:rsid w:val="003F259A"/>
    <w:rsid w:val="003F27FE"/>
    <w:rsid w:val="003F2819"/>
    <w:rsid w:val="003F284D"/>
    <w:rsid w:val="003F2879"/>
    <w:rsid w:val="003F2A38"/>
    <w:rsid w:val="003F2A73"/>
    <w:rsid w:val="003F2AE3"/>
    <w:rsid w:val="003F2B20"/>
    <w:rsid w:val="003F2C76"/>
    <w:rsid w:val="003F3289"/>
    <w:rsid w:val="003F38F2"/>
    <w:rsid w:val="003F39C7"/>
    <w:rsid w:val="003F3A93"/>
    <w:rsid w:val="003F3C62"/>
    <w:rsid w:val="003F3D9B"/>
    <w:rsid w:val="003F3DA5"/>
    <w:rsid w:val="003F3E1E"/>
    <w:rsid w:val="003F3F95"/>
    <w:rsid w:val="003F45D6"/>
    <w:rsid w:val="003F47DA"/>
    <w:rsid w:val="003F4858"/>
    <w:rsid w:val="003F497D"/>
    <w:rsid w:val="003F4980"/>
    <w:rsid w:val="003F4E8D"/>
    <w:rsid w:val="003F4EF5"/>
    <w:rsid w:val="003F5033"/>
    <w:rsid w:val="003F51E9"/>
    <w:rsid w:val="003F527A"/>
    <w:rsid w:val="003F531D"/>
    <w:rsid w:val="003F53BB"/>
    <w:rsid w:val="003F546B"/>
    <w:rsid w:val="003F5989"/>
    <w:rsid w:val="003F5BFB"/>
    <w:rsid w:val="003F5C69"/>
    <w:rsid w:val="003F5CB9"/>
    <w:rsid w:val="003F5E2E"/>
    <w:rsid w:val="003F5E69"/>
    <w:rsid w:val="003F609C"/>
    <w:rsid w:val="003F614E"/>
    <w:rsid w:val="003F6723"/>
    <w:rsid w:val="003F6766"/>
    <w:rsid w:val="003F6837"/>
    <w:rsid w:val="003F683D"/>
    <w:rsid w:val="003F6895"/>
    <w:rsid w:val="003F6ADA"/>
    <w:rsid w:val="003F6DCC"/>
    <w:rsid w:val="003F6FE3"/>
    <w:rsid w:val="003F705F"/>
    <w:rsid w:val="003F70A3"/>
    <w:rsid w:val="003F710A"/>
    <w:rsid w:val="003F717D"/>
    <w:rsid w:val="003F74B7"/>
    <w:rsid w:val="003F7717"/>
    <w:rsid w:val="003F7D3E"/>
    <w:rsid w:val="003F7E6A"/>
    <w:rsid w:val="00400097"/>
    <w:rsid w:val="004000F2"/>
    <w:rsid w:val="004002A3"/>
    <w:rsid w:val="00400312"/>
    <w:rsid w:val="004004D6"/>
    <w:rsid w:val="0040057E"/>
    <w:rsid w:val="0040097A"/>
    <w:rsid w:val="00400A05"/>
    <w:rsid w:val="00400B67"/>
    <w:rsid w:val="00400D83"/>
    <w:rsid w:val="00400DDC"/>
    <w:rsid w:val="0040105F"/>
    <w:rsid w:val="004010EA"/>
    <w:rsid w:val="004013C7"/>
    <w:rsid w:val="00401F18"/>
    <w:rsid w:val="00401F80"/>
    <w:rsid w:val="00401FBD"/>
    <w:rsid w:val="00401FCF"/>
    <w:rsid w:val="00402063"/>
    <w:rsid w:val="0040232A"/>
    <w:rsid w:val="004023C3"/>
    <w:rsid w:val="00402837"/>
    <w:rsid w:val="004029C2"/>
    <w:rsid w:val="004029EE"/>
    <w:rsid w:val="00402B60"/>
    <w:rsid w:val="00402DC3"/>
    <w:rsid w:val="004030D0"/>
    <w:rsid w:val="00403108"/>
    <w:rsid w:val="00403125"/>
    <w:rsid w:val="004032C9"/>
    <w:rsid w:val="0040370F"/>
    <w:rsid w:val="0040375D"/>
    <w:rsid w:val="004037C8"/>
    <w:rsid w:val="004039A1"/>
    <w:rsid w:val="00403AFD"/>
    <w:rsid w:val="00403B8F"/>
    <w:rsid w:val="00403C57"/>
    <w:rsid w:val="00403D96"/>
    <w:rsid w:val="00403F03"/>
    <w:rsid w:val="00404702"/>
    <w:rsid w:val="004048ED"/>
    <w:rsid w:val="004049B6"/>
    <w:rsid w:val="00404A29"/>
    <w:rsid w:val="00404A5C"/>
    <w:rsid w:val="00404AA9"/>
    <w:rsid w:val="00404B2F"/>
    <w:rsid w:val="00404B3C"/>
    <w:rsid w:val="00404B83"/>
    <w:rsid w:val="00404DBC"/>
    <w:rsid w:val="00404E01"/>
    <w:rsid w:val="004052BA"/>
    <w:rsid w:val="004055D7"/>
    <w:rsid w:val="004057BD"/>
    <w:rsid w:val="004057F1"/>
    <w:rsid w:val="004058E5"/>
    <w:rsid w:val="00405C9F"/>
    <w:rsid w:val="00406285"/>
    <w:rsid w:val="0040658E"/>
    <w:rsid w:val="0040670C"/>
    <w:rsid w:val="0040689F"/>
    <w:rsid w:val="004069D6"/>
    <w:rsid w:val="00406EBD"/>
    <w:rsid w:val="00406F38"/>
    <w:rsid w:val="00407560"/>
    <w:rsid w:val="00407733"/>
    <w:rsid w:val="0040777C"/>
    <w:rsid w:val="004077D2"/>
    <w:rsid w:val="00407ACA"/>
    <w:rsid w:val="00407BB9"/>
    <w:rsid w:val="00407BFC"/>
    <w:rsid w:val="00407E94"/>
    <w:rsid w:val="00407E99"/>
    <w:rsid w:val="004100ED"/>
    <w:rsid w:val="0041011A"/>
    <w:rsid w:val="0041015D"/>
    <w:rsid w:val="0041032A"/>
    <w:rsid w:val="0041046F"/>
    <w:rsid w:val="004105B5"/>
    <w:rsid w:val="0041067B"/>
    <w:rsid w:val="00410700"/>
    <w:rsid w:val="00410E7D"/>
    <w:rsid w:val="00410E8A"/>
    <w:rsid w:val="004112DE"/>
    <w:rsid w:val="004115A2"/>
    <w:rsid w:val="00411647"/>
    <w:rsid w:val="004117B1"/>
    <w:rsid w:val="00411BE5"/>
    <w:rsid w:val="00411E39"/>
    <w:rsid w:val="00412212"/>
    <w:rsid w:val="00412312"/>
    <w:rsid w:val="00412472"/>
    <w:rsid w:val="004125CA"/>
    <w:rsid w:val="004125D6"/>
    <w:rsid w:val="00412932"/>
    <w:rsid w:val="00412AC1"/>
    <w:rsid w:val="00412B7C"/>
    <w:rsid w:val="00412DE8"/>
    <w:rsid w:val="0041326F"/>
    <w:rsid w:val="004135D8"/>
    <w:rsid w:val="00413A5F"/>
    <w:rsid w:val="00413CA0"/>
    <w:rsid w:val="00413F5C"/>
    <w:rsid w:val="00413FD7"/>
    <w:rsid w:val="00414030"/>
    <w:rsid w:val="00414031"/>
    <w:rsid w:val="00414061"/>
    <w:rsid w:val="00414075"/>
    <w:rsid w:val="00414584"/>
    <w:rsid w:val="00414666"/>
    <w:rsid w:val="004147EA"/>
    <w:rsid w:val="004148F9"/>
    <w:rsid w:val="00414D32"/>
    <w:rsid w:val="00414D6C"/>
    <w:rsid w:val="004152BD"/>
    <w:rsid w:val="004152FD"/>
    <w:rsid w:val="00415384"/>
    <w:rsid w:val="0041540A"/>
    <w:rsid w:val="00415FCF"/>
    <w:rsid w:val="004160C4"/>
    <w:rsid w:val="00416313"/>
    <w:rsid w:val="0041631A"/>
    <w:rsid w:val="00416406"/>
    <w:rsid w:val="00416460"/>
    <w:rsid w:val="004165C5"/>
    <w:rsid w:val="00416729"/>
    <w:rsid w:val="00416813"/>
    <w:rsid w:val="00416919"/>
    <w:rsid w:val="00416A06"/>
    <w:rsid w:val="00416C18"/>
    <w:rsid w:val="00416CA4"/>
    <w:rsid w:val="0041776A"/>
    <w:rsid w:val="00417C4A"/>
    <w:rsid w:val="00417CC6"/>
    <w:rsid w:val="00417D23"/>
    <w:rsid w:val="00417D94"/>
    <w:rsid w:val="00420708"/>
    <w:rsid w:val="00420843"/>
    <w:rsid w:val="0042084E"/>
    <w:rsid w:val="00420A18"/>
    <w:rsid w:val="00420CB1"/>
    <w:rsid w:val="00420D52"/>
    <w:rsid w:val="00420F43"/>
    <w:rsid w:val="004210DA"/>
    <w:rsid w:val="00421617"/>
    <w:rsid w:val="004219A5"/>
    <w:rsid w:val="00421ED1"/>
    <w:rsid w:val="00421EEF"/>
    <w:rsid w:val="0042205D"/>
    <w:rsid w:val="00422179"/>
    <w:rsid w:val="004226B7"/>
    <w:rsid w:val="004227BA"/>
    <w:rsid w:val="00422916"/>
    <w:rsid w:val="00422A9F"/>
    <w:rsid w:val="00422ADB"/>
    <w:rsid w:val="00422D2A"/>
    <w:rsid w:val="00422FF4"/>
    <w:rsid w:val="004231DB"/>
    <w:rsid w:val="004235AF"/>
    <w:rsid w:val="00423A5C"/>
    <w:rsid w:val="00423A97"/>
    <w:rsid w:val="00423B93"/>
    <w:rsid w:val="00423F4D"/>
    <w:rsid w:val="00424102"/>
    <w:rsid w:val="004244A4"/>
    <w:rsid w:val="004245A1"/>
    <w:rsid w:val="004245BC"/>
    <w:rsid w:val="004248D4"/>
    <w:rsid w:val="00424AC4"/>
    <w:rsid w:val="00424D46"/>
    <w:rsid w:val="00424D65"/>
    <w:rsid w:val="00424E04"/>
    <w:rsid w:val="004252E1"/>
    <w:rsid w:val="00425309"/>
    <w:rsid w:val="00425319"/>
    <w:rsid w:val="00425483"/>
    <w:rsid w:val="004254C0"/>
    <w:rsid w:val="00425508"/>
    <w:rsid w:val="00425689"/>
    <w:rsid w:val="0042569D"/>
    <w:rsid w:val="00425DB6"/>
    <w:rsid w:val="004260C2"/>
    <w:rsid w:val="004263B3"/>
    <w:rsid w:val="00426744"/>
    <w:rsid w:val="00426937"/>
    <w:rsid w:val="00426A3C"/>
    <w:rsid w:val="00426CE3"/>
    <w:rsid w:val="00426D13"/>
    <w:rsid w:val="00426FA7"/>
    <w:rsid w:val="0042717E"/>
    <w:rsid w:val="00427299"/>
    <w:rsid w:val="004272FC"/>
    <w:rsid w:val="00427348"/>
    <w:rsid w:val="00427462"/>
    <w:rsid w:val="00427514"/>
    <w:rsid w:val="00427776"/>
    <w:rsid w:val="004277FF"/>
    <w:rsid w:val="004279ED"/>
    <w:rsid w:val="00427D38"/>
    <w:rsid w:val="00427D5A"/>
    <w:rsid w:val="00427FA4"/>
    <w:rsid w:val="00427FAF"/>
    <w:rsid w:val="00427FE4"/>
    <w:rsid w:val="00430003"/>
    <w:rsid w:val="00430393"/>
    <w:rsid w:val="00430471"/>
    <w:rsid w:val="00430492"/>
    <w:rsid w:val="004304D7"/>
    <w:rsid w:val="0043065B"/>
    <w:rsid w:val="004308AB"/>
    <w:rsid w:val="00430D54"/>
    <w:rsid w:val="00430F84"/>
    <w:rsid w:val="00430FF9"/>
    <w:rsid w:val="00431359"/>
    <w:rsid w:val="00431699"/>
    <w:rsid w:val="00431806"/>
    <w:rsid w:val="0043194E"/>
    <w:rsid w:val="00431A02"/>
    <w:rsid w:val="00431A70"/>
    <w:rsid w:val="00431A96"/>
    <w:rsid w:val="00431B39"/>
    <w:rsid w:val="00431B8E"/>
    <w:rsid w:val="00431F24"/>
    <w:rsid w:val="00431F42"/>
    <w:rsid w:val="00431FCD"/>
    <w:rsid w:val="0043224A"/>
    <w:rsid w:val="004328F3"/>
    <w:rsid w:val="00432980"/>
    <w:rsid w:val="00432C1B"/>
    <w:rsid w:val="00432C26"/>
    <w:rsid w:val="00432C33"/>
    <w:rsid w:val="00432C6A"/>
    <w:rsid w:val="00432F4B"/>
    <w:rsid w:val="00432F53"/>
    <w:rsid w:val="00432F99"/>
    <w:rsid w:val="00433064"/>
    <w:rsid w:val="004334B4"/>
    <w:rsid w:val="004335A4"/>
    <w:rsid w:val="00433A2A"/>
    <w:rsid w:val="00433D61"/>
    <w:rsid w:val="00433DDD"/>
    <w:rsid w:val="00433E87"/>
    <w:rsid w:val="00433FB5"/>
    <w:rsid w:val="00433FDB"/>
    <w:rsid w:val="00434491"/>
    <w:rsid w:val="00434497"/>
    <w:rsid w:val="004344BA"/>
    <w:rsid w:val="00434786"/>
    <w:rsid w:val="00434CA7"/>
    <w:rsid w:val="00434F41"/>
    <w:rsid w:val="00434F83"/>
    <w:rsid w:val="0043516D"/>
    <w:rsid w:val="0043519B"/>
    <w:rsid w:val="004353F3"/>
    <w:rsid w:val="00435564"/>
    <w:rsid w:val="0043567A"/>
    <w:rsid w:val="00435A93"/>
    <w:rsid w:val="00435ADE"/>
    <w:rsid w:val="00435CB2"/>
    <w:rsid w:val="00435D24"/>
    <w:rsid w:val="00435F0A"/>
    <w:rsid w:val="00435F78"/>
    <w:rsid w:val="00436859"/>
    <w:rsid w:val="00436AE3"/>
    <w:rsid w:val="00436BF1"/>
    <w:rsid w:val="00436D6F"/>
    <w:rsid w:val="004370D0"/>
    <w:rsid w:val="00437686"/>
    <w:rsid w:val="004376C2"/>
    <w:rsid w:val="004378B8"/>
    <w:rsid w:val="00437AB0"/>
    <w:rsid w:val="00437B25"/>
    <w:rsid w:val="00437CDC"/>
    <w:rsid w:val="00437D65"/>
    <w:rsid w:val="00437EC5"/>
    <w:rsid w:val="00437ED7"/>
    <w:rsid w:val="00437FCC"/>
    <w:rsid w:val="0044017C"/>
    <w:rsid w:val="004402FB"/>
    <w:rsid w:val="00440376"/>
    <w:rsid w:val="004403C5"/>
    <w:rsid w:val="004404E1"/>
    <w:rsid w:val="0044050F"/>
    <w:rsid w:val="00440AB0"/>
    <w:rsid w:val="00440B56"/>
    <w:rsid w:val="00440D2D"/>
    <w:rsid w:val="00440D96"/>
    <w:rsid w:val="00441210"/>
    <w:rsid w:val="00441795"/>
    <w:rsid w:val="00441896"/>
    <w:rsid w:val="004418DE"/>
    <w:rsid w:val="0044195E"/>
    <w:rsid w:val="0044198B"/>
    <w:rsid w:val="00442015"/>
    <w:rsid w:val="0044210E"/>
    <w:rsid w:val="004421CA"/>
    <w:rsid w:val="00442405"/>
    <w:rsid w:val="004425DB"/>
    <w:rsid w:val="0044280D"/>
    <w:rsid w:val="00442C6C"/>
    <w:rsid w:val="004433AA"/>
    <w:rsid w:val="0044347D"/>
    <w:rsid w:val="00443517"/>
    <w:rsid w:val="004436E7"/>
    <w:rsid w:val="004437C8"/>
    <w:rsid w:val="004439F2"/>
    <w:rsid w:val="00443C13"/>
    <w:rsid w:val="00443CBE"/>
    <w:rsid w:val="00443D8F"/>
    <w:rsid w:val="00443E8A"/>
    <w:rsid w:val="004441BC"/>
    <w:rsid w:val="004442E2"/>
    <w:rsid w:val="0044436A"/>
    <w:rsid w:val="004443BC"/>
    <w:rsid w:val="00444748"/>
    <w:rsid w:val="0044480D"/>
    <w:rsid w:val="004448C6"/>
    <w:rsid w:val="004448CB"/>
    <w:rsid w:val="00444B0C"/>
    <w:rsid w:val="00444CF7"/>
    <w:rsid w:val="00444E7E"/>
    <w:rsid w:val="00444EDE"/>
    <w:rsid w:val="00444FC8"/>
    <w:rsid w:val="0044505B"/>
    <w:rsid w:val="00445110"/>
    <w:rsid w:val="00445262"/>
    <w:rsid w:val="0044545C"/>
    <w:rsid w:val="0044548E"/>
    <w:rsid w:val="0044566C"/>
    <w:rsid w:val="00445714"/>
    <w:rsid w:val="004458E1"/>
    <w:rsid w:val="0044593C"/>
    <w:rsid w:val="00445AA6"/>
    <w:rsid w:val="00445CE3"/>
    <w:rsid w:val="00445DAE"/>
    <w:rsid w:val="00445E5D"/>
    <w:rsid w:val="00445E64"/>
    <w:rsid w:val="00445E80"/>
    <w:rsid w:val="00445ED1"/>
    <w:rsid w:val="00445F5C"/>
    <w:rsid w:val="0044612C"/>
    <w:rsid w:val="00446230"/>
    <w:rsid w:val="00446308"/>
    <w:rsid w:val="0044632D"/>
    <w:rsid w:val="0044636A"/>
    <w:rsid w:val="0044658E"/>
    <w:rsid w:val="00446602"/>
    <w:rsid w:val="004468B4"/>
    <w:rsid w:val="00446B15"/>
    <w:rsid w:val="00446B3A"/>
    <w:rsid w:val="00446D86"/>
    <w:rsid w:val="00446E56"/>
    <w:rsid w:val="00446E69"/>
    <w:rsid w:val="00447248"/>
    <w:rsid w:val="00447359"/>
    <w:rsid w:val="00447484"/>
    <w:rsid w:val="0044749C"/>
    <w:rsid w:val="004476C2"/>
    <w:rsid w:val="00447965"/>
    <w:rsid w:val="00447AA8"/>
    <w:rsid w:val="00447D28"/>
    <w:rsid w:val="00447ED0"/>
    <w:rsid w:val="00447F30"/>
    <w:rsid w:val="004500B7"/>
    <w:rsid w:val="0045023C"/>
    <w:rsid w:val="0045034C"/>
    <w:rsid w:val="004505D1"/>
    <w:rsid w:val="004507C6"/>
    <w:rsid w:val="0045083A"/>
    <w:rsid w:val="00450C32"/>
    <w:rsid w:val="00450D95"/>
    <w:rsid w:val="00450E31"/>
    <w:rsid w:val="0045105D"/>
    <w:rsid w:val="0045157D"/>
    <w:rsid w:val="00451A7D"/>
    <w:rsid w:val="00451ED1"/>
    <w:rsid w:val="00451F38"/>
    <w:rsid w:val="0045201E"/>
    <w:rsid w:val="00452095"/>
    <w:rsid w:val="00452213"/>
    <w:rsid w:val="004522C6"/>
    <w:rsid w:val="0045230A"/>
    <w:rsid w:val="004524B4"/>
    <w:rsid w:val="00452593"/>
    <w:rsid w:val="00452853"/>
    <w:rsid w:val="00452F19"/>
    <w:rsid w:val="00452F7F"/>
    <w:rsid w:val="00453103"/>
    <w:rsid w:val="0045329D"/>
    <w:rsid w:val="00453868"/>
    <w:rsid w:val="00453A2B"/>
    <w:rsid w:val="00453C3A"/>
    <w:rsid w:val="00453C6C"/>
    <w:rsid w:val="00453EE9"/>
    <w:rsid w:val="004541AD"/>
    <w:rsid w:val="004543BE"/>
    <w:rsid w:val="0045465C"/>
    <w:rsid w:val="0045476B"/>
    <w:rsid w:val="004547E6"/>
    <w:rsid w:val="004548F3"/>
    <w:rsid w:val="004548F8"/>
    <w:rsid w:val="0045497B"/>
    <w:rsid w:val="00454A7D"/>
    <w:rsid w:val="00454AD0"/>
    <w:rsid w:val="00454CD5"/>
    <w:rsid w:val="00454FD0"/>
    <w:rsid w:val="00455617"/>
    <w:rsid w:val="00455741"/>
    <w:rsid w:val="00455763"/>
    <w:rsid w:val="004557D7"/>
    <w:rsid w:val="00455A29"/>
    <w:rsid w:val="00455D7C"/>
    <w:rsid w:val="00455DCA"/>
    <w:rsid w:val="00455E65"/>
    <w:rsid w:val="00456089"/>
    <w:rsid w:val="0045608C"/>
    <w:rsid w:val="00456D04"/>
    <w:rsid w:val="00456E3E"/>
    <w:rsid w:val="00456F4D"/>
    <w:rsid w:val="0045714E"/>
    <w:rsid w:val="0045719C"/>
    <w:rsid w:val="00457337"/>
    <w:rsid w:val="0045754F"/>
    <w:rsid w:val="0045763C"/>
    <w:rsid w:val="0045771A"/>
    <w:rsid w:val="004579A4"/>
    <w:rsid w:val="00457A94"/>
    <w:rsid w:val="00457BD6"/>
    <w:rsid w:val="00457BDA"/>
    <w:rsid w:val="00457E2D"/>
    <w:rsid w:val="00457F81"/>
    <w:rsid w:val="00460353"/>
    <w:rsid w:val="00460588"/>
    <w:rsid w:val="004606B0"/>
    <w:rsid w:val="00460900"/>
    <w:rsid w:val="00460C27"/>
    <w:rsid w:val="004610B6"/>
    <w:rsid w:val="004611F3"/>
    <w:rsid w:val="004613D5"/>
    <w:rsid w:val="00461707"/>
    <w:rsid w:val="0046174B"/>
    <w:rsid w:val="00461FA1"/>
    <w:rsid w:val="0046211D"/>
    <w:rsid w:val="00462192"/>
    <w:rsid w:val="00462249"/>
    <w:rsid w:val="004622F1"/>
    <w:rsid w:val="0046236A"/>
    <w:rsid w:val="00462379"/>
    <w:rsid w:val="00462A00"/>
    <w:rsid w:val="00462E3D"/>
    <w:rsid w:val="00463489"/>
    <w:rsid w:val="00463781"/>
    <w:rsid w:val="00463869"/>
    <w:rsid w:val="00463E6B"/>
    <w:rsid w:val="00463EE5"/>
    <w:rsid w:val="00464054"/>
    <w:rsid w:val="0046429B"/>
    <w:rsid w:val="00464393"/>
    <w:rsid w:val="00464719"/>
    <w:rsid w:val="00464841"/>
    <w:rsid w:val="00464D1F"/>
    <w:rsid w:val="00464D3F"/>
    <w:rsid w:val="00464E12"/>
    <w:rsid w:val="00464E49"/>
    <w:rsid w:val="00464F4A"/>
    <w:rsid w:val="004651C8"/>
    <w:rsid w:val="00465413"/>
    <w:rsid w:val="00465768"/>
    <w:rsid w:val="00465935"/>
    <w:rsid w:val="004659EF"/>
    <w:rsid w:val="00465B27"/>
    <w:rsid w:val="00465F10"/>
    <w:rsid w:val="00465F74"/>
    <w:rsid w:val="00465FBC"/>
    <w:rsid w:val="00466042"/>
    <w:rsid w:val="00466284"/>
    <w:rsid w:val="004664DC"/>
    <w:rsid w:val="004666F5"/>
    <w:rsid w:val="00466866"/>
    <w:rsid w:val="00466C0A"/>
    <w:rsid w:val="00466C60"/>
    <w:rsid w:val="00466E0C"/>
    <w:rsid w:val="00466E77"/>
    <w:rsid w:val="00466E79"/>
    <w:rsid w:val="00466E81"/>
    <w:rsid w:val="00466E8D"/>
    <w:rsid w:val="00466F43"/>
    <w:rsid w:val="004670A1"/>
    <w:rsid w:val="00467239"/>
    <w:rsid w:val="004677AA"/>
    <w:rsid w:val="0046785A"/>
    <w:rsid w:val="00467867"/>
    <w:rsid w:val="00470D7D"/>
    <w:rsid w:val="00470DDF"/>
    <w:rsid w:val="00471133"/>
    <w:rsid w:val="00471432"/>
    <w:rsid w:val="00471705"/>
    <w:rsid w:val="004718A7"/>
    <w:rsid w:val="004718C2"/>
    <w:rsid w:val="004719FC"/>
    <w:rsid w:val="00471B46"/>
    <w:rsid w:val="00471CE4"/>
    <w:rsid w:val="00471D69"/>
    <w:rsid w:val="00471FFF"/>
    <w:rsid w:val="00472008"/>
    <w:rsid w:val="0047200E"/>
    <w:rsid w:val="00472239"/>
    <w:rsid w:val="004725F8"/>
    <w:rsid w:val="00472613"/>
    <w:rsid w:val="00472B38"/>
    <w:rsid w:val="00472BA3"/>
    <w:rsid w:val="00472CAD"/>
    <w:rsid w:val="00472F24"/>
    <w:rsid w:val="00472F98"/>
    <w:rsid w:val="00473115"/>
    <w:rsid w:val="004734A9"/>
    <w:rsid w:val="00473537"/>
    <w:rsid w:val="0047372D"/>
    <w:rsid w:val="0047386A"/>
    <w:rsid w:val="00473B80"/>
    <w:rsid w:val="00473BA3"/>
    <w:rsid w:val="00473F8A"/>
    <w:rsid w:val="004743DD"/>
    <w:rsid w:val="0047473F"/>
    <w:rsid w:val="004747D6"/>
    <w:rsid w:val="004747DF"/>
    <w:rsid w:val="00474820"/>
    <w:rsid w:val="0047489E"/>
    <w:rsid w:val="00474AC1"/>
    <w:rsid w:val="00474B65"/>
    <w:rsid w:val="00474CEA"/>
    <w:rsid w:val="00474E4C"/>
    <w:rsid w:val="0047514D"/>
    <w:rsid w:val="004756EA"/>
    <w:rsid w:val="00475B7C"/>
    <w:rsid w:val="00475C55"/>
    <w:rsid w:val="00475C8E"/>
    <w:rsid w:val="00476268"/>
    <w:rsid w:val="0047641D"/>
    <w:rsid w:val="00476848"/>
    <w:rsid w:val="004768DF"/>
    <w:rsid w:val="00476C27"/>
    <w:rsid w:val="00476CA6"/>
    <w:rsid w:val="00476F44"/>
    <w:rsid w:val="004770D2"/>
    <w:rsid w:val="0047719B"/>
    <w:rsid w:val="00477259"/>
    <w:rsid w:val="0047754E"/>
    <w:rsid w:val="00477699"/>
    <w:rsid w:val="00477971"/>
    <w:rsid w:val="00477B20"/>
    <w:rsid w:val="00477B37"/>
    <w:rsid w:val="0048037E"/>
    <w:rsid w:val="00480847"/>
    <w:rsid w:val="00480DF2"/>
    <w:rsid w:val="0048111C"/>
    <w:rsid w:val="00481503"/>
    <w:rsid w:val="0048165A"/>
    <w:rsid w:val="004817C6"/>
    <w:rsid w:val="004817F0"/>
    <w:rsid w:val="00481A6E"/>
    <w:rsid w:val="00481CE2"/>
    <w:rsid w:val="00481DD7"/>
    <w:rsid w:val="00481E81"/>
    <w:rsid w:val="00482172"/>
    <w:rsid w:val="00482182"/>
    <w:rsid w:val="004821C5"/>
    <w:rsid w:val="00482301"/>
    <w:rsid w:val="00482353"/>
    <w:rsid w:val="004825C0"/>
    <w:rsid w:val="00482667"/>
    <w:rsid w:val="00482817"/>
    <w:rsid w:val="00482B5B"/>
    <w:rsid w:val="00483049"/>
    <w:rsid w:val="00483111"/>
    <w:rsid w:val="0048334D"/>
    <w:rsid w:val="00483351"/>
    <w:rsid w:val="00483968"/>
    <w:rsid w:val="00483DCA"/>
    <w:rsid w:val="00483F83"/>
    <w:rsid w:val="0048408C"/>
    <w:rsid w:val="004841BE"/>
    <w:rsid w:val="0048428C"/>
    <w:rsid w:val="00484463"/>
    <w:rsid w:val="00484499"/>
    <w:rsid w:val="0048464B"/>
    <w:rsid w:val="0048476E"/>
    <w:rsid w:val="004848D4"/>
    <w:rsid w:val="00484946"/>
    <w:rsid w:val="00484AF4"/>
    <w:rsid w:val="00484BA7"/>
    <w:rsid w:val="00484C8E"/>
    <w:rsid w:val="00484CFB"/>
    <w:rsid w:val="00484F0E"/>
    <w:rsid w:val="00484F86"/>
    <w:rsid w:val="004854EB"/>
    <w:rsid w:val="00485796"/>
    <w:rsid w:val="004857D6"/>
    <w:rsid w:val="004858F6"/>
    <w:rsid w:val="0048593F"/>
    <w:rsid w:val="00485A3E"/>
    <w:rsid w:val="00485B38"/>
    <w:rsid w:val="00485C23"/>
    <w:rsid w:val="00485E90"/>
    <w:rsid w:val="00485F6F"/>
    <w:rsid w:val="00485F74"/>
    <w:rsid w:val="0048665B"/>
    <w:rsid w:val="00486891"/>
    <w:rsid w:val="004868D0"/>
    <w:rsid w:val="00486933"/>
    <w:rsid w:val="00486A55"/>
    <w:rsid w:val="00486DFC"/>
    <w:rsid w:val="00486E1D"/>
    <w:rsid w:val="00486E45"/>
    <w:rsid w:val="00486EBE"/>
    <w:rsid w:val="00486FBD"/>
    <w:rsid w:val="0048715A"/>
    <w:rsid w:val="00487204"/>
    <w:rsid w:val="00487917"/>
    <w:rsid w:val="00487A05"/>
    <w:rsid w:val="00487DA6"/>
    <w:rsid w:val="00490241"/>
    <w:rsid w:val="0049025A"/>
    <w:rsid w:val="0049038A"/>
    <w:rsid w:val="0049049F"/>
    <w:rsid w:val="00490746"/>
    <w:rsid w:val="00490852"/>
    <w:rsid w:val="00490857"/>
    <w:rsid w:val="00490C9E"/>
    <w:rsid w:val="00490E30"/>
    <w:rsid w:val="00490EA4"/>
    <w:rsid w:val="0049113F"/>
    <w:rsid w:val="004913F1"/>
    <w:rsid w:val="004917B0"/>
    <w:rsid w:val="00491C9C"/>
    <w:rsid w:val="00491DCC"/>
    <w:rsid w:val="00491F12"/>
    <w:rsid w:val="00491F49"/>
    <w:rsid w:val="00491F5E"/>
    <w:rsid w:val="00492440"/>
    <w:rsid w:val="004924C9"/>
    <w:rsid w:val="00492538"/>
    <w:rsid w:val="004925B4"/>
    <w:rsid w:val="00492617"/>
    <w:rsid w:val="00492925"/>
    <w:rsid w:val="00492D42"/>
    <w:rsid w:val="00492F30"/>
    <w:rsid w:val="00493380"/>
    <w:rsid w:val="00493D83"/>
    <w:rsid w:val="004941AE"/>
    <w:rsid w:val="0049420E"/>
    <w:rsid w:val="00494385"/>
    <w:rsid w:val="004943A9"/>
    <w:rsid w:val="004943F2"/>
    <w:rsid w:val="004946AE"/>
    <w:rsid w:val="004946E3"/>
    <w:rsid w:val="004946F4"/>
    <w:rsid w:val="0049487E"/>
    <w:rsid w:val="00494C02"/>
    <w:rsid w:val="00494D54"/>
    <w:rsid w:val="00494D6E"/>
    <w:rsid w:val="00494E9D"/>
    <w:rsid w:val="00495050"/>
    <w:rsid w:val="004952D9"/>
    <w:rsid w:val="00495324"/>
    <w:rsid w:val="00495348"/>
    <w:rsid w:val="00495422"/>
    <w:rsid w:val="00495595"/>
    <w:rsid w:val="004958C8"/>
    <w:rsid w:val="00495E86"/>
    <w:rsid w:val="00495EAC"/>
    <w:rsid w:val="004960B1"/>
    <w:rsid w:val="0049613F"/>
    <w:rsid w:val="0049634A"/>
    <w:rsid w:val="00496727"/>
    <w:rsid w:val="004968FF"/>
    <w:rsid w:val="00496B4A"/>
    <w:rsid w:val="00496B8F"/>
    <w:rsid w:val="00496C6B"/>
    <w:rsid w:val="00496F8F"/>
    <w:rsid w:val="0049711D"/>
    <w:rsid w:val="004972E1"/>
    <w:rsid w:val="00497379"/>
    <w:rsid w:val="00497494"/>
    <w:rsid w:val="00497E7D"/>
    <w:rsid w:val="004A06C1"/>
    <w:rsid w:val="004A06F8"/>
    <w:rsid w:val="004A0786"/>
    <w:rsid w:val="004A095A"/>
    <w:rsid w:val="004A0B2A"/>
    <w:rsid w:val="004A0CAB"/>
    <w:rsid w:val="004A0CC2"/>
    <w:rsid w:val="004A0D17"/>
    <w:rsid w:val="004A0D7B"/>
    <w:rsid w:val="004A0EB9"/>
    <w:rsid w:val="004A0FFB"/>
    <w:rsid w:val="004A102B"/>
    <w:rsid w:val="004A10FD"/>
    <w:rsid w:val="004A11E6"/>
    <w:rsid w:val="004A121F"/>
    <w:rsid w:val="004A12F5"/>
    <w:rsid w:val="004A160D"/>
    <w:rsid w:val="004A17BC"/>
    <w:rsid w:val="004A195F"/>
    <w:rsid w:val="004A19D0"/>
    <w:rsid w:val="004A1AAE"/>
    <w:rsid w:val="004A1BC1"/>
    <w:rsid w:val="004A204F"/>
    <w:rsid w:val="004A2501"/>
    <w:rsid w:val="004A2760"/>
    <w:rsid w:val="004A29DC"/>
    <w:rsid w:val="004A2B87"/>
    <w:rsid w:val="004A2F74"/>
    <w:rsid w:val="004A30F1"/>
    <w:rsid w:val="004A3197"/>
    <w:rsid w:val="004A336E"/>
    <w:rsid w:val="004A34E0"/>
    <w:rsid w:val="004A3820"/>
    <w:rsid w:val="004A389A"/>
    <w:rsid w:val="004A3923"/>
    <w:rsid w:val="004A3A43"/>
    <w:rsid w:val="004A3A68"/>
    <w:rsid w:val="004A3DFA"/>
    <w:rsid w:val="004A3E81"/>
    <w:rsid w:val="004A4195"/>
    <w:rsid w:val="004A41F8"/>
    <w:rsid w:val="004A42B0"/>
    <w:rsid w:val="004A4300"/>
    <w:rsid w:val="004A4525"/>
    <w:rsid w:val="004A4894"/>
    <w:rsid w:val="004A4B5E"/>
    <w:rsid w:val="004A5013"/>
    <w:rsid w:val="004A50AD"/>
    <w:rsid w:val="004A5389"/>
    <w:rsid w:val="004A592F"/>
    <w:rsid w:val="004A5C62"/>
    <w:rsid w:val="004A5CE5"/>
    <w:rsid w:val="004A5FAD"/>
    <w:rsid w:val="004A63D4"/>
    <w:rsid w:val="004A6A74"/>
    <w:rsid w:val="004A6B61"/>
    <w:rsid w:val="004A6DD0"/>
    <w:rsid w:val="004A6E6F"/>
    <w:rsid w:val="004A6ECD"/>
    <w:rsid w:val="004A6F0B"/>
    <w:rsid w:val="004A707D"/>
    <w:rsid w:val="004A72D9"/>
    <w:rsid w:val="004A732B"/>
    <w:rsid w:val="004A73DF"/>
    <w:rsid w:val="004A74D8"/>
    <w:rsid w:val="004A79DF"/>
    <w:rsid w:val="004A7AA8"/>
    <w:rsid w:val="004A7CA0"/>
    <w:rsid w:val="004A7ED0"/>
    <w:rsid w:val="004A7F14"/>
    <w:rsid w:val="004B0049"/>
    <w:rsid w:val="004B02BD"/>
    <w:rsid w:val="004B046F"/>
    <w:rsid w:val="004B0974"/>
    <w:rsid w:val="004B0A8C"/>
    <w:rsid w:val="004B0CE1"/>
    <w:rsid w:val="004B0CF4"/>
    <w:rsid w:val="004B0E86"/>
    <w:rsid w:val="004B0FFE"/>
    <w:rsid w:val="004B1022"/>
    <w:rsid w:val="004B10A5"/>
    <w:rsid w:val="004B1375"/>
    <w:rsid w:val="004B138E"/>
    <w:rsid w:val="004B140A"/>
    <w:rsid w:val="004B1431"/>
    <w:rsid w:val="004B1649"/>
    <w:rsid w:val="004B1668"/>
    <w:rsid w:val="004B18A7"/>
    <w:rsid w:val="004B1A8D"/>
    <w:rsid w:val="004B1D16"/>
    <w:rsid w:val="004B1E1A"/>
    <w:rsid w:val="004B1FAC"/>
    <w:rsid w:val="004B2014"/>
    <w:rsid w:val="004B20F8"/>
    <w:rsid w:val="004B20FE"/>
    <w:rsid w:val="004B267A"/>
    <w:rsid w:val="004B26C5"/>
    <w:rsid w:val="004B287A"/>
    <w:rsid w:val="004B293D"/>
    <w:rsid w:val="004B33D1"/>
    <w:rsid w:val="004B3C64"/>
    <w:rsid w:val="004B3CAA"/>
    <w:rsid w:val="004B3D4F"/>
    <w:rsid w:val="004B4185"/>
    <w:rsid w:val="004B436C"/>
    <w:rsid w:val="004B4405"/>
    <w:rsid w:val="004B4497"/>
    <w:rsid w:val="004B4564"/>
    <w:rsid w:val="004B4589"/>
    <w:rsid w:val="004B482F"/>
    <w:rsid w:val="004B4CA4"/>
    <w:rsid w:val="004B4CC6"/>
    <w:rsid w:val="004B4E2F"/>
    <w:rsid w:val="004B4F3F"/>
    <w:rsid w:val="004B4FEC"/>
    <w:rsid w:val="004B50AB"/>
    <w:rsid w:val="004B5666"/>
    <w:rsid w:val="004B5810"/>
    <w:rsid w:val="004B5923"/>
    <w:rsid w:val="004B607C"/>
    <w:rsid w:val="004B6113"/>
    <w:rsid w:val="004B62C5"/>
    <w:rsid w:val="004B6672"/>
    <w:rsid w:val="004B69E0"/>
    <w:rsid w:val="004B6AD8"/>
    <w:rsid w:val="004B6C05"/>
    <w:rsid w:val="004B6D47"/>
    <w:rsid w:val="004B6F9F"/>
    <w:rsid w:val="004B72BE"/>
    <w:rsid w:val="004B77C6"/>
    <w:rsid w:val="004B77DE"/>
    <w:rsid w:val="004B787A"/>
    <w:rsid w:val="004B79DD"/>
    <w:rsid w:val="004B7B0C"/>
    <w:rsid w:val="004B7C2D"/>
    <w:rsid w:val="004B7EFB"/>
    <w:rsid w:val="004B7FF0"/>
    <w:rsid w:val="004BA26C"/>
    <w:rsid w:val="004C021D"/>
    <w:rsid w:val="004C0279"/>
    <w:rsid w:val="004C08FB"/>
    <w:rsid w:val="004C0C6E"/>
    <w:rsid w:val="004C0F97"/>
    <w:rsid w:val="004C0FB6"/>
    <w:rsid w:val="004C1008"/>
    <w:rsid w:val="004C11B8"/>
    <w:rsid w:val="004C1427"/>
    <w:rsid w:val="004C1622"/>
    <w:rsid w:val="004C16C4"/>
    <w:rsid w:val="004C173D"/>
    <w:rsid w:val="004C1AED"/>
    <w:rsid w:val="004C1D01"/>
    <w:rsid w:val="004C1D1E"/>
    <w:rsid w:val="004C2030"/>
    <w:rsid w:val="004C20D6"/>
    <w:rsid w:val="004C256A"/>
    <w:rsid w:val="004C26D0"/>
    <w:rsid w:val="004C2712"/>
    <w:rsid w:val="004C295A"/>
    <w:rsid w:val="004C3055"/>
    <w:rsid w:val="004C32EB"/>
    <w:rsid w:val="004C3396"/>
    <w:rsid w:val="004C34EA"/>
    <w:rsid w:val="004C355D"/>
    <w:rsid w:val="004C3A97"/>
    <w:rsid w:val="004C3CFD"/>
    <w:rsid w:val="004C3E8C"/>
    <w:rsid w:val="004C3FC2"/>
    <w:rsid w:val="004C4109"/>
    <w:rsid w:val="004C4286"/>
    <w:rsid w:val="004C439E"/>
    <w:rsid w:val="004C4442"/>
    <w:rsid w:val="004C4617"/>
    <w:rsid w:val="004C4A93"/>
    <w:rsid w:val="004C4D7D"/>
    <w:rsid w:val="004C4DBB"/>
    <w:rsid w:val="004C51DD"/>
    <w:rsid w:val="004C5507"/>
    <w:rsid w:val="004C5541"/>
    <w:rsid w:val="004C595E"/>
    <w:rsid w:val="004C59C8"/>
    <w:rsid w:val="004C59F2"/>
    <w:rsid w:val="004C5A29"/>
    <w:rsid w:val="004C5B5D"/>
    <w:rsid w:val="004C5BF4"/>
    <w:rsid w:val="004C5C40"/>
    <w:rsid w:val="004C5D89"/>
    <w:rsid w:val="004C60CA"/>
    <w:rsid w:val="004C6169"/>
    <w:rsid w:val="004C64D3"/>
    <w:rsid w:val="004C6775"/>
    <w:rsid w:val="004C6954"/>
    <w:rsid w:val="004C6989"/>
    <w:rsid w:val="004C6D75"/>
    <w:rsid w:val="004C6D7B"/>
    <w:rsid w:val="004C6D97"/>
    <w:rsid w:val="004C6EEE"/>
    <w:rsid w:val="004C6F04"/>
    <w:rsid w:val="004C702B"/>
    <w:rsid w:val="004C707E"/>
    <w:rsid w:val="004C7150"/>
    <w:rsid w:val="004C7194"/>
    <w:rsid w:val="004C720D"/>
    <w:rsid w:val="004C72F9"/>
    <w:rsid w:val="004C7483"/>
    <w:rsid w:val="004C75A0"/>
    <w:rsid w:val="004C76F7"/>
    <w:rsid w:val="004C774E"/>
    <w:rsid w:val="004C7756"/>
    <w:rsid w:val="004C7968"/>
    <w:rsid w:val="004C7FB7"/>
    <w:rsid w:val="004D0033"/>
    <w:rsid w:val="004D0085"/>
    <w:rsid w:val="004D016B"/>
    <w:rsid w:val="004D0255"/>
    <w:rsid w:val="004D02BE"/>
    <w:rsid w:val="004D03D7"/>
    <w:rsid w:val="004D0487"/>
    <w:rsid w:val="004D0574"/>
    <w:rsid w:val="004D0576"/>
    <w:rsid w:val="004D0600"/>
    <w:rsid w:val="004D0789"/>
    <w:rsid w:val="004D0E7B"/>
    <w:rsid w:val="004D1057"/>
    <w:rsid w:val="004D1648"/>
    <w:rsid w:val="004D1B22"/>
    <w:rsid w:val="004D1C4F"/>
    <w:rsid w:val="004D2144"/>
    <w:rsid w:val="004D23CC"/>
    <w:rsid w:val="004D252E"/>
    <w:rsid w:val="004D2642"/>
    <w:rsid w:val="004D2650"/>
    <w:rsid w:val="004D2936"/>
    <w:rsid w:val="004D2A00"/>
    <w:rsid w:val="004D2BB8"/>
    <w:rsid w:val="004D2D42"/>
    <w:rsid w:val="004D2DDF"/>
    <w:rsid w:val="004D2E33"/>
    <w:rsid w:val="004D2E7A"/>
    <w:rsid w:val="004D2EE2"/>
    <w:rsid w:val="004D30B0"/>
    <w:rsid w:val="004D3239"/>
    <w:rsid w:val="004D3429"/>
    <w:rsid w:val="004D34F0"/>
    <w:rsid w:val="004D36F2"/>
    <w:rsid w:val="004D37C7"/>
    <w:rsid w:val="004D37E9"/>
    <w:rsid w:val="004D3835"/>
    <w:rsid w:val="004D389D"/>
    <w:rsid w:val="004D39E4"/>
    <w:rsid w:val="004D3A9E"/>
    <w:rsid w:val="004D3AD6"/>
    <w:rsid w:val="004D3CDB"/>
    <w:rsid w:val="004D3CE7"/>
    <w:rsid w:val="004D3EF5"/>
    <w:rsid w:val="004D3F3E"/>
    <w:rsid w:val="004D3F6D"/>
    <w:rsid w:val="004D3FBD"/>
    <w:rsid w:val="004D4042"/>
    <w:rsid w:val="004D40BB"/>
    <w:rsid w:val="004D4154"/>
    <w:rsid w:val="004D453F"/>
    <w:rsid w:val="004D464F"/>
    <w:rsid w:val="004D4770"/>
    <w:rsid w:val="004D4956"/>
    <w:rsid w:val="004D4CB6"/>
    <w:rsid w:val="004D4E85"/>
    <w:rsid w:val="004D4F93"/>
    <w:rsid w:val="004D5012"/>
    <w:rsid w:val="004D51C2"/>
    <w:rsid w:val="004D5419"/>
    <w:rsid w:val="004D546A"/>
    <w:rsid w:val="004D5546"/>
    <w:rsid w:val="004D5782"/>
    <w:rsid w:val="004D578F"/>
    <w:rsid w:val="004D5949"/>
    <w:rsid w:val="004D5ABE"/>
    <w:rsid w:val="004D6127"/>
    <w:rsid w:val="004D7210"/>
    <w:rsid w:val="004D739F"/>
    <w:rsid w:val="004D744C"/>
    <w:rsid w:val="004D7491"/>
    <w:rsid w:val="004D77EF"/>
    <w:rsid w:val="004D788B"/>
    <w:rsid w:val="004D78E2"/>
    <w:rsid w:val="004D7E46"/>
    <w:rsid w:val="004E00EE"/>
    <w:rsid w:val="004E0143"/>
    <w:rsid w:val="004E018A"/>
    <w:rsid w:val="004E01D5"/>
    <w:rsid w:val="004E0380"/>
    <w:rsid w:val="004E03C8"/>
    <w:rsid w:val="004E04C3"/>
    <w:rsid w:val="004E0514"/>
    <w:rsid w:val="004E0645"/>
    <w:rsid w:val="004E07C7"/>
    <w:rsid w:val="004E0905"/>
    <w:rsid w:val="004E0F41"/>
    <w:rsid w:val="004E10F0"/>
    <w:rsid w:val="004E1106"/>
    <w:rsid w:val="004E138F"/>
    <w:rsid w:val="004E1594"/>
    <w:rsid w:val="004E17AF"/>
    <w:rsid w:val="004E19A1"/>
    <w:rsid w:val="004E19D5"/>
    <w:rsid w:val="004E1B1D"/>
    <w:rsid w:val="004E1BC4"/>
    <w:rsid w:val="004E1D40"/>
    <w:rsid w:val="004E1F88"/>
    <w:rsid w:val="004E208A"/>
    <w:rsid w:val="004E2110"/>
    <w:rsid w:val="004E231E"/>
    <w:rsid w:val="004E24C6"/>
    <w:rsid w:val="004E26B3"/>
    <w:rsid w:val="004E2835"/>
    <w:rsid w:val="004E29D3"/>
    <w:rsid w:val="004E2ACD"/>
    <w:rsid w:val="004E2C29"/>
    <w:rsid w:val="004E3123"/>
    <w:rsid w:val="004E318A"/>
    <w:rsid w:val="004E31E5"/>
    <w:rsid w:val="004E36DC"/>
    <w:rsid w:val="004E3BBD"/>
    <w:rsid w:val="004E3BF1"/>
    <w:rsid w:val="004E3FAD"/>
    <w:rsid w:val="004E4405"/>
    <w:rsid w:val="004E4435"/>
    <w:rsid w:val="004E4649"/>
    <w:rsid w:val="004E48B8"/>
    <w:rsid w:val="004E48CE"/>
    <w:rsid w:val="004E49D7"/>
    <w:rsid w:val="004E4C46"/>
    <w:rsid w:val="004E4C67"/>
    <w:rsid w:val="004E4E18"/>
    <w:rsid w:val="004E5067"/>
    <w:rsid w:val="004E5163"/>
    <w:rsid w:val="004E53CF"/>
    <w:rsid w:val="004E53E1"/>
    <w:rsid w:val="004E55BC"/>
    <w:rsid w:val="004E57BA"/>
    <w:rsid w:val="004E58F5"/>
    <w:rsid w:val="004E5BCD"/>
    <w:rsid w:val="004E5C2B"/>
    <w:rsid w:val="004E5C73"/>
    <w:rsid w:val="004E5ED6"/>
    <w:rsid w:val="004E5F6E"/>
    <w:rsid w:val="004E627D"/>
    <w:rsid w:val="004E6770"/>
    <w:rsid w:val="004E6884"/>
    <w:rsid w:val="004E6BEF"/>
    <w:rsid w:val="004E6D21"/>
    <w:rsid w:val="004E6F27"/>
    <w:rsid w:val="004E71AF"/>
    <w:rsid w:val="004E73F7"/>
    <w:rsid w:val="004E76D0"/>
    <w:rsid w:val="004E76F8"/>
    <w:rsid w:val="004E77ED"/>
    <w:rsid w:val="004E7869"/>
    <w:rsid w:val="004E7998"/>
    <w:rsid w:val="004E7A9D"/>
    <w:rsid w:val="004E7B12"/>
    <w:rsid w:val="004E7C2B"/>
    <w:rsid w:val="004E7EEF"/>
    <w:rsid w:val="004F0065"/>
    <w:rsid w:val="004F00DD"/>
    <w:rsid w:val="004F0336"/>
    <w:rsid w:val="004F04B1"/>
    <w:rsid w:val="004F083C"/>
    <w:rsid w:val="004F0A70"/>
    <w:rsid w:val="004F0AC4"/>
    <w:rsid w:val="004F0EB9"/>
    <w:rsid w:val="004F0F3F"/>
    <w:rsid w:val="004F0F64"/>
    <w:rsid w:val="004F12D4"/>
    <w:rsid w:val="004F1730"/>
    <w:rsid w:val="004F181C"/>
    <w:rsid w:val="004F19CA"/>
    <w:rsid w:val="004F1ED4"/>
    <w:rsid w:val="004F2133"/>
    <w:rsid w:val="004F223B"/>
    <w:rsid w:val="004F2248"/>
    <w:rsid w:val="004F2330"/>
    <w:rsid w:val="004F2523"/>
    <w:rsid w:val="004F28AD"/>
    <w:rsid w:val="004F2CB7"/>
    <w:rsid w:val="004F3157"/>
    <w:rsid w:val="004F317A"/>
    <w:rsid w:val="004F32F3"/>
    <w:rsid w:val="004F331F"/>
    <w:rsid w:val="004F3326"/>
    <w:rsid w:val="004F33A3"/>
    <w:rsid w:val="004F3667"/>
    <w:rsid w:val="004F388F"/>
    <w:rsid w:val="004F3C80"/>
    <w:rsid w:val="004F41D2"/>
    <w:rsid w:val="004F42D4"/>
    <w:rsid w:val="004F42F6"/>
    <w:rsid w:val="004F4538"/>
    <w:rsid w:val="004F46E8"/>
    <w:rsid w:val="004F47C6"/>
    <w:rsid w:val="004F4870"/>
    <w:rsid w:val="004F49A1"/>
    <w:rsid w:val="004F4A0C"/>
    <w:rsid w:val="004F4C8F"/>
    <w:rsid w:val="004F4DBC"/>
    <w:rsid w:val="004F4EE5"/>
    <w:rsid w:val="004F508C"/>
    <w:rsid w:val="004F514F"/>
    <w:rsid w:val="004F519B"/>
    <w:rsid w:val="004F5398"/>
    <w:rsid w:val="004F5596"/>
    <w:rsid w:val="004F55B8"/>
    <w:rsid w:val="004F55F1"/>
    <w:rsid w:val="004F579C"/>
    <w:rsid w:val="004F596E"/>
    <w:rsid w:val="004F5ED6"/>
    <w:rsid w:val="004F5F58"/>
    <w:rsid w:val="004F6080"/>
    <w:rsid w:val="004F6085"/>
    <w:rsid w:val="004F6179"/>
    <w:rsid w:val="004F644A"/>
    <w:rsid w:val="004F67F8"/>
    <w:rsid w:val="004F6936"/>
    <w:rsid w:val="004F69F5"/>
    <w:rsid w:val="004F6C2F"/>
    <w:rsid w:val="004F6E17"/>
    <w:rsid w:val="004F754C"/>
    <w:rsid w:val="004F7641"/>
    <w:rsid w:val="004F785B"/>
    <w:rsid w:val="004F792B"/>
    <w:rsid w:val="004F79F5"/>
    <w:rsid w:val="004F7BCF"/>
    <w:rsid w:val="004F7CCE"/>
    <w:rsid w:val="004F7CEB"/>
    <w:rsid w:val="004F7E27"/>
    <w:rsid w:val="004F7E71"/>
    <w:rsid w:val="004F7ECC"/>
    <w:rsid w:val="005000BE"/>
    <w:rsid w:val="005001D1"/>
    <w:rsid w:val="005001FA"/>
    <w:rsid w:val="005001FB"/>
    <w:rsid w:val="00500268"/>
    <w:rsid w:val="005002D3"/>
    <w:rsid w:val="0050035A"/>
    <w:rsid w:val="005003D5"/>
    <w:rsid w:val="005005B8"/>
    <w:rsid w:val="005005E9"/>
    <w:rsid w:val="005007A1"/>
    <w:rsid w:val="005007E2"/>
    <w:rsid w:val="0050085D"/>
    <w:rsid w:val="0050094E"/>
    <w:rsid w:val="005009BE"/>
    <w:rsid w:val="00500A3C"/>
    <w:rsid w:val="00500B36"/>
    <w:rsid w:val="00500CF9"/>
    <w:rsid w:val="00500D8F"/>
    <w:rsid w:val="00500DBC"/>
    <w:rsid w:val="00500EFF"/>
    <w:rsid w:val="00501329"/>
    <w:rsid w:val="005015DA"/>
    <w:rsid w:val="00501676"/>
    <w:rsid w:val="00501722"/>
    <w:rsid w:val="00501DF7"/>
    <w:rsid w:val="00501E24"/>
    <w:rsid w:val="00501FD4"/>
    <w:rsid w:val="00501FFD"/>
    <w:rsid w:val="00502057"/>
    <w:rsid w:val="00502157"/>
    <w:rsid w:val="00502254"/>
    <w:rsid w:val="00502290"/>
    <w:rsid w:val="0050263B"/>
    <w:rsid w:val="00502944"/>
    <w:rsid w:val="005029F9"/>
    <w:rsid w:val="00502C9A"/>
    <w:rsid w:val="00502CCE"/>
    <w:rsid w:val="00502E2F"/>
    <w:rsid w:val="00502EB9"/>
    <w:rsid w:val="00503293"/>
    <w:rsid w:val="005032A4"/>
    <w:rsid w:val="0050351C"/>
    <w:rsid w:val="00503772"/>
    <w:rsid w:val="00503B92"/>
    <w:rsid w:val="00503CF3"/>
    <w:rsid w:val="00503D12"/>
    <w:rsid w:val="00503DC6"/>
    <w:rsid w:val="00504184"/>
    <w:rsid w:val="0050445C"/>
    <w:rsid w:val="00504784"/>
    <w:rsid w:val="00504A1B"/>
    <w:rsid w:val="00504B46"/>
    <w:rsid w:val="00505216"/>
    <w:rsid w:val="005052D8"/>
    <w:rsid w:val="0050545D"/>
    <w:rsid w:val="00505520"/>
    <w:rsid w:val="00505695"/>
    <w:rsid w:val="0050579D"/>
    <w:rsid w:val="00505CB3"/>
    <w:rsid w:val="00505F97"/>
    <w:rsid w:val="0050606E"/>
    <w:rsid w:val="00506294"/>
    <w:rsid w:val="005062CE"/>
    <w:rsid w:val="005062CF"/>
    <w:rsid w:val="00506479"/>
    <w:rsid w:val="005067E7"/>
    <w:rsid w:val="00506E8D"/>
    <w:rsid w:val="00506F5D"/>
    <w:rsid w:val="00506FD4"/>
    <w:rsid w:val="005071A9"/>
    <w:rsid w:val="005073FC"/>
    <w:rsid w:val="00507430"/>
    <w:rsid w:val="005078A2"/>
    <w:rsid w:val="00507F98"/>
    <w:rsid w:val="00510365"/>
    <w:rsid w:val="0051083F"/>
    <w:rsid w:val="00510A42"/>
    <w:rsid w:val="00510ACA"/>
    <w:rsid w:val="00510B25"/>
    <w:rsid w:val="00510C37"/>
    <w:rsid w:val="00510CCF"/>
    <w:rsid w:val="005112D9"/>
    <w:rsid w:val="00511383"/>
    <w:rsid w:val="005113E7"/>
    <w:rsid w:val="0051147C"/>
    <w:rsid w:val="00511C59"/>
    <w:rsid w:val="00511DD0"/>
    <w:rsid w:val="00511E92"/>
    <w:rsid w:val="0051201C"/>
    <w:rsid w:val="005120A3"/>
    <w:rsid w:val="005123A4"/>
    <w:rsid w:val="005123A6"/>
    <w:rsid w:val="005125F8"/>
    <w:rsid w:val="005126A6"/>
    <w:rsid w:val="005126D0"/>
    <w:rsid w:val="005130E9"/>
    <w:rsid w:val="005131B8"/>
    <w:rsid w:val="00513211"/>
    <w:rsid w:val="00513458"/>
    <w:rsid w:val="005136C3"/>
    <w:rsid w:val="00513954"/>
    <w:rsid w:val="00513E1B"/>
    <w:rsid w:val="00513EEE"/>
    <w:rsid w:val="0051400D"/>
    <w:rsid w:val="005140E0"/>
    <w:rsid w:val="00514155"/>
    <w:rsid w:val="005141A8"/>
    <w:rsid w:val="005141FD"/>
    <w:rsid w:val="0051426C"/>
    <w:rsid w:val="00514293"/>
    <w:rsid w:val="005142CB"/>
    <w:rsid w:val="0051457C"/>
    <w:rsid w:val="00514667"/>
    <w:rsid w:val="00514F9F"/>
    <w:rsid w:val="00514FD2"/>
    <w:rsid w:val="0051568D"/>
    <w:rsid w:val="005156D9"/>
    <w:rsid w:val="00515888"/>
    <w:rsid w:val="00515914"/>
    <w:rsid w:val="00515CB8"/>
    <w:rsid w:val="00515E5A"/>
    <w:rsid w:val="00515E7E"/>
    <w:rsid w:val="00515F1A"/>
    <w:rsid w:val="0051636A"/>
    <w:rsid w:val="00516710"/>
    <w:rsid w:val="00516740"/>
    <w:rsid w:val="00516A0F"/>
    <w:rsid w:val="00516B4D"/>
    <w:rsid w:val="00516B5E"/>
    <w:rsid w:val="00516F6F"/>
    <w:rsid w:val="0051732A"/>
    <w:rsid w:val="005175C9"/>
    <w:rsid w:val="00517658"/>
    <w:rsid w:val="00517994"/>
    <w:rsid w:val="00517DC7"/>
    <w:rsid w:val="00517E63"/>
    <w:rsid w:val="00517F6F"/>
    <w:rsid w:val="00517FAC"/>
    <w:rsid w:val="005200AB"/>
    <w:rsid w:val="005200F0"/>
    <w:rsid w:val="0052011F"/>
    <w:rsid w:val="005201FF"/>
    <w:rsid w:val="00520299"/>
    <w:rsid w:val="0052033B"/>
    <w:rsid w:val="005204B8"/>
    <w:rsid w:val="0052057E"/>
    <w:rsid w:val="0052062C"/>
    <w:rsid w:val="00520B6D"/>
    <w:rsid w:val="00520CE9"/>
    <w:rsid w:val="00520D7A"/>
    <w:rsid w:val="00521092"/>
    <w:rsid w:val="00521181"/>
    <w:rsid w:val="005211E5"/>
    <w:rsid w:val="00521724"/>
    <w:rsid w:val="005218B2"/>
    <w:rsid w:val="00521ABC"/>
    <w:rsid w:val="00521DB7"/>
    <w:rsid w:val="00521E98"/>
    <w:rsid w:val="005220B4"/>
    <w:rsid w:val="00522700"/>
    <w:rsid w:val="005229CE"/>
    <w:rsid w:val="00522AE3"/>
    <w:rsid w:val="00522B77"/>
    <w:rsid w:val="00522B8A"/>
    <w:rsid w:val="00522C4C"/>
    <w:rsid w:val="00522CD8"/>
    <w:rsid w:val="00522E98"/>
    <w:rsid w:val="00522FAC"/>
    <w:rsid w:val="0052305F"/>
    <w:rsid w:val="005232C1"/>
    <w:rsid w:val="005236EB"/>
    <w:rsid w:val="005237A6"/>
    <w:rsid w:val="00523D42"/>
    <w:rsid w:val="00523E0E"/>
    <w:rsid w:val="00524465"/>
    <w:rsid w:val="00524636"/>
    <w:rsid w:val="00524B55"/>
    <w:rsid w:val="00524D8C"/>
    <w:rsid w:val="005257EA"/>
    <w:rsid w:val="00525AB9"/>
    <w:rsid w:val="00525C12"/>
    <w:rsid w:val="00525D04"/>
    <w:rsid w:val="00525D67"/>
    <w:rsid w:val="00525F20"/>
    <w:rsid w:val="00525F2E"/>
    <w:rsid w:val="0052619E"/>
    <w:rsid w:val="0052665E"/>
    <w:rsid w:val="00526821"/>
    <w:rsid w:val="00526AC7"/>
    <w:rsid w:val="00526AFC"/>
    <w:rsid w:val="00526B8C"/>
    <w:rsid w:val="00526C15"/>
    <w:rsid w:val="005270A7"/>
    <w:rsid w:val="005272FA"/>
    <w:rsid w:val="00527379"/>
    <w:rsid w:val="0052737C"/>
    <w:rsid w:val="005273BE"/>
    <w:rsid w:val="005276F7"/>
    <w:rsid w:val="0052788A"/>
    <w:rsid w:val="005278DF"/>
    <w:rsid w:val="00527931"/>
    <w:rsid w:val="00527A00"/>
    <w:rsid w:val="00527A03"/>
    <w:rsid w:val="00527B09"/>
    <w:rsid w:val="00527C2E"/>
    <w:rsid w:val="00527CD6"/>
    <w:rsid w:val="005301BC"/>
    <w:rsid w:val="005302CD"/>
    <w:rsid w:val="0053031B"/>
    <w:rsid w:val="005304AB"/>
    <w:rsid w:val="0053054D"/>
    <w:rsid w:val="005308E6"/>
    <w:rsid w:val="00530BAA"/>
    <w:rsid w:val="00530C26"/>
    <w:rsid w:val="00530CEC"/>
    <w:rsid w:val="00531BC3"/>
    <w:rsid w:val="00531C2C"/>
    <w:rsid w:val="00531CA0"/>
    <w:rsid w:val="00531D45"/>
    <w:rsid w:val="00531F0D"/>
    <w:rsid w:val="00531FD6"/>
    <w:rsid w:val="005324F0"/>
    <w:rsid w:val="0053255B"/>
    <w:rsid w:val="005327AD"/>
    <w:rsid w:val="005328D7"/>
    <w:rsid w:val="00532927"/>
    <w:rsid w:val="00532A43"/>
    <w:rsid w:val="00532E2B"/>
    <w:rsid w:val="00532E47"/>
    <w:rsid w:val="0053314B"/>
    <w:rsid w:val="00533159"/>
    <w:rsid w:val="005333BE"/>
    <w:rsid w:val="00533563"/>
    <w:rsid w:val="005337E1"/>
    <w:rsid w:val="0053380F"/>
    <w:rsid w:val="00533857"/>
    <w:rsid w:val="00533C39"/>
    <w:rsid w:val="00533EFF"/>
    <w:rsid w:val="0053427B"/>
    <w:rsid w:val="005342CF"/>
    <w:rsid w:val="00534361"/>
    <w:rsid w:val="0053443C"/>
    <w:rsid w:val="005345E0"/>
    <w:rsid w:val="005349B0"/>
    <w:rsid w:val="00534B3E"/>
    <w:rsid w:val="00534D9C"/>
    <w:rsid w:val="00534F42"/>
    <w:rsid w:val="00535102"/>
    <w:rsid w:val="00535214"/>
    <w:rsid w:val="00535255"/>
    <w:rsid w:val="0053527E"/>
    <w:rsid w:val="0053534A"/>
    <w:rsid w:val="00535433"/>
    <w:rsid w:val="00535616"/>
    <w:rsid w:val="00535B16"/>
    <w:rsid w:val="00535BF2"/>
    <w:rsid w:val="00535D2B"/>
    <w:rsid w:val="00535D35"/>
    <w:rsid w:val="00535F4D"/>
    <w:rsid w:val="005361B4"/>
    <w:rsid w:val="00536202"/>
    <w:rsid w:val="005363BE"/>
    <w:rsid w:val="00536499"/>
    <w:rsid w:val="00536558"/>
    <w:rsid w:val="005368E3"/>
    <w:rsid w:val="00536E87"/>
    <w:rsid w:val="00537772"/>
    <w:rsid w:val="00537B53"/>
    <w:rsid w:val="00537FC6"/>
    <w:rsid w:val="00540202"/>
    <w:rsid w:val="00540285"/>
    <w:rsid w:val="00540337"/>
    <w:rsid w:val="0054041C"/>
    <w:rsid w:val="00540513"/>
    <w:rsid w:val="0054082B"/>
    <w:rsid w:val="005408A5"/>
    <w:rsid w:val="00540DDA"/>
    <w:rsid w:val="00540F0B"/>
    <w:rsid w:val="0054161D"/>
    <w:rsid w:val="005416E5"/>
    <w:rsid w:val="00541789"/>
    <w:rsid w:val="005417C1"/>
    <w:rsid w:val="00541A08"/>
    <w:rsid w:val="00541A79"/>
    <w:rsid w:val="00541D80"/>
    <w:rsid w:val="00541F44"/>
    <w:rsid w:val="005420CE"/>
    <w:rsid w:val="005421BC"/>
    <w:rsid w:val="0054221B"/>
    <w:rsid w:val="00542288"/>
    <w:rsid w:val="005424C7"/>
    <w:rsid w:val="005426A9"/>
    <w:rsid w:val="00542A03"/>
    <w:rsid w:val="0054337B"/>
    <w:rsid w:val="005437AA"/>
    <w:rsid w:val="005437D4"/>
    <w:rsid w:val="00543870"/>
    <w:rsid w:val="00543903"/>
    <w:rsid w:val="005439AA"/>
    <w:rsid w:val="00543BCC"/>
    <w:rsid w:val="00543BE1"/>
    <w:rsid w:val="00543DFD"/>
    <w:rsid w:val="00543EDD"/>
    <w:rsid w:val="00543F11"/>
    <w:rsid w:val="0054405B"/>
    <w:rsid w:val="00544135"/>
    <w:rsid w:val="005446D7"/>
    <w:rsid w:val="005449BC"/>
    <w:rsid w:val="00544F6A"/>
    <w:rsid w:val="00544F92"/>
    <w:rsid w:val="00544FF3"/>
    <w:rsid w:val="00545184"/>
    <w:rsid w:val="0054521D"/>
    <w:rsid w:val="00545864"/>
    <w:rsid w:val="00545C80"/>
    <w:rsid w:val="00545F44"/>
    <w:rsid w:val="00546167"/>
    <w:rsid w:val="00546305"/>
    <w:rsid w:val="00546478"/>
    <w:rsid w:val="005466C6"/>
    <w:rsid w:val="00546722"/>
    <w:rsid w:val="00546BEB"/>
    <w:rsid w:val="00546C77"/>
    <w:rsid w:val="00546CE2"/>
    <w:rsid w:val="00547310"/>
    <w:rsid w:val="005473EB"/>
    <w:rsid w:val="00547539"/>
    <w:rsid w:val="0054755D"/>
    <w:rsid w:val="00547A95"/>
    <w:rsid w:val="00547B75"/>
    <w:rsid w:val="00547DF1"/>
    <w:rsid w:val="00547ECE"/>
    <w:rsid w:val="00547EE5"/>
    <w:rsid w:val="005505B6"/>
    <w:rsid w:val="00550885"/>
    <w:rsid w:val="00550C4D"/>
    <w:rsid w:val="00550CB5"/>
    <w:rsid w:val="005510FD"/>
    <w:rsid w:val="0055119B"/>
    <w:rsid w:val="005513D7"/>
    <w:rsid w:val="00551514"/>
    <w:rsid w:val="00551ED7"/>
    <w:rsid w:val="00551EE2"/>
    <w:rsid w:val="00551F01"/>
    <w:rsid w:val="00551F36"/>
    <w:rsid w:val="005521CD"/>
    <w:rsid w:val="005522AE"/>
    <w:rsid w:val="00552304"/>
    <w:rsid w:val="00552433"/>
    <w:rsid w:val="0055243B"/>
    <w:rsid w:val="00552712"/>
    <w:rsid w:val="0055282F"/>
    <w:rsid w:val="005528BC"/>
    <w:rsid w:val="00552A1F"/>
    <w:rsid w:val="00552D19"/>
    <w:rsid w:val="005530A2"/>
    <w:rsid w:val="005530F3"/>
    <w:rsid w:val="0055312B"/>
    <w:rsid w:val="005531B6"/>
    <w:rsid w:val="00553C1B"/>
    <w:rsid w:val="00553E14"/>
    <w:rsid w:val="00553EF1"/>
    <w:rsid w:val="0055412D"/>
    <w:rsid w:val="005542DF"/>
    <w:rsid w:val="00554528"/>
    <w:rsid w:val="00554570"/>
    <w:rsid w:val="00554845"/>
    <w:rsid w:val="00554BB7"/>
    <w:rsid w:val="00554BDF"/>
    <w:rsid w:val="00554C37"/>
    <w:rsid w:val="00555124"/>
    <w:rsid w:val="00555133"/>
    <w:rsid w:val="00555277"/>
    <w:rsid w:val="005555DA"/>
    <w:rsid w:val="00555618"/>
    <w:rsid w:val="00555AC5"/>
    <w:rsid w:val="00555D48"/>
    <w:rsid w:val="00555E12"/>
    <w:rsid w:val="00555FDB"/>
    <w:rsid w:val="00556310"/>
    <w:rsid w:val="0055645E"/>
    <w:rsid w:val="00556849"/>
    <w:rsid w:val="00556855"/>
    <w:rsid w:val="00556BA4"/>
    <w:rsid w:val="00556BE6"/>
    <w:rsid w:val="00557041"/>
    <w:rsid w:val="00557629"/>
    <w:rsid w:val="005576E9"/>
    <w:rsid w:val="005579A2"/>
    <w:rsid w:val="00557BB2"/>
    <w:rsid w:val="00557C42"/>
    <w:rsid w:val="00557D77"/>
    <w:rsid w:val="005601AD"/>
    <w:rsid w:val="00560854"/>
    <w:rsid w:val="00560D01"/>
    <w:rsid w:val="00560DD3"/>
    <w:rsid w:val="00561202"/>
    <w:rsid w:val="0056127C"/>
    <w:rsid w:val="005614B3"/>
    <w:rsid w:val="00561862"/>
    <w:rsid w:val="005618FE"/>
    <w:rsid w:val="005619DF"/>
    <w:rsid w:val="00561B01"/>
    <w:rsid w:val="00561D9F"/>
    <w:rsid w:val="00561E3C"/>
    <w:rsid w:val="00561EE3"/>
    <w:rsid w:val="00561FCA"/>
    <w:rsid w:val="00562008"/>
    <w:rsid w:val="005620CE"/>
    <w:rsid w:val="0056233A"/>
    <w:rsid w:val="00562461"/>
    <w:rsid w:val="005624A9"/>
    <w:rsid w:val="00562507"/>
    <w:rsid w:val="00562578"/>
    <w:rsid w:val="005626A9"/>
    <w:rsid w:val="00562811"/>
    <w:rsid w:val="00562F6C"/>
    <w:rsid w:val="00563921"/>
    <w:rsid w:val="005639DF"/>
    <w:rsid w:val="00563AB7"/>
    <w:rsid w:val="00564228"/>
    <w:rsid w:val="00564E16"/>
    <w:rsid w:val="00564F4E"/>
    <w:rsid w:val="00565188"/>
    <w:rsid w:val="005654AF"/>
    <w:rsid w:val="00565513"/>
    <w:rsid w:val="00565BC9"/>
    <w:rsid w:val="00565C0B"/>
    <w:rsid w:val="00565D2E"/>
    <w:rsid w:val="00565D9B"/>
    <w:rsid w:val="00566190"/>
    <w:rsid w:val="00566407"/>
    <w:rsid w:val="005668A3"/>
    <w:rsid w:val="00566B30"/>
    <w:rsid w:val="00566C0C"/>
    <w:rsid w:val="00566CD8"/>
    <w:rsid w:val="00566D75"/>
    <w:rsid w:val="00566ECD"/>
    <w:rsid w:val="005670DF"/>
    <w:rsid w:val="00567117"/>
    <w:rsid w:val="00567237"/>
    <w:rsid w:val="00567436"/>
    <w:rsid w:val="0056773B"/>
    <w:rsid w:val="00567F50"/>
    <w:rsid w:val="00570130"/>
    <w:rsid w:val="005704E9"/>
    <w:rsid w:val="005704F1"/>
    <w:rsid w:val="00570710"/>
    <w:rsid w:val="005708A4"/>
    <w:rsid w:val="00570AC2"/>
    <w:rsid w:val="00570AF9"/>
    <w:rsid w:val="00570B8D"/>
    <w:rsid w:val="00570CF6"/>
    <w:rsid w:val="00570E1F"/>
    <w:rsid w:val="00570F40"/>
    <w:rsid w:val="00571196"/>
    <w:rsid w:val="0057119D"/>
    <w:rsid w:val="00571259"/>
    <w:rsid w:val="0057128C"/>
    <w:rsid w:val="005712A0"/>
    <w:rsid w:val="005712C7"/>
    <w:rsid w:val="005716C4"/>
    <w:rsid w:val="0057189A"/>
    <w:rsid w:val="005718C2"/>
    <w:rsid w:val="0057199B"/>
    <w:rsid w:val="00571EA5"/>
    <w:rsid w:val="00572031"/>
    <w:rsid w:val="00572282"/>
    <w:rsid w:val="005724C9"/>
    <w:rsid w:val="00572526"/>
    <w:rsid w:val="0057256D"/>
    <w:rsid w:val="00572698"/>
    <w:rsid w:val="005727C8"/>
    <w:rsid w:val="00572AB9"/>
    <w:rsid w:val="00572E50"/>
    <w:rsid w:val="00573277"/>
    <w:rsid w:val="0057338A"/>
    <w:rsid w:val="00573498"/>
    <w:rsid w:val="00573A03"/>
    <w:rsid w:val="00573C98"/>
    <w:rsid w:val="00573CE3"/>
    <w:rsid w:val="00573DBD"/>
    <w:rsid w:val="0057432E"/>
    <w:rsid w:val="005744D0"/>
    <w:rsid w:val="0057453D"/>
    <w:rsid w:val="005747D4"/>
    <w:rsid w:val="00574967"/>
    <w:rsid w:val="00574A1B"/>
    <w:rsid w:val="00574A21"/>
    <w:rsid w:val="00574B17"/>
    <w:rsid w:val="00574E64"/>
    <w:rsid w:val="00574FC8"/>
    <w:rsid w:val="0057503E"/>
    <w:rsid w:val="00575697"/>
    <w:rsid w:val="00575812"/>
    <w:rsid w:val="00575898"/>
    <w:rsid w:val="005759E8"/>
    <w:rsid w:val="00575B8A"/>
    <w:rsid w:val="00575B9F"/>
    <w:rsid w:val="00575FA8"/>
    <w:rsid w:val="00576035"/>
    <w:rsid w:val="00576093"/>
    <w:rsid w:val="00576154"/>
    <w:rsid w:val="0057622B"/>
    <w:rsid w:val="0057625E"/>
    <w:rsid w:val="00576462"/>
    <w:rsid w:val="005764C9"/>
    <w:rsid w:val="005765A9"/>
    <w:rsid w:val="00576686"/>
    <w:rsid w:val="00576919"/>
    <w:rsid w:val="00576A0C"/>
    <w:rsid w:val="00576B12"/>
    <w:rsid w:val="00576DC5"/>
    <w:rsid w:val="00576E84"/>
    <w:rsid w:val="00577249"/>
    <w:rsid w:val="00577485"/>
    <w:rsid w:val="005775E0"/>
    <w:rsid w:val="0057767D"/>
    <w:rsid w:val="005776EB"/>
    <w:rsid w:val="0057777A"/>
    <w:rsid w:val="0057789D"/>
    <w:rsid w:val="00577A1C"/>
    <w:rsid w:val="00577A6D"/>
    <w:rsid w:val="00577F15"/>
    <w:rsid w:val="00580027"/>
    <w:rsid w:val="0058019A"/>
    <w:rsid w:val="00580394"/>
    <w:rsid w:val="005803CA"/>
    <w:rsid w:val="00580711"/>
    <w:rsid w:val="0058079D"/>
    <w:rsid w:val="00580827"/>
    <w:rsid w:val="005809CD"/>
    <w:rsid w:val="00580B39"/>
    <w:rsid w:val="00580C1B"/>
    <w:rsid w:val="00580D50"/>
    <w:rsid w:val="0058164E"/>
    <w:rsid w:val="00581670"/>
    <w:rsid w:val="0058174A"/>
    <w:rsid w:val="005819DD"/>
    <w:rsid w:val="00581AD6"/>
    <w:rsid w:val="00581C99"/>
    <w:rsid w:val="00581CC7"/>
    <w:rsid w:val="00581E04"/>
    <w:rsid w:val="00581E58"/>
    <w:rsid w:val="00581EE7"/>
    <w:rsid w:val="00582184"/>
    <w:rsid w:val="005824D8"/>
    <w:rsid w:val="005827B7"/>
    <w:rsid w:val="005827F4"/>
    <w:rsid w:val="005828BD"/>
    <w:rsid w:val="005829A6"/>
    <w:rsid w:val="00582A65"/>
    <w:rsid w:val="00582B8C"/>
    <w:rsid w:val="00582BCE"/>
    <w:rsid w:val="00582C33"/>
    <w:rsid w:val="00583010"/>
    <w:rsid w:val="00583079"/>
    <w:rsid w:val="0058309F"/>
    <w:rsid w:val="00583237"/>
    <w:rsid w:val="00583300"/>
    <w:rsid w:val="005836A0"/>
    <w:rsid w:val="0058379A"/>
    <w:rsid w:val="005839EE"/>
    <w:rsid w:val="00583A0D"/>
    <w:rsid w:val="005840C6"/>
    <w:rsid w:val="005844A4"/>
    <w:rsid w:val="0058458A"/>
    <w:rsid w:val="005848B3"/>
    <w:rsid w:val="00584966"/>
    <w:rsid w:val="00584AA2"/>
    <w:rsid w:val="00584B3B"/>
    <w:rsid w:val="00584BB2"/>
    <w:rsid w:val="00584DCC"/>
    <w:rsid w:val="00584E98"/>
    <w:rsid w:val="005854BC"/>
    <w:rsid w:val="00585622"/>
    <w:rsid w:val="00585C4B"/>
    <w:rsid w:val="00585C69"/>
    <w:rsid w:val="00585CAB"/>
    <w:rsid w:val="00585ED5"/>
    <w:rsid w:val="00586126"/>
    <w:rsid w:val="0058636B"/>
    <w:rsid w:val="0058637E"/>
    <w:rsid w:val="005863F6"/>
    <w:rsid w:val="00586410"/>
    <w:rsid w:val="005865ED"/>
    <w:rsid w:val="00586CEB"/>
    <w:rsid w:val="005871AB"/>
    <w:rsid w:val="005873B3"/>
    <w:rsid w:val="0058757E"/>
    <w:rsid w:val="005878DA"/>
    <w:rsid w:val="00587AA1"/>
    <w:rsid w:val="00587ADC"/>
    <w:rsid w:val="00590069"/>
    <w:rsid w:val="005901E6"/>
    <w:rsid w:val="005902D7"/>
    <w:rsid w:val="0059044C"/>
    <w:rsid w:val="005905AD"/>
    <w:rsid w:val="0059062B"/>
    <w:rsid w:val="005907E0"/>
    <w:rsid w:val="00590B5A"/>
    <w:rsid w:val="00590C3C"/>
    <w:rsid w:val="00590CAE"/>
    <w:rsid w:val="00591224"/>
    <w:rsid w:val="0059157A"/>
    <w:rsid w:val="0059159F"/>
    <w:rsid w:val="00591AD5"/>
    <w:rsid w:val="00591D61"/>
    <w:rsid w:val="00591E1F"/>
    <w:rsid w:val="0059211E"/>
    <w:rsid w:val="005922A1"/>
    <w:rsid w:val="005922EF"/>
    <w:rsid w:val="005923F3"/>
    <w:rsid w:val="0059261C"/>
    <w:rsid w:val="00592699"/>
    <w:rsid w:val="00592ADE"/>
    <w:rsid w:val="005931FA"/>
    <w:rsid w:val="0059347A"/>
    <w:rsid w:val="00593606"/>
    <w:rsid w:val="00593643"/>
    <w:rsid w:val="0059368B"/>
    <w:rsid w:val="00593994"/>
    <w:rsid w:val="00593D03"/>
    <w:rsid w:val="00593EB2"/>
    <w:rsid w:val="0059411C"/>
    <w:rsid w:val="00594121"/>
    <w:rsid w:val="00594334"/>
    <w:rsid w:val="0059475E"/>
    <w:rsid w:val="005947D1"/>
    <w:rsid w:val="00594A0B"/>
    <w:rsid w:val="00594CC5"/>
    <w:rsid w:val="00594E41"/>
    <w:rsid w:val="00594FD4"/>
    <w:rsid w:val="005951DE"/>
    <w:rsid w:val="005951FA"/>
    <w:rsid w:val="0059535D"/>
    <w:rsid w:val="00595BE9"/>
    <w:rsid w:val="00595D3F"/>
    <w:rsid w:val="00595D56"/>
    <w:rsid w:val="00595EDF"/>
    <w:rsid w:val="00596023"/>
    <w:rsid w:val="00596140"/>
    <w:rsid w:val="00596589"/>
    <w:rsid w:val="005965B4"/>
    <w:rsid w:val="00596857"/>
    <w:rsid w:val="00596A4B"/>
    <w:rsid w:val="00596D75"/>
    <w:rsid w:val="00596FC8"/>
    <w:rsid w:val="005970A4"/>
    <w:rsid w:val="005972F1"/>
    <w:rsid w:val="00597507"/>
    <w:rsid w:val="00597943"/>
    <w:rsid w:val="00597B4F"/>
    <w:rsid w:val="00597F18"/>
    <w:rsid w:val="005A032A"/>
    <w:rsid w:val="005A0337"/>
    <w:rsid w:val="005A0485"/>
    <w:rsid w:val="005A0B2A"/>
    <w:rsid w:val="005A0D19"/>
    <w:rsid w:val="005A0D64"/>
    <w:rsid w:val="005A105E"/>
    <w:rsid w:val="005A13FE"/>
    <w:rsid w:val="005A15C4"/>
    <w:rsid w:val="005A1656"/>
    <w:rsid w:val="005A172F"/>
    <w:rsid w:val="005A1857"/>
    <w:rsid w:val="005A1E42"/>
    <w:rsid w:val="005A240A"/>
    <w:rsid w:val="005A2578"/>
    <w:rsid w:val="005A269A"/>
    <w:rsid w:val="005A2969"/>
    <w:rsid w:val="005A2B5C"/>
    <w:rsid w:val="005A2DED"/>
    <w:rsid w:val="005A2F7D"/>
    <w:rsid w:val="005A2F84"/>
    <w:rsid w:val="005A35A0"/>
    <w:rsid w:val="005A3620"/>
    <w:rsid w:val="005A397B"/>
    <w:rsid w:val="005A3A04"/>
    <w:rsid w:val="005A3E0D"/>
    <w:rsid w:val="005A3E37"/>
    <w:rsid w:val="005A3EDB"/>
    <w:rsid w:val="005A43F4"/>
    <w:rsid w:val="005A442C"/>
    <w:rsid w:val="005A4436"/>
    <w:rsid w:val="005A44A5"/>
    <w:rsid w:val="005A465C"/>
    <w:rsid w:val="005A479D"/>
    <w:rsid w:val="005A4BA1"/>
    <w:rsid w:val="005A4BCE"/>
    <w:rsid w:val="005A4BFE"/>
    <w:rsid w:val="005A5334"/>
    <w:rsid w:val="005A53A0"/>
    <w:rsid w:val="005A53D6"/>
    <w:rsid w:val="005A57A9"/>
    <w:rsid w:val="005A593A"/>
    <w:rsid w:val="005A59EE"/>
    <w:rsid w:val="005A5DF2"/>
    <w:rsid w:val="005A6080"/>
    <w:rsid w:val="005A63F0"/>
    <w:rsid w:val="005A6660"/>
    <w:rsid w:val="005A66AB"/>
    <w:rsid w:val="005A6838"/>
    <w:rsid w:val="005A6A0F"/>
    <w:rsid w:val="005A6A44"/>
    <w:rsid w:val="005A6C3D"/>
    <w:rsid w:val="005A6D97"/>
    <w:rsid w:val="005A70BC"/>
    <w:rsid w:val="005A7456"/>
    <w:rsid w:val="005A7B71"/>
    <w:rsid w:val="005A7BF4"/>
    <w:rsid w:val="005A7E4F"/>
    <w:rsid w:val="005B00A1"/>
    <w:rsid w:val="005B038B"/>
    <w:rsid w:val="005B0751"/>
    <w:rsid w:val="005B0ACE"/>
    <w:rsid w:val="005B0B09"/>
    <w:rsid w:val="005B0B26"/>
    <w:rsid w:val="005B0CAE"/>
    <w:rsid w:val="005B0DC1"/>
    <w:rsid w:val="005B1001"/>
    <w:rsid w:val="005B1167"/>
    <w:rsid w:val="005B1752"/>
    <w:rsid w:val="005B178A"/>
    <w:rsid w:val="005B1807"/>
    <w:rsid w:val="005B181C"/>
    <w:rsid w:val="005B1A5A"/>
    <w:rsid w:val="005B1C6D"/>
    <w:rsid w:val="005B1F0B"/>
    <w:rsid w:val="005B21B6"/>
    <w:rsid w:val="005B2C64"/>
    <w:rsid w:val="005B2FBD"/>
    <w:rsid w:val="005B3059"/>
    <w:rsid w:val="005B311D"/>
    <w:rsid w:val="005B3125"/>
    <w:rsid w:val="005B35DE"/>
    <w:rsid w:val="005B3A08"/>
    <w:rsid w:val="005B3A8F"/>
    <w:rsid w:val="005B3C49"/>
    <w:rsid w:val="005B41BA"/>
    <w:rsid w:val="005B4A51"/>
    <w:rsid w:val="005B4D1B"/>
    <w:rsid w:val="005B5045"/>
    <w:rsid w:val="005B5979"/>
    <w:rsid w:val="005B5D83"/>
    <w:rsid w:val="005B602E"/>
    <w:rsid w:val="005B603F"/>
    <w:rsid w:val="005B6049"/>
    <w:rsid w:val="005B60CB"/>
    <w:rsid w:val="005B633C"/>
    <w:rsid w:val="005B7075"/>
    <w:rsid w:val="005B72B2"/>
    <w:rsid w:val="005B72BF"/>
    <w:rsid w:val="005B735A"/>
    <w:rsid w:val="005B7863"/>
    <w:rsid w:val="005B7A11"/>
    <w:rsid w:val="005B7A63"/>
    <w:rsid w:val="005B7CD3"/>
    <w:rsid w:val="005C000F"/>
    <w:rsid w:val="005C0267"/>
    <w:rsid w:val="005C03DB"/>
    <w:rsid w:val="005C0461"/>
    <w:rsid w:val="005C0777"/>
    <w:rsid w:val="005C0942"/>
    <w:rsid w:val="005C0955"/>
    <w:rsid w:val="005C0980"/>
    <w:rsid w:val="005C0A60"/>
    <w:rsid w:val="005C0A96"/>
    <w:rsid w:val="005C0A99"/>
    <w:rsid w:val="005C0B5A"/>
    <w:rsid w:val="005C0EA2"/>
    <w:rsid w:val="005C1180"/>
    <w:rsid w:val="005C12A2"/>
    <w:rsid w:val="005C13DF"/>
    <w:rsid w:val="005C176F"/>
    <w:rsid w:val="005C191C"/>
    <w:rsid w:val="005C19AA"/>
    <w:rsid w:val="005C1D04"/>
    <w:rsid w:val="005C1ED3"/>
    <w:rsid w:val="005C1FB5"/>
    <w:rsid w:val="005C205B"/>
    <w:rsid w:val="005C2170"/>
    <w:rsid w:val="005C22CB"/>
    <w:rsid w:val="005C2990"/>
    <w:rsid w:val="005C2C98"/>
    <w:rsid w:val="005C2F2F"/>
    <w:rsid w:val="005C349A"/>
    <w:rsid w:val="005C36CC"/>
    <w:rsid w:val="005C376A"/>
    <w:rsid w:val="005C3DDD"/>
    <w:rsid w:val="005C3E1B"/>
    <w:rsid w:val="005C40C7"/>
    <w:rsid w:val="005C4373"/>
    <w:rsid w:val="005C465D"/>
    <w:rsid w:val="005C4809"/>
    <w:rsid w:val="005C49DA"/>
    <w:rsid w:val="005C4C6B"/>
    <w:rsid w:val="005C4D2F"/>
    <w:rsid w:val="005C4F15"/>
    <w:rsid w:val="005C501E"/>
    <w:rsid w:val="005C50F3"/>
    <w:rsid w:val="005C5256"/>
    <w:rsid w:val="005C530B"/>
    <w:rsid w:val="005C54B5"/>
    <w:rsid w:val="005C54D8"/>
    <w:rsid w:val="005C556E"/>
    <w:rsid w:val="005C58C8"/>
    <w:rsid w:val="005C5909"/>
    <w:rsid w:val="005C5C48"/>
    <w:rsid w:val="005C5D29"/>
    <w:rsid w:val="005C5D60"/>
    <w:rsid w:val="005C5D80"/>
    <w:rsid w:val="005C5D91"/>
    <w:rsid w:val="005C6367"/>
    <w:rsid w:val="005C6B0C"/>
    <w:rsid w:val="005C6F86"/>
    <w:rsid w:val="005C719F"/>
    <w:rsid w:val="005C71E1"/>
    <w:rsid w:val="005C7316"/>
    <w:rsid w:val="005C74F5"/>
    <w:rsid w:val="005C76A0"/>
    <w:rsid w:val="005C76BE"/>
    <w:rsid w:val="005C78FD"/>
    <w:rsid w:val="005C7AD5"/>
    <w:rsid w:val="005C7E12"/>
    <w:rsid w:val="005C7E8B"/>
    <w:rsid w:val="005D001F"/>
    <w:rsid w:val="005D01CD"/>
    <w:rsid w:val="005D031B"/>
    <w:rsid w:val="005D0333"/>
    <w:rsid w:val="005D07B8"/>
    <w:rsid w:val="005D07B9"/>
    <w:rsid w:val="005D09EA"/>
    <w:rsid w:val="005D0F65"/>
    <w:rsid w:val="005D1260"/>
    <w:rsid w:val="005D18D4"/>
    <w:rsid w:val="005D199F"/>
    <w:rsid w:val="005D1A6F"/>
    <w:rsid w:val="005D1AE9"/>
    <w:rsid w:val="005D1BE7"/>
    <w:rsid w:val="005D1ECA"/>
    <w:rsid w:val="005D1F3B"/>
    <w:rsid w:val="005D1FBC"/>
    <w:rsid w:val="005D1FF1"/>
    <w:rsid w:val="005D2300"/>
    <w:rsid w:val="005D23B9"/>
    <w:rsid w:val="005D26D3"/>
    <w:rsid w:val="005D29AA"/>
    <w:rsid w:val="005D2EF3"/>
    <w:rsid w:val="005D3027"/>
    <w:rsid w:val="005D3054"/>
    <w:rsid w:val="005D334D"/>
    <w:rsid w:val="005D3684"/>
    <w:rsid w:val="005D3777"/>
    <w:rsid w:val="005D3AB6"/>
    <w:rsid w:val="005D3B47"/>
    <w:rsid w:val="005D3C76"/>
    <w:rsid w:val="005D3E29"/>
    <w:rsid w:val="005D404E"/>
    <w:rsid w:val="005D4060"/>
    <w:rsid w:val="005D4134"/>
    <w:rsid w:val="005D4467"/>
    <w:rsid w:val="005D497A"/>
    <w:rsid w:val="005D4ACB"/>
    <w:rsid w:val="005D4BC3"/>
    <w:rsid w:val="005D4C7F"/>
    <w:rsid w:val="005D4C81"/>
    <w:rsid w:val="005D5526"/>
    <w:rsid w:val="005D55E9"/>
    <w:rsid w:val="005D5890"/>
    <w:rsid w:val="005D58EC"/>
    <w:rsid w:val="005D5A09"/>
    <w:rsid w:val="005D5AC1"/>
    <w:rsid w:val="005D5B9B"/>
    <w:rsid w:val="005D5BD0"/>
    <w:rsid w:val="005D5F5E"/>
    <w:rsid w:val="005D6226"/>
    <w:rsid w:val="005D6557"/>
    <w:rsid w:val="005D6597"/>
    <w:rsid w:val="005D65D0"/>
    <w:rsid w:val="005D6786"/>
    <w:rsid w:val="005D6AD6"/>
    <w:rsid w:val="005D6E02"/>
    <w:rsid w:val="005D6E74"/>
    <w:rsid w:val="005D6FF1"/>
    <w:rsid w:val="005D7227"/>
    <w:rsid w:val="005D7508"/>
    <w:rsid w:val="005D7685"/>
    <w:rsid w:val="005D782F"/>
    <w:rsid w:val="005D7C3D"/>
    <w:rsid w:val="005D7CA6"/>
    <w:rsid w:val="005D7D38"/>
    <w:rsid w:val="005D7E50"/>
    <w:rsid w:val="005E02F3"/>
    <w:rsid w:val="005E03D7"/>
    <w:rsid w:val="005E05BD"/>
    <w:rsid w:val="005E0B93"/>
    <w:rsid w:val="005E0C39"/>
    <w:rsid w:val="005E0CEA"/>
    <w:rsid w:val="005E0D7E"/>
    <w:rsid w:val="005E0F65"/>
    <w:rsid w:val="005E1057"/>
    <w:rsid w:val="005E14E7"/>
    <w:rsid w:val="005E175D"/>
    <w:rsid w:val="005E1A3E"/>
    <w:rsid w:val="005E1DFE"/>
    <w:rsid w:val="005E1F7E"/>
    <w:rsid w:val="005E24E3"/>
    <w:rsid w:val="005E26A3"/>
    <w:rsid w:val="005E26AB"/>
    <w:rsid w:val="005E28DD"/>
    <w:rsid w:val="005E2931"/>
    <w:rsid w:val="005E2E4C"/>
    <w:rsid w:val="005E2ECB"/>
    <w:rsid w:val="005E2FE3"/>
    <w:rsid w:val="005E316C"/>
    <w:rsid w:val="005E3178"/>
    <w:rsid w:val="005E3405"/>
    <w:rsid w:val="005E3703"/>
    <w:rsid w:val="005E373A"/>
    <w:rsid w:val="005E3778"/>
    <w:rsid w:val="005E38BF"/>
    <w:rsid w:val="005E3C38"/>
    <w:rsid w:val="005E3D3D"/>
    <w:rsid w:val="005E3F13"/>
    <w:rsid w:val="005E413D"/>
    <w:rsid w:val="005E43BC"/>
    <w:rsid w:val="005E447E"/>
    <w:rsid w:val="005E44A7"/>
    <w:rsid w:val="005E47FB"/>
    <w:rsid w:val="005E483C"/>
    <w:rsid w:val="005E4AD7"/>
    <w:rsid w:val="005E4BF5"/>
    <w:rsid w:val="005E4C8F"/>
    <w:rsid w:val="005E4FD0"/>
    <w:rsid w:val="005E4FD1"/>
    <w:rsid w:val="005E5260"/>
    <w:rsid w:val="005E53AA"/>
    <w:rsid w:val="005E56A7"/>
    <w:rsid w:val="005E56F4"/>
    <w:rsid w:val="005E58A1"/>
    <w:rsid w:val="005E5A16"/>
    <w:rsid w:val="005E5A39"/>
    <w:rsid w:val="005E5A3B"/>
    <w:rsid w:val="005E5BB3"/>
    <w:rsid w:val="005E5E6E"/>
    <w:rsid w:val="005E5FDA"/>
    <w:rsid w:val="005E6176"/>
    <w:rsid w:val="005E61A1"/>
    <w:rsid w:val="005E6544"/>
    <w:rsid w:val="005E6F07"/>
    <w:rsid w:val="005E724A"/>
    <w:rsid w:val="005E7285"/>
    <w:rsid w:val="005E732E"/>
    <w:rsid w:val="005E7347"/>
    <w:rsid w:val="005E7A8B"/>
    <w:rsid w:val="005E7B3B"/>
    <w:rsid w:val="005F0261"/>
    <w:rsid w:val="005F0544"/>
    <w:rsid w:val="005F0564"/>
    <w:rsid w:val="005F06B3"/>
    <w:rsid w:val="005F0775"/>
    <w:rsid w:val="005F0C37"/>
    <w:rsid w:val="005F0CF5"/>
    <w:rsid w:val="005F0D2C"/>
    <w:rsid w:val="005F0DD1"/>
    <w:rsid w:val="005F119C"/>
    <w:rsid w:val="005F1384"/>
    <w:rsid w:val="005F13A9"/>
    <w:rsid w:val="005F1487"/>
    <w:rsid w:val="005F1550"/>
    <w:rsid w:val="005F1A3C"/>
    <w:rsid w:val="005F1B48"/>
    <w:rsid w:val="005F1DDD"/>
    <w:rsid w:val="005F1EC7"/>
    <w:rsid w:val="005F1FD0"/>
    <w:rsid w:val="005F21EB"/>
    <w:rsid w:val="005F257D"/>
    <w:rsid w:val="005F27F9"/>
    <w:rsid w:val="005F2908"/>
    <w:rsid w:val="005F2B1A"/>
    <w:rsid w:val="005F2B9F"/>
    <w:rsid w:val="005F2E88"/>
    <w:rsid w:val="005F3407"/>
    <w:rsid w:val="005F37A4"/>
    <w:rsid w:val="005F3828"/>
    <w:rsid w:val="005F3960"/>
    <w:rsid w:val="005F39E3"/>
    <w:rsid w:val="005F3ABB"/>
    <w:rsid w:val="005F3DDA"/>
    <w:rsid w:val="005F3E2F"/>
    <w:rsid w:val="005F3F6B"/>
    <w:rsid w:val="005F4242"/>
    <w:rsid w:val="005F424B"/>
    <w:rsid w:val="005F458A"/>
    <w:rsid w:val="005F4938"/>
    <w:rsid w:val="005F4978"/>
    <w:rsid w:val="005F4BEF"/>
    <w:rsid w:val="005F4CFB"/>
    <w:rsid w:val="005F4FD7"/>
    <w:rsid w:val="005F5087"/>
    <w:rsid w:val="005F519A"/>
    <w:rsid w:val="005F521F"/>
    <w:rsid w:val="005F5623"/>
    <w:rsid w:val="005F5810"/>
    <w:rsid w:val="005F5B16"/>
    <w:rsid w:val="005F5C53"/>
    <w:rsid w:val="005F5F50"/>
    <w:rsid w:val="005F60BC"/>
    <w:rsid w:val="005F60C6"/>
    <w:rsid w:val="005F61CE"/>
    <w:rsid w:val="005F61E9"/>
    <w:rsid w:val="005F629A"/>
    <w:rsid w:val="005F64CF"/>
    <w:rsid w:val="005F658D"/>
    <w:rsid w:val="005F6701"/>
    <w:rsid w:val="005F6BD4"/>
    <w:rsid w:val="005F6E98"/>
    <w:rsid w:val="005F74DF"/>
    <w:rsid w:val="005F7A00"/>
    <w:rsid w:val="005F7BB6"/>
    <w:rsid w:val="005F7EBC"/>
    <w:rsid w:val="005F7EF3"/>
    <w:rsid w:val="006001B1"/>
    <w:rsid w:val="0060037A"/>
    <w:rsid w:val="00600511"/>
    <w:rsid w:val="006006E6"/>
    <w:rsid w:val="006008B0"/>
    <w:rsid w:val="0060098A"/>
    <w:rsid w:val="00600B73"/>
    <w:rsid w:val="00600BA2"/>
    <w:rsid w:val="00600C07"/>
    <w:rsid w:val="00600E27"/>
    <w:rsid w:val="00601010"/>
    <w:rsid w:val="00601073"/>
    <w:rsid w:val="0060116A"/>
    <w:rsid w:val="006015FB"/>
    <w:rsid w:val="00601622"/>
    <w:rsid w:val="00601664"/>
    <w:rsid w:val="006019DD"/>
    <w:rsid w:val="006025A9"/>
    <w:rsid w:val="006025B9"/>
    <w:rsid w:val="0060269C"/>
    <w:rsid w:val="006026BD"/>
    <w:rsid w:val="00602752"/>
    <w:rsid w:val="006028C5"/>
    <w:rsid w:val="00602D5C"/>
    <w:rsid w:val="00602DB8"/>
    <w:rsid w:val="00602ED0"/>
    <w:rsid w:val="0060309F"/>
    <w:rsid w:val="00603163"/>
    <w:rsid w:val="006031E7"/>
    <w:rsid w:val="00603697"/>
    <w:rsid w:val="00603E94"/>
    <w:rsid w:val="00603F40"/>
    <w:rsid w:val="006041AD"/>
    <w:rsid w:val="006045EE"/>
    <w:rsid w:val="0060464F"/>
    <w:rsid w:val="00604784"/>
    <w:rsid w:val="006050D1"/>
    <w:rsid w:val="00605311"/>
    <w:rsid w:val="006055E8"/>
    <w:rsid w:val="00605908"/>
    <w:rsid w:val="006059D3"/>
    <w:rsid w:val="00605C65"/>
    <w:rsid w:val="00605EDA"/>
    <w:rsid w:val="006065BF"/>
    <w:rsid w:val="00606730"/>
    <w:rsid w:val="006069D7"/>
    <w:rsid w:val="00606C12"/>
    <w:rsid w:val="00606E72"/>
    <w:rsid w:val="0060706C"/>
    <w:rsid w:val="006071EF"/>
    <w:rsid w:val="0060766D"/>
    <w:rsid w:val="006076BF"/>
    <w:rsid w:val="006076E1"/>
    <w:rsid w:val="00607850"/>
    <w:rsid w:val="00607A8F"/>
    <w:rsid w:val="00607B62"/>
    <w:rsid w:val="00607E32"/>
    <w:rsid w:val="00607EF7"/>
    <w:rsid w:val="00607FA6"/>
    <w:rsid w:val="00610325"/>
    <w:rsid w:val="00610418"/>
    <w:rsid w:val="006107D3"/>
    <w:rsid w:val="00610D7C"/>
    <w:rsid w:val="00611042"/>
    <w:rsid w:val="006116BC"/>
    <w:rsid w:val="00611803"/>
    <w:rsid w:val="00611BC7"/>
    <w:rsid w:val="00611C4A"/>
    <w:rsid w:val="00611C9E"/>
    <w:rsid w:val="00611EC0"/>
    <w:rsid w:val="00611F6E"/>
    <w:rsid w:val="0061204B"/>
    <w:rsid w:val="00612178"/>
    <w:rsid w:val="00612192"/>
    <w:rsid w:val="006123B3"/>
    <w:rsid w:val="0061243F"/>
    <w:rsid w:val="0061248C"/>
    <w:rsid w:val="00612622"/>
    <w:rsid w:val="00612A23"/>
    <w:rsid w:val="00612C5B"/>
    <w:rsid w:val="006130FC"/>
    <w:rsid w:val="00613414"/>
    <w:rsid w:val="00613431"/>
    <w:rsid w:val="00613753"/>
    <w:rsid w:val="00613A59"/>
    <w:rsid w:val="00613EAF"/>
    <w:rsid w:val="00614008"/>
    <w:rsid w:val="00614331"/>
    <w:rsid w:val="00614536"/>
    <w:rsid w:val="0061466C"/>
    <w:rsid w:val="00614799"/>
    <w:rsid w:val="00614A94"/>
    <w:rsid w:val="00614AAA"/>
    <w:rsid w:val="00614C5B"/>
    <w:rsid w:val="00614C7F"/>
    <w:rsid w:val="00614E5F"/>
    <w:rsid w:val="006154FA"/>
    <w:rsid w:val="0061551E"/>
    <w:rsid w:val="006155B5"/>
    <w:rsid w:val="006155C3"/>
    <w:rsid w:val="0061561F"/>
    <w:rsid w:val="0061567A"/>
    <w:rsid w:val="006156AA"/>
    <w:rsid w:val="006156DF"/>
    <w:rsid w:val="006157EF"/>
    <w:rsid w:val="00615A27"/>
    <w:rsid w:val="00615A35"/>
    <w:rsid w:val="00615A87"/>
    <w:rsid w:val="00615D30"/>
    <w:rsid w:val="006163E8"/>
    <w:rsid w:val="006168F2"/>
    <w:rsid w:val="00616A78"/>
    <w:rsid w:val="00616AD0"/>
    <w:rsid w:val="00616B47"/>
    <w:rsid w:val="00616D6B"/>
    <w:rsid w:val="00616ECA"/>
    <w:rsid w:val="00617057"/>
    <w:rsid w:val="00617168"/>
    <w:rsid w:val="00617466"/>
    <w:rsid w:val="00617476"/>
    <w:rsid w:val="0061779F"/>
    <w:rsid w:val="00617840"/>
    <w:rsid w:val="00617B73"/>
    <w:rsid w:val="00617BB6"/>
    <w:rsid w:val="00617D8B"/>
    <w:rsid w:val="00617E46"/>
    <w:rsid w:val="00617EEA"/>
    <w:rsid w:val="00617EF1"/>
    <w:rsid w:val="0062008B"/>
    <w:rsid w:val="00620109"/>
    <w:rsid w:val="00620154"/>
    <w:rsid w:val="00620643"/>
    <w:rsid w:val="006207CF"/>
    <w:rsid w:val="00620853"/>
    <w:rsid w:val="00620E4C"/>
    <w:rsid w:val="00620FC2"/>
    <w:rsid w:val="00620FD2"/>
    <w:rsid w:val="00621007"/>
    <w:rsid w:val="00621150"/>
    <w:rsid w:val="0062118F"/>
    <w:rsid w:val="006211EF"/>
    <w:rsid w:val="00621372"/>
    <w:rsid w:val="0062139F"/>
    <w:rsid w:val="00621523"/>
    <w:rsid w:val="00621908"/>
    <w:rsid w:val="00621B1F"/>
    <w:rsid w:val="00621B66"/>
    <w:rsid w:val="00621C06"/>
    <w:rsid w:val="00621F33"/>
    <w:rsid w:val="00621F9B"/>
    <w:rsid w:val="00622023"/>
    <w:rsid w:val="006223D6"/>
    <w:rsid w:val="006228E9"/>
    <w:rsid w:val="0062291C"/>
    <w:rsid w:val="00622A5C"/>
    <w:rsid w:val="00622AE6"/>
    <w:rsid w:val="00623135"/>
    <w:rsid w:val="00623499"/>
    <w:rsid w:val="006234D1"/>
    <w:rsid w:val="006235F1"/>
    <w:rsid w:val="00623841"/>
    <w:rsid w:val="00623B99"/>
    <w:rsid w:val="00623E02"/>
    <w:rsid w:val="0062408D"/>
    <w:rsid w:val="006240CC"/>
    <w:rsid w:val="0062413D"/>
    <w:rsid w:val="0062418E"/>
    <w:rsid w:val="0062429E"/>
    <w:rsid w:val="006242CB"/>
    <w:rsid w:val="0062439C"/>
    <w:rsid w:val="00624437"/>
    <w:rsid w:val="006245E2"/>
    <w:rsid w:val="00624626"/>
    <w:rsid w:val="00624720"/>
    <w:rsid w:val="00624940"/>
    <w:rsid w:val="006249C3"/>
    <w:rsid w:val="00624BBF"/>
    <w:rsid w:val="006250E0"/>
    <w:rsid w:val="006252E9"/>
    <w:rsid w:val="006254F8"/>
    <w:rsid w:val="00625595"/>
    <w:rsid w:val="006256C1"/>
    <w:rsid w:val="0062574B"/>
    <w:rsid w:val="006259DB"/>
    <w:rsid w:val="00625BB2"/>
    <w:rsid w:val="00625CB0"/>
    <w:rsid w:val="00625DBF"/>
    <w:rsid w:val="006263A8"/>
    <w:rsid w:val="00626425"/>
    <w:rsid w:val="00626641"/>
    <w:rsid w:val="006266F2"/>
    <w:rsid w:val="00626951"/>
    <w:rsid w:val="006269B3"/>
    <w:rsid w:val="00626D3E"/>
    <w:rsid w:val="00627108"/>
    <w:rsid w:val="00627173"/>
    <w:rsid w:val="00627253"/>
    <w:rsid w:val="006273C3"/>
    <w:rsid w:val="00627563"/>
    <w:rsid w:val="006276D5"/>
    <w:rsid w:val="006279E7"/>
    <w:rsid w:val="00627D8A"/>
    <w:rsid w:val="00627DA7"/>
    <w:rsid w:val="00627E0B"/>
    <w:rsid w:val="00627E1C"/>
    <w:rsid w:val="00630267"/>
    <w:rsid w:val="00630641"/>
    <w:rsid w:val="006308E1"/>
    <w:rsid w:val="00630A37"/>
    <w:rsid w:val="00630ADA"/>
    <w:rsid w:val="00630CA9"/>
    <w:rsid w:val="00630DA4"/>
    <w:rsid w:val="00630EAD"/>
    <w:rsid w:val="00630FC2"/>
    <w:rsid w:val="0063109B"/>
    <w:rsid w:val="006311A4"/>
    <w:rsid w:val="00631573"/>
    <w:rsid w:val="00631585"/>
    <w:rsid w:val="00631CD4"/>
    <w:rsid w:val="00631D51"/>
    <w:rsid w:val="00631D84"/>
    <w:rsid w:val="00631FC8"/>
    <w:rsid w:val="006320EA"/>
    <w:rsid w:val="00632205"/>
    <w:rsid w:val="006322C8"/>
    <w:rsid w:val="0063241C"/>
    <w:rsid w:val="0063255A"/>
    <w:rsid w:val="00632597"/>
    <w:rsid w:val="00632951"/>
    <w:rsid w:val="00632CD2"/>
    <w:rsid w:val="00632F48"/>
    <w:rsid w:val="00632FFF"/>
    <w:rsid w:val="00633435"/>
    <w:rsid w:val="006336AF"/>
    <w:rsid w:val="00633AA6"/>
    <w:rsid w:val="00633EEB"/>
    <w:rsid w:val="00633FD6"/>
    <w:rsid w:val="00634156"/>
    <w:rsid w:val="006343BB"/>
    <w:rsid w:val="006345E2"/>
    <w:rsid w:val="00634663"/>
    <w:rsid w:val="006346D4"/>
    <w:rsid w:val="00634A84"/>
    <w:rsid w:val="00634D13"/>
    <w:rsid w:val="00634D69"/>
    <w:rsid w:val="00634EA3"/>
    <w:rsid w:val="00634F27"/>
    <w:rsid w:val="00634F94"/>
    <w:rsid w:val="00635012"/>
    <w:rsid w:val="00635020"/>
    <w:rsid w:val="00635149"/>
    <w:rsid w:val="0063568E"/>
    <w:rsid w:val="00635737"/>
    <w:rsid w:val="0063589E"/>
    <w:rsid w:val="006358B4"/>
    <w:rsid w:val="00635CA0"/>
    <w:rsid w:val="006360A6"/>
    <w:rsid w:val="006361F5"/>
    <w:rsid w:val="0063620D"/>
    <w:rsid w:val="00636287"/>
    <w:rsid w:val="006365C8"/>
    <w:rsid w:val="00636864"/>
    <w:rsid w:val="006369C6"/>
    <w:rsid w:val="00636ABC"/>
    <w:rsid w:val="00636C05"/>
    <w:rsid w:val="00636E14"/>
    <w:rsid w:val="006370B1"/>
    <w:rsid w:val="006370DC"/>
    <w:rsid w:val="006371A2"/>
    <w:rsid w:val="00637228"/>
    <w:rsid w:val="0063747E"/>
    <w:rsid w:val="0063748D"/>
    <w:rsid w:val="006374B7"/>
    <w:rsid w:val="006376C0"/>
    <w:rsid w:val="006376D0"/>
    <w:rsid w:val="0063793A"/>
    <w:rsid w:val="006379DC"/>
    <w:rsid w:val="006401C6"/>
    <w:rsid w:val="0064021D"/>
    <w:rsid w:val="006406FD"/>
    <w:rsid w:val="006408B5"/>
    <w:rsid w:val="006409C1"/>
    <w:rsid w:val="00640BCA"/>
    <w:rsid w:val="00640C6E"/>
    <w:rsid w:val="00640CEE"/>
    <w:rsid w:val="00640D78"/>
    <w:rsid w:val="00641044"/>
    <w:rsid w:val="0064112A"/>
    <w:rsid w:val="0064135A"/>
    <w:rsid w:val="00641517"/>
    <w:rsid w:val="00641530"/>
    <w:rsid w:val="00641607"/>
    <w:rsid w:val="00641724"/>
    <w:rsid w:val="00641780"/>
    <w:rsid w:val="006419AA"/>
    <w:rsid w:val="006419C8"/>
    <w:rsid w:val="00641EE7"/>
    <w:rsid w:val="006420AC"/>
    <w:rsid w:val="0064260C"/>
    <w:rsid w:val="00642A28"/>
    <w:rsid w:val="00642BC4"/>
    <w:rsid w:val="00642BEB"/>
    <w:rsid w:val="00642D1D"/>
    <w:rsid w:val="00642E14"/>
    <w:rsid w:val="006431B3"/>
    <w:rsid w:val="00643302"/>
    <w:rsid w:val="006436CC"/>
    <w:rsid w:val="00643804"/>
    <w:rsid w:val="006439EC"/>
    <w:rsid w:val="00643C43"/>
    <w:rsid w:val="00643F12"/>
    <w:rsid w:val="00643F14"/>
    <w:rsid w:val="00643F75"/>
    <w:rsid w:val="006443AB"/>
    <w:rsid w:val="00644B1F"/>
    <w:rsid w:val="00644B3A"/>
    <w:rsid w:val="00644B7E"/>
    <w:rsid w:val="00644C01"/>
    <w:rsid w:val="00644DBF"/>
    <w:rsid w:val="006450AC"/>
    <w:rsid w:val="00645135"/>
    <w:rsid w:val="006452B0"/>
    <w:rsid w:val="006454E6"/>
    <w:rsid w:val="006456CB"/>
    <w:rsid w:val="00645912"/>
    <w:rsid w:val="00645980"/>
    <w:rsid w:val="00645B95"/>
    <w:rsid w:val="00645E90"/>
    <w:rsid w:val="00645EFC"/>
    <w:rsid w:val="00646062"/>
    <w:rsid w:val="00646115"/>
    <w:rsid w:val="00646235"/>
    <w:rsid w:val="0064638D"/>
    <w:rsid w:val="006463FE"/>
    <w:rsid w:val="00646679"/>
    <w:rsid w:val="0064682E"/>
    <w:rsid w:val="00646A68"/>
    <w:rsid w:val="00646C07"/>
    <w:rsid w:val="00646E39"/>
    <w:rsid w:val="00646F8E"/>
    <w:rsid w:val="006470DA"/>
    <w:rsid w:val="0064736B"/>
    <w:rsid w:val="006473AE"/>
    <w:rsid w:val="006474AA"/>
    <w:rsid w:val="006479CE"/>
    <w:rsid w:val="006479ED"/>
    <w:rsid w:val="00647B07"/>
    <w:rsid w:val="00647DB5"/>
    <w:rsid w:val="00647E3A"/>
    <w:rsid w:val="00647EFE"/>
    <w:rsid w:val="00650057"/>
    <w:rsid w:val="006500CE"/>
    <w:rsid w:val="0065047C"/>
    <w:rsid w:val="00650510"/>
    <w:rsid w:val="006505BD"/>
    <w:rsid w:val="006508EA"/>
    <w:rsid w:val="0065092E"/>
    <w:rsid w:val="00650B4A"/>
    <w:rsid w:val="00650D1C"/>
    <w:rsid w:val="00650FAD"/>
    <w:rsid w:val="0065133B"/>
    <w:rsid w:val="006514A1"/>
    <w:rsid w:val="006518B9"/>
    <w:rsid w:val="00651AEA"/>
    <w:rsid w:val="00651E8E"/>
    <w:rsid w:val="00651F0D"/>
    <w:rsid w:val="0065207E"/>
    <w:rsid w:val="00652290"/>
    <w:rsid w:val="0065254A"/>
    <w:rsid w:val="00652CC2"/>
    <w:rsid w:val="00652D25"/>
    <w:rsid w:val="00652DE3"/>
    <w:rsid w:val="0065309C"/>
    <w:rsid w:val="00653331"/>
    <w:rsid w:val="006533FA"/>
    <w:rsid w:val="00653627"/>
    <w:rsid w:val="00653C99"/>
    <w:rsid w:val="006541B5"/>
    <w:rsid w:val="006543ED"/>
    <w:rsid w:val="006544A8"/>
    <w:rsid w:val="006545E5"/>
    <w:rsid w:val="00654A1E"/>
    <w:rsid w:val="00654CBC"/>
    <w:rsid w:val="00654CDB"/>
    <w:rsid w:val="00654D74"/>
    <w:rsid w:val="00654ED0"/>
    <w:rsid w:val="00655030"/>
    <w:rsid w:val="006550A7"/>
    <w:rsid w:val="006554CA"/>
    <w:rsid w:val="006555B8"/>
    <w:rsid w:val="006555C5"/>
    <w:rsid w:val="006557A7"/>
    <w:rsid w:val="00655CF9"/>
    <w:rsid w:val="00655E22"/>
    <w:rsid w:val="00655E29"/>
    <w:rsid w:val="00655E6A"/>
    <w:rsid w:val="00655E76"/>
    <w:rsid w:val="00655EFF"/>
    <w:rsid w:val="00656290"/>
    <w:rsid w:val="006562D8"/>
    <w:rsid w:val="00656306"/>
    <w:rsid w:val="006568D2"/>
    <w:rsid w:val="00656B84"/>
    <w:rsid w:val="00656DBE"/>
    <w:rsid w:val="00656EC8"/>
    <w:rsid w:val="00656FA3"/>
    <w:rsid w:val="00657037"/>
    <w:rsid w:val="0065720B"/>
    <w:rsid w:val="006573C8"/>
    <w:rsid w:val="006575E0"/>
    <w:rsid w:val="0065763F"/>
    <w:rsid w:val="006578BC"/>
    <w:rsid w:val="00657BAB"/>
    <w:rsid w:val="00660076"/>
    <w:rsid w:val="006601C9"/>
    <w:rsid w:val="00660482"/>
    <w:rsid w:val="006604B4"/>
    <w:rsid w:val="00660602"/>
    <w:rsid w:val="006608D8"/>
    <w:rsid w:val="0066097A"/>
    <w:rsid w:val="00660C76"/>
    <w:rsid w:val="00660DAC"/>
    <w:rsid w:val="00660DE2"/>
    <w:rsid w:val="00660E25"/>
    <w:rsid w:val="0066127D"/>
    <w:rsid w:val="00661320"/>
    <w:rsid w:val="0066170E"/>
    <w:rsid w:val="0066178D"/>
    <w:rsid w:val="006619C1"/>
    <w:rsid w:val="00661A2C"/>
    <w:rsid w:val="00661A8D"/>
    <w:rsid w:val="00661AC1"/>
    <w:rsid w:val="00661B09"/>
    <w:rsid w:val="00661DDD"/>
    <w:rsid w:val="00661DF3"/>
    <w:rsid w:val="00661E68"/>
    <w:rsid w:val="00661EFE"/>
    <w:rsid w:val="00661FFF"/>
    <w:rsid w:val="006621D7"/>
    <w:rsid w:val="006627AC"/>
    <w:rsid w:val="00662A80"/>
    <w:rsid w:val="00662B52"/>
    <w:rsid w:val="00662BA6"/>
    <w:rsid w:val="00662BAD"/>
    <w:rsid w:val="00662C17"/>
    <w:rsid w:val="00662C39"/>
    <w:rsid w:val="00662C7D"/>
    <w:rsid w:val="00662E62"/>
    <w:rsid w:val="00662F0B"/>
    <w:rsid w:val="00662FAF"/>
    <w:rsid w:val="00662FE1"/>
    <w:rsid w:val="0066302A"/>
    <w:rsid w:val="0066332A"/>
    <w:rsid w:val="00663481"/>
    <w:rsid w:val="00663992"/>
    <w:rsid w:val="00663BFA"/>
    <w:rsid w:val="00663D6E"/>
    <w:rsid w:val="00664551"/>
    <w:rsid w:val="00664AF7"/>
    <w:rsid w:val="00664AFD"/>
    <w:rsid w:val="00664C57"/>
    <w:rsid w:val="00664D6A"/>
    <w:rsid w:val="00664DBE"/>
    <w:rsid w:val="006653F9"/>
    <w:rsid w:val="00665482"/>
    <w:rsid w:val="00665626"/>
    <w:rsid w:val="0066587E"/>
    <w:rsid w:val="00665946"/>
    <w:rsid w:val="00665E45"/>
    <w:rsid w:val="0066611F"/>
    <w:rsid w:val="00666172"/>
    <w:rsid w:val="006666C5"/>
    <w:rsid w:val="006667A9"/>
    <w:rsid w:val="006669F6"/>
    <w:rsid w:val="00666AFA"/>
    <w:rsid w:val="00666BE7"/>
    <w:rsid w:val="00666D34"/>
    <w:rsid w:val="00666E03"/>
    <w:rsid w:val="00666EB2"/>
    <w:rsid w:val="00667142"/>
    <w:rsid w:val="00667170"/>
    <w:rsid w:val="006675E4"/>
    <w:rsid w:val="00667696"/>
    <w:rsid w:val="00667770"/>
    <w:rsid w:val="00667CDB"/>
    <w:rsid w:val="00667D35"/>
    <w:rsid w:val="00667D57"/>
    <w:rsid w:val="00667FEC"/>
    <w:rsid w:val="00670261"/>
    <w:rsid w:val="00670546"/>
    <w:rsid w:val="00670597"/>
    <w:rsid w:val="00670655"/>
    <w:rsid w:val="006706D0"/>
    <w:rsid w:val="00670754"/>
    <w:rsid w:val="00670D2F"/>
    <w:rsid w:val="0067116C"/>
    <w:rsid w:val="006711AB"/>
    <w:rsid w:val="006711BE"/>
    <w:rsid w:val="00671221"/>
    <w:rsid w:val="00671229"/>
    <w:rsid w:val="00671238"/>
    <w:rsid w:val="0067149F"/>
    <w:rsid w:val="006714AB"/>
    <w:rsid w:val="00671A99"/>
    <w:rsid w:val="00671CD4"/>
    <w:rsid w:val="00671CE3"/>
    <w:rsid w:val="00671D51"/>
    <w:rsid w:val="00672196"/>
    <w:rsid w:val="00672341"/>
    <w:rsid w:val="006725E6"/>
    <w:rsid w:val="00672636"/>
    <w:rsid w:val="0067296A"/>
    <w:rsid w:val="00672A20"/>
    <w:rsid w:val="00672B39"/>
    <w:rsid w:val="00672BBC"/>
    <w:rsid w:val="00672BE7"/>
    <w:rsid w:val="00672C98"/>
    <w:rsid w:val="00672CA6"/>
    <w:rsid w:val="00672EDB"/>
    <w:rsid w:val="0067353A"/>
    <w:rsid w:val="006738BA"/>
    <w:rsid w:val="006739DD"/>
    <w:rsid w:val="00673DF6"/>
    <w:rsid w:val="00673DFA"/>
    <w:rsid w:val="00673E52"/>
    <w:rsid w:val="00673FAB"/>
    <w:rsid w:val="00674219"/>
    <w:rsid w:val="006744CE"/>
    <w:rsid w:val="00674610"/>
    <w:rsid w:val="00674698"/>
    <w:rsid w:val="00674A56"/>
    <w:rsid w:val="00674C76"/>
    <w:rsid w:val="006753DC"/>
    <w:rsid w:val="00675507"/>
    <w:rsid w:val="00675596"/>
    <w:rsid w:val="00675953"/>
    <w:rsid w:val="00675A79"/>
    <w:rsid w:val="00675B8F"/>
    <w:rsid w:val="00675C1C"/>
    <w:rsid w:val="00676116"/>
    <w:rsid w:val="00676191"/>
    <w:rsid w:val="006762CD"/>
    <w:rsid w:val="00676322"/>
    <w:rsid w:val="00676326"/>
    <w:rsid w:val="006763C6"/>
    <w:rsid w:val="00676C43"/>
    <w:rsid w:val="00676F12"/>
    <w:rsid w:val="00676FB1"/>
    <w:rsid w:val="006770A9"/>
    <w:rsid w:val="0067755A"/>
    <w:rsid w:val="00677574"/>
    <w:rsid w:val="0067770F"/>
    <w:rsid w:val="0067784C"/>
    <w:rsid w:val="00677A9C"/>
    <w:rsid w:val="00677BBF"/>
    <w:rsid w:val="00677C5B"/>
    <w:rsid w:val="00680103"/>
    <w:rsid w:val="006803B5"/>
    <w:rsid w:val="0068082F"/>
    <w:rsid w:val="00680A7C"/>
    <w:rsid w:val="00680AB6"/>
    <w:rsid w:val="00680D4F"/>
    <w:rsid w:val="006810B4"/>
    <w:rsid w:val="006810B6"/>
    <w:rsid w:val="006810F2"/>
    <w:rsid w:val="006811D3"/>
    <w:rsid w:val="0068126C"/>
    <w:rsid w:val="006812ED"/>
    <w:rsid w:val="0068157E"/>
    <w:rsid w:val="006817B4"/>
    <w:rsid w:val="006818A4"/>
    <w:rsid w:val="00681AF5"/>
    <w:rsid w:val="00681C44"/>
    <w:rsid w:val="00681EF8"/>
    <w:rsid w:val="00682188"/>
    <w:rsid w:val="006822BC"/>
    <w:rsid w:val="006822F9"/>
    <w:rsid w:val="0068230B"/>
    <w:rsid w:val="0068233D"/>
    <w:rsid w:val="006828F8"/>
    <w:rsid w:val="006829A6"/>
    <w:rsid w:val="00683214"/>
    <w:rsid w:val="00683433"/>
    <w:rsid w:val="00683805"/>
    <w:rsid w:val="00683839"/>
    <w:rsid w:val="00683878"/>
    <w:rsid w:val="00683C6B"/>
    <w:rsid w:val="00683E75"/>
    <w:rsid w:val="00683E91"/>
    <w:rsid w:val="00683F00"/>
    <w:rsid w:val="00684380"/>
    <w:rsid w:val="0068454C"/>
    <w:rsid w:val="0068463E"/>
    <w:rsid w:val="006846CF"/>
    <w:rsid w:val="006848F6"/>
    <w:rsid w:val="00684D35"/>
    <w:rsid w:val="00684E4E"/>
    <w:rsid w:val="00684FE7"/>
    <w:rsid w:val="00685272"/>
    <w:rsid w:val="006852C1"/>
    <w:rsid w:val="00685401"/>
    <w:rsid w:val="006857F8"/>
    <w:rsid w:val="0068588D"/>
    <w:rsid w:val="00685A72"/>
    <w:rsid w:val="00685AB2"/>
    <w:rsid w:val="00685B3C"/>
    <w:rsid w:val="00685B79"/>
    <w:rsid w:val="00685E5E"/>
    <w:rsid w:val="00686167"/>
    <w:rsid w:val="00686246"/>
    <w:rsid w:val="006862E4"/>
    <w:rsid w:val="00686354"/>
    <w:rsid w:val="00686404"/>
    <w:rsid w:val="00686505"/>
    <w:rsid w:val="00686602"/>
    <w:rsid w:val="0068660D"/>
    <w:rsid w:val="00686BEE"/>
    <w:rsid w:val="00687170"/>
    <w:rsid w:val="006872DA"/>
    <w:rsid w:val="00687370"/>
    <w:rsid w:val="00687374"/>
    <w:rsid w:val="0068754F"/>
    <w:rsid w:val="00687819"/>
    <w:rsid w:val="0068788D"/>
    <w:rsid w:val="00687BDB"/>
    <w:rsid w:val="00687BDC"/>
    <w:rsid w:val="00687F01"/>
    <w:rsid w:val="00690190"/>
    <w:rsid w:val="006902CE"/>
    <w:rsid w:val="006903F0"/>
    <w:rsid w:val="00690712"/>
    <w:rsid w:val="00690992"/>
    <w:rsid w:val="00690B0B"/>
    <w:rsid w:val="00690CE5"/>
    <w:rsid w:val="00690DB7"/>
    <w:rsid w:val="00690EC0"/>
    <w:rsid w:val="00691060"/>
    <w:rsid w:val="006911EE"/>
    <w:rsid w:val="00691279"/>
    <w:rsid w:val="00691455"/>
    <w:rsid w:val="006914C4"/>
    <w:rsid w:val="00691A07"/>
    <w:rsid w:val="00691ADC"/>
    <w:rsid w:val="00691B1A"/>
    <w:rsid w:val="00691B62"/>
    <w:rsid w:val="00691D24"/>
    <w:rsid w:val="00691DC3"/>
    <w:rsid w:val="00691E61"/>
    <w:rsid w:val="0069206B"/>
    <w:rsid w:val="006924D4"/>
    <w:rsid w:val="00692893"/>
    <w:rsid w:val="006929D8"/>
    <w:rsid w:val="00692A75"/>
    <w:rsid w:val="00692C22"/>
    <w:rsid w:val="00692C30"/>
    <w:rsid w:val="00692E42"/>
    <w:rsid w:val="00692ED0"/>
    <w:rsid w:val="006932C8"/>
    <w:rsid w:val="006932D7"/>
    <w:rsid w:val="006933B5"/>
    <w:rsid w:val="00693424"/>
    <w:rsid w:val="00693726"/>
    <w:rsid w:val="00693882"/>
    <w:rsid w:val="0069391C"/>
    <w:rsid w:val="00693B34"/>
    <w:rsid w:val="00693D14"/>
    <w:rsid w:val="00693DBF"/>
    <w:rsid w:val="00693E52"/>
    <w:rsid w:val="00693EA6"/>
    <w:rsid w:val="006940DC"/>
    <w:rsid w:val="0069428F"/>
    <w:rsid w:val="00694410"/>
    <w:rsid w:val="0069465B"/>
    <w:rsid w:val="0069490D"/>
    <w:rsid w:val="00694A78"/>
    <w:rsid w:val="00694DDC"/>
    <w:rsid w:val="00694E2B"/>
    <w:rsid w:val="00695094"/>
    <w:rsid w:val="006953E4"/>
    <w:rsid w:val="00695522"/>
    <w:rsid w:val="0069578A"/>
    <w:rsid w:val="006957A8"/>
    <w:rsid w:val="00695875"/>
    <w:rsid w:val="006958E9"/>
    <w:rsid w:val="006959C0"/>
    <w:rsid w:val="00695A23"/>
    <w:rsid w:val="00695A7F"/>
    <w:rsid w:val="00695C2A"/>
    <w:rsid w:val="00695DA9"/>
    <w:rsid w:val="00696043"/>
    <w:rsid w:val="00696119"/>
    <w:rsid w:val="006961E0"/>
    <w:rsid w:val="006962C3"/>
    <w:rsid w:val="006965DF"/>
    <w:rsid w:val="00696928"/>
    <w:rsid w:val="00696BC4"/>
    <w:rsid w:val="00696C61"/>
    <w:rsid w:val="00696D20"/>
    <w:rsid w:val="00696E74"/>
    <w:rsid w:val="00696F27"/>
    <w:rsid w:val="00697012"/>
    <w:rsid w:val="00697041"/>
    <w:rsid w:val="006976EE"/>
    <w:rsid w:val="00697D50"/>
    <w:rsid w:val="006A0434"/>
    <w:rsid w:val="006A0522"/>
    <w:rsid w:val="006A069D"/>
    <w:rsid w:val="006A0907"/>
    <w:rsid w:val="006A0A9B"/>
    <w:rsid w:val="006A0B43"/>
    <w:rsid w:val="006A0B8C"/>
    <w:rsid w:val="006A0D34"/>
    <w:rsid w:val="006A0F2B"/>
    <w:rsid w:val="006A0FDB"/>
    <w:rsid w:val="006A1113"/>
    <w:rsid w:val="006A12BA"/>
    <w:rsid w:val="006A132C"/>
    <w:rsid w:val="006A15AB"/>
    <w:rsid w:val="006A1607"/>
    <w:rsid w:val="006A162E"/>
    <w:rsid w:val="006A1679"/>
    <w:rsid w:val="006A18B0"/>
    <w:rsid w:val="006A18C2"/>
    <w:rsid w:val="006A1A94"/>
    <w:rsid w:val="006A1D42"/>
    <w:rsid w:val="006A1F13"/>
    <w:rsid w:val="006A1F8A"/>
    <w:rsid w:val="006A2004"/>
    <w:rsid w:val="006A23A0"/>
    <w:rsid w:val="006A28D1"/>
    <w:rsid w:val="006A29FC"/>
    <w:rsid w:val="006A2B0B"/>
    <w:rsid w:val="006A2BE7"/>
    <w:rsid w:val="006A2D83"/>
    <w:rsid w:val="006A2E35"/>
    <w:rsid w:val="006A3383"/>
    <w:rsid w:val="006A34FE"/>
    <w:rsid w:val="006A37D5"/>
    <w:rsid w:val="006A3E8A"/>
    <w:rsid w:val="006A403B"/>
    <w:rsid w:val="006A41BE"/>
    <w:rsid w:val="006A508A"/>
    <w:rsid w:val="006A548E"/>
    <w:rsid w:val="006A5753"/>
    <w:rsid w:val="006A5923"/>
    <w:rsid w:val="006A59BA"/>
    <w:rsid w:val="006A5A30"/>
    <w:rsid w:val="006A5CF1"/>
    <w:rsid w:val="006A5DAE"/>
    <w:rsid w:val="006A6485"/>
    <w:rsid w:val="006A6660"/>
    <w:rsid w:val="006A6A1B"/>
    <w:rsid w:val="006A6AE0"/>
    <w:rsid w:val="006A6C0D"/>
    <w:rsid w:val="006A6C28"/>
    <w:rsid w:val="006A6C49"/>
    <w:rsid w:val="006A6C56"/>
    <w:rsid w:val="006A6CCD"/>
    <w:rsid w:val="006A6F40"/>
    <w:rsid w:val="006A707A"/>
    <w:rsid w:val="006A71AD"/>
    <w:rsid w:val="006A754C"/>
    <w:rsid w:val="006A7615"/>
    <w:rsid w:val="006A7A45"/>
    <w:rsid w:val="006A7F2D"/>
    <w:rsid w:val="006B0061"/>
    <w:rsid w:val="006B0094"/>
    <w:rsid w:val="006B05A9"/>
    <w:rsid w:val="006B077C"/>
    <w:rsid w:val="006B0ADA"/>
    <w:rsid w:val="006B0BF3"/>
    <w:rsid w:val="006B0CBC"/>
    <w:rsid w:val="006B0EF0"/>
    <w:rsid w:val="006B1061"/>
    <w:rsid w:val="006B1285"/>
    <w:rsid w:val="006B1311"/>
    <w:rsid w:val="006B13F2"/>
    <w:rsid w:val="006B183F"/>
    <w:rsid w:val="006B1989"/>
    <w:rsid w:val="006B1BC5"/>
    <w:rsid w:val="006B1CDB"/>
    <w:rsid w:val="006B1E76"/>
    <w:rsid w:val="006B1F2E"/>
    <w:rsid w:val="006B1F7A"/>
    <w:rsid w:val="006B216A"/>
    <w:rsid w:val="006B22A6"/>
    <w:rsid w:val="006B25A5"/>
    <w:rsid w:val="006B25F1"/>
    <w:rsid w:val="006B26D2"/>
    <w:rsid w:val="006B2897"/>
    <w:rsid w:val="006B2AC6"/>
    <w:rsid w:val="006B2CF1"/>
    <w:rsid w:val="006B2E66"/>
    <w:rsid w:val="006B30C3"/>
    <w:rsid w:val="006B327A"/>
    <w:rsid w:val="006B3392"/>
    <w:rsid w:val="006B3397"/>
    <w:rsid w:val="006B3537"/>
    <w:rsid w:val="006B3699"/>
    <w:rsid w:val="006B36BC"/>
    <w:rsid w:val="006B3781"/>
    <w:rsid w:val="006B37CC"/>
    <w:rsid w:val="006B384B"/>
    <w:rsid w:val="006B3C15"/>
    <w:rsid w:val="006B3D4A"/>
    <w:rsid w:val="006B3E90"/>
    <w:rsid w:val="006B3ED3"/>
    <w:rsid w:val="006B3F40"/>
    <w:rsid w:val="006B3F45"/>
    <w:rsid w:val="006B417C"/>
    <w:rsid w:val="006B45A0"/>
    <w:rsid w:val="006B4942"/>
    <w:rsid w:val="006B4A64"/>
    <w:rsid w:val="006B4AE3"/>
    <w:rsid w:val="006B4D84"/>
    <w:rsid w:val="006B4F96"/>
    <w:rsid w:val="006B51CE"/>
    <w:rsid w:val="006B5618"/>
    <w:rsid w:val="006B571F"/>
    <w:rsid w:val="006B5830"/>
    <w:rsid w:val="006B59EF"/>
    <w:rsid w:val="006B5C2A"/>
    <w:rsid w:val="006B5C52"/>
    <w:rsid w:val="006B6663"/>
    <w:rsid w:val="006B6803"/>
    <w:rsid w:val="006B6A36"/>
    <w:rsid w:val="006B6DB7"/>
    <w:rsid w:val="006B6E23"/>
    <w:rsid w:val="006B6ED5"/>
    <w:rsid w:val="006B71D5"/>
    <w:rsid w:val="006B744B"/>
    <w:rsid w:val="006B75F3"/>
    <w:rsid w:val="006B7F73"/>
    <w:rsid w:val="006C0107"/>
    <w:rsid w:val="006C017A"/>
    <w:rsid w:val="006C02EC"/>
    <w:rsid w:val="006C056E"/>
    <w:rsid w:val="006C06C3"/>
    <w:rsid w:val="006C0929"/>
    <w:rsid w:val="006C09EA"/>
    <w:rsid w:val="006C0AA5"/>
    <w:rsid w:val="006C0CFF"/>
    <w:rsid w:val="006C0D74"/>
    <w:rsid w:val="006C0F72"/>
    <w:rsid w:val="006C1023"/>
    <w:rsid w:val="006C1129"/>
    <w:rsid w:val="006C123E"/>
    <w:rsid w:val="006C12FE"/>
    <w:rsid w:val="006C1944"/>
    <w:rsid w:val="006C1D92"/>
    <w:rsid w:val="006C1DE3"/>
    <w:rsid w:val="006C1DEC"/>
    <w:rsid w:val="006C1E0A"/>
    <w:rsid w:val="006C2519"/>
    <w:rsid w:val="006C2530"/>
    <w:rsid w:val="006C25C9"/>
    <w:rsid w:val="006C2649"/>
    <w:rsid w:val="006C2692"/>
    <w:rsid w:val="006C2727"/>
    <w:rsid w:val="006C2941"/>
    <w:rsid w:val="006C2BAE"/>
    <w:rsid w:val="006C2ECA"/>
    <w:rsid w:val="006C2F7E"/>
    <w:rsid w:val="006C30E0"/>
    <w:rsid w:val="006C3386"/>
    <w:rsid w:val="006C33AF"/>
    <w:rsid w:val="006C3445"/>
    <w:rsid w:val="006C3534"/>
    <w:rsid w:val="006C3596"/>
    <w:rsid w:val="006C3731"/>
    <w:rsid w:val="006C3CDB"/>
    <w:rsid w:val="006C3DF3"/>
    <w:rsid w:val="006C3EFC"/>
    <w:rsid w:val="006C3F09"/>
    <w:rsid w:val="006C4212"/>
    <w:rsid w:val="006C4218"/>
    <w:rsid w:val="006C424E"/>
    <w:rsid w:val="006C426D"/>
    <w:rsid w:val="006C4500"/>
    <w:rsid w:val="006C464B"/>
    <w:rsid w:val="006C48BE"/>
    <w:rsid w:val="006C4D4A"/>
    <w:rsid w:val="006C4E9A"/>
    <w:rsid w:val="006C4EC9"/>
    <w:rsid w:val="006C4F2E"/>
    <w:rsid w:val="006C4F57"/>
    <w:rsid w:val="006C5055"/>
    <w:rsid w:val="006C535F"/>
    <w:rsid w:val="006C560B"/>
    <w:rsid w:val="006C597E"/>
    <w:rsid w:val="006C5C00"/>
    <w:rsid w:val="006C5DED"/>
    <w:rsid w:val="006C6084"/>
    <w:rsid w:val="006C62CB"/>
    <w:rsid w:val="006C67CC"/>
    <w:rsid w:val="006C6BC3"/>
    <w:rsid w:val="006C6C00"/>
    <w:rsid w:val="006C7411"/>
    <w:rsid w:val="006C7445"/>
    <w:rsid w:val="006C754E"/>
    <w:rsid w:val="006C7718"/>
    <w:rsid w:val="006C77CE"/>
    <w:rsid w:val="006C78B8"/>
    <w:rsid w:val="006C7922"/>
    <w:rsid w:val="006C79F5"/>
    <w:rsid w:val="006C7B88"/>
    <w:rsid w:val="006C7DC2"/>
    <w:rsid w:val="006D00C9"/>
    <w:rsid w:val="006D01D3"/>
    <w:rsid w:val="006D02CB"/>
    <w:rsid w:val="006D0327"/>
    <w:rsid w:val="006D0449"/>
    <w:rsid w:val="006D05FC"/>
    <w:rsid w:val="006D06A9"/>
    <w:rsid w:val="006D0B70"/>
    <w:rsid w:val="006D0BFE"/>
    <w:rsid w:val="006D0E3C"/>
    <w:rsid w:val="006D0F06"/>
    <w:rsid w:val="006D0F16"/>
    <w:rsid w:val="006D1653"/>
    <w:rsid w:val="006D16A0"/>
    <w:rsid w:val="006D16BF"/>
    <w:rsid w:val="006D18BC"/>
    <w:rsid w:val="006D18F1"/>
    <w:rsid w:val="006D223E"/>
    <w:rsid w:val="006D2390"/>
    <w:rsid w:val="006D24EE"/>
    <w:rsid w:val="006D25E6"/>
    <w:rsid w:val="006D2A3F"/>
    <w:rsid w:val="006D2B30"/>
    <w:rsid w:val="006D2FBC"/>
    <w:rsid w:val="006D3221"/>
    <w:rsid w:val="006D3281"/>
    <w:rsid w:val="006D33F3"/>
    <w:rsid w:val="006D33FB"/>
    <w:rsid w:val="006D376C"/>
    <w:rsid w:val="006D389B"/>
    <w:rsid w:val="006D39C4"/>
    <w:rsid w:val="006D3B65"/>
    <w:rsid w:val="006D3B95"/>
    <w:rsid w:val="006D3BFE"/>
    <w:rsid w:val="006D400F"/>
    <w:rsid w:val="006D408C"/>
    <w:rsid w:val="006D4283"/>
    <w:rsid w:val="006D42C2"/>
    <w:rsid w:val="006D45C6"/>
    <w:rsid w:val="006D45EA"/>
    <w:rsid w:val="006D4748"/>
    <w:rsid w:val="006D48FC"/>
    <w:rsid w:val="006D4951"/>
    <w:rsid w:val="006D4B88"/>
    <w:rsid w:val="006D4C81"/>
    <w:rsid w:val="006D5007"/>
    <w:rsid w:val="006D5202"/>
    <w:rsid w:val="006D574D"/>
    <w:rsid w:val="006D57C5"/>
    <w:rsid w:val="006D58A5"/>
    <w:rsid w:val="006D58B6"/>
    <w:rsid w:val="006D59DA"/>
    <w:rsid w:val="006D5A38"/>
    <w:rsid w:val="006D5B3D"/>
    <w:rsid w:val="006D60C3"/>
    <w:rsid w:val="006D6494"/>
    <w:rsid w:val="006D6A02"/>
    <w:rsid w:val="006D6C57"/>
    <w:rsid w:val="006D6CA0"/>
    <w:rsid w:val="006D6DD6"/>
    <w:rsid w:val="006D6E34"/>
    <w:rsid w:val="006D6E81"/>
    <w:rsid w:val="006D6FE8"/>
    <w:rsid w:val="006D713C"/>
    <w:rsid w:val="006D7141"/>
    <w:rsid w:val="006D737A"/>
    <w:rsid w:val="006D73ED"/>
    <w:rsid w:val="006D757B"/>
    <w:rsid w:val="006D75DE"/>
    <w:rsid w:val="006D76D1"/>
    <w:rsid w:val="006D78AF"/>
    <w:rsid w:val="006D7A96"/>
    <w:rsid w:val="006D7DD4"/>
    <w:rsid w:val="006D7ED6"/>
    <w:rsid w:val="006D7EDE"/>
    <w:rsid w:val="006D7FA2"/>
    <w:rsid w:val="006E0190"/>
    <w:rsid w:val="006E08D0"/>
    <w:rsid w:val="006E0C49"/>
    <w:rsid w:val="006E0CCD"/>
    <w:rsid w:val="006E0E7F"/>
    <w:rsid w:val="006E0F12"/>
    <w:rsid w:val="006E138B"/>
    <w:rsid w:val="006E16E9"/>
    <w:rsid w:val="006E16F5"/>
    <w:rsid w:val="006E176E"/>
    <w:rsid w:val="006E17C1"/>
    <w:rsid w:val="006E1867"/>
    <w:rsid w:val="006E1917"/>
    <w:rsid w:val="006E1C08"/>
    <w:rsid w:val="006E1D0B"/>
    <w:rsid w:val="006E1E6B"/>
    <w:rsid w:val="006E21BE"/>
    <w:rsid w:val="006E228C"/>
    <w:rsid w:val="006E23C4"/>
    <w:rsid w:val="006E2454"/>
    <w:rsid w:val="006E24DF"/>
    <w:rsid w:val="006E2565"/>
    <w:rsid w:val="006E2667"/>
    <w:rsid w:val="006E2722"/>
    <w:rsid w:val="006E27E2"/>
    <w:rsid w:val="006E2FBD"/>
    <w:rsid w:val="006E311E"/>
    <w:rsid w:val="006E32D4"/>
    <w:rsid w:val="006E330E"/>
    <w:rsid w:val="006E347E"/>
    <w:rsid w:val="006E3928"/>
    <w:rsid w:val="006E3CE4"/>
    <w:rsid w:val="006E3E32"/>
    <w:rsid w:val="006E3F89"/>
    <w:rsid w:val="006E3FC6"/>
    <w:rsid w:val="006E443D"/>
    <w:rsid w:val="006E45CE"/>
    <w:rsid w:val="006E4C33"/>
    <w:rsid w:val="006E4D8B"/>
    <w:rsid w:val="006E5092"/>
    <w:rsid w:val="006E57FC"/>
    <w:rsid w:val="006E5BE1"/>
    <w:rsid w:val="006E5F5B"/>
    <w:rsid w:val="006E606E"/>
    <w:rsid w:val="006E615E"/>
    <w:rsid w:val="006E643C"/>
    <w:rsid w:val="006E6A1C"/>
    <w:rsid w:val="006E6E10"/>
    <w:rsid w:val="006E6FB2"/>
    <w:rsid w:val="006E7430"/>
    <w:rsid w:val="006E7491"/>
    <w:rsid w:val="006E7526"/>
    <w:rsid w:val="006E76FD"/>
    <w:rsid w:val="006E7890"/>
    <w:rsid w:val="006E78CB"/>
    <w:rsid w:val="006E7A1E"/>
    <w:rsid w:val="006E7AC4"/>
    <w:rsid w:val="006E7C19"/>
    <w:rsid w:val="006E7C6D"/>
    <w:rsid w:val="006E7CE9"/>
    <w:rsid w:val="006E7CEE"/>
    <w:rsid w:val="006E7D57"/>
    <w:rsid w:val="006F014F"/>
    <w:rsid w:val="006F0264"/>
    <w:rsid w:val="006F0330"/>
    <w:rsid w:val="006F06B2"/>
    <w:rsid w:val="006F0701"/>
    <w:rsid w:val="006F07D1"/>
    <w:rsid w:val="006F0953"/>
    <w:rsid w:val="006F0A97"/>
    <w:rsid w:val="006F0BF0"/>
    <w:rsid w:val="006F0C49"/>
    <w:rsid w:val="006F0C5A"/>
    <w:rsid w:val="006F0CCE"/>
    <w:rsid w:val="006F0DEA"/>
    <w:rsid w:val="006F0DFD"/>
    <w:rsid w:val="006F1239"/>
    <w:rsid w:val="006F1254"/>
    <w:rsid w:val="006F13C4"/>
    <w:rsid w:val="006F14C5"/>
    <w:rsid w:val="006F176B"/>
    <w:rsid w:val="006F1CC7"/>
    <w:rsid w:val="006F1D92"/>
    <w:rsid w:val="006F1EC8"/>
    <w:rsid w:val="006F1FDC"/>
    <w:rsid w:val="006F20A4"/>
    <w:rsid w:val="006F220B"/>
    <w:rsid w:val="006F22A7"/>
    <w:rsid w:val="006F22F2"/>
    <w:rsid w:val="006F25BB"/>
    <w:rsid w:val="006F25DD"/>
    <w:rsid w:val="006F2712"/>
    <w:rsid w:val="006F289B"/>
    <w:rsid w:val="006F2959"/>
    <w:rsid w:val="006F2984"/>
    <w:rsid w:val="006F2A92"/>
    <w:rsid w:val="006F2AAB"/>
    <w:rsid w:val="006F2AD9"/>
    <w:rsid w:val="006F2C66"/>
    <w:rsid w:val="006F2D9A"/>
    <w:rsid w:val="006F2E52"/>
    <w:rsid w:val="006F2EF4"/>
    <w:rsid w:val="006F3229"/>
    <w:rsid w:val="006F32BE"/>
    <w:rsid w:val="006F33D5"/>
    <w:rsid w:val="006F34F4"/>
    <w:rsid w:val="006F350F"/>
    <w:rsid w:val="006F3716"/>
    <w:rsid w:val="006F37A0"/>
    <w:rsid w:val="006F3B50"/>
    <w:rsid w:val="006F4139"/>
    <w:rsid w:val="006F4144"/>
    <w:rsid w:val="006F4278"/>
    <w:rsid w:val="006F46F1"/>
    <w:rsid w:val="006F4A5C"/>
    <w:rsid w:val="006F4A88"/>
    <w:rsid w:val="006F4B0E"/>
    <w:rsid w:val="006F4BE2"/>
    <w:rsid w:val="006F4CD5"/>
    <w:rsid w:val="006F4E4F"/>
    <w:rsid w:val="006F577F"/>
    <w:rsid w:val="006F5E71"/>
    <w:rsid w:val="006F5E89"/>
    <w:rsid w:val="006F61DD"/>
    <w:rsid w:val="006F66CE"/>
    <w:rsid w:val="006F67B8"/>
    <w:rsid w:val="006F68CB"/>
    <w:rsid w:val="006F6A21"/>
    <w:rsid w:val="006F6B8C"/>
    <w:rsid w:val="006F6BB1"/>
    <w:rsid w:val="006F6BBB"/>
    <w:rsid w:val="006F6F15"/>
    <w:rsid w:val="006F7096"/>
    <w:rsid w:val="006F74A4"/>
    <w:rsid w:val="006F74D7"/>
    <w:rsid w:val="006F7707"/>
    <w:rsid w:val="006F784F"/>
    <w:rsid w:val="006F7F1D"/>
    <w:rsid w:val="006F7F75"/>
    <w:rsid w:val="006F7FB9"/>
    <w:rsid w:val="00700008"/>
    <w:rsid w:val="00700119"/>
    <w:rsid w:val="0070026E"/>
    <w:rsid w:val="00700367"/>
    <w:rsid w:val="007004CF"/>
    <w:rsid w:val="007004F8"/>
    <w:rsid w:val="00700708"/>
    <w:rsid w:val="007007A7"/>
    <w:rsid w:val="007008C7"/>
    <w:rsid w:val="0070090C"/>
    <w:rsid w:val="007009BB"/>
    <w:rsid w:val="00700A3C"/>
    <w:rsid w:val="00700CDA"/>
    <w:rsid w:val="00700D6E"/>
    <w:rsid w:val="00700E16"/>
    <w:rsid w:val="007013EF"/>
    <w:rsid w:val="00701455"/>
    <w:rsid w:val="007015FD"/>
    <w:rsid w:val="0070169B"/>
    <w:rsid w:val="0070175D"/>
    <w:rsid w:val="007017BA"/>
    <w:rsid w:val="00701C39"/>
    <w:rsid w:val="00701DEE"/>
    <w:rsid w:val="007022CE"/>
    <w:rsid w:val="00702605"/>
    <w:rsid w:val="0070270C"/>
    <w:rsid w:val="00702B06"/>
    <w:rsid w:val="00702D50"/>
    <w:rsid w:val="00702E93"/>
    <w:rsid w:val="00703022"/>
    <w:rsid w:val="007031EB"/>
    <w:rsid w:val="00703416"/>
    <w:rsid w:val="00703A84"/>
    <w:rsid w:val="00703D14"/>
    <w:rsid w:val="007040FC"/>
    <w:rsid w:val="007043C0"/>
    <w:rsid w:val="00704555"/>
    <w:rsid w:val="0070463F"/>
    <w:rsid w:val="00704D2A"/>
    <w:rsid w:val="007050F0"/>
    <w:rsid w:val="007051EE"/>
    <w:rsid w:val="00705583"/>
    <w:rsid w:val="007055BD"/>
    <w:rsid w:val="00705639"/>
    <w:rsid w:val="0070574B"/>
    <w:rsid w:val="00705911"/>
    <w:rsid w:val="00705B04"/>
    <w:rsid w:val="00705B48"/>
    <w:rsid w:val="00705B9E"/>
    <w:rsid w:val="0070602C"/>
    <w:rsid w:val="007060CE"/>
    <w:rsid w:val="007060DB"/>
    <w:rsid w:val="00706163"/>
    <w:rsid w:val="0070634E"/>
    <w:rsid w:val="007068A3"/>
    <w:rsid w:val="007068E2"/>
    <w:rsid w:val="00706A0B"/>
    <w:rsid w:val="00706A44"/>
    <w:rsid w:val="00706ACB"/>
    <w:rsid w:val="00706C48"/>
    <w:rsid w:val="00706D15"/>
    <w:rsid w:val="00706D2D"/>
    <w:rsid w:val="0070724C"/>
    <w:rsid w:val="007073BB"/>
    <w:rsid w:val="00707478"/>
    <w:rsid w:val="007075B7"/>
    <w:rsid w:val="007076C5"/>
    <w:rsid w:val="00707737"/>
    <w:rsid w:val="00707955"/>
    <w:rsid w:val="00707B9A"/>
    <w:rsid w:val="00707E05"/>
    <w:rsid w:val="00710593"/>
    <w:rsid w:val="00710B4C"/>
    <w:rsid w:val="00710B71"/>
    <w:rsid w:val="00710E11"/>
    <w:rsid w:val="00711321"/>
    <w:rsid w:val="00711784"/>
    <w:rsid w:val="00711BAD"/>
    <w:rsid w:val="00711D45"/>
    <w:rsid w:val="00711E9A"/>
    <w:rsid w:val="00712149"/>
    <w:rsid w:val="00712410"/>
    <w:rsid w:val="007127A7"/>
    <w:rsid w:val="00712B66"/>
    <w:rsid w:val="00712BE0"/>
    <w:rsid w:val="00712CF4"/>
    <w:rsid w:val="00712D66"/>
    <w:rsid w:val="00712E86"/>
    <w:rsid w:val="00713231"/>
    <w:rsid w:val="00713299"/>
    <w:rsid w:val="007133A4"/>
    <w:rsid w:val="00713498"/>
    <w:rsid w:val="007134E7"/>
    <w:rsid w:val="00713548"/>
    <w:rsid w:val="00713595"/>
    <w:rsid w:val="007137F4"/>
    <w:rsid w:val="00713BFE"/>
    <w:rsid w:val="00713E8D"/>
    <w:rsid w:val="00713ECF"/>
    <w:rsid w:val="00713EFF"/>
    <w:rsid w:val="00714239"/>
    <w:rsid w:val="007145B0"/>
    <w:rsid w:val="00714845"/>
    <w:rsid w:val="0071497F"/>
    <w:rsid w:val="00714C20"/>
    <w:rsid w:val="00714C6B"/>
    <w:rsid w:val="00714C6F"/>
    <w:rsid w:val="00714F58"/>
    <w:rsid w:val="00715133"/>
    <w:rsid w:val="007155A9"/>
    <w:rsid w:val="007156DD"/>
    <w:rsid w:val="00715A36"/>
    <w:rsid w:val="00715B89"/>
    <w:rsid w:val="00715BA7"/>
    <w:rsid w:val="007160C7"/>
    <w:rsid w:val="00716525"/>
    <w:rsid w:val="007166EC"/>
    <w:rsid w:val="00716901"/>
    <w:rsid w:val="00716952"/>
    <w:rsid w:val="00716A6A"/>
    <w:rsid w:val="00716E33"/>
    <w:rsid w:val="007173CA"/>
    <w:rsid w:val="00717445"/>
    <w:rsid w:val="00717737"/>
    <w:rsid w:val="0071774D"/>
    <w:rsid w:val="007178B3"/>
    <w:rsid w:val="007200E7"/>
    <w:rsid w:val="007201A7"/>
    <w:rsid w:val="007201AA"/>
    <w:rsid w:val="0072035E"/>
    <w:rsid w:val="007204DB"/>
    <w:rsid w:val="00720508"/>
    <w:rsid w:val="0072056B"/>
    <w:rsid w:val="007205C0"/>
    <w:rsid w:val="0072076F"/>
    <w:rsid w:val="00720D07"/>
    <w:rsid w:val="00720DB1"/>
    <w:rsid w:val="00720DF2"/>
    <w:rsid w:val="0072107D"/>
    <w:rsid w:val="007212CD"/>
    <w:rsid w:val="00721347"/>
    <w:rsid w:val="007213F4"/>
    <w:rsid w:val="007216AA"/>
    <w:rsid w:val="007216E0"/>
    <w:rsid w:val="00721708"/>
    <w:rsid w:val="00721762"/>
    <w:rsid w:val="00721AB5"/>
    <w:rsid w:val="00721CFB"/>
    <w:rsid w:val="00721DEF"/>
    <w:rsid w:val="00721F22"/>
    <w:rsid w:val="00722438"/>
    <w:rsid w:val="00722952"/>
    <w:rsid w:val="00722AE2"/>
    <w:rsid w:val="00722F3A"/>
    <w:rsid w:val="0072307E"/>
    <w:rsid w:val="00723288"/>
    <w:rsid w:val="0072361B"/>
    <w:rsid w:val="0072367B"/>
    <w:rsid w:val="00723682"/>
    <w:rsid w:val="00723830"/>
    <w:rsid w:val="00723836"/>
    <w:rsid w:val="007241E9"/>
    <w:rsid w:val="007243E6"/>
    <w:rsid w:val="007245F3"/>
    <w:rsid w:val="007247B1"/>
    <w:rsid w:val="007247D8"/>
    <w:rsid w:val="00724937"/>
    <w:rsid w:val="00724A43"/>
    <w:rsid w:val="00724BB6"/>
    <w:rsid w:val="00724C0B"/>
    <w:rsid w:val="00724C13"/>
    <w:rsid w:val="00724D9D"/>
    <w:rsid w:val="00724DA3"/>
    <w:rsid w:val="00725029"/>
    <w:rsid w:val="007250A2"/>
    <w:rsid w:val="0072516C"/>
    <w:rsid w:val="00725262"/>
    <w:rsid w:val="00725279"/>
    <w:rsid w:val="00725446"/>
    <w:rsid w:val="007256CD"/>
    <w:rsid w:val="007258F6"/>
    <w:rsid w:val="00725A9A"/>
    <w:rsid w:val="00725CE4"/>
    <w:rsid w:val="00725F37"/>
    <w:rsid w:val="00726080"/>
    <w:rsid w:val="00726198"/>
    <w:rsid w:val="007264B5"/>
    <w:rsid w:val="0072656C"/>
    <w:rsid w:val="0072678B"/>
    <w:rsid w:val="007268B4"/>
    <w:rsid w:val="00726910"/>
    <w:rsid w:val="007269EE"/>
    <w:rsid w:val="00726C76"/>
    <w:rsid w:val="0072719A"/>
    <w:rsid w:val="007273AC"/>
    <w:rsid w:val="0072762B"/>
    <w:rsid w:val="0072786C"/>
    <w:rsid w:val="007279DE"/>
    <w:rsid w:val="00727F3D"/>
    <w:rsid w:val="00727F8C"/>
    <w:rsid w:val="007301D2"/>
    <w:rsid w:val="00730210"/>
    <w:rsid w:val="0073021D"/>
    <w:rsid w:val="0073073E"/>
    <w:rsid w:val="00730789"/>
    <w:rsid w:val="00730AF8"/>
    <w:rsid w:val="00730BCD"/>
    <w:rsid w:val="00730BD7"/>
    <w:rsid w:val="0073121D"/>
    <w:rsid w:val="0073125F"/>
    <w:rsid w:val="0073162F"/>
    <w:rsid w:val="00731684"/>
    <w:rsid w:val="0073181E"/>
    <w:rsid w:val="00731909"/>
    <w:rsid w:val="007319C4"/>
    <w:rsid w:val="00731A8B"/>
    <w:rsid w:val="00731AD4"/>
    <w:rsid w:val="00731D2C"/>
    <w:rsid w:val="00731DF5"/>
    <w:rsid w:val="007321AB"/>
    <w:rsid w:val="00732344"/>
    <w:rsid w:val="00732580"/>
    <w:rsid w:val="00732695"/>
    <w:rsid w:val="0073283D"/>
    <w:rsid w:val="00732B3E"/>
    <w:rsid w:val="00733067"/>
    <w:rsid w:val="007330C3"/>
    <w:rsid w:val="0073319E"/>
    <w:rsid w:val="00733A0B"/>
    <w:rsid w:val="00733B31"/>
    <w:rsid w:val="00733BE2"/>
    <w:rsid w:val="00733C2B"/>
    <w:rsid w:val="00733C76"/>
    <w:rsid w:val="00733FDB"/>
    <w:rsid w:val="007340D5"/>
    <w:rsid w:val="007342A7"/>
    <w:rsid w:val="007342F3"/>
    <w:rsid w:val="0073438E"/>
    <w:rsid w:val="007344ED"/>
    <w:rsid w:val="007346E4"/>
    <w:rsid w:val="00734C53"/>
    <w:rsid w:val="00734EBD"/>
    <w:rsid w:val="00735026"/>
    <w:rsid w:val="00735564"/>
    <w:rsid w:val="00735612"/>
    <w:rsid w:val="0073587A"/>
    <w:rsid w:val="007358B1"/>
    <w:rsid w:val="0073592E"/>
    <w:rsid w:val="0073595A"/>
    <w:rsid w:val="00735B47"/>
    <w:rsid w:val="00735F5B"/>
    <w:rsid w:val="00736265"/>
    <w:rsid w:val="007363C3"/>
    <w:rsid w:val="00736514"/>
    <w:rsid w:val="007365B6"/>
    <w:rsid w:val="0073663F"/>
    <w:rsid w:val="00736A9C"/>
    <w:rsid w:val="00736BD8"/>
    <w:rsid w:val="0073701A"/>
    <w:rsid w:val="00737114"/>
    <w:rsid w:val="007373AF"/>
    <w:rsid w:val="007375E5"/>
    <w:rsid w:val="00737878"/>
    <w:rsid w:val="00737BE2"/>
    <w:rsid w:val="00737D03"/>
    <w:rsid w:val="00737D90"/>
    <w:rsid w:val="0074001B"/>
    <w:rsid w:val="0074035F"/>
    <w:rsid w:val="0074052C"/>
    <w:rsid w:val="0074084A"/>
    <w:rsid w:val="007409B4"/>
    <w:rsid w:val="007409E3"/>
    <w:rsid w:val="00740D74"/>
    <w:rsid w:val="00740D8D"/>
    <w:rsid w:val="00740DA3"/>
    <w:rsid w:val="00740E2A"/>
    <w:rsid w:val="00740EC9"/>
    <w:rsid w:val="00740F22"/>
    <w:rsid w:val="00740FF2"/>
    <w:rsid w:val="00741119"/>
    <w:rsid w:val="007412D9"/>
    <w:rsid w:val="00741372"/>
    <w:rsid w:val="00741424"/>
    <w:rsid w:val="0074177A"/>
    <w:rsid w:val="00741901"/>
    <w:rsid w:val="00741B6F"/>
    <w:rsid w:val="00741CF0"/>
    <w:rsid w:val="00741F1A"/>
    <w:rsid w:val="007425F4"/>
    <w:rsid w:val="007426F8"/>
    <w:rsid w:val="007429EC"/>
    <w:rsid w:val="00742AB8"/>
    <w:rsid w:val="00742B28"/>
    <w:rsid w:val="00742CA0"/>
    <w:rsid w:val="007431C6"/>
    <w:rsid w:val="0074345C"/>
    <w:rsid w:val="007435A8"/>
    <w:rsid w:val="007435EB"/>
    <w:rsid w:val="00743828"/>
    <w:rsid w:val="00743CD9"/>
    <w:rsid w:val="00744028"/>
    <w:rsid w:val="007443B8"/>
    <w:rsid w:val="00744578"/>
    <w:rsid w:val="00744759"/>
    <w:rsid w:val="007447DA"/>
    <w:rsid w:val="00744A4F"/>
    <w:rsid w:val="00744AA8"/>
    <w:rsid w:val="00744E40"/>
    <w:rsid w:val="00744EF9"/>
    <w:rsid w:val="007450F8"/>
    <w:rsid w:val="007451A9"/>
    <w:rsid w:val="007453B3"/>
    <w:rsid w:val="007457D3"/>
    <w:rsid w:val="007458CB"/>
    <w:rsid w:val="00746220"/>
    <w:rsid w:val="007462F5"/>
    <w:rsid w:val="00746319"/>
    <w:rsid w:val="00746532"/>
    <w:rsid w:val="0074696E"/>
    <w:rsid w:val="007472AA"/>
    <w:rsid w:val="00747360"/>
    <w:rsid w:val="00747475"/>
    <w:rsid w:val="0074752F"/>
    <w:rsid w:val="00747692"/>
    <w:rsid w:val="00747868"/>
    <w:rsid w:val="007478E7"/>
    <w:rsid w:val="00747997"/>
    <w:rsid w:val="00747BBC"/>
    <w:rsid w:val="00747CEA"/>
    <w:rsid w:val="00750135"/>
    <w:rsid w:val="007502AE"/>
    <w:rsid w:val="00750379"/>
    <w:rsid w:val="00750774"/>
    <w:rsid w:val="0075078F"/>
    <w:rsid w:val="00750798"/>
    <w:rsid w:val="00750BB1"/>
    <w:rsid w:val="00750E2C"/>
    <w:rsid w:val="00750EC2"/>
    <w:rsid w:val="00750ED3"/>
    <w:rsid w:val="00750FF4"/>
    <w:rsid w:val="007512DA"/>
    <w:rsid w:val="007513E4"/>
    <w:rsid w:val="0075167E"/>
    <w:rsid w:val="00751BD4"/>
    <w:rsid w:val="00751CA2"/>
    <w:rsid w:val="00751E0B"/>
    <w:rsid w:val="00751F0F"/>
    <w:rsid w:val="0075200F"/>
    <w:rsid w:val="0075208D"/>
    <w:rsid w:val="00752213"/>
    <w:rsid w:val="00752789"/>
    <w:rsid w:val="00752B28"/>
    <w:rsid w:val="00752CA7"/>
    <w:rsid w:val="00752D71"/>
    <w:rsid w:val="0075304D"/>
    <w:rsid w:val="0075305D"/>
    <w:rsid w:val="007530F0"/>
    <w:rsid w:val="00753229"/>
    <w:rsid w:val="00753349"/>
    <w:rsid w:val="007534CE"/>
    <w:rsid w:val="00753682"/>
    <w:rsid w:val="007536BC"/>
    <w:rsid w:val="00753A11"/>
    <w:rsid w:val="0075409C"/>
    <w:rsid w:val="007541A9"/>
    <w:rsid w:val="007543D9"/>
    <w:rsid w:val="00754416"/>
    <w:rsid w:val="00754485"/>
    <w:rsid w:val="007547C8"/>
    <w:rsid w:val="007548DA"/>
    <w:rsid w:val="007549C0"/>
    <w:rsid w:val="00754B75"/>
    <w:rsid w:val="00754C5E"/>
    <w:rsid w:val="00754E36"/>
    <w:rsid w:val="007551D1"/>
    <w:rsid w:val="007556F1"/>
    <w:rsid w:val="007557DB"/>
    <w:rsid w:val="00755A56"/>
    <w:rsid w:val="00755B68"/>
    <w:rsid w:val="00755C16"/>
    <w:rsid w:val="00756421"/>
    <w:rsid w:val="007565C2"/>
    <w:rsid w:val="00756D54"/>
    <w:rsid w:val="0075725A"/>
    <w:rsid w:val="007572A2"/>
    <w:rsid w:val="00757500"/>
    <w:rsid w:val="00757BAF"/>
    <w:rsid w:val="00757C59"/>
    <w:rsid w:val="007600D4"/>
    <w:rsid w:val="00760344"/>
    <w:rsid w:val="007603C7"/>
    <w:rsid w:val="007603F3"/>
    <w:rsid w:val="0076085F"/>
    <w:rsid w:val="00760961"/>
    <w:rsid w:val="00760AE6"/>
    <w:rsid w:val="00760B52"/>
    <w:rsid w:val="00760CDB"/>
    <w:rsid w:val="00760D23"/>
    <w:rsid w:val="00760D2F"/>
    <w:rsid w:val="00760D94"/>
    <w:rsid w:val="00760F38"/>
    <w:rsid w:val="0076145A"/>
    <w:rsid w:val="0076166B"/>
    <w:rsid w:val="00761B38"/>
    <w:rsid w:val="00761D18"/>
    <w:rsid w:val="0076231D"/>
    <w:rsid w:val="00762590"/>
    <w:rsid w:val="00762637"/>
    <w:rsid w:val="00762B5A"/>
    <w:rsid w:val="00762CEB"/>
    <w:rsid w:val="00762D1A"/>
    <w:rsid w:val="00762D4F"/>
    <w:rsid w:val="00762D5B"/>
    <w:rsid w:val="00762F4C"/>
    <w:rsid w:val="00763139"/>
    <w:rsid w:val="00763182"/>
    <w:rsid w:val="00763531"/>
    <w:rsid w:val="00763689"/>
    <w:rsid w:val="007639A9"/>
    <w:rsid w:val="00763BA0"/>
    <w:rsid w:val="00763C49"/>
    <w:rsid w:val="00764109"/>
    <w:rsid w:val="00764278"/>
    <w:rsid w:val="007643D5"/>
    <w:rsid w:val="007645D0"/>
    <w:rsid w:val="00764805"/>
    <w:rsid w:val="007648DE"/>
    <w:rsid w:val="00764993"/>
    <w:rsid w:val="00764CA6"/>
    <w:rsid w:val="00764EBB"/>
    <w:rsid w:val="00765502"/>
    <w:rsid w:val="00765667"/>
    <w:rsid w:val="007657A6"/>
    <w:rsid w:val="007658CB"/>
    <w:rsid w:val="00765BD7"/>
    <w:rsid w:val="00765D70"/>
    <w:rsid w:val="00765FCA"/>
    <w:rsid w:val="00765FEA"/>
    <w:rsid w:val="00766052"/>
    <w:rsid w:val="007664DF"/>
    <w:rsid w:val="00766D06"/>
    <w:rsid w:val="00766E1A"/>
    <w:rsid w:val="00767127"/>
    <w:rsid w:val="007672B9"/>
    <w:rsid w:val="007673D0"/>
    <w:rsid w:val="007675A1"/>
    <w:rsid w:val="007676DE"/>
    <w:rsid w:val="00767869"/>
    <w:rsid w:val="007679DC"/>
    <w:rsid w:val="00767D27"/>
    <w:rsid w:val="00767D3E"/>
    <w:rsid w:val="00770217"/>
    <w:rsid w:val="007702A8"/>
    <w:rsid w:val="0077046B"/>
    <w:rsid w:val="00770802"/>
    <w:rsid w:val="007708E8"/>
    <w:rsid w:val="007709CC"/>
    <w:rsid w:val="00770B0A"/>
    <w:rsid w:val="00770DFB"/>
    <w:rsid w:val="00770F37"/>
    <w:rsid w:val="00771074"/>
    <w:rsid w:val="007711A0"/>
    <w:rsid w:val="007713B4"/>
    <w:rsid w:val="007715B2"/>
    <w:rsid w:val="007716FF"/>
    <w:rsid w:val="00771879"/>
    <w:rsid w:val="0077198E"/>
    <w:rsid w:val="00771AF7"/>
    <w:rsid w:val="00771D6F"/>
    <w:rsid w:val="00771ED5"/>
    <w:rsid w:val="00771F18"/>
    <w:rsid w:val="007721DE"/>
    <w:rsid w:val="0077227B"/>
    <w:rsid w:val="007724B6"/>
    <w:rsid w:val="00772869"/>
    <w:rsid w:val="007728C9"/>
    <w:rsid w:val="00772B58"/>
    <w:rsid w:val="00772C4B"/>
    <w:rsid w:val="00772D5E"/>
    <w:rsid w:val="00773095"/>
    <w:rsid w:val="007731E0"/>
    <w:rsid w:val="007731E1"/>
    <w:rsid w:val="00773417"/>
    <w:rsid w:val="00773524"/>
    <w:rsid w:val="0077357D"/>
    <w:rsid w:val="00773686"/>
    <w:rsid w:val="007739E1"/>
    <w:rsid w:val="007739E9"/>
    <w:rsid w:val="00773A2B"/>
    <w:rsid w:val="00773BEA"/>
    <w:rsid w:val="00773FC9"/>
    <w:rsid w:val="007742AE"/>
    <w:rsid w:val="007742C0"/>
    <w:rsid w:val="007744FE"/>
    <w:rsid w:val="007745DD"/>
    <w:rsid w:val="0077463E"/>
    <w:rsid w:val="007747D8"/>
    <w:rsid w:val="00774841"/>
    <w:rsid w:val="007748D1"/>
    <w:rsid w:val="00774962"/>
    <w:rsid w:val="00774E80"/>
    <w:rsid w:val="0077500A"/>
    <w:rsid w:val="0077506F"/>
    <w:rsid w:val="007751AA"/>
    <w:rsid w:val="007751F7"/>
    <w:rsid w:val="00775373"/>
    <w:rsid w:val="0077582B"/>
    <w:rsid w:val="00775B1A"/>
    <w:rsid w:val="00775B7C"/>
    <w:rsid w:val="00775E7F"/>
    <w:rsid w:val="00775FB9"/>
    <w:rsid w:val="007760BC"/>
    <w:rsid w:val="007760F6"/>
    <w:rsid w:val="007763D5"/>
    <w:rsid w:val="00776443"/>
    <w:rsid w:val="00776658"/>
    <w:rsid w:val="0077674E"/>
    <w:rsid w:val="00776844"/>
    <w:rsid w:val="007768A0"/>
    <w:rsid w:val="00776928"/>
    <w:rsid w:val="007769CE"/>
    <w:rsid w:val="00776A31"/>
    <w:rsid w:val="00776D56"/>
    <w:rsid w:val="00776E0F"/>
    <w:rsid w:val="0077731B"/>
    <w:rsid w:val="007773D4"/>
    <w:rsid w:val="007774B1"/>
    <w:rsid w:val="007775F0"/>
    <w:rsid w:val="00777620"/>
    <w:rsid w:val="00777A1D"/>
    <w:rsid w:val="00777A2A"/>
    <w:rsid w:val="00777B3D"/>
    <w:rsid w:val="00777BE1"/>
    <w:rsid w:val="00777D63"/>
    <w:rsid w:val="00777DDA"/>
    <w:rsid w:val="0078031E"/>
    <w:rsid w:val="00780792"/>
    <w:rsid w:val="00780A09"/>
    <w:rsid w:val="00780A61"/>
    <w:rsid w:val="00780C3A"/>
    <w:rsid w:val="00780C3F"/>
    <w:rsid w:val="00780CE5"/>
    <w:rsid w:val="0078113B"/>
    <w:rsid w:val="0078131C"/>
    <w:rsid w:val="0078139E"/>
    <w:rsid w:val="00781771"/>
    <w:rsid w:val="00781AC1"/>
    <w:rsid w:val="00781B01"/>
    <w:rsid w:val="00781F97"/>
    <w:rsid w:val="007821B4"/>
    <w:rsid w:val="00782222"/>
    <w:rsid w:val="007823B2"/>
    <w:rsid w:val="0078242B"/>
    <w:rsid w:val="007827D4"/>
    <w:rsid w:val="007828C8"/>
    <w:rsid w:val="00782C85"/>
    <w:rsid w:val="00782CA1"/>
    <w:rsid w:val="00782EB1"/>
    <w:rsid w:val="00782F70"/>
    <w:rsid w:val="0078300B"/>
    <w:rsid w:val="007830C8"/>
    <w:rsid w:val="0078326A"/>
    <w:rsid w:val="0078327D"/>
    <w:rsid w:val="0078336D"/>
    <w:rsid w:val="007833D8"/>
    <w:rsid w:val="00783655"/>
    <w:rsid w:val="0078378C"/>
    <w:rsid w:val="007838A6"/>
    <w:rsid w:val="007838D5"/>
    <w:rsid w:val="00783A59"/>
    <w:rsid w:val="00783E53"/>
    <w:rsid w:val="00783FF8"/>
    <w:rsid w:val="00784140"/>
    <w:rsid w:val="007841B5"/>
    <w:rsid w:val="007843EB"/>
    <w:rsid w:val="00784537"/>
    <w:rsid w:val="00784551"/>
    <w:rsid w:val="00784559"/>
    <w:rsid w:val="0078461B"/>
    <w:rsid w:val="0078463D"/>
    <w:rsid w:val="00784A23"/>
    <w:rsid w:val="00784A8E"/>
    <w:rsid w:val="00784C23"/>
    <w:rsid w:val="00784C3B"/>
    <w:rsid w:val="00785310"/>
    <w:rsid w:val="00785677"/>
    <w:rsid w:val="0078584D"/>
    <w:rsid w:val="007858E1"/>
    <w:rsid w:val="0078599D"/>
    <w:rsid w:val="00785B19"/>
    <w:rsid w:val="00785C94"/>
    <w:rsid w:val="00785DE7"/>
    <w:rsid w:val="00785E8B"/>
    <w:rsid w:val="00785F0A"/>
    <w:rsid w:val="00786106"/>
    <w:rsid w:val="00786454"/>
    <w:rsid w:val="00786748"/>
    <w:rsid w:val="00786991"/>
    <w:rsid w:val="00786C04"/>
    <w:rsid w:val="00786C87"/>
    <w:rsid w:val="00786E6E"/>
    <w:rsid w:val="00786E77"/>
    <w:rsid w:val="00786F16"/>
    <w:rsid w:val="0078752A"/>
    <w:rsid w:val="00787721"/>
    <w:rsid w:val="00787837"/>
    <w:rsid w:val="00787887"/>
    <w:rsid w:val="007878E1"/>
    <w:rsid w:val="00787A3F"/>
    <w:rsid w:val="00787A43"/>
    <w:rsid w:val="00787B2F"/>
    <w:rsid w:val="00787FCC"/>
    <w:rsid w:val="007901CA"/>
    <w:rsid w:val="00790494"/>
    <w:rsid w:val="00790525"/>
    <w:rsid w:val="0079068F"/>
    <w:rsid w:val="007906E4"/>
    <w:rsid w:val="0079080E"/>
    <w:rsid w:val="00790872"/>
    <w:rsid w:val="0079095A"/>
    <w:rsid w:val="00790B3F"/>
    <w:rsid w:val="00790C04"/>
    <w:rsid w:val="00790C6D"/>
    <w:rsid w:val="00790D88"/>
    <w:rsid w:val="00790E12"/>
    <w:rsid w:val="00790F9D"/>
    <w:rsid w:val="007911FB"/>
    <w:rsid w:val="00791203"/>
    <w:rsid w:val="00791225"/>
    <w:rsid w:val="007912AE"/>
    <w:rsid w:val="0079133E"/>
    <w:rsid w:val="007915DE"/>
    <w:rsid w:val="00791955"/>
    <w:rsid w:val="00791B2A"/>
    <w:rsid w:val="00791BD7"/>
    <w:rsid w:val="00791E74"/>
    <w:rsid w:val="007920F6"/>
    <w:rsid w:val="007923C2"/>
    <w:rsid w:val="007927BB"/>
    <w:rsid w:val="007928E3"/>
    <w:rsid w:val="0079292D"/>
    <w:rsid w:val="0079296E"/>
    <w:rsid w:val="00792A6E"/>
    <w:rsid w:val="00792EF3"/>
    <w:rsid w:val="00792F6F"/>
    <w:rsid w:val="007933F7"/>
    <w:rsid w:val="00793423"/>
    <w:rsid w:val="007937FF"/>
    <w:rsid w:val="00793C03"/>
    <w:rsid w:val="00793C3E"/>
    <w:rsid w:val="00793C71"/>
    <w:rsid w:val="00793CA4"/>
    <w:rsid w:val="00793CB0"/>
    <w:rsid w:val="00793CB4"/>
    <w:rsid w:val="00793DAE"/>
    <w:rsid w:val="00793FB3"/>
    <w:rsid w:val="0079407D"/>
    <w:rsid w:val="007940B6"/>
    <w:rsid w:val="0079426A"/>
    <w:rsid w:val="0079439A"/>
    <w:rsid w:val="00794425"/>
    <w:rsid w:val="00794561"/>
    <w:rsid w:val="007945A4"/>
    <w:rsid w:val="00794691"/>
    <w:rsid w:val="007946EB"/>
    <w:rsid w:val="00794B72"/>
    <w:rsid w:val="00794DE1"/>
    <w:rsid w:val="00794E8F"/>
    <w:rsid w:val="00795113"/>
    <w:rsid w:val="00795795"/>
    <w:rsid w:val="007957B2"/>
    <w:rsid w:val="007958BF"/>
    <w:rsid w:val="00795917"/>
    <w:rsid w:val="00795ED6"/>
    <w:rsid w:val="00795F7E"/>
    <w:rsid w:val="00795FDB"/>
    <w:rsid w:val="00796139"/>
    <w:rsid w:val="007961CB"/>
    <w:rsid w:val="0079630E"/>
    <w:rsid w:val="0079657E"/>
    <w:rsid w:val="00796812"/>
    <w:rsid w:val="00796E20"/>
    <w:rsid w:val="00796ED0"/>
    <w:rsid w:val="00796FB6"/>
    <w:rsid w:val="00797298"/>
    <w:rsid w:val="007973A9"/>
    <w:rsid w:val="007976EE"/>
    <w:rsid w:val="0079774A"/>
    <w:rsid w:val="007978E5"/>
    <w:rsid w:val="0079796A"/>
    <w:rsid w:val="00797C32"/>
    <w:rsid w:val="00797E98"/>
    <w:rsid w:val="00797F31"/>
    <w:rsid w:val="00797F36"/>
    <w:rsid w:val="007A02C4"/>
    <w:rsid w:val="007A02D3"/>
    <w:rsid w:val="007A03D3"/>
    <w:rsid w:val="007A04AF"/>
    <w:rsid w:val="007A0680"/>
    <w:rsid w:val="007A06BC"/>
    <w:rsid w:val="007A070D"/>
    <w:rsid w:val="007A0809"/>
    <w:rsid w:val="007A08B3"/>
    <w:rsid w:val="007A08B8"/>
    <w:rsid w:val="007A0941"/>
    <w:rsid w:val="007A0ADE"/>
    <w:rsid w:val="007A0E3B"/>
    <w:rsid w:val="007A0E41"/>
    <w:rsid w:val="007A0E8D"/>
    <w:rsid w:val="007A1177"/>
    <w:rsid w:val="007A11E8"/>
    <w:rsid w:val="007A1649"/>
    <w:rsid w:val="007A173A"/>
    <w:rsid w:val="007A173B"/>
    <w:rsid w:val="007A1AFF"/>
    <w:rsid w:val="007A1D39"/>
    <w:rsid w:val="007A1E44"/>
    <w:rsid w:val="007A2016"/>
    <w:rsid w:val="007A209C"/>
    <w:rsid w:val="007A2361"/>
    <w:rsid w:val="007A2641"/>
    <w:rsid w:val="007A2C4F"/>
    <w:rsid w:val="007A2CB4"/>
    <w:rsid w:val="007A2DB3"/>
    <w:rsid w:val="007A3408"/>
    <w:rsid w:val="007A34E4"/>
    <w:rsid w:val="007A3624"/>
    <w:rsid w:val="007A3725"/>
    <w:rsid w:val="007A3BB3"/>
    <w:rsid w:val="007A3BE6"/>
    <w:rsid w:val="007A3CA1"/>
    <w:rsid w:val="007A3FA0"/>
    <w:rsid w:val="007A4010"/>
    <w:rsid w:val="007A420B"/>
    <w:rsid w:val="007A4326"/>
    <w:rsid w:val="007A436A"/>
    <w:rsid w:val="007A4504"/>
    <w:rsid w:val="007A466C"/>
    <w:rsid w:val="007A4731"/>
    <w:rsid w:val="007A4765"/>
    <w:rsid w:val="007A4F12"/>
    <w:rsid w:val="007A4FB6"/>
    <w:rsid w:val="007A53BE"/>
    <w:rsid w:val="007A5522"/>
    <w:rsid w:val="007A56BC"/>
    <w:rsid w:val="007A5764"/>
    <w:rsid w:val="007A576C"/>
    <w:rsid w:val="007A5A27"/>
    <w:rsid w:val="007A5AD1"/>
    <w:rsid w:val="007A5C18"/>
    <w:rsid w:val="007A6035"/>
    <w:rsid w:val="007A60B1"/>
    <w:rsid w:val="007A6269"/>
    <w:rsid w:val="007A6320"/>
    <w:rsid w:val="007A64DF"/>
    <w:rsid w:val="007A68BF"/>
    <w:rsid w:val="007A6BB0"/>
    <w:rsid w:val="007A6D7D"/>
    <w:rsid w:val="007A6EFD"/>
    <w:rsid w:val="007A71C6"/>
    <w:rsid w:val="007A723F"/>
    <w:rsid w:val="007A7325"/>
    <w:rsid w:val="007A7335"/>
    <w:rsid w:val="007A7518"/>
    <w:rsid w:val="007A7831"/>
    <w:rsid w:val="007A78EF"/>
    <w:rsid w:val="007A790E"/>
    <w:rsid w:val="007A7B48"/>
    <w:rsid w:val="007A7C8A"/>
    <w:rsid w:val="007B00AE"/>
    <w:rsid w:val="007B01A4"/>
    <w:rsid w:val="007B051C"/>
    <w:rsid w:val="007B0914"/>
    <w:rsid w:val="007B0BD1"/>
    <w:rsid w:val="007B0CA1"/>
    <w:rsid w:val="007B0DB7"/>
    <w:rsid w:val="007B0DE0"/>
    <w:rsid w:val="007B0DF7"/>
    <w:rsid w:val="007B0E8C"/>
    <w:rsid w:val="007B1010"/>
    <w:rsid w:val="007B11C4"/>
    <w:rsid w:val="007B1215"/>
    <w:rsid w:val="007B1372"/>
    <w:rsid w:val="007B1374"/>
    <w:rsid w:val="007B1617"/>
    <w:rsid w:val="007B19FA"/>
    <w:rsid w:val="007B1D85"/>
    <w:rsid w:val="007B1F13"/>
    <w:rsid w:val="007B1F29"/>
    <w:rsid w:val="007B2174"/>
    <w:rsid w:val="007B23D9"/>
    <w:rsid w:val="007B28AC"/>
    <w:rsid w:val="007B2A92"/>
    <w:rsid w:val="007B2B15"/>
    <w:rsid w:val="007B2EBF"/>
    <w:rsid w:val="007B2F02"/>
    <w:rsid w:val="007B2F62"/>
    <w:rsid w:val="007B302E"/>
    <w:rsid w:val="007B323A"/>
    <w:rsid w:val="007B3242"/>
    <w:rsid w:val="007B32E5"/>
    <w:rsid w:val="007B3454"/>
    <w:rsid w:val="007B3539"/>
    <w:rsid w:val="007B353C"/>
    <w:rsid w:val="007B35C1"/>
    <w:rsid w:val="007B35FA"/>
    <w:rsid w:val="007B3689"/>
    <w:rsid w:val="007B38CD"/>
    <w:rsid w:val="007B3B54"/>
    <w:rsid w:val="007B3C69"/>
    <w:rsid w:val="007B3D83"/>
    <w:rsid w:val="007B3DB9"/>
    <w:rsid w:val="007B4116"/>
    <w:rsid w:val="007B4617"/>
    <w:rsid w:val="007B4638"/>
    <w:rsid w:val="007B4887"/>
    <w:rsid w:val="007B4A01"/>
    <w:rsid w:val="007B4C3F"/>
    <w:rsid w:val="007B4C96"/>
    <w:rsid w:val="007B4CEF"/>
    <w:rsid w:val="007B4DDE"/>
    <w:rsid w:val="007B50F0"/>
    <w:rsid w:val="007B5252"/>
    <w:rsid w:val="007B5264"/>
    <w:rsid w:val="007B5325"/>
    <w:rsid w:val="007B5375"/>
    <w:rsid w:val="007B5506"/>
    <w:rsid w:val="007B57DE"/>
    <w:rsid w:val="007B5855"/>
    <w:rsid w:val="007B5874"/>
    <w:rsid w:val="007B589F"/>
    <w:rsid w:val="007B58E1"/>
    <w:rsid w:val="007B5955"/>
    <w:rsid w:val="007B59FF"/>
    <w:rsid w:val="007B5A08"/>
    <w:rsid w:val="007B5CF2"/>
    <w:rsid w:val="007B5E3F"/>
    <w:rsid w:val="007B6019"/>
    <w:rsid w:val="007B6085"/>
    <w:rsid w:val="007B6186"/>
    <w:rsid w:val="007B62F1"/>
    <w:rsid w:val="007B630C"/>
    <w:rsid w:val="007B6702"/>
    <w:rsid w:val="007B67F1"/>
    <w:rsid w:val="007B6C58"/>
    <w:rsid w:val="007B6CE6"/>
    <w:rsid w:val="007B6D04"/>
    <w:rsid w:val="007B6D0E"/>
    <w:rsid w:val="007B6DA4"/>
    <w:rsid w:val="007B6EDC"/>
    <w:rsid w:val="007B7063"/>
    <w:rsid w:val="007B7175"/>
    <w:rsid w:val="007B7377"/>
    <w:rsid w:val="007B73BC"/>
    <w:rsid w:val="007B7524"/>
    <w:rsid w:val="007B76CB"/>
    <w:rsid w:val="007B77A5"/>
    <w:rsid w:val="007B7993"/>
    <w:rsid w:val="007B7A15"/>
    <w:rsid w:val="007B7CF6"/>
    <w:rsid w:val="007B7D59"/>
    <w:rsid w:val="007B7F59"/>
    <w:rsid w:val="007C00BF"/>
    <w:rsid w:val="007C01E7"/>
    <w:rsid w:val="007C023A"/>
    <w:rsid w:val="007C027F"/>
    <w:rsid w:val="007C02B4"/>
    <w:rsid w:val="007C02F5"/>
    <w:rsid w:val="007C031C"/>
    <w:rsid w:val="007C034A"/>
    <w:rsid w:val="007C04E2"/>
    <w:rsid w:val="007C0847"/>
    <w:rsid w:val="007C0987"/>
    <w:rsid w:val="007C0B9B"/>
    <w:rsid w:val="007C0BB4"/>
    <w:rsid w:val="007C0CF4"/>
    <w:rsid w:val="007C0DBE"/>
    <w:rsid w:val="007C0EE4"/>
    <w:rsid w:val="007C12A9"/>
    <w:rsid w:val="007C131E"/>
    <w:rsid w:val="007C15B9"/>
    <w:rsid w:val="007C16A0"/>
    <w:rsid w:val="007C1838"/>
    <w:rsid w:val="007C1918"/>
    <w:rsid w:val="007C1C2C"/>
    <w:rsid w:val="007C1C78"/>
    <w:rsid w:val="007C1D62"/>
    <w:rsid w:val="007C1E64"/>
    <w:rsid w:val="007C1EAA"/>
    <w:rsid w:val="007C1F94"/>
    <w:rsid w:val="007C20B9"/>
    <w:rsid w:val="007C2135"/>
    <w:rsid w:val="007C23F1"/>
    <w:rsid w:val="007C24C1"/>
    <w:rsid w:val="007C2A87"/>
    <w:rsid w:val="007C2AB4"/>
    <w:rsid w:val="007C2CC4"/>
    <w:rsid w:val="007C2CCD"/>
    <w:rsid w:val="007C2E4F"/>
    <w:rsid w:val="007C336A"/>
    <w:rsid w:val="007C33A6"/>
    <w:rsid w:val="007C39C8"/>
    <w:rsid w:val="007C3AAA"/>
    <w:rsid w:val="007C3B6A"/>
    <w:rsid w:val="007C4247"/>
    <w:rsid w:val="007C424A"/>
    <w:rsid w:val="007C4376"/>
    <w:rsid w:val="007C4AB3"/>
    <w:rsid w:val="007C4B40"/>
    <w:rsid w:val="007C4C11"/>
    <w:rsid w:val="007C4CBF"/>
    <w:rsid w:val="007C4DD3"/>
    <w:rsid w:val="007C4F85"/>
    <w:rsid w:val="007C53EA"/>
    <w:rsid w:val="007C5498"/>
    <w:rsid w:val="007C54FE"/>
    <w:rsid w:val="007C5C76"/>
    <w:rsid w:val="007C5CF1"/>
    <w:rsid w:val="007C5FD3"/>
    <w:rsid w:val="007C66EC"/>
    <w:rsid w:val="007C6713"/>
    <w:rsid w:val="007C69B3"/>
    <w:rsid w:val="007C6CEC"/>
    <w:rsid w:val="007C6E1D"/>
    <w:rsid w:val="007C710D"/>
    <w:rsid w:val="007C7301"/>
    <w:rsid w:val="007C73E7"/>
    <w:rsid w:val="007C7859"/>
    <w:rsid w:val="007C7B0C"/>
    <w:rsid w:val="007C7B8A"/>
    <w:rsid w:val="007C7BA1"/>
    <w:rsid w:val="007C7C1A"/>
    <w:rsid w:val="007C7DFF"/>
    <w:rsid w:val="007C7E16"/>
    <w:rsid w:val="007C7F28"/>
    <w:rsid w:val="007C7F53"/>
    <w:rsid w:val="007D0159"/>
    <w:rsid w:val="007D0611"/>
    <w:rsid w:val="007D0811"/>
    <w:rsid w:val="007D089E"/>
    <w:rsid w:val="007D0954"/>
    <w:rsid w:val="007D0CE5"/>
    <w:rsid w:val="007D1329"/>
    <w:rsid w:val="007D1360"/>
    <w:rsid w:val="007D1390"/>
    <w:rsid w:val="007D142B"/>
    <w:rsid w:val="007D1448"/>
    <w:rsid w:val="007D1466"/>
    <w:rsid w:val="007D176A"/>
    <w:rsid w:val="007D1835"/>
    <w:rsid w:val="007D1848"/>
    <w:rsid w:val="007D199B"/>
    <w:rsid w:val="007D1A7B"/>
    <w:rsid w:val="007D1CD4"/>
    <w:rsid w:val="007D1DFC"/>
    <w:rsid w:val="007D1E41"/>
    <w:rsid w:val="007D1E65"/>
    <w:rsid w:val="007D1E73"/>
    <w:rsid w:val="007D2067"/>
    <w:rsid w:val="007D20EF"/>
    <w:rsid w:val="007D22AD"/>
    <w:rsid w:val="007D2676"/>
    <w:rsid w:val="007D278A"/>
    <w:rsid w:val="007D296A"/>
    <w:rsid w:val="007D2A02"/>
    <w:rsid w:val="007D2A92"/>
    <w:rsid w:val="007D2B0F"/>
    <w:rsid w:val="007D2B6D"/>
    <w:rsid w:val="007D2BDE"/>
    <w:rsid w:val="007D2C9F"/>
    <w:rsid w:val="007D2DC1"/>
    <w:rsid w:val="007D2F5C"/>
    <w:rsid w:val="007D2FB6"/>
    <w:rsid w:val="007D2FE8"/>
    <w:rsid w:val="007D3011"/>
    <w:rsid w:val="007D3385"/>
    <w:rsid w:val="007D34E0"/>
    <w:rsid w:val="007D3785"/>
    <w:rsid w:val="007D3A93"/>
    <w:rsid w:val="007D3B0E"/>
    <w:rsid w:val="007D3E50"/>
    <w:rsid w:val="007D40E6"/>
    <w:rsid w:val="007D4453"/>
    <w:rsid w:val="007D48A9"/>
    <w:rsid w:val="007D49EB"/>
    <w:rsid w:val="007D4B94"/>
    <w:rsid w:val="007D4DBF"/>
    <w:rsid w:val="007D4E06"/>
    <w:rsid w:val="007D4E25"/>
    <w:rsid w:val="007D565A"/>
    <w:rsid w:val="007D581B"/>
    <w:rsid w:val="007D59DE"/>
    <w:rsid w:val="007D5AD5"/>
    <w:rsid w:val="007D5D7D"/>
    <w:rsid w:val="007D5E1C"/>
    <w:rsid w:val="007D5E3F"/>
    <w:rsid w:val="007D5EE4"/>
    <w:rsid w:val="007D6287"/>
    <w:rsid w:val="007D645A"/>
    <w:rsid w:val="007D6500"/>
    <w:rsid w:val="007D6644"/>
    <w:rsid w:val="007D695D"/>
    <w:rsid w:val="007D6983"/>
    <w:rsid w:val="007D6A99"/>
    <w:rsid w:val="007D6E19"/>
    <w:rsid w:val="007D6EE5"/>
    <w:rsid w:val="007D77D9"/>
    <w:rsid w:val="007D780C"/>
    <w:rsid w:val="007D798C"/>
    <w:rsid w:val="007D7B5A"/>
    <w:rsid w:val="007D7F93"/>
    <w:rsid w:val="007E0311"/>
    <w:rsid w:val="007E05D1"/>
    <w:rsid w:val="007E05FF"/>
    <w:rsid w:val="007E0826"/>
    <w:rsid w:val="007E0BD0"/>
    <w:rsid w:val="007E0C74"/>
    <w:rsid w:val="007E0DE2"/>
    <w:rsid w:val="007E0F88"/>
    <w:rsid w:val="007E12AC"/>
    <w:rsid w:val="007E16F4"/>
    <w:rsid w:val="007E1738"/>
    <w:rsid w:val="007E1954"/>
    <w:rsid w:val="007E1B72"/>
    <w:rsid w:val="007E1DBB"/>
    <w:rsid w:val="007E20AF"/>
    <w:rsid w:val="007E241B"/>
    <w:rsid w:val="007E241D"/>
    <w:rsid w:val="007E24CD"/>
    <w:rsid w:val="007E2ABE"/>
    <w:rsid w:val="007E2B8C"/>
    <w:rsid w:val="007E2CCF"/>
    <w:rsid w:val="007E3114"/>
    <w:rsid w:val="007E3269"/>
    <w:rsid w:val="007E3667"/>
    <w:rsid w:val="007E376E"/>
    <w:rsid w:val="007E37DE"/>
    <w:rsid w:val="007E38D9"/>
    <w:rsid w:val="007E38FD"/>
    <w:rsid w:val="007E3911"/>
    <w:rsid w:val="007E392F"/>
    <w:rsid w:val="007E3AA1"/>
    <w:rsid w:val="007E3B98"/>
    <w:rsid w:val="007E415D"/>
    <w:rsid w:val="007E417A"/>
    <w:rsid w:val="007E46A1"/>
    <w:rsid w:val="007E4F5D"/>
    <w:rsid w:val="007E5432"/>
    <w:rsid w:val="007E548D"/>
    <w:rsid w:val="007E55F6"/>
    <w:rsid w:val="007E5766"/>
    <w:rsid w:val="007E58AA"/>
    <w:rsid w:val="007E5A47"/>
    <w:rsid w:val="007E5B76"/>
    <w:rsid w:val="007E5B7F"/>
    <w:rsid w:val="007E5BAF"/>
    <w:rsid w:val="007E631F"/>
    <w:rsid w:val="007E63BF"/>
    <w:rsid w:val="007E63DE"/>
    <w:rsid w:val="007E6436"/>
    <w:rsid w:val="007E6573"/>
    <w:rsid w:val="007E6F4A"/>
    <w:rsid w:val="007E702A"/>
    <w:rsid w:val="007E715A"/>
    <w:rsid w:val="007E727E"/>
    <w:rsid w:val="007E72E5"/>
    <w:rsid w:val="007E732A"/>
    <w:rsid w:val="007E7352"/>
    <w:rsid w:val="007E73BB"/>
    <w:rsid w:val="007E7404"/>
    <w:rsid w:val="007E7482"/>
    <w:rsid w:val="007E7653"/>
    <w:rsid w:val="007E765E"/>
    <w:rsid w:val="007E7CBF"/>
    <w:rsid w:val="007E7E44"/>
    <w:rsid w:val="007E7EF9"/>
    <w:rsid w:val="007F01DD"/>
    <w:rsid w:val="007F0201"/>
    <w:rsid w:val="007F04FD"/>
    <w:rsid w:val="007F0853"/>
    <w:rsid w:val="007F0941"/>
    <w:rsid w:val="007F094B"/>
    <w:rsid w:val="007F09EF"/>
    <w:rsid w:val="007F0C08"/>
    <w:rsid w:val="007F0DDC"/>
    <w:rsid w:val="007F0EBA"/>
    <w:rsid w:val="007F12BF"/>
    <w:rsid w:val="007F12D1"/>
    <w:rsid w:val="007F12E1"/>
    <w:rsid w:val="007F1530"/>
    <w:rsid w:val="007F15A6"/>
    <w:rsid w:val="007F17D8"/>
    <w:rsid w:val="007F1A1C"/>
    <w:rsid w:val="007F1AD4"/>
    <w:rsid w:val="007F1D87"/>
    <w:rsid w:val="007F1E8B"/>
    <w:rsid w:val="007F24C7"/>
    <w:rsid w:val="007F264A"/>
    <w:rsid w:val="007F28A8"/>
    <w:rsid w:val="007F2A86"/>
    <w:rsid w:val="007F2AFE"/>
    <w:rsid w:val="007F2B08"/>
    <w:rsid w:val="007F2C7E"/>
    <w:rsid w:val="007F2CD3"/>
    <w:rsid w:val="007F2EF7"/>
    <w:rsid w:val="007F2F2E"/>
    <w:rsid w:val="007F2F8A"/>
    <w:rsid w:val="007F31B6"/>
    <w:rsid w:val="007F3273"/>
    <w:rsid w:val="007F32C4"/>
    <w:rsid w:val="007F32FB"/>
    <w:rsid w:val="007F3499"/>
    <w:rsid w:val="007F34C3"/>
    <w:rsid w:val="007F3526"/>
    <w:rsid w:val="007F3E24"/>
    <w:rsid w:val="007F3FB8"/>
    <w:rsid w:val="007F40C6"/>
    <w:rsid w:val="007F43F1"/>
    <w:rsid w:val="007F48BB"/>
    <w:rsid w:val="007F49C8"/>
    <w:rsid w:val="007F49D6"/>
    <w:rsid w:val="007F4C62"/>
    <w:rsid w:val="007F4E24"/>
    <w:rsid w:val="007F5376"/>
    <w:rsid w:val="007F546C"/>
    <w:rsid w:val="007F5626"/>
    <w:rsid w:val="007F56FF"/>
    <w:rsid w:val="007F5714"/>
    <w:rsid w:val="007F591C"/>
    <w:rsid w:val="007F59E7"/>
    <w:rsid w:val="007F5AD4"/>
    <w:rsid w:val="007F5C77"/>
    <w:rsid w:val="007F5F0D"/>
    <w:rsid w:val="007F5F67"/>
    <w:rsid w:val="007F610B"/>
    <w:rsid w:val="007F623B"/>
    <w:rsid w:val="007F625F"/>
    <w:rsid w:val="007F630F"/>
    <w:rsid w:val="007F665E"/>
    <w:rsid w:val="007F66C0"/>
    <w:rsid w:val="007F6707"/>
    <w:rsid w:val="007F671D"/>
    <w:rsid w:val="007F6826"/>
    <w:rsid w:val="007F69EE"/>
    <w:rsid w:val="007F6CD1"/>
    <w:rsid w:val="007F6DDA"/>
    <w:rsid w:val="007F6E2E"/>
    <w:rsid w:val="007F6E8B"/>
    <w:rsid w:val="007F7146"/>
    <w:rsid w:val="007F7810"/>
    <w:rsid w:val="007F7D36"/>
    <w:rsid w:val="007F7DE6"/>
    <w:rsid w:val="007F7E38"/>
    <w:rsid w:val="0080018B"/>
    <w:rsid w:val="00800212"/>
    <w:rsid w:val="00800412"/>
    <w:rsid w:val="0080077F"/>
    <w:rsid w:val="00800A7F"/>
    <w:rsid w:val="00800D3D"/>
    <w:rsid w:val="0080118F"/>
    <w:rsid w:val="00801202"/>
    <w:rsid w:val="008012B6"/>
    <w:rsid w:val="00801404"/>
    <w:rsid w:val="00801730"/>
    <w:rsid w:val="00801BBD"/>
    <w:rsid w:val="00801BC8"/>
    <w:rsid w:val="00801C6B"/>
    <w:rsid w:val="00801C84"/>
    <w:rsid w:val="00801DC6"/>
    <w:rsid w:val="00801F78"/>
    <w:rsid w:val="00802129"/>
    <w:rsid w:val="008023A1"/>
    <w:rsid w:val="00802702"/>
    <w:rsid w:val="0080275C"/>
    <w:rsid w:val="00803029"/>
    <w:rsid w:val="00803083"/>
    <w:rsid w:val="008031CD"/>
    <w:rsid w:val="00803313"/>
    <w:rsid w:val="00803373"/>
    <w:rsid w:val="00803472"/>
    <w:rsid w:val="008036FF"/>
    <w:rsid w:val="008037D4"/>
    <w:rsid w:val="0080384D"/>
    <w:rsid w:val="00803863"/>
    <w:rsid w:val="008039A3"/>
    <w:rsid w:val="00803BD9"/>
    <w:rsid w:val="00803C98"/>
    <w:rsid w:val="00803D6B"/>
    <w:rsid w:val="00803DB6"/>
    <w:rsid w:val="00803F37"/>
    <w:rsid w:val="0080443A"/>
    <w:rsid w:val="0080445D"/>
    <w:rsid w:val="008049D1"/>
    <w:rsid w:val="00804ABD"/>
    <w:rsid w:val="00804D9D"/>
    <w:rsid w:val="00804E89"/>
    <w:rsid w:val="00804FE8"/>
    <w:rsid w:val="00804FEE"/>
    <w:rsid w:val="00805095"/>
    <w:rsid w:val="00805386"/>
    <w:rsid w:val="008053A5"/>
    <w:rsid w:val="0080580B"/>
    <w:rsid w:val="00805832"/>
    <w:rsid w:val="0080587B"/>
    <w:rsid w:val="00805945"/>
    <w:rsid w:val="00805947"/>
    <w:rsid w:val="00805EA9"/>
    <w:rsid w:val="0080642D"/>
    <w:rsid w:val="00806468"/>
    <w:rsid w:val="00806742"/>
    <w:rsid w:val="00806DFC"/>
    <w:rsid w:val="00807183"/>
    <w:rsid w:val="00807292"/>
    <w:rsid w:val="00807848"/>
    <w:rsid w:val="00807918"/>
    <w:rsid w:val="00807C8B"/>
    <w:rsid w:val="00807CED"/>
    <w:rsid w:val="00807EAB"/>
    <w:rsid w:val="00807EE3"/>
    <w:rsid w:val="00810369"/>
    <w:rsid w:val="00810609"/>
    <w:rsid w:val="00810B9E"/>
    <w:rsid w:val="00810EC8"/>
    <w:rsid w:val="00810FC1"/>
    <w:rsid w:val="00810FEC"/>
    <w:rsid w:val="008110C1"/>
    <w:rsid w:val="008111B9"/>
    <w:rsid w:val="008111F1"/>
    <w:rsid w:val="008115A5"/>
    <w:rsid w:val="008119CA"/>
    <w:rsid w:val="0081260B"/>
    <w:rsid w:val="00812BF6"/>
    <w:rsid w:val="00812CCC"/>
    <w:rsid w:val="008130C4"/>
    <w:rsid w:val="00813141"/>
    <w:rsid w:val="008133A6"/>
    <w:rsid w:val="008134EC"/>
    <w:rsid w:val="0081372B"/>
    <w:rsid w:val="0081392F"/>
    <w:rsid w:val="0081398A"/>
    <w:rsid w:val="00813A4C"/>
    <w:rsid w:val="00813B51"/>
    <w:rsid w:val="00813F11"/>
    <w:rsid w:val="008143BA"/>
    <w:rsid w:val="00814676"/>
    <w:rsid w:val="00814771"/>
    <w:rsid w:val="0081493B"/>
    <w:rsid w:val="00814D88"/>
    <w:rsid w:val="00814DA1"/>
    <w:rsid w:val="00814F00"/>
    <w:rsid w:val="00814FF4"/>
    <w:rsid w:val="00815068"/>
    <w:rsid w:val="008151C0"/>
    <w:rsid w:val="008155F0"/>
    <w:rsid w:val="00815656"/>
    <w:rsid w:val="00815735"/>
    <w:rsid w:val="00815879"/>
    <w:rsid w:val="0081589B"/>
    <w:rsid w:val="0081595F"/>
    <w:rsid w:val="00815A31"/>
    <w:rsid w:val="00815B41"/>
    <w:rsid w:val="00815C15"/>
    <w:rsid w:val="00815CF3"/>
    <w:rsid w:val="00815F83"/>
    <w:rsid w:val="00816077"/>
    <w:rsid w:val="00816104"/>
    <w:rsid w:val="008161D0"/>
    <w:rsid w:val="00816235"/>
    <w:rsid w:val="008163C4"/>
    <w:rsid w:val="00816735"/>
    <w:rsid w:val="00816DBC"/>
    <w:rsid w:val="0081754D"/>
    <w:rsid w:val="008175DC"/>
    <w:rsid w:val="00817717"/>
    <w:rsid w:val="00817817"/>
    <w:rsid w:val="008178EA"/>
    <w:rsid w:val="0081792D"/>
    <w:rsid w:val="00817B68"/>
    <w:rsid w:val="00817BA6"/>
    <w:rsid w:val="00817E94"/>
    <w:rsid w:val="00817EAB"/>
    <w:rsid w:val="008200F5"/>
    <w:rsid w:val="00820141"/>
    <w:rsid w:val="0082059C"/>
    <w:rsid w:val="00820794"/>
    <w:rsid w:val="008209C7"/>
    <w:rsid w:val="00820DEB"/>
    <w:rsid w:val="00820DF2"/>
    <w:rsid w:val="00820E0C"/>
    <w:rsid w:val="00821200"/>
    <w:rsid w:val="0082143C"/>
    <w:rsid w:val="0082151A"/>
    <w:rsid w:val="00821718"/>
    <w:rsid w:val="0082172D"/>
    <w:rsid w:val="00821AC1"/>
    <w:rsid w:val="00821CA6"/>
    <w:rsid w:val="00821D33"/>
    <w:rsid w:val="00821D5C"/>
    <w:rsid w:val="00821E91"/>
    <w:rsid w:val="00821EA7"/>
    <w:rsid w:val="00821F1E"/>
    <w:rsid w:val="00822188"/>
    <w:rsid w:val="008223B2"/>
    <w:rsid w:val="008223BE"/>
    <w:rsid w:val="008225E6"/>
    <w:rsid w:val="00822A8B"/>
    <w:rsid w:val="00822C1B"/>
    <w:rsid w:val="00822CE4"/>
    <w:rsid w:val="00822D74"/>
    <w:rsid w:val="00822DEF"/>
    <w:rsid w:val="0082313F"/>
    <w:rsid w:val="00823275"/>
    <w:rsid w:val="0082352B"/>
    <w:rsid w:val="0082366F"/>
    <w:rsid w:val="0082377B"/>
    <w:rsid w:val="00823961"/>
    <w:rsid w:val="00823993"/>
    <w:rsid w:val="008242D6"/>
    <w:rsid w:val="0082431A"/>
    <w:rsid w:val="008248CF"/>
    <w:rsid w:val="00824903"/>
    <w:rsid w:val="00824946"/>
    <w:rsid w:val="00824B92"/>
    <w:rsid w:val="0082501A"/>
    <w:rsid w:val="008250A1"/>
    <w:rsid w:val="0082532B"/>
    <w:rsid w:val="00825400"/>
    <w:rsid w:val="008254B5"/>
    <w:rsid w:val="0082583C"/>
    <w:rsid w:val="0082584F"/>
    <w:rsid w:val="00825876"/>
    <w:rsid w:val="00825DD2"/>
    <w:rsid w:val="00825F41"/>
    <w:rsid w:val="00825F42"/>
    <w:rsid w:val="00825FA7"/>
    <w:rsid w:val="00826064"/>
    <w:rsid w:val="00826314"/>
    <w:rsid w:val="00826611"/>
    <w:rsid w:val="0082691C"/>
    <w:rsid w:val="00826951"/>
    <w:rsid w:val="00826B71"/>
    <w:rsid w:val="00826B9E"/>
    <w:rsid w:val="00826C03"/>
    <w:rsid w:val="00826D3A"/>
    <w:rsid w:val="00826DBB"/>
    <w:rsid w:val="00826F43"/>
    <w:rsid w:val="0082709A"/>
    <w:rsid w:val="00827382"/>
    <w:rsid w:val="00827393"/>
    <w:rsid w:val="0082746E"/>
    <w:rsid w:val="008274FC"/>
    <w:rsid w:val="00827B16"/>
    <w:rsid w:val="00827B82"/>
    <w:rsid w:val="00827C97"/>
    <w:rsid w:val="00827F9A"/>
    <w:rsid w:val="008303DD"/>
    <w:rsid w:val="008305FE"/>
    <w:rsid w:val="00830687"/>
    <w:rsid w:val="00830A32"/>
    <w:rsid w:val="00830D88"/>
    <w:rsid w:val="00830EB8"/>
    <w:rsid w:val="0083102C"/>
    <w:rsid w:val="00831030"/>
    <w:rsid w:val="008311A3"/>
    <w:rsid w:val="008313F8"/>
    <w:rsid w:val="008314D9"/>
    <w:rsid w:val="00831665"/>
    <w:rsid w:val="008316A8"/>
    <w:rsid w:val="0083179C"/>
    <w:rsid w:val="008317D0"/>
    <w:rsid w:val="0083181A"/>
    <w:rsid w:val="00831E29"/>
    <w:rsid w:val="00831E43"/>
    <w:rsid w:val="00831FA3"/>
    <w:rsid w:val="0083217F"/>
    <w:rsid w:val="0083227C"/>
    <w:rsid w:val="00832351"/>
    <w:rsid w:val="008323E8"/>
    <w:rsid w:val="0083279C"/>
    <w:rsid w:val="0083295E"/>
    <w:rsid w:val="00832CC4"/>
    <w:rsid w:val="00832D53"/>
    <w:rsid w:val="00832D69"/>
    <w:rsid w:val="00832DD8"/>
    <w:rsid w:val="00832E1E"/>
    <w:rsid w:val="00832E51"/>
    <w:rsid w:val="008334E4"/>
    <w:rsid w:val="008338A2"/>
    <w:rsid w:val="0083396C"/>
    <w:rsid w:val="00833A05"/>
    <w:rsid w:val="00833CA8"/>
    <w:rsid w:val="00833CF7"/>
    <w:rsid w:val="00833D60"/>
    <w:rsid w:val="00834134"/>
    <w:rsid w:val="008341B1"/>
    <w:rsid w:val="008344A5"/>
    <w:rsid w:val="00834823"/>
    <w:rsid w:val="00834A5B"/>
    <w:rsid w:val="00834CED"/>
    <w:rsid w:val="00834E85"/>
    <w:rsid w:val="0083500C"/>
    <w:rsid w:val="00835055"/>
    <w:rsid w:val="00835C51"/>
    <w:rsid w:val="00835ECB"/>
    <w:rsid w:val="00836041"/>
    <w:rsid w:val="00836902"/>
    <w:rsid w:val="00836A6C"/>
    <w:rsid w:val="00836A75"/>
    <w:rsid w:val="00836AF4"/>
    <w:rsid w:val="00836E0A"/>
    <w:rsid w:val="00836E49"/>
    <w:rsid w:val="00836F7E"/>
    <w:rsid w:val="008371DE"/>
    <w:rsid w:val="008375DE"/>
    <w:rsid w:val="00837622"/>
    <w:rsid w:val="0083772E"/>
    <w:rsid w:val="00837AE8"/>
    <w:rsid w:val="00837BBA"/>
    <w:rsid w:val="00840013"/>
    <w:rsid w:val="008400D3"/>
    <w:rsid w:val="008402C5"/>
    <w:rsid w:val="0084064D"/>
    <w:rsid w:val="008408D6"/>
    <w:rsid w:val="008409E6"/>
    <w:rsid w:val="00840B72"/>
    <w:rsid w:val="00840BE6"/>
    <w:rsid w:val="00840F02"/>
    <w:rsid w:val="00840FC3"/>
    <w:rsid w:val="00841043"/>
    <w:rsid w:val="0084187F"/>
    <w:rsid w:val="008418DD"/>
    <w:rsid w:val="008418E7"/>
    <w:rsid w:val="00841919"/>
    <w:rsid w:val="00841AA9"/>
    <w:rsid w:val="008421DF"/>
    <w:rsid w:val="008421F3"/>
    <w:rsid w:val="00842359"/>
    <w:rsid w:val="008423B5"/>
    <w:rsid w:val="008426EA"/>
    <w:rsid w:val="00842BA1"/>
    <w:rsid w:val="00842C53"/>
    <w:rsid w:val="008430B5"/>
    <w:rsid w:val="00843399"/>
    <w:rsid w:val="0084340E"/>
    <w:rsid w:val="00843569"/>
    <w:rsid w:val="0084370B"/>
    <w:rsid w:val="00843C26"/>
    <w:rsid w:val="00843DCA"/>
    <w:rsid w:val="00843E97"/>
    <w:rsid w:val="00843EC4"/>
    <w:rsid w:val="008443E8"/>
    <w:rsid w:val="00844526"/>
    <w:rsid w:val="0084487D"/>
    <w:rsid w:val="008448A8"/>
    <w:rsid w:val="00844E7D"/>
    <w:rsid w:val="008452EA"/>
    <w:rsid w:val="00846152"/>
    <w:rsid w:val="008462FB"/>
    <w:rsid w:val="0084664A"/>
    <w:rsid w:val="00846658"/>
    <w:rsid w:val="008467A0"/>
    <w:rsid w:val="00846C5D"/>
    <w:rsid w:val="00846D49"/>
    <w:rsid w:val="00846E7A"/>
    <w:rsid w:val="00847135"/>
    <w:rsid w:val="008472CE"/>
    <w:rsid w:val="008472F8"/>
    <w:rsid w:val="00847458"/>
    <w:rsid w:val="008474FE"/>
    <w:rsid w:val="00847756"/>
    <w:rsid w:val="00847892"/>
    <w:rsid w:val="00847C9E"/>
    <w:rsid w:val="00847CC4"/>
    <w:rsid w:val="00847D18"/>
    <w:rsid w:val="00847E22"/>
    <w:rsid w:val="00847E64"/>
    <w:rsid w:val="00847ED6"/>
    <w:rsid w:val="00847FD3"/>
    <w:rsid w:val="00850256"/>
    <w:rsid w:val="00850561"/>
    <w:rsid w:val="008507F6"/>
    <w:rsid w:val="00850922"/>
    <w:rsid w:val="00850C35"/>
    <w:rsid w:val="00850C56"/>
    <w:rsid w:val="00850D72"/>
    <w:rsid w:val="00851176"/>
    <w:rsid w:val="008515A0"/>
    <w:rsid w:val="008515F4"/>
    <w:rsid w:val="0085165D"/>
    <w:rsid w:val="008519A4"/>
    <w:rsid w:val="00851AD9"/>
    <w:rsid w:val="008523A2"/>
    <w:rsid w:val="00852448"/>
    <w:rsid w:val="008524D9"/>
    <w:rsid w:val="008525BB"/>
    <w:rsid w:val="00852799"/>
    <w:rsid w:val="00853115"/>
    <w:rsid w:val="00853AD4"/>
    <w:rsid w:val="00853CD7"/>
    <w:rsid w:val="00853EE4"/>
    <w:rsid w:val="00853F00"/>
    <w:rsid w:val="008541D8"/>
    <w:rsid w:val="008541F4"/>
    <w:rsid w:val="008543A6"/>
    <w:rsid w:val="008543AB"/>
    <w:rsid w:val="008543B3"/>
    <w:rsid w:val="00854735"/>
    <w:rsid w:val="00854748"/>
    <w:rsid w:val="00854854"/>
    <w:rsid w:val="00854E06"/>
    <w:rsid w:val="00854F4C"/>
    <w:rsid w:val="008552C8"/>
    <w:rsid w:val="0085534B"/>
    <w:rsid w:val="0085540A"/>
    <w:rsid w:val="00855535"/>
    <w:rsid w:val="008556CC"/>
    <w:rsid w:val="008556F7"/>
    <w:rsid w:val="00855B3F"/>
    <w:rsid w:val="0085631C"/>
    <w:rsid w:val="00856519"/>
    <w:rsid w:val="00856A00"/>
    <w:rsid w:val="00856D41"/>
    <w:rsid w:val="00857646"/>
    <w:rsid w:val="008577D1"/>
    <w:rsid w:val="00857ABF"/>
    <w:rsid w:val="00857B89"/>
    <w:rsid w:val="00857C5A"/>
    <w:rsid w:val="00857F2B"/>
    <w:rsid w:val="00857F5D"/>
    <w:rsid w:val="0085DEF4"/>
    <w:rsid w:val="0086005E"/>
    <w:rsid w:val="0086017E"/>
    <w:rsid w:val="008603BA"/>
    <w:rsid w:val="008608E1"/>
    <w:rsid w:val="008609B9"/>
    <w:rsid w:val="00860EB1"/>
    <w:rsid w:val="00861035"/>
    <w:rsid w:val="008612D0"/>
    <w:rsid w:val="008615D9"/>
    <w:rsid w:val="008616B9"/>
    <w:rsid w:val="008617F8"/>
    <w:rsid w:val="008618E7"/>
    <w:rsid w:val="008619D0"/>
    <w:rsid w:val="008619EE"/>
    <w:rsid w:val="00861A47"/>
    <w:rsid w:val="00861D63"/>
    <w:rsid w:val="00861E45"/>
    <w:rsid w:val="008621B2"/>
    <w:rsid w:val="0086247A"/>
    <w:rsid w:val="0086255E"/>
    <w:rsid w:val="0086264D"/>
    <w:rsid w:val="00862687"/>
    <w:rsid w:val="00862A11"/>
    <w:rsid w:val="00862D35"/>
    <w:rsid w:val="00862E00"/>
    <w:rsid w:val="00862FD9"/>
    <w:rsid w:val="00863076"/>
    <w:rsid w:val="008630DB"/>
    <w:rsid w:val="008631CA"/>
    <w:rsid w:val="008631DC"/>
    <w:rsid w:val="0086339F"/>
    <w:rsid w:val="008633B8"/>
    <w:rsid w:val="008633F0"/>
    <w:rsid w:val="008634DB"/>
    <w:rsid w:val="0086359E"/>
    <w:rsid w:val="00863677"/>
    <w:rsid w:val="008636FF"/>
    <w:rsid w:val="00863A9C"/>
    <w:rsid w:val="00863B20"/>
    <w:rsid w:val="00863EAA"/>
    <w:rsid w:val="008640C7"/>
    <w:rsid w:val="008645BB"/>
    <w:rsid w:val="00864621"/>
    <w:rsid w:val="00864683"/>
    <w:rsid w:val="008646B9"/>
    <w:rsid w:val="00864EFD"/>
    <w:rsid w:val="00865088"/>
    <w:rsid w:val="008650A9"/>
    <w:rsid w:val="0086516D"/>
    <w:rsid w:val="00865633"/>
    <w:rsid w:val="00865659"/>
    <w:rsid w:val="0086582D"/>
    <w:rsid w:val="00865ACB"/>
    <w:rsid w:val="00865C68"/>
    <w:rsid w:val="00865CD9"/>
    <w:rsid w:val="00865CF4"/>
    <w:rsid w:val="00865CFE"/>
    <w:rsid w:val="00865D28"/>
    <w:rsid w:val="00866029"/>
    <w:rsid w:val="00866574"/>
    <w:rsid w:val="008665D7"/>
    <w:rsid w:val="008666AB"/>
    <w:rsid w:val="00866ADE"/>
    <w:rsid w:val="00866B2A"/>
    <w:rsid w:val="00866E96"/>
    <w:rsid w:val="00866F51"/>
    <w:rsid w:val="00867050"/>
    <w:rsid w:val="0086731D"/>
    <w:rsid w:val="008677A4"/>
    <w:rsid w:val="00867A04"/>
    <w:rsid w:val="00867A66"/>
    <w:rsid w:val="00867CEF"/>
    <w:rsid w:val="00867CF2"/>
    <w:rsid w:val="00867D2A"/>
    <w:rsid w:val="00867D6C"/>
    <w:rsid w:val="00867D9D"/>
    <w:rsid w:val="00867F30"/>
    <w:rsid w:val="00870020"/>
    <w:rsid w:val="008704FF"/>
    <w:rsid w:val="008709D7"/>
    <w:rsid w:val="00870B0B"/>
    <w:rsid w:val="00870B3D"/>
    <w:rsid w:val="00870BAE"/>
    <w:rsid w:val="00870C20"/>
    <w:rsid w:val="00870D60"/>
    <w:rsid w:val="00870FAE"/>
    <w:rsid w:val="00871623"/>
    <w:rsid w:val="0087194A"/>
    <w:rsid w:val="0087196B"/>
    <w:rsid w:val="00871A8F"/>
    <w:rsid w:val="00871A9D"/>
    <w:rsid w:val="00871AA1"/>
    <w:rsid w:val="00871B19"/>
    <w:rsid w:val="00871B6C"/>
    <w:rsid w:val="00872033"/>
    <w:rsid w:val="00872161"/>
    <w:rsid w:val="008723DF"/>
    <w:rsid w:val="00872485"/>
    <w:rsid w:val="00872745"/>
    <w:rsid w:val="008727F7"/>
    <w:rsid w:val="008729B3"/>
    <w:rsid w:val="00872ADB"/>
    <w:rsid w:val="00872B23"/>
    <w:rsid w:val="00872E0A"/>
    <w:rsid w:val="00872E0B"/>
    <w:rsid w:val="00872EBF"/>
    <w:rsid w:val="00873125"/>
    <w:rsid w:val="00873594"/>
    <w:rsid w:val="00874006"/>
    <w:rsid w:val="0087409C"/>
    <w:rsid w:val="008741A8"/>
    <w:rsid w:val="008742FB"/>
    <w:rsid w:val="0087453F"/>
    <w:rsid w:val="008746AF"/>
    <w:rsid w:val="0087504C"/>
    <w:rsid w:val="0087509A"/>
    <w:rsid w:val="008751A3"/>
    <w:rsid w:val="00875285"/>
    <w:rsid w:val="00875699"/>
    <w:rsid w:val="008757F7"/>
    <w:rsid w:val="00875A74"/>
    <w:rsid w:val="00875A90"/>
    <w:rsid w:val="00875B6F"/>
    <w:rsid w:val="00875D3A"/>
    <w:rsid w:val="00876050"/>
    <w:rsid w:val="00876388"/>
    <w:rsid w:val="0087685E"/>
    <w:rsid w:val="00876DA0"/>
    <w:rsid w:val="00877126"/>
    <w:rsid w:val="0087770E"/>
    <w:rsid w:val="00877A9B"/>
    <w:rsid w:val="00877CFB"/>
    <w:rsid w:val="008805AE"/>
    <w:rsid w:val="00880687"/>
    <w:rsid w:val="008808BA"/>
    <w:rsid w:val="00880BCF"/>
    <w:rsid w:val="00880DE6"/>
    <w:rsid w:val="0088116E"/>
    <w:rsid w:val="00881684"/>
    <w:rsid w:val="008816C7"/>
    <w:rsid w:val="00881B03"/>
    <w:rsid w:val="00881DBC"/>
    <w:rsid w:val="00881F9E"/>
    <w:rsid w:val="0088219A"/>
    <w:rsid w:val="0088261C"/>
    <w:rsid w:val="0088268D"/>
    <w:rsid w:val="00882E20"/>
    <w:rsid w:val="00882F5F"/>
    <w:rsid w:val="0088313C"/>
    <w:rsid w:val="0088365F"/>
    <w:rsid w:val="00883982"/>
    <w:rsid w:val="00883B17"/>
    <w:rsid w:val="00883D41"/>
    <w:rsid w:val="00883DB9"/>
    <w:rsid w:val="00883E59"/>
    <w:rsid w:val="00883E7F"/>
    <w:rsid w:val="00884041"/>
    <w:rsid w:val="00884259"/>
    <w:rsid w:val="00884630"/>
    <w:rsid w:val="008846BC"/>
    <w:rsid w:val="00884A11"/>
    <w:rsid w:val="00884A9E"/>
    <w:rsid w:val="00884B37"/>
    <w:rsid w:val="00884B62"/>
    <w:rsid w:val="00884EEE"/>
    <w:rsid w:val="00884FAC"/>
    <w:rsid w:val="00884FD1"/>
    <w:rsid w:val="008850C8"/>
    <w:rsid w:val="0088529C"/>
    <w:rsid w:val="0088535C"/>
    <w:rsid w:val="008859D9"/>
    <w:rsid w:val="0088620D"/>
    <w:rsid w:val="008863DA"/>
    <w:rsid w:val="00886758"/>
    <w:rsid w:val="008867AE"/>
    <w:rsid w:val="00886908"/>
    <w:rsid w:val="00886982"/>
    <w:rsid w:val="00886A5C"/>
    <w:rsid w:val="00886A88"/>
    <w:rsid w:val="00886B71"/>
    <w:rsid w:val="00886CEE"/>
    <w:rsid w:val="00887036"/>
    <w:rsid w:val="008873B2"/>
    <w:rsid w:val="0088751D"/>
    <w:rsid w:val="00887903"/>
    <w:rsid w:val="0088797B"/>
    <w:rsid w:val="00887B83"/>
    <w:rsid w:val="00887CDF"/>
    <w:rsid w:val="00887DDF"/>
    <w:rsid w:val="00890037"/>
    <w:rsid w:val="00890079"/>
    <w:rsid w:val="008901F0"/>
    <w:rsid w:val="00890DC6"/>
    <w:rsid w:val="008910BE"/>
    <w:rsid w:val="00891454"/>
    <w:rsid w:val="0089200E"/>
    <w:rsid w:val="00892088"/>
    <w:rsid w:val="00892152"/>
    <w:rsid w:val="0089270A"/>
    <w:rsid w:val="00892760"/>
    <w:rsid w:val="008929CD"/>
    <w:rsid w:val="00892BA5"/>
    <w:rsid w:val="00892D53"/>
    <w:rsid w:val="00892DEE"/>
    <w:rsid w:val="008931D8"/>
    <w:rsid w:val="00893653"/>
    <w:rsid w:val="00893866"/>
    <w:rsid w:val="0089390F"/>
    <w:rsid w:val="008939FF"/>
    <w:rsid w:val="00893A50"/>
    <w:rsid w:val="00893AF6"/>
    <w:rsid w:val="00893DCC"/>
    <w:rsid w:val="00894004"/>
    <w:rsid w:val="00894031"/>
    <w:rsid w:val="008941B7"/>
    <w:rsid w:val="0089449F"/>
    <w:rsid w:val="00894535"/>
    <w:rsid w:val="008945F4"/>
    <w:rsid w:val="00894699"/>
    <w:rsid w:val="00894A52"/>
    <w:rsid w:val="00894AD5"/>
    <w:rsid w:val="00894BC4"/>
    <w:rsid w:val="00894FBD"/>
    <w:rsid w:val="008952E0"/>
    <w:rsid w:val="0089544A"/>
    <w:rsid w:val="00895597"/>
    <w:rsid w:val="00895750"/>
    <w:rsid w:val="00895864"/>
    <w:rsid w:val="008959FE"/>
    <w:rsid w:val="00895CE5"/>
    <w:rsid w:val="00895D53"/>
    <w:rsid w:val="00895DA5"/>
    <w:rsid w:val="00895E4E"/>
    <w:rsid w:val="00895E8D"/>
    <w:rsid w:val="008960AA"/>
    <w:rsid w:val="008961A7"/>
    <w:rsid w:val="00896302"/>
    <w:rsid w:val="00896653"/>
    <w:rsid w:val="008966B3"/>
    <w:rsid w:val="0089684F"/>
    <w:rsid w:val="00896890"/>
    <w:rsid w:val="00896B45"/>
    <w:rsid w:val="008970C3"/>
    <w:rsid w:val="008972FD"/>
    <w:rsid w:val="00897318"/>
    <w:rsid w:val="0089749B"/>
    <w:rsid w:val="008974D4"/>
    <w:rsid w:val="008975B6"/>
    <w:rsid w:val="008976A1"/>
    <w:rsid w:val="008977D1"/>
    <w:rsid w:val="0089788A"/>
    <w:rsid w:val="00897B4C"/>
    <w:rsid w:val="00897BFC"/>
    <w:rsid w:val="008A00D5"/>
    <w:rsid w:val="008A012D"/>
    <w:rsid w:val="008A01BF"/>
    <w:rsid w:val="008A02AE"/>
    <w:rsid w:val="008A02B2"/>
    <w:rsid w:val="008A0428"/>
    <w:rsid w:val="008A0448"/>
    <w:rsid w:val="008A0926"/>
    <w:rsid w:val="008A0C67"/>
    <w:rsid w:val="008A0FC5"/>
    <w:rsid w:val="008A13CF"/>
    <w:rsid w:val="008A13F4"/>
    <w:rsid w:val="008A1551"/>
    <w:rsid w:val="008A1932"/>
    <w:rsid w:val="008A1A88"/>
    <w:rsid w:val="008A1CB5"/>
    <w:rsid w:val="008A2727"/>
    <w:rsid w:val="008A28A8"/>
    <w:rsid w:val="008A2E01"/>
    <w:rsid w:val="008A2F87"/>
    <w:rsid w:val="008A30B8"/>
    <w:rsid w:val="008A339F"/>
    <w:rsid w:val="008A3DEA"/>
    <w:rsid w:val="008A412C"/>
    <w:rsid w:val="008A4343"/>
    <w:rsid w:val="008A43A1"/>
    <w:rsid w:val="008A46CF"/>
    <w:rsid w:val="008A47BB"/>
    <w:rsid w:val="008A495D"/>
    <w:rsid w:val="008A4A85"/>
    <w:rsid w:val="008A4C8C"/>
    <w:rsid w:val="008A4D1D"/>
    <w:rsid w:val="008A4E88"/>
    <w:rsid w:val="008A4FAB"/>
    <w:rsid w:val="008A51CE"/>
    <w:rsid w:val="008A534B"/>
    <w:rsid w:val="008A5362"/>
    <w:rsid w:val="008A54AC"/>
    <w:rsid w:val="008A595A"/>
    <w:rsid w:val="008A59DE"/>
    <w:rsid w:val="008A5A87"/>
    <w:rsid w:val="008A5B32"/>
    <w:rsid w:val="008A5E58"/>
    <w:rsid w:val="008A6125"/>
    <w:rsid w:val="008A61E7"/>
    <w:rsid w:val="008A64EC"/>
    <w:rsid w:val="008A6650"/>
    <w:rsid w:val="008A6658"/>
    <w:rsid w:val="008A6890"/>
    <w:rsid w:val="008A69C5"/>
    <w:rsid w:val="008A69E5"/>
    <w:rsid w:val="008A6B4B"/>
    <w:rsid w:val="008A6EC3"/>
    <w:rsid w:val="008A6EC4"/>
    <w:rsid w:val="008A7044"/>
    <w:rsid w:val="008A7350"/>
    <w:rsid w:val="008A75EE"/>
    <w:rsid w:val="008A79BF"/>
    <w:rsid w:val="008A7AB9"/>
    <w:rsid w:val="008A7AE3"/>
    <w:rsid w:val="008A7AF1"/>
    <w:rsid w:val="008A7DCF"/>
    <w:rsid w:val="008A7FC0"/>
    <w:rsid w:val="008B00CE"/>
    <w:rsid w:val="008B0176"/>
    <w:rsid w:val="008B0384"/>
    <w:rsid w:val="008B03C0"/>
    <w:rsid w:val="008B03E0"/>
    <w:rsid w:val="008B0517"/>
    <w:rsid w:val="008B0530"/>
    <w:rsid w:val="008B06F6"/>
    <w:rsid w:val="008B079C"/>
    <w:rsid w:val="008B0C65"/>
    <w:rsid w:val="008B0D47"/>
    <w:rsid w:val="008B103A"/>
    <w:rsid w:val="008B11F7"/>
    <w:rsid w:val="008B13C3"/>
    <w:rsid w:val="008B1571"/>
    <w:rsid w:val="008B16F6"/>
    <w:rsid w:val="008B1879"/>
    <w:rsid w:val="008B1CFF"/>
    <w:rsid w:val="008B1F94"/>
    <w:rsid w:val="008B1FCB"/>
    <w:rsid w:val="008B2029"/>
    <w:rsid w:val="008B214B"/>
    <w:rsid w:val="008B236D"/>
    <w:rsid w:val="008B23CF"/>
    <w:rsid w:val="008B2A1D"/>
    <w:rsid w:val="008B2AAE"/>
    <w:rsid w:val="008B2EE4"/>
    <w:rsid w:val="008B2F90"/>
    <w:rsid w:val="008B36D0"/>
    <w:rsid w:val="008B3792"/>
    <w:rsid w:val="008B37BC"/>
    <w:rsid w:val="008B3821"/>
    <w:rsid w:val="008B389A"/>
    <w:rsid w:val="008B39B3"/>
    <w:rsid w:val="008B3EC6"/>
    <w:rsid w:val="008B4194"/>
    <w:rsid w:val="008B438A"/>
    <w:rsid w:val="008B43AB"/>
    <w:rsid w:val="008B44D6"/>
    <w:rsid w:val="008B45AE"/>
    <w:rsid w:val="008B4628"/>
    <w:rsid w:val="008B4994"/>
    <w:rsid w:val="008B4A14"/>
    <w:rsid w:val="008B4A64"/>
    <w:rsid w:val="008B4D3D"/>
    <w:rsid w:val="008B4ED6"/>
    <w:rsid w:val="008B508B"/>
    <w:rsid w:val="008B517D"/>
    <w:rsid w:val="008B5186"/>
    <w:rsid w:val="008B5361"/>
    <w:rsid w:val="008B54C7"/>
    <w:rsid w:val="008B5586"/>
    <w:rsid w:val="008B5598"/>
    <w:rsid w:val="008B5797"/>
    <w:rsid w:val="008B57C7"/>
    <w:rsid w:val="008B585B"/>
    <w:rsid w:val="008B58E0"/>
    <w:rsid w:val="008B59E8"/>
    <w:rsid w:val="008B60E5"/>
    <w:rsid w:val="008B629A"/>
    <w:rsid w:val="008B62A2"/>
    <w:rsid w:val="008B63BF"/>
    <w:rsid w:val="008B6453"/>
    <w:rsid w:val="008B6A49"/>
    <w:rsid w:val="008B6B05"/>
    <w:rsid w:val="008B6BD8"/>
    <w:rsid w:val="008B71F4"/>
    <w:rsid w:val="008B728E"/>
    <w:rsid w:val="008B72BF"/>
    <w:rsid w:val="008B7B5B"/>
    <w:rsid w:val="008B7E36"/>
    <w:rsid w:val="008B7E93"/>
    <w:rsid w:val="008C0320"/>
    <w:rsid w:val="008C0406"/>
    <w:rsid w:val="008C057D"/>
    <w:rsid w:val="008C0621"/>
    <w:rsid w:val="008C067E"/>
    <w:rsid w:val="008C0716"/>
    <w:rsid w:val="008C0BBA"/>
    <w:rsid w:val="008C0EA2"/>
    <w:rsid w:val="008C0ECB"/>
    <w:rsid w:val="008C0F13"/>
    <w:rsid w:val="008C13F3"/>
    <w:rsid w:val="008C14A3"/>
    <w:rsid w:val="008C16FC"/>
    <w:rsid w:val="008C1822"/>
    <w:rsid w:val="008C195E"/>
    <w:rsid w:val="008C1D85"/>
    <w:rsid w:val="008C1E41"/>
    <w:rsid w:val="008C2159"/>
    <w:rsid w:val="008C220B"/>
    <w:rsid w:val="008C2233"/>
    <w:rsid w:val="008C25FD"/>
    <w:rsid w:val="008C2870"/>
    <w:rsid w:val="008C28D9"/>
    <w:rsid w:val="008C29E4"/>
    <w:rsid w:val="008C2B5F"/>
    <w:rsid w:val="008C2CAD"/>
    <w:rsid w:val="008C2F92"/>
    <w:rsid w:val="008C2FD7"/>
    <w:rsid w:val="008C30B7"/>
    <w:rsid w:val="008C31E5"/>
    <w:rsid w:val="008C335F"/>
    <w:rsid w:val="008C3546"/>
    <w:rsid w:val="008C360C"/>
    <w:rsid w:val="008C3B4F"/>
    <w:rsid w:val="008C3B78"/>
    <w:rsid w:val="008C3E09"/>
    <w:rsid w:val="008C3E62"/>
    <w:rsid w:val="008C3EC1"/>
    <w:rsid w:val="008C3FCF"/>
    <w:rsid w:val="008C4156"/>
    <w:rsid w:val="008C46AF"/>
    <w:rsid w:val="008C48FD"/>
    <w:rsid w:val="008C49B2"/>
    <w:rsid w:val="008C49C5"/>
    <w:rsid w:val="008C4AC9"/>
    <w:rsid w:val="008C4B1C"/>
    <w:rsid w:val="008C4BDD"/>
    <w:rsid w:val="008C5008"/>
    <w:rsid w:val="008C5130"/>
    <w:rsid w:val="008C51CE"/>
    <w:rsid w:val="008C52E3"/>
    <w:rsid w:val="008C589D"/>
    <w:rsid w:val="008C5906"/>
    <w:rsid w:val="008C5C2F"/>
    <w:rsid w:val="008C5E4F"/>
    <w:rsid w:val="008C63A1"/>
    <w:rsid w:val="008C66C0"/>
    <w:rsid w:val="008C6B47"/>
    <w:rsid w:val="008C6D51"/>
    <w:rsid w:val="008C7027"/>
    <w:rsid w:val="008C7074"/>
    <w:rsid w:val="008C707D"/>
    <w:rsid w:val="008C7243"/>
    <w:rsid w:val="008C730C"/>
    <w:rsid w:val="008C7697"/>
    <w:rsid w:val="008C7744"/>
    <w:rsid w:val="008C7AE2"/>
    <w:rsid w:val="008C7C42"/>
    <w:rsid w:val="008C7CBB"/>
    <w:rsid w:val="008C7ECB"/>
    <w:rsid w:val="008C7FF2"/>
    <w:rsid w:val="008D079B"/>
    <w:rsid w:val="008D0E62"/>
    <w:rsid w:val="008D0F0E"/>
    <w:rsid w:val="008D0FE2"/>
    <w:rsid w:val="008D10AF"/>
    <w:rsid w:val="008D1256"/>
    <w:rsid w:val="008D1331"/>
    <w:rsid w:val="008D150E"/>
    <w:rsid w:val="008D1722"/>
    <w:rsid w:val="008D1903"/>
    <w:rsid w:val="008D1908"/>
    <w:rsid w:val="008D1959"/>
    <w:rsid w:val="008D1A55"/>
    <w:rsid w:val="008D1B5C"/>
    <w:rsid w:val="008D226F"/>
    <w:rsid w:val="008D23E9"/>
    <w:rsid w:val="008D24ED"/>
    <w:rsid w:val="008D251E"/>
    <w:rsid w:val="008D2671"/>
    <w:rsid w:val="008D26C7"/>
    <w:rsid w:val="008D2819"/>
    <w:rsid w:val="008D2846"/>
    <w:rsid w:val="008D286D"/>
    <w:rsid w:val="008D2C17"/>
    <w:rsid w:val="008D2C9C"/>
    <w:rsid w:val="008D2D2C"/>
    <w:rsid w:val="008D306E"/>
    <w:rsid w:val="008D3098"/>
    <w:rsid w:val="008D3123"/>
    <w:rsid w:val="008D3291"/>
    <w:rsid w:val="008D33A3"/>
    <w:rsid w:val="008D3400"/>
    <w:rsid w:val="008D344C"/>
    <w:rsid w:val="008D3482"/>
    <w:rsid w:val="008D34FE"/>
    <w:rsid w:val="008D3758"/>
    <w:rsid w:val="008D3900"/>
    <w:rsid w:val="008D3DFF"/>
    <w:rsid w:val="008D4236"/>
    <w:rsid w:val="008D462F"/>
    <w:rsid w:val="008D469F"/>
    <w:rsid w:val="008D46D1"/>
    <w:rsid w:val="008D46D7"/>
    <w:rsid w:val="008D4D52"/>
    <w:rsid w:val="008D5042"/>
    <w:rsid w:val="008D51E2"/>
    <w:rsid w:val="008D52A9"/>
    <w:rsid w:val="008D549F"/>
    <w:rsid w:val="008D5A0B"/>
    <w:rsid w:val="008D5ADA"/>
    <w:rsid w:val="008D5BC5"/>
    <w:rsid w:val="008D5C17"/>
    <w:rsid w:val="008D5D30"/>
    <w:rsid w:val="008D5EBC"/>
    <w:rsid w:val="008D6086"/>
    <w:rsid w:val="008D6219"/>
    <w:rsid w:val="008D667E"/>
    <w:rsid w:val="008D694B"/>
    <w:rsid w:val="008D6DCF"/>
    <w:rsid w:val="008D74DA"/>
    <w:rsid w:val="008D7A86"/>
    <w:rsid w:val="008E0018"/>
    <w:rsid w:val="008E005C"/>
    <w:rsid w:val="008E0078"/>
    <w:rsid w:val="008E0160"/>
    <w:rsid w:val="008E024C"/>
    <w:rsid w:val="008E03C7"/>
    <w:rsid w:val="008E0475"/>
    <w:rsid w:val="008E04E3"/>
    <w:rsid w:val="008E06E3"/>
    <w:rsid w:val="008E07AF"/>
    <w:rsid w:val="008E08A5"/>
    <w:rsid w:val="008E09A3"/>
    <w:rsid w:val="008E0AB3"/>
    <w:rsid w:val="008E0B3C"/>
    <w:rsid w:val="008E0CE7"/>
    <w:rsid w:val="008E11B4"/>
    <w:rsid w:val="008E1374"/>
    <w:rsid w:val="008E1535"/>
    <w:rsid w:val="008E1540"/>
    <w:rsid w:val="008E1561"/>
    <w:rsid w:val="008E1DC2"/>
    <w:rsid w:val="008E1E3A"/>
    <w:rsid w:val="008E1E68"/>
    <w:rsid w:val="008E262D"/>
    <w:rsid w:val="008E2682"/>
    <w:rsid w:val="008E2691"/>
    <w:rsid w:val="008E26D8"/>
    <w:rsid w:val="008E29D6"/>
    <w:rsid w:val="008E2B91"/>
    <w:rsid w:val="008E2C9B"/>
    <w:rsid w:val="008E3317"/>
    <w:rsid w:val="008E34A0"/>
    <w:rsid w:val="008E3609"/>
    <w:rsid w:val="008E383A"/>
    <w:rsid w:val="008E4097"/>
    <w:rsid w:val="008E40E4"/>
    <w:rsid w:val="008E42FF"/>
    <w:rsid w:val="008E4376"/>
    <w:rsid w:val="008E4756"/>
    <w:rsid w:val="008E480F"/>
    <w:rsid w:val="008E4C7C"/>
    <w:rsid w:val="008E4E3B"/>
    <w:rsid w:val="008E4E4F"/>
    <w:rsid w:val="008E4FC6"/>
    <w:rsid w:val="008E5522"/>
    <w:rsid w:val="008E55A0"/>
    <w:rsid w:val="008E5ABB"/>
    <w:rsid w:val="008E5CB1"/>
    <w:rsid w:val="008E5CCC"/>
    <w:rsid w:val="008E5F91"/>
    <w:rsid w:val="008E61B2"/>
    <w:rsid w:val="008E61D6"/>
    <w:rsid w:val="008E631D"/>
    <w:rsid w:val="008E632B"/>
    <w:rsid w:val="008E641B"/>
    <w:rsid w:val="008E656E"/>
    <w:rsid w:val="008E68D9"/>
    <w:rsid w:val="008E6A53"/>
    <w:rsid w:val="008E6F28"/>
    <w:rsid w:val="008E70A2"/>
    <w:rsid w:val="008E72FC"/>
    <w:rsid w:val="008E7394"/>
    <w:rsid w:val="008E747C"/>
    <w:rsid w:val="008E7504"/>
    <w:rsid w:val="008E76FC"/>
    <w:rsid w:val="008E7737"/>
    <w:rsid w:val="008E7943"/>
    <w:rsid w:val="008E796D"/>
    <w:rsid w:val="008E7A0A"/>
    <w:rsid w:val="008E7AC2"/>
    <w:rsid w:val="008E7ACA"/>
    <w:rsid w:val="008E7B49"/>
    <w:rsid w:val="008E7C37"/>
    <w:rsid w:val="008E7D41"/>
    <w:rsid w:val="008E7DE2"/>
    <w:rsid w:val="008E7F78"/>
    <w:rsid w:val="008F01B1"/>
    <w:rsid w:val="008F04F0"/>
    <w:rsid w:val="008F05C2"/>
    <w:rsid w:val="008F0742"/>
    <w:rsid w:val="008F081E"/>
    <w:rsid w:val="008F09F1"/>
    <w:rsid w:val="008F0B31"/>
    <w:rsid w:val="008F155F"/>
    <w:rsid w:val="008F1CEE"/>
    <w:rsid w:val="008F1E29"/>
    <w:rsid w:val="008F1F3F"/>
    <w:rsid w:val="008F20DA"/>
    <w:rsid w:val="008F234C"/>
    <w:rsid w:val="008F23ED"/>
    <w:rsid w:val="008F2491"/>
    <w:rsid w:val="008F2AB6"/>
    <w:rsid w:val="008F2C05"/>
    <w:rsid w:val="008F2D23"/>
    <w:rsid w:val="008F2F75"/>
    <w:rsid w:val="008F2FBE"/>
    <w:rsid w:val="008F318F"/>
    <w:rsid w:val="008F321D"/>
    <w:rsid w:val="008F3581"/>
    <w:rsid w:val="008F3702"/>
    <w:rsid w:val="008F37EB"/>
    <w:rsid w:val="008F3A8B"/>
    <w:rsid w:val="008F3BB3"/>
    <w:rsid w:val="008F3D78"/>
    <w:rsid w:val="008F3FFB"/>
    <w:rsid w:val="008F423F"/>
    <w:rsid w:val="008F45F4"/>
    <w:rsid w:val="008F466D"/>
    <w:rsid w:val="008F4BF0"/>
    <w:rsid w:val="008F507F"/>
    <w:rsid w:val="008F50BE"/>
    <w:rsid w:val="008F54DA"/>
    <w:rsid w:val="008F54FB"/>
    <w:rsid w:val="008F59F6"/>
    <w:rsid w:val="008F5B25"/>
    <w:rsid w:val="008F5B55"/>
    <w:rsid w:val="008F5B87"/>
    <w:rsid w:val="008F5CDE"/>
    <w:rsid w:val="008F5D6B"/>
    <w:rsid w:val="008F5D7B"/>
    <w:rsid w:val="008F647F"/>
    <w:rsid w:val="008F67BF"/>
    <w:rsid w:val="008F6859"/>
    <w:rsid w:val="008F69C9"/>
    <w:rsid w:val="008F69E8"/>
    <w:rsid w:val="008F6AB8"/>
    <w:rsid w:val="008F6DFF"/>
    <w:rsid w:val="008F6E42"/>
    <w:rsid w:val="008F6F67"/>
    <w:rsid w:val="008F7003"/>
    <w:rsid w:val="008F7146"/>
    <w:rsid w:val="008F717D"/>
    <w:rsid w:val="008F7580"/>
    <w:rsid w:val="008F765F"/>
    <w:rsid w:val="008F780C"/>
    <w:rsid w:val="008F7967"/>
    <w:rsid w:val="008F7ED1"/>
    <w:rsid w:val="00900164"/>
    <w:rsid w:val="0090018C"/>
    <w:rsid w:val="00900546"/>
    <w:rsid w:val="00900719"/>
    <w:rsid w:val="00900825"/>
    <w:rsid w:val="00900D5D"/>
    <w:rsid w:val="00901057"/>
    <w:rsid w:val="0090117C"/>
    <w:rsid w:val="0090127F"/>
    <w:rsid w:val="0090129C"/>
    <w:rsid w:val="00901422"/>
    <w:rsid w:val="00901653"/>
    <w:rsid w:val="009017AC"/>
    <w:rsid w:val="00901830"/>
    <w:rsid w:val="00901C7E"/>
    <w:rsid w:val="00901C92"/>
    <w:rsid w:val="00901DB0"/>
    <w:rsid w:val="00901DD7"/>
    <w:rsid w:val="00901F16"/>
    <w:rsid w:val="00901F68"/>
    <w:rsid w:val="0090200B"/>
    <w:rsid w:val="00902139"/>
    <w:rsid w:val="009024CD"/>
    <w:rsid w:val="009028C5"/>
    <w:rsid w:val="009029CC"/>
    <w:rsid w:val="00902A9A"/>
    <w:rsid w:val="00902C53"/>
    <w:rsid w:val="00902FEC"/>
    <w:rsid w:val="00903343"/>
    <w:rsid w:val="0090355E"/>
    <w:rsid w:val="0090385E"/>
    <w:rsid w:val="00903BBA"/>
    <w:rsid w:val="00903BE6"/>
    <w:rsid w:val="00903BF5"/>
    <w:rsid w:val="00903D48"/>
    <w:rsid w:val="00903D9F"/>
    <w:rsid w:val="00903E67"/>
    <w:rsid w:val="00904032"/>
    <w:rsid w:val="00904204"/>
    <w:rsid w:val="0090428F"/>
    <w:rsid w:val="00904345"/>
    <w:rsid w:val="009044BA"/>
    <w:rsid w:val="00904579"/>
    <w:rsid w:val="009045A6"/>
    <w:rsid w:val="009046D5"/>
    <w:rsid w:val="00904753"/>
    <w:rsid w:val="009049BC"/>
    <w:rsid w:val="00904A1C"/>
    <w:rsid w:val="00904D09"/>
    <w:rsid w:val="00904E96"/>
    <w:rsid w:val="00904F98"/>
    <w:rsid w:val="00905030"/>
    <w:rsid w:val="009051DF"/>
    <w:rsid w:val="0090527C"/>
    <w:rsid w:val="00905656"/>
    <w:rsid w:val="0090576F"/>
    <w:rsid w:val="0090581F"/>
    <w:rsid w:val="009058EE"/>
    <w:rsid w:val="00905ACE"/>
    <w:rsid w:val="00905C35"/>
    <w:rsid w:val="00905F09"/>
    <w:rsid w:val="009060A7"/>
    <w:rsid w:val="00906490"/>
    <w:rsid w:val="0090671B"/>
    <w:rsid w:val="00906912"/>
    <w:rsid w:val="00906A6E"/>
    <w:rsid w:val="00906AC2"/>
    <w:rsid w:val="00906E27"/>
    <w:rsid w:val="00906EEE"/>
    <w:rsid w:val="009070C7"/>
    <w:rsid w:val="00907209"/>
    <w:rsid w:val="00907283"/>
    <w:rsid w:val="009072F7"/>
    <w:rsid w:val="0090796D"/>
    <w:rsid w:val="00907A7F"/>
    <w:rsid w:val="00907ABD"/>
    <w:rsid w:val="00907E89"/>
    <w:rsid w:val="00910101"/>
    <w:rsid w:val="00910308"/>
    <w:rsid w:val="00910516"/>
    <w:rsid w:val="009107E9"/>
    <w:rsid w:val="009108C1"/>
    <w:rsid w:val="0091094F"/>
    <w:rsid w:val="00910B16"/>
    <w:rsid w:val="00910BB2"/>
    <w:rsid w:val="00910BF5"/>
    <w:rsid w:val="00910F67"/>
    <w:rsid w:val="00911099"/>
    <w:rsid w:val="00911160"/>
    <w:rsid w:val="009111B2"/>
    <w:rsid w:val="00911307"/>
    <w:rsid w:val="009114F3"/>
    <w:rsid w:val="00911576"/>
    <w:rsid w:val="009116CF"/>
    <w:rsid w:val="00911815"/>
    <w:rsid w:val="00911AF6"/>
    <w:rsid w:val="00911BC2"/>
    <w:rsid w:val="00911EA1"/>
    <w:rsid w:val="009120F5"/>
    <w:rsid w:val="009126C7"/>
    <w:rsid w:val="00912890"/>
    <w:rsid w:val="00912A1B"/>
    <w:rsid w:val="00912ACF"/>
    <w:rsid w:val="00912C05"/>
    <w:rsid w:val="00912C1F"/>
    <w:rsid w:val="00912C21"/>
    <w:rsid w:val="00912C75"/>
    <w:rsid w:val="00912D9D"/>
    <w:rsid w:val="00912DA3"/>
    <w:rsid w:val="00912ED4"/>
    <w:rsid w:val="00912F97"/>
    <w:rsid w:val="009130AE"/>
    <w:rsid w:val="00913499"/>
    <w:rsid w:val="009135CA"/>
    <w:rsid w:val="00913845"/>
    <w:rsid w:val="00913930"/>
    <w:rsid w:val="00913936"/>
    <w:rsid w:val="00913AC0"/>
    <w:rsid w:val="00913BAF"/>
    <w:rsid w:val="00913F28"/>
    <w:rsid w:val="00913F55"/>
    <w:rsid w:val="009142B0"/>
    <w:rsid w:val="0091459F"/>
    <w:rsid w:val="009147DD"/>
    <w:rsid w:val="009149A2"/>
    <w:rsid w:val="00914ABB"/>
    <w:rsid w:val="00914B2B"/>
    <w:rsid w:val="00914D17"/>
    <w:rsid w:val="00914E3C"/>
    <w:rsid w:val="009151AD"/>
    <w:rsid w:val="009151CA"/>
    <w:rsid w:val="009151F5"/>
    <w:rsid w:val="009152C5"/>
    <w:rsid w:val="00915567"/>
    <w:rsid w:val="0091565D"/>
    <w:rsid w:val="009157C1"/>
    <w:rsid w:val="009159E8"/>
    <w:rsid w:val="00915B45"/>
    <w:rsid w:val="00915DAD"/>
    <w:rsid w:val="00915E6E"/>
    <w:rsid w:val="0091605A"/>
    <w:rsid w:val="00916545"/>
    <w:rsid w:val="0091675E"/>
    <w:rsid w:val="009169C8"/>
    <w:rsid w:val="00916A0B"/>
    <w:rsid w:val="009172BE"/>
    <w:rsid w:val="00917581"/>
    <w:rsid w:val="00917756"/>
    <w:rsid w:val="009177DF"/>
    <w:rsid w:val="00917826"/>
    <w:rsid w:val="009178CE"/>
    <w:rsid w:val="00917B61"/>
    <w:rsid w:val="00917E43"/>
    <w:rsid w:val="00917E4B"/>
    <w:rsid w:val="00917E56"/>
    <w:rsid w:val="009200DC"/>
    <w:rsid w:val="00920141"/>
    <w:rsid w:val="009202B1"/>
    <w:rsid w:val="00920408"/>
    <w:rsid w:val="00920801"/>
    <w:rsid w:val="009208E1"/>
    <w:rsid w:val="00920C9A"/>
    <w:rsid w:val="00920D7E"/>
    <w:rsid w:val="00920F43"/>
    <w:rsid w:val="00921594"/>
    <w:rsid w:val="00921620"/>
    <w:rsid w:val="00921793"/>
    <w:rsid w:val="00921AEF"/>
    <w:rsid w:val="00921ED0"/>
    <w:rsid w:val="00922149"/>
    <w:rsid w:val="0092228B"/>
    <w:rsid w:val="00922428"/>
    <w:rsid w:val="00922692"/>
    <w:rsid w:val="009227EE"/>
    <w:rsid w:val="00922AC8"/>
    <w:rsid w:val="00922D23"/>
    <w:rsid w:val="0092319C"/>
    <w:rsid w:val="009232F4"/>
    <w:rsid w:val="009236B8"/>
    <w:rsid w:val="00923B09"/>
    <w:rsid w:val="00923B65"/>
    <w:rsid w:val="00923D7B"/>
    <w:rsid w:val="00923DC2"/>
    <w:rsid w:val="0092417D"/>
    <w:rsid w:val="00924368"/>
    <w:rsid w:val="009244A2"/>
    <w:rsid w:val="00924587"/>
    <w:rsid w:val="009247DA"/>
    <w:rsid w:val="00924AE1"/>
    <w:rsid w:val="00924FB8"/>
    <w:rsid w:val="0092586C"/>
    <w:rsid w:val="009258CC"/>
    <w:rsid w:val="009258DF"/>
    <w:rsid w:val="00925B55"/>
    <w:rsid w:val="00925CF3"/>
    <w:rsid w:val="00925D0A"/>
    <w:rsid w:val="00925E34"/>
    <w:rsid w:val="0092620F"/>
    <w:rsid w:val="0092668E"/>
    <w:rsid w:val="009269B1"/>
    <w:rsid w:val="00926C0E"/>
    <w:rsid w:val="00926D27"/>
    <w:rsid w:val="00926DF4"/>
    <w:rsid w:val="00926E1B"/>
    <w:rsid w:val="00926E7E"/>
    <w:rsid w:val="00926E93"/>
    <w:rsid w:val="0092724D"/>
    <w:rsid w:val="009272B3"/>
    <w:rsid w:val="009272FC"/>
    <w:rsid w:val="0092731B"/>
    <w:rsid w:val="00927443"/>
    <w:rsid w:val="009277DF"/>
    <w:rsid w:val="00927C50"/>
    <w:rsid w:val="00927DB3"/>
    <w:rsid w:val="00930002"/>
    <w:rsid w:val="0093021A"/>
    <w:rsid w:val="0093066A"/>
    <w:rsid w:val="0093073E"/>
    <w:rsid w:val="00930809"/>
    <w:rsid w:val="00930A24"/>
    <w:rsid w:val="00930DCC"/>
    <w:rsid w:val="00930E6E"/>
    <w:rsid w:val="00930FBC"/>
    <w:rsid w:val="0093116B"/>
    <w:rsid w:val="00931246"/>
    <w:rsid w:val="0093136B"/>
    <w:rsid w:val="00931559"/>
    <w:rsid w:val="009315BE"/>
    <w:rsid w:val="009315F9"/>
    <w:rsid w:val="009317FF"/>
    <w:rsid w:val="00931A56"/>
    <w:rsid w:val="00931CE6"/>
    <w:rsid w:val="009324CF"/>
    <w:rsid w:val="009325C2"/>
    <w:rsid w:val="009326DD"/>
    <w:rsid w:val="0093287C"/>
    <w:rsid w:val="00932CD2"/>
    <w:rsid w:val="00932D05"/>
    <w:rsid w:val="00932D8E"/>
    <w:rsid w:val="00933106"/>
    <w:rsid w:val="0093338F"/>
    <w:rsid w:val="0093344D"/>
    <w:rsid w:val="0093372C"/>
    <w:rsid w:val="00933779"/>
    <w:rsid w:val="00933CC4"/>
    <w:rsid w:val="00933D84"/>
    <w:rsid w:val="00933F0A"/>
    <w:rsid w:val="009340E4"/>
    <w:rsid w:val="00934134"/>
    <w:rsid w:val="0093437B"/>
    <w:rsid w:val="00934582"/>
    <w:rsid w:val="00934791"/>
    <w:rsid w:val="0093499B"/>
    <w:rsid w:val="00934B04"/>
    <w:rsid w:val="00934FB4"/>
    <w:rsid w:val="00934FD8"/>
    <w:rsid w:val="009352B4"/>
    <w:rsid w:val="00935352"/>
    <w:rsid w:val="00935434"/>
    <w:rsid w:val="009356B5"/>
    <w:rsid w:val="0093585D"/>
    <w:rsid w:val="00935BAF"/>
    <w:rsid w:val="00935CEC"/>
    <w:rsid w:val="00935D21"/>
    <w:rsid w:val="00935D23"/>
    <w:rsid w:val="00935ECD"/>
    <w:rsid w:val="00936129"/>
    <w:rsid w:val="009365E8"/>
    <w:rsid w:val="00936859"/>
    <w:rsid w:val="009368FC"/>
    <w:rsid w:val="00936954"/>
    <w:rsid w:val="00936AE0"/>
    <w:rsid w:val="00936B3E"/>
    <w:rsid w:val="00936C2D"/>
    <w:rsid w:val="00936E59"/>
    <w:rsid w:val="00936E6C"/>
    <w:rsid w:val="00936F14"/>
    <w:rsid w:val="00936FB1"/>
    <w:rsid w:val="00937136"/>
    <w:rsid w:val="00937509"/>
    <w:rsid w:val="0093767F"/>
    <w:rsid w:val="00937730"/>
    <w:rsid w:val="00937739"/>
    <w:rsid w:val="00937750"/>
    <w:rsid w:val="00937771"/>
    <w:rsid w:val="00937BD9"/>
    <w:rsid w:val="00937C20"/>
    <w:rsid w:val="00937C41"/>
    <w:rsid w:val="0094022C"/>
    <w:rsid w:val="009403C5"/>
    <w:rsid w:val="00940452"/>
    <w:rsid w:val="0094053D"/>
    <w:rsid w:val="00940EC1"/>
    <w:rsid w:val="0094167D"/>
    <w:rsid w:val="00941764"/>
    <w:rsid w:val="00941DFC"/>
    <w:rsid w:val="00941E41"/>
    <w:rsid w:val="0094211C"/>
    <w:rsid w:val="00942264"/>
    <w:rsid w:val="0094229C"/>
    <w:rsid w:val="00942315"/>
    <w:rsid w:val="0094255B"/>
    <w:rsid w:val="009428C9"/>
    <w:rsid w:val="00942A1A"/>
    <w:rsid w:val="009430F5"/>
    <w:rsid w:val="009431FC"/>
    <w:rsid w:val="0094366B"/>
    <w:rsid w:val="00943833"/>
    <w:rsid w:val="0094393D"/>
    <w:rsid w:val="009439D6"/>
    <w:rsid w:val="00943A37"/>
    <w:rsid w:val="00943D89"/>
    <w:rsid w:val="00943E09"/>
    <w:rsid w:val="00943EAA"/>
    <w:rsid w:val="00943EF3"/>
    <w:rsid w:val="00944150"/>
    <w:rsid w:val="00944489"/>
    <w:rsid w:val="00944AE7"/>
    <w:rsid w:val="00944BD9"/>
    <w:rsid w:val="00944C0C"/>
    <w:rsid w:val="00944C25"/>
    <w:rsid w:val="00944F35"/>
    <w:rsid w:val="00944F79"/>
    <w:rsid w:val="00945202"/>
    <w:rsid w:val="00945409"/>
    <w:rsid w:val="009454B4"/>
    <w:rsid w:val="00945519"/>
    <w:rsid w:val="00945547"/>
    <w:rsid w:val="0094579D"/>
    <w:rsid w:val="00945837"/>
    <w:rsid w:val="00945902"/>
    <w:rsid w:val="00945D15"/>
    <w:rsid w:val="00945DFC"/>
    <w:rsid w:val="0094612B"/>
    <w:rsid w:val="00946992"/>
    <w:rsid w:val="009469C6"/>
    <w:rsid w:val="00946A04"/>
    <w:rsid w:val="00946AD4"/>
    <w:rsid w:val="00946B26"/>
    <w:rsid w:val="00946BCD"/>
    <w:rsid w:val="00946C9C"/>
    <w:rsid w:val="009472AE"/>
    <w:rsid w:val="009472F6"/>
    <w:rsid w:val="009476BA"/>
    <w:rsid w:val="009476F6"/>
    <w:rsid w:val="00947A21"/>
    <w:rsid w:val="00947D57"/>
    <w:rsid w:val="00947D83"/>
    <w:rsid w:val="009501A1"/>
    <w:rsid w:val="009501BE"/>
    <w:rsid w:val="009502CB"/>
    <w:rsid w:val="00950380"/>
    <w:rsid w:val="00950CBF"/>
    <w:rsid w:val="00950E2C"/>
    <w:rsid w:val="00950E51"/>
    <w:rsid w:val="00951045"/>
    <w:rsid w:val="00951067"/>
    <w:rsid w:val="00951420"/>
    <w:rsid w:val="00951961"/>
    <w:rsid w:val="00951A1B"/>
    <w:rsid w:val="00951AD8"/>
    <w:rsid w:val="00951B4F"/>
    <w:rsid w:val="00951D50"/>
    <w:rsid w:val="009525EB"/>
    <w:rsid w:val="009526D6"/>
    <w:rsid w:val="00952BC5"/>
    <w:rsid w:val="00952D1C"/>
    <w:rsid w:val="00952E0A"/>
    <w:rsid w:val="00952E27"/>
    <w:rsid w:val="00953038"/>
    <w:rsid w:val="009530BE"/>
    <w:rsid w:val="009531F2"/>
    <w:rsid w:val="00953239"/>
    <w:rsid w:val="00953309"/>
    <w:rsid w:val="009537A4"/>
    <w:rsid w:val="00953E99"/>
    <w:rsid w:val="00954227"/>
    <w:rsid w:val="00954372"/>
    <w:rsid w:val="0095437F"/>
    <w:rsid w:val="0095470B"/>
    <w:rsid w:val="00954874"/>
    <w:rsid w:val="00954EAE"/>
    <w:rsid w:val="009550C0"/>
    <w:rsid w:val="0095531F"/>
    <w:rsid w:val="00955355"/>
    <w:rsid w:val="00955489"/>
    <w:rsid w:val="009555B5"/>
    <w:rsid w:val="0095563B"/>
    <w:rsid w:val="009556F9"/>
    <w:rsid w:val="00955A55"/>
    <w:rsid w:val="00955C46"/>
    <w:rsid w:val="00955CE8"/>
    <w:rsid w:val="00955FCD"/>
    <w:rsid w:val="0095615A"/>
    <w:rsid w:val="009561AC"/>
    <w:rsid w:val="009562EF"/>
    <w:rsid w:val="00956492"/>
    <w:rsid w:val="0095667F"/>
    <w:rsid w:val="0095676D"/>
    <w:rsid w:val="00956A5A"/>
    <w:rsid w:val="00956D06"/>
    <w:rsid w:val="009570BD"/>
    <w:rsid w:val="00957146"/>
    <w:rsid w:val="00957218"/>
    <w:rsid w:val="009572E9"/>
    <w:rsid w:val="00957708"/>
    <w:rsid w:val="00957A8E"/>
    <w:rsid w:val="00957ACD"/>
    <w:rsid w:val="0096025A"/>
    <w:rsid w:val="009605D8"/>
    <w:rsid w:val="0096069C"/>
    <w:rsid w:val="00960902"/>
    <w:rsid w:val="009609A5"/>
    <w:rsid w:val="00960C6C"/>
    <w:rsid w:val="00960CB9"/>
    <w:rsid w:val="00961045"/>
    <w:rsid w:val="0096127A"/>
    <w:rsid w:val="009613AA"/>
    <w:rsid w:val="00961400"/>
    <w:rsid w:val="009615F2"/>
    <w:rsid w:val="0096179F"/>
    <w:rsid w:val="009617D2"/>
    <w:rsid w:val="00961A05"/>
    <w:rsid w:val="00961B0F"/>
    <w:rsid w:val="00962022"/>
    <w:rsid w:val="00962355"/>
    <w:rsid w:val="009626A3"/>
    <w:rsid w:val="009629E0"/>
    <w:rsid w:val="009629FB"/>
    <w:rsid w:val="00962ACC"/>
    <w:rsid w:val="00962D46"/>
    <w:rsid w:val="00962D55"/>
    <w:rsid w:val="00962E99"/>
    <w:rsid w:val="00963129"/>
    <w:rsid w:val="00963188"/>
    <w:rsid w:val="0096321A"/>
    <w:rsid w:val="00963646"/>
    <w:rsid w:val="009636AE"/>
    <w:rsid w:val="009637B7"/>
    <w:rsid w:val="00963883"/>
    <w:rsid w:val="00963946"/>
    <w:rsid w:val="009639EC"/>
    <w:rsid w:val="00963A0B"/>
    <w:rsid w:val="00963BCD"/>
    <w:rsid w:val="00963BFC"/>
    <w:rsid w:val="00963F80"/>
    <w:rsid w:val="009640A0"/>
    <w:rsid w:val="009640F6"/>
    <w:rsid w:val="0096422C"/>
    <w:rsid w:val="009643CF"/>
    <w:rsid w:val="009646BC"/>
    <w:rsid w:val="00964804"/>
    <w:rsid w:val="00964900"/>
    <w:rsid w:val="00964B0D"/>
    <w:rsid w:val="00964CE5"/>
    <w:rsid w:val="00964D34"/>
    <w:rsid w:val="00964F3E"/>
    <w:rsid w:val="009651F9"/>
    <w:rsid w:val="0096527D"/>
    <w:rsid w:val="009652CC"/>
    <w:rsid w:val="00965392"/>
    <w:rsid w:val="009653B3"/>
    <w:rsid w:val="00965481"/>
    <w:rsid w:val="00965541"/>
    <w:rsid w:val="0096556E"/>
    <w:rsid w:val="00965D23"/>
    <w:rsid w:val="00965F94"/>
    <w:rsid w:val="00965FB9"/>
    <w:rsid w:val="0096605C"/>
    <w:rsid w:val="0096632D"/>
    <w:rsid w:val="009664C4"/>
    <w:rsid w:val="0096665E"/>
    <w:rsid w:val="009669C5"/>
    <w:rsid w:val="00966A42"/>
    <w:rsid w:val="00966CE0"/>
    <w:rsid w:val="00966E36"/>
    <w:rsid w:val="00966F18"/>
    <w:rsid w:val="00967124"/>
    <w:rsid w:val="00967208"/>
    <w:rsid w:val="00967239"/>
    <w:rsid w:val="009678E8"/>
    <w:rsid w:val="00967A53"/>
    <w:rsid w:val="00967AC6"/>
    <w:rsid w:val="00967CC3"/>
    <w:rsid w:val="00967D36"/>
    <w:rsid w:val="00970179"/>
    <w:rsid w:val="00970954"/>
    <w:rsid w:val="00970E46"/>
    <w:rsid w:val="00970E4E"/>
    <w:rsid w:val="00970FEF"/>
    <w:rsid w:val="00971029"/>
    <w:rsid w:val="00971192"/>
    <w:rsid w:val="0097127D"/>
    <w:rsid w:val="00971379"/>
    <w:rsid w:val="0097137E"/>
    <w:rsid w:val="0097146A"/>
    <w:rsid w:val="00971600"/>
    <w:rsid w:val="0097166C"/>
    <w:rsid w:val="009718C7"/>
    <w:rsid w:val="00971CBC"/>
    <w:rsid w:val="00971DC8"/>
    <w:rsid w:val="00971DDA"/>
    <w:rsid w:val="0097216C"/>
    <w:rsid w:val="009721E8"/>
    <w:rsid w:val="00972243"/>
    <w:rsid w:val="00972257"/>
    <w:rsid w:val="00972572"/>
    <w:rsid w:val="009728B8"/>
    <w:rsid w:val="009728CB"/>
    <w:rsid w:val="00972961"/>
    <w:rsid w:val="00972BEB"/>
    <w:rsid w:val="00972C1D"/>
    <w:rsid w:val="00972E9B"/>
    <w:rsid w:val="00972EDE"/>
    <w:rsid w:val="00973071"/>
    <w:rsid w:val="009730A1"/>
    <w:rsid w:val="00973363"/>
    <w:rsid w:val="009733B8"/>
    <w:rsid w:val="0097357C"/>
    <w:rsid w:val="0097368B"/>
    <w:rsid w:val="00973704"/>
    <w:rsid w:val="009737E9"/>
    <w:rsid w:val="00973A3A"/>
    <w:rsid w:val="00973B89"/>
    <w:rsid w:val="00973CFB"/>
    <w:rsid w:val="00973D4B"/>
    <w:rsid w:val="00973E52"/>
    <w:rsid w:val="009742DE"/>
    <w:rsid w:val="009744FA"/>
    <w:rsid w:val="0097461C"/>
    <w:rsid w:val="00974BB2"/>
    <w:rsid w:val="0097559B"/>
    <w:rsid w:val="0097559F"/>
    <w:rsid w:val="009758E8"/>
    <w:rsid w:val="00975B03"/>
    <w:rsid w:val="00975B77"/>
    <w:rsid w:val="009761EA"/>
    <w:rsid w:val="009762AA"/>
    <w:rsid w:val="0097676F"/>
    <w:rsid w:val="00976B1E"/>
    <w:rsid w:val="00976BE9"/>
    <w:rsid w:val="00976DA9"/>
    <w:rsid w:val="00976DBD"/>
    <w:rsid w:val="00976DF5"/>
    <w:rsid w:val="009770E4"/>
    <w:rsid w:val="0097729D"/>
    <w:rsid w:val="0097761E"/>
    <w:rsid w:val="00977692"/>
    <w:rsid w:val="00977985"/>
    <w:rsid w:val="00977A1D"/>
    <w:rsid w:val="00977DF4"/>
    <w:rsid w:val="00977E5D"/>
    <w:rsid w:val="00980220"/>
    <w:rsid w:val="00980525"/>
    <w:rsid w:val="00980784"/>
    <w:rsid w:val="00980901"/>
    <w:rsid w:val="0098090E"/>
    <w:rsid w:val="00980B43"/>
    <w:rsid w:val="00981901"/>
    <w:rsid w:val="00981985"/>
    <w:rsid w:val="009819CB"/>
    <w:rsid w:val="009821AE"/>
    <w:rsid w:val="009822AC"/>
    <w:rsid w:val="00982454"/>
    <w:rsid w:val="00982479"/>
    <w:rsid w:val="0098255A"/>
    <w:rsid w:val="00982713"/>
    <w:rsid w:val="0098276B"/>
    <w:rsid w:val="009828E3"/>
    <w:rsid w:val="00982CF0"/>
    <w:rsid w:val="00982E5D"/>
    <w:rsid w:val="00982FCC"/>
    <w:rsid w:val="0098328E"/>
    <w:rsid w:val="0098348B"/>
    <w:rsid w:val="009834EA"/>
    <w:rsid w:val="009836AC"/>
    <w:rsid w:val="009836B6"/>
    <w:rsid w:val="009836D1"/>
    <w:rsid w:val="00983ADA"/>
    <w:rsid w:val="00983B77"/>
    <w:rsid w:val="00983C20"/>
    <w:rsid w:val="00983D10"/>
    <w:rsid w:val="00983F04"/>
    <w:rsid w:val="009840B2"/>
    <w:rsid w:val="00984315"/>
    <w:rsid w:val="0098458D"/>
    <w:rsid w:val="009847F9"/>
    <w:rsid w:val="00984E3C"/>
    <w:rsid w:val="00985007"/>
    <w:rsid w:val="009853E1"/>
    <w:rsid w:val="00985470"/>
    <w:rsid w:val="00985471"/>
    <w:rsid w:val="0098573B"/>
    <w:rsid w:val="009858BB"/>
    <w:rsid w:val="009858BE"/>
    <w:rsid w:val="00985903"/>
    <w:rsid w:val="00985CB7"/>
    <w:rsid w:val="00985D2D"/>
    <w:rsid w:val="00986022"/>
    <w:rsid w:val="00986062"/>
    <w:rsid w:val="0098629E"/>
    <w:rsid w:val="009864EF"/>
    <w:rsid w:val="009865B5"/>
    <w:rsid w:val="00986E6B"/>
    <w:rsid w:val="00986EC5"/>
    <w:rsid w:val="00986F81"/>
    <w:rsid w:val="009870FE"/>
    <w:rsid w:val="0098717A"/>
    <w:rsid w:val="00987369"/>
    <w:rsid w:val="0098738C"/>
    <w:rsid w:val="00987488"/>
    <w:rsid w:val="009875D9"/>
    <w:rsid w:val="00987653"/>
    <w:rsid w:val="00987994"/>
    <w:rsid w:val="009879CC"/>
    <w:rsid w:val="00987C09"/>
    <w:rsid w:val="00987DB7"/>
    <w:rsid w:val="00990032"/>
    <w:rsid w:val="00990618"/>
    <w:rsid w:val="00990795"/>
    <w:rsid w:val="009907A7"/>
    <w:rsid w:val="00990A4A"/>
    <w:rsid w:val="00990A8B"/>
    <w:rsid w:val="00990B19"/>
    <w:rsid w:val="00990BF6"/>
    <w:rsid w:val="00990C35"/>
    <w:rsid w:val="00990DF7"/>
    <w:rsid w:val="00990F5F"/>
    <w:rsid w:val="00990F78"/>
    <w:rsid w:val="00991040"/>
    <w:rsid w:val="009912F7"/>
    <w:rsid w:val="009912F9"/>
    <w:rsid w:val="0099131F"/>
    <w:rsid w:val="0099153B"/>
    <w:rsid w:val="0099158B"/>
    <w:rsid w:val="009916A4"/>
    <w:rsid w:val="00991769"/>
    <w:rsid w:val="00991780"/>
    <w:rsid w:val="00991A79"/>
    <w:rsid w:val="00991FBB"/>
    <w:rsid w:val="009922AB"/>
    <w:rsid w:val="0099232C"/>
    <w:rsid w:val="0099249C"/>
    <w:rsid w:val="009926CA"/>
    <w:rsid w:val="0099297A"/>
    <w:rsid w:val="00992E3B"/>
    <w:rsid w:val="00992E87"/>
    <w:rsid w:val="009934D6"/>
    <w:rsid w:val="009934D9"/>
    <w:rsid w:val="009935C8"/>
    <w:rsid w:val="00993727"/>
    <w:rsid w:val="0099375F"/>
    <w:rsid w:val="0099385F"/>
    <w:rsid w:val="00993919"/>
    <w:rsid w:val="00993AE5"/>
    <w:rsid w:val="00993F3D"/>
    <w:rsid w:val="0099402C"/>
    <w:rsid w:val="009941A3"/>
    <w:rsid w:val="00994270"/>
    <w:rsid w:val="00994386"/>
    <w:rsid w:val="00994463"/>
    <w:rsid w:val="009945E2"/>
    <w:rsid w:val="00994C1C"/>
    <w:rsid w:val="00994C43"/>
    <w:rsid w:val="00994CAD"/>
    <w:rsid w:val="00994FB3"/>
    <w:rsid w:val="00995082"/>
    <w:rsid w:val="009952B9"/>
    <w:rsid w:val="0099571C"/>
    <w:rsid w:val="009957A5"/>
    <w:rsid w:val="00995AF8"/>
    <w:rsid w:val="00995B6A"/>
    <w:rsid w:val="00995E79"/>
    <w:rsid w:val="00995F42"/>
    <w:rsid w:val="009960E7"/>
    <w:rsid w:val="00996146"/>
    <w:rsid w:val="009961FF"/>
    <w:rsid w:val="009964CD"/>
    <w:rsid w:val="00996526"/>
    <w:rsid w:val="009967CB"/>
    <w:rsid w:val="00996C3B"/>
    <w:rsid w:val="00996C5D"/>
    <w:rsid w:val="00996CF1"/>
    <w:rsid w:val="00996CF2"/>
    <w:rsid w:val="00996D00"/>
    <w:rsid w:val="00996D28"/>
    <w:rsid w:val="00996EDD"/>
    <w:rsid w:val="00997856"/>
    <w:rsid w:val="00997BF4"/>
    <w:rsid w:val="00997CA6"/>
    <w:rsid w:val="00997DE7"/>
    <w:rsid w:val="009A0048"/>
    <w:rsid w:val="009A02DA"/>
    <w:rsid w:val="009A0451"/>
    <w:rsid w:val="009A062C"/>
    <w:rsid w:val="009A0894"/>
    <w:rsid w:val="009A08E6"/>
    <w:rsid w:val="009A0C25"/>
    <w:rsid w:val="009A0F19"/>
    <w:rsid w:val="009A1029"/>
    <w:rsid w:val="009A13D8"/>
    <w:rsid w:val="009A1474"/>
    <w:rsid w:val="009A1981"/>
    <w:rsid w:val="009A1A6A"/>
    <w:rsid w:val="009A1F3B"/>
    <w:rsid w:val="009A2036"/>
    <w:rsid w:val="009A204E"/>
    <w:rsid w:val="009A2290"/>
    <w:rsid w:val="009A234D"/>
    <w:rsid w:val="009A26EE"/>
    <w:rsid w:val="009A279E"/>
    <w:rsid w:val="009A28D6"/>
    <w:rsid w:val="009A298E"/>
    <w:rsid w:val="009A2A47"/>
    <w:rsid w:val="009A2CC9"/>
    <w:rsid w:val="009A2F77"/>
    <w:rsid w:val="009A3015"/>
    <w:rsid w:val="009A307E"/>
    <w:rsid w:val="009A3201"/>
    <w:rsid w:val="009A3490"/>
    <w:rsid w:val="009A3531"/>
    <w:rsid w:val="009A3A7E"/>
    <w:rsid w:val="009A3C29"/>
    <w:rsid w:val="009A3C9A"/>
    <w:rsid w:val="009A3EA5"/>
    <w:rsid w:val="009A3FB1"/>
    <w:rsid w:val="009A41C7"/>
    <w:rsid w:val="009A4233"/>
    <w:rsid w:val="009A431F"/>
    <w:rsid w:val="009A45CA"/>
    <w:rsid w:val="009A468E"/>
    <w:rsid w:val="009A4708"/>
    <w:rsid w:val="009A4737"/>
    <w:rsid w:val="009A4739"/>
    <w:rsid w:val="009A48D2"/>
    <w:rsid w:val="009A48E4"/>
    <w:rsid w:val="009A499D"/>
    <w:rsid w:val="009A4BC3"/>
    <w:rsid w:val="009A50F9"/>
    <w:rsid w:val="009A547A"/>
    <w:rsid w:val="009A550E"/>
    <w:rsid w:val="009A55DA"/>
    <w:rsid w:val="009A571A"/>
    <w:rsid w:val="009A5A6E"/>
    <w:rsid w:val="009A5AA6"/>
    <w:rsid w:val="009A5B2F"/>
    <w:rsid w:val="009A5CF4"/>
    <w:rsid w:val="009A5D66"/>
    <w:rsid w:val="009A61AA"/>
    <w:rsid w:val="009A63FF"/>
    <w:rsid w:val="009A68F2"/>
    <w:rsid w:val="009A698B"/>
    <w:rsid w:val="009A69D4"/>
    <w:rsid w:val="009A6AC8"/>
    <w:rsid w:val="009A6AEC"/>
    <w:rsid w:val="009A6B90"/>
    <w:rsid w:val="009A6BC6"/>
    <w:rsid w:val="009A6CBE"/>
    <w:rsid w:val="009A6E15"/>
    <w:rsid w:val="009A6E88"/>
    <w:rsid w:val="009A6F6C"/>
    <w:rsid w:val="009A7182"/>
    <w:rsid w:val="009A77E2"/>
    <w:rsid w:val="009A7A0C"/>
    <w:rsid w:val="009A7E89"/>
    <w:rsid w:val="009B02F2"/>
    <w:rsid w:val="009B0353"/>
    <w:rsid w:val="009B04F1"/>
    <w:rsid w:val="009B0552"/>
    <w:rsid w:val="009B0656"/>
    <w:rsid w:val="009B06AA"/>
    <w:rsid w:val="009B07EB"/>
    <w:rsid w:val="009B0862"/>
    <w:rsid w:val="009B0A6F"/>
    <w:rsid w:val="009B0A94"/>
    <w:rsid w:val="009B0B21"/>
    <w:rsid w:val="009B0C62"/>
    <w:rsid w:val="009B0DDD"/>
    <w:rsid w:val="009B1189"/>
    <w:rsid w:val="009B11C9"/>
    <w:rsid w:val="009B11CF"/>
    <w:rsid w:val="009B1356"/>
    <w:rsid w:val="009B1405"/>
    <w:rsid w:val="009B196F"/>
    <w:rsid w:val="009B1977"/>
    <w:rsid w:val="009B1BB1"/>
    <w:rsid w:val="009B1C79"/>
    <w:rsid w:val="009B2063"/>
    <w:rsid w:val="009B23FC"/>
    <w:rsid w:val="009B242A"/>
    <w:rsid w:val="009B24D3"/>
    <w:rsid w:val="009B2653"/>
    <w:rsid w:val="009B2982"/>
    <w:rsid w:val="009B29D1"/>
    <w:rsid w:val="009B2AE8"/>
    <w:rsid w:val="009B2E62"/>
    <w:rsid w:val="009B2F9D"/>
    <w:rsid w:val="009B2FB7"/>
    <w:rsid w:val="009B3474"/>
    <w:rsid w:val="009B38E5"/>
    <w:rsid w:val="009B39F7"/>
    <w:rsid w:val="009B4101"/>
    <w:rsid w:val="009B4527"/>
    <w:rsid w:val="009B465E"/>
    <w:rsid w:val="009B49D3"/>
    <w:rsid w:val="009B4AC7"/>
    <w:rsid w:val="009B4AC8"/>
    <w:rsid w:val="009B4BAF"/>
    <w:rsid w:val="009B4BFF"/>
    <w:rsid w:val="009B4FB3"/>
    <w:rsid w:val="009B4FCE"/>
    <w:rsid w:val="009B509E"/>
    <w:rsid w:val="009B5105"/>
    <w:rsid w:val="009B520A"/>
    <w:rsid w:val="009B52FE"/>
    <w:rsid w:val="009B5622"/>
    <w:rsid w:val="009B57FE"/>
    <w:rsid w:val="009B59E9"/>
    <w:rsid w:val="009B5ADB"/>
    <w:rsid w:val="009B5BBE"/>
    <w:rsid w:val="009B5C18"/>
    <w:rsid w:val="009B5DC8"/>
    <w:rsid w:val="009B5FCC"/>
    <w:rsid w:val="009B6178"/>
    <w:rsid w:val="009B638A"/>
    <w:rsid w:val="009B64F1"/>
    <w:rsid w:val="009B6974"/>
    <w:rsid w:val="009B6B24"/>
    <w:rsid w:val="009B6CFF"/>
    <w:rsid w:val="009B6E8C"/>
    <w:rsid w:val="009B70AA"/>
    <w:rsid w:val="009B72CD"/>
    <w:rsid w:val="009B72D0"/>
    <w:rsid w:val="009B72D3"/>
    <w:rsid w:val="009B74BC"/>
    <w:rsid w:val="009B7699"/>
    <w:rsid w:val="009B78CE"/>
    <w:rsid w:val="009B7BE3"/>
    <w:rsid w:val="009C05B6"/>
    <w:rsid w:val="009C0769"/>
    <w:rsid w:val="009C08B6"/>
    <w:rsid w:val="009C094A"/>
    <w:rsid w:val="009C0C4E"/>
    <w:rsid w:val="009C1031"/>
    <w:rsid w:val="009C1251"/>
    <w:rsid w:val="009C12BB"/>
    <w:rsid w:val="009C14B5"/>
    <w:rsid w:val="009C16A2"/>
    <w:rsid w:val="009C1810"/>
    <w:rsid w:val="009C1B71"/>
    <w:rsid w:val="009C1B97"/>
    <w:rsid w:val="009C1F85"/>
    <w:rsid w:val="009C2162"/>
    <w:rsid w:val="009C22BB"/>
    <w:rsid w:val="009C245E"/>
    <w:rsid w:val="009C24B5"/>
    <w:rsid w:val="009C2569"/>
    <w:rsid w:val="009C2726"/>
    <w:rsid w:val="009C28CF"/>
    <w:rsid w:val="009C2D3F"/>
    <w:rsid w:val="009C2E34"/>
    <w:rsid w:val="009C2EAF"/>
    <w:rsid w:val="009C2ECD"/>
    <w:rsid w:val="009C333F"/>
    <w:rsid w:val="009C3916"/>
    <w:rsid w:val="009C3A0E"/>
    <w:rsid w:val="009C3B48"/>
    <w:rsid w:val="009C3C74"/>
    <w:rsid w:val="009C3D2B"/>
    <w:rsid w:val="009C3D74"/>
    <w:rsid w:val="009C3E76"/>
    <w:rsid w:val="009C3F32"/>
    <w:rsid w:val="009C40F4"/>
    <w:rsid w:val="009C4272"/>
    <w:rsid w:val="009C46EF"/>
    <w:rsid w:val="009C4ACB"/>
    <w:rsid w:val="009C4BEC"/>
    <w:rsid w:val="009C4C0F"/>
    <w:rsid w:val="009C4C5E"/>
    <w:rsid w:val="009C4D78"/>
    <w:rsid w:val="009C4F65"/>
    <w:rsid w:val="009C580C"/>
    <w:rsid w:val="009C5822"/>
    <w:rsid w:val="009C5829"/>
    <w:rsid w:val="009C5876"/>
    <w:rsid w:val="009C5E77"/>
    <w:rsid w:val="009C60F1"/>
    <w:rsid w:val="009C6118"/>
    <w:rsid w:val="009C6298"/>
    <w:rsid w:val="009C66CB"/>
    <w:rsid w:val="009C68AC"/>
    <w:rsid w:val="009C6B39"/>
    <w:rsid w:val="009C6BD8"/>
    <w:rsid w:val="009C6D50"/>
    <w:rsid w:val="009C6DAB"/>
    <w:rsid w:val="009C7105"/>
    <w:rsid w:val="009C729A"/>
    <w:rsid w:val="009C72B2"/>
    <w:rsid w:val="009C7A7E"/>
    <w:rsid w:val="009C7E64"/>
    <w:rsid w:val="009D02E8"/>
    <w:rsid w:val="009D07CA"/>
    <w:rsid w:val="009D083E"/>
    <w:rsid w:val="009D0D04"/>
    <w:rsid w:val="009D0EDB"/>
    <w:rsid w:val="009D1005"/>
    <w:rsid w:val="009D11AB"/>
    <w:rsid w:val="009D124A"/>
    <w:rsid w:val="009D1342"/>
    <w:rsid w:val="009D1855"/>
    <w:rsid w:val="009D19BA"/>
    <w:rsid w:val="009D1ED9"/>
    <w:rsid w:val="009D23BB"/>
    <w:rsid w:val="009D24A4"/>
    <w:rsid w:val="009D2522"/>
    <w:rsid w:val="009D2778"/>
    <w:rsid w:val="009D2B9A"/>
    <w:rsid w:val="009D3462"/>
    <w:rsid w:val="009D3D27"/>
    <w:rsid w:val="009D3E4E"/>
    <w:rsid w:val="009D3E4F"/>
    <w:rsid w:val="009D3EFC"/>
    <w:rsid w:val="009D430E"/>
    <w:rsid w:val="009D439F"/>
    <w:rsid w:val="009D43BF"/>
    <w:rsid w:val="009D44A2"/>
    <w:rsid w:val="009D49D7"/>
    <w:rsid w:val="009D4FC2"/>
    <w:rsid w:val="009D5081"/>
    <w:rsid w:val="009D51D0"/>
    <w:rsid w:val="009D53B3"/>
    <w:rsid w:val="009D55C1"/>
    <w:rsid w:val="009D59BD"/>
    <w:rsid w:val="009D59E9"/>
    <w:rsid w:val="009D5A14"/>
    <w:rsid w:val="009D5BA0"/>
    <w:rsid w:val="009D5C84"/>
    <w:rsid w:val="009D5CEB"/>
    <w:rsid w:val="009D5DD7"/>
    <w:rsid w:val="009D60A4"/>
    <w:rsid w:val="009D6130"/>
    <w:rsid w:val="009D63C2"/>
    <w:rsid w:val="009D6700"/>
    <w:rsid w:val="009D6971"/>
    <w:rsid w:val="009D698D"/>
    <w:rsid w:val="009D6A2D"/>
    <w:rsid w:val="009D6B3E"/>
    <w:rsid w:val="009D6C3D"/>
    <w:rsid w:val="009D6C93"/>
    <w:rsid w:val="009D6D86"/>
    <w:rsid w:val="009D6ED3"/>
    <w:rsid w:val="009D70A4"/>
    <w:rsid w:val="009D710B"/>
    <w:rsid w:val="009D7348"/>
    <w:rsid w:val="009D7367"/>
    <w:rsid w:val="009D749D"/>
    <w:rsid w:val="009D75A6"/>
    <w:rsid w:val="009D7928"/>
    <w:rsid w:val="009D799D"/>
    <w:rsid w:val="009D7B14"/>
    <w:rsid w:val="009D7CA1"/>
    <w:rsid w:val="009D7E69"/>
    <w:rsid w:val="009D7E6D"/>
    <w:rsid w:val="009E0041"/>
    <w:rsid w:val="009E0126"/>
    <w:rsid w:val="009E0707"/>
    <w:rsid w:val="009E0888"/>
    <w:rsid w:val="009E08D1"/>
    <w:rsid w:val="009E09C7"/>
    <w:rsid w:val="009E0AD7"/>
    <w:rsid w:val="009E0AE3"/>
    <w:rsid w:val="009E0B33"/>
    <w:rsid w:val="009E0B5E"/>
    <w:rsid w:val="009E0CA1"/>
    <w:rsid w:val="009E0D96"/>
    <w:rsid w:val="009E0F48"/>
    <w:rsid w:val="009E16AC"/>
    <w:rsid w:val="009E1912"/>
    <w:rsid w:val="009E1B95"/>
    <w:rsid w:val="009E1E3A"/>
    <w:rsid w:val="009E1FC9"/>
    <w:rsid w:val="009E20A8"/>
    <w:rsid w:val="009E21A3"/>
    <w:rsid w:val="009E23B5"/>
    <w:rsid w:val="009E2563"/>
    <w:rsid w:val="009E2679"/>
    <w:rsid w:val="009E27C5"/>
    <w:rsid w:val="009E2896"/>
    <w:rsid w:val="009E2939"/>
    <w:rsid w:val="009E29A0"/>
    <w:rsid w:val="009E2A4A"/>
    <w:rsid w:val="009E2BEF"/>
    <w:rsid w:val="009E2D81"/>
    <w:rsid w:val="009E3202"/>
    <w:rsid w:val="009E342E"/>
    <w:rsid w:val="009E3502"/>
    <w:rsid w:val="009E37B0"/>
    <w:rsid w:val="009E3A62"/>
    <w:rsid w:val="009E3B86"/>
    <w:rsid w:val="009E3CD2"/>
    <w:rsid w:val="009E3DBF"/>
    <w:rsid w:val="009E40DB"/>
    <w:rsid w:val="009E415F"/>
    <w:rsid w:val="009E439B"/>
    <w:rsid w:val="009E4404"/>
    <w:rsid w:val="009E471C"/>
    <w:rsid w:val="009E4895"/>
    <w:rsid w:val="009E490B"/>
    <w:rsid w:val="009E496F"/>
    <w:rsid w:val="009E49FE"/>
    <w:rsid w:val="009E4B0D"/>
    <w:rsid w:val="009E4B99"/>
    <w:rsid w:val="009E4C00"/>
    <w:rsid w:val="009E4C28"/>
    <w:rsid w:val="009E4E70"/>
    <w:rsid w:val="009E4F0B"/>
    <w:rsid w:val="009E50EA"/>
    <w:rsid w:val="009E5250"/>
    <w:rsid w:val="009E53CC"/>
    <w:rsid w:val="009E53E8"/>
    <w:rsid w:val="009E55E0"/>
    <w:rsid w:val="009E5857"/>
    <w:rsid w:val="009E642C"/>
    <w:rsid w:val="009E6438"/>
    <w:rsid w:val="009E64A0"/>
    <w:rsid w:val="009E6685"/>
    <w:rsid w:val="009E66DA"/>
    <w:rsid w:val="009E67DF"/>
    <w:rsid w:val="009E6F45"/>
    <w:rsid w:val="009E70FF"/>
    <w:rsid w:val="009E712E"/>
    <w:rsid w:val="009E722C"/>
    <w:rsid w:val="009E72C9"/>
    <w:rsid w:val="009E7302"/>
    <w:rsid w:val="009E730C"/>
    <w:rsid w:val="009E739E"/>
    <w:rsid w:val="009E73E7"/>
    <w:rsid w:val="009E755D"/>
    <w:rsid w:val="009E75ED"/>
    <w:rsid w:val="009E769D"/>
    <w:rsid w:val="009E76DE"/>
    <w:rsid w:val="009E7A69"/>
    <w:rsid w:val="009E7E2C"/>
    <w:rsid w:val="009E7F92"/>
    <w:rsid w:val="009F0087"/>
    <w:rsid w:val="009F00E6"/>
    <w:rsid w:val="009F0275"/>
    <w:rsid w:val="009F02A3"/>
    <w:rsid w:val="009F0405"/>
    <w:rsid w:val="009F05B4"/>
    <w:rsid w:val="009F07E1"/>
    <w:rsid w:val="009F0840"/>
    <w:rsid w:val="009F0E21"/>
    <w:rsid w:val="009F1471"/>
    <w:rsid w:val="009F14BB"/>
    <w:rsid w:val="009F16A9"/>
    <w:rsid w:val="009F1807"/>
    <w:rsid w:val="009F196F"/>
    <w:rsid w:val="009F1C28"/>
    <w:rsid w:val="009F1DEC"/>
    <w:rsid w:val="009F1F2D"/>
    <w:rsid w:val="009F2182"/>
    <w:rsid w:val="009F22F9"/>
    <w:rsid w:val="009F2815"/>
    <w:rsid w:val="009F2AE7"/>
    <w:rsid w:val="009F2B52"/>
    <w:rsid w:val="009F2CB8"/>
    <w:rsid w:val="009F2E24"/>
    <w:rsid w:val="009F2F27"/>
    <w:rsid w:val="009F2F99"/>
    <w:rsid w:val="009F34AA"/>
    <w:rsid w:val="009F37BE"/>
    <w:rsid w:val="009F388A"/>
    <w:rsid w:val="009F3922"/>
    <w:rsid w:val="009F3C5D"/>
    <w:rsid w:val="009F3EDE"/>
    <w:rsid w:val="009F402D"/>
    <w:rsid w:val="009F4550"/>
    <w:rsid w:val="009F4707"/>
    <w:rsid w:val="009F5019"/>
    <w:rsid w:val="009F512F"/>
    <w:rsid w:val="009F5605"/>
    <w:rsid w:val="009F5A5A"/>
    <w:rsid w:val="009F5A86"/>
    <w:rsid w:val="009F5BAC"/>
    <w:rsid w:val="009F61D9"/>
    <w:rsid w:val="009F62E8"/>
    <w:rsid w:val="009F649B"/>
    <w:rsid w:val="009F667F"/>
    <w:rsid w:val="009F6B89"/>
    <w:rsid w:val="009F6BCB"/>
    <w:rsid w:val="009F6E5D"/>
    <w:rsid w:val="009F6FEB"/>
    <w:rsid w:val="009F743A"/>
    <w:rsid w:val="009F7639"/>
    <w:rsid w:val="009F7A8E"/>
    <w:rsid w:val="009F7B78"/>
    <w:rsid w:val="009F7DE0"/>
    <w:rsid w:val="009F7E6F"/>
    <w:rsid w:val="009F7EC5"/>
    <w:rsid w:val="00A00033"/>
    <w:rsid w:val="00A00140"/>
    <w:rsid w:val="00A0024D"/>
    <w:rsid w:val="00A003E4"/>
    <w:rsid w:val="00A00530"/>
    <w:rsid w:val="00A0057A"/>
    <w:rsid w:val="00A00B06"/>
    <w:rsid w:val="00A00E03"/>
    <w:rsid w:val="00A01034"/>
    <w:rsid w:val="00A01331"/>
    <w:rsid w:val="00A013CF"/>
    <w:rsid w:val="00A018A5"/>
    <w:rsid w:val="00A019A6"/>
    <w:rsid w:val="00A01C26"/>
    <w:rsid w:val="00A01C7E"/>
    <w:rsid w:val="00A01DBE"/>
    <w:rsid w:val="00A01F68"/>
    <w:rsid w:val="00A020BA"/>
    <w:rsid w:val="00A022DB"/>
    <w:rsid w:val="00A02441"/>
    <w:rsid w:val="00A02820"/>
    <w:rsid w:val="00A0299B"/>
    <w:rsid w:val="00A029C9"/>
    <w:rsid w:val="00A02CAF"/>
    <w:rsid w:val="00A02F07"/>
    <w:rsid w:val="00A02FA1"/>
    <w:rsid w:val="00A0309A"/>
    <w:rsid w:val="00A03156"/>
    <w:rsid w:val="00A03158"/>
    <w:rsid w:val="00A03491"/>
    <w:rsid w:val="00A03594"/>
    <w:rsid w:val="00A03596"/>
    <w:rsid w:val="00A03915"/>
    <w:rsid w:val="00A03B34"/>
    <w:rsid w:val="00A03D69"/>
    <w:rsid w:val="00A03E43"/>
    <w:rsid w:val="00A0406E"/>
    <w:rsid w:val="00A04253"/>
    <w:rsid w:val="00A042CF"/>
    <w:rsid w:val="00A043EA"/>
    <w:rsid w:val="00A04692"/>
    <w:rsid w:val="00A04775"/>
    <w:rsid w:val="00A047A0"/>
    <w:rsid w:val="00A0482C"/>
    <w:rsid w:val="00A049A1"/>
    <w:rsid w:val="00A04B12"/>
    <w:rsid w:val="00A04BF9"/>
    <w:rsid w:val="00A04C4F"/>
    <w:rsid w:val="00A04CCE"/>
    <w:rsid w:val="00A04D1B"/>
    <w:rsid w:val="00A052B2"/>
    <w:rsid w:val="00A0564A"/>
    <w:rsid w:val="00A05781"/>
    <w:rsid w:val="00A05804"/>
    <w:rsid w:val="00A05CD4"/>
    <w:rsid w:val="00A05D38"/>
    <w:rsid w:val="00A05DDB"/>
    <w:rsid w:val="00A06016"/>
    <w:rsid w:val="00A060CF"/>
    <w:rsid w:val="00A0611A"/>
    <w:rsid w:val="00A0628A"/>
    <w:rsid w:val="00A064F9"/>
    <w:rsid w:val="00A0683E"/>
    <w:rsid w:val="00A06923"/>
    <w:rsid w:val="00A06ADC"/>
    <w:rsid w:val="00A06CEB"/>
    <w:rsid w:val="00A06F38"/>
    <w:rsid w:val="00A0713F"/>
    <w:rsid w:val="00A073E9"/>
    <w:rsid w:val="00A07421"/>
    <w:rsid w:val="00A07686"/>
    <w:rsid w:val="00A076F3"/>
    <w:rsid w:val="00A07705"/>
    <w:rsid w:val="00A0776B"/>
    <w:rsid w:val="00A0781D"/>
    <w:rsid w:val="00A1010B"/>
    <w:rsid w:val="00A103F7"/>
    <w:rsid w:val="00A10410"/>
    <w:rsid w:val="00A10497"/>
    <w:rsid w:val="00A10680"/>
    <w:rsid w:val="00A1079A"/>
    <w:rsid w:val="00A10807"/>
    <w:rsid w:val="00A10C0D"/>
    <w:rsid w:val="00A10FB9"/>
    <w:rsid w:val="00A11016"/>
    <w:rsid w:val="00A1131B"/>
    <w:rsid w:val="00A113AC"/>
    <w:rsid w:val="00A11421"/>
    <w:rsid w:val="00A1157C"/>
    <w:rsid w:val="00A115E4"/>
    <w:rsid w:val="00A11865"/>
    <w:rsid w:val="00A11901"/>
    <w:rsid w:val="00A11A48"/>
    <w:rsid w:val="00A11B35"/>
    <w:rsid w:val="00A11BF2"/>
    <w:rsid w:val="00A11C83"/>
    <w:rsid w:val="00A11E00"/>
    <w:rsid w:val="00A1200A"/>
    <w:rsid w:val="00A12056"/>
    <w:rsid w:val="00A12115"/>
    <w:rsid w:val="00A12201"/>
    <w:rsid w:val="00A1237A"/>
    <w:rsid w:val="00A12899"/>
    <w:rsid w:val="00A128C8"/>
    <w:rsid w:val="00A12B77"/>
    <w:rsid w:val="00A12CE5"/>
    <w:rsid w:val="00A12D65"/>
    <w:rsid w:val="00A12FD5"/>
    <w:rsid w:val="00A12FF7"/>
    <w:rsid w:val="00A133D4"/>
    <w:rsid w:val="00A13468"/>
    <w:rsid w:val="00A1389F"/>
    <w:rsid w:val="00A13B7A"/>
    <w:rsid w:val="00A13CDD"/>
    <w:rsid w:val="00A13DCA"/>
    <w:rsid w:val="00A13E32"/>
    <w:rsid w:val="00A140C6"/>
    <w:rsid w:val="00A140E9"/>
    <w:rsid w:val="00A14187"/>
    <w:rsid w:val="00A141CF"/>
    <w:rsid w:val="00A14415"/>
    <w:rsid w:val="00A14578"/>
    <w:rsid w:val="00A145FC"/>
    <w:rsid w:val="00A146BC"/>
    <w:rsid w:val="00A146C2"/>
    <w:rsid w:val="00A14783"/>
    <w:rsid w:val="00A15525"/>
    <w:rsid w:val="00A155F4"/>
    <w:rsid w:val="00A157B1"/>
    <w:rsid w:val="00A15815"/>
    <w:rsid w:val="00A159CE"/>
    <w:rsid w:val="00A15A4C"/>
    <w:rsid w:val="00A15C95"/>
    <w:rsid w:val="00A15CA5"/>
    <w:rsid w:val="00A15CD4"/>
    <w:rsid w:val="00A16056"/>
    <w:rsid w:val="00A16236"/>
    <w:rsid w:val="00A16284"/>
    <w:rsid w:val="00A16403"/>
    <w:rsid w:val="00A166FD"/>
    <w:rsid w:val="00A16857"/>
    <w:rsid w:val="00A169BE"/>
    <w:rsid w:val="00A16A5A"/>
    <w:rsid w:val="00A16C72"/>
    <w:rsid w:val="00A16C77"/>
    <w:rsid w:val="00A16D5E"/>
    <w:rsid w:val="00A1736E"/>
    <w:rsid w:val="00A175E8"/>
    <w:rsid w:val="00A179B9"/>
    <w:rsid w:val="00A179CE"/>
    <w:rsid w:val="00A17A0A"/>
    <w:rsid w:val="00A17D4F"/>
    <w:rsid w:val="00A17F04"/>
    <w:rsid w:val="00A203A0"/>
    <w:rsid w:val="00A207C8"/>
    <w:rsid w:val="00A20A00"/>
    <w:rsid w:val="00A20ABD"/>
    <w:rsid w:val="00A20E3E"/>
    <w:rsid w:val="00A20E46"/>
    <w:rsid w:val="00A20EF2"/>
    <w:rsid w:val="00A21083"/>
    <w:rsid w:val="00A2129C"/>
    <w:rsid w:val="00A213C9"/>
    <w:rsid w:val="00A216E9"/>
    <w:rsid w:val="00A217F5"/>
    <w:rsid w:val="00A218A7"/>
    <w:rsid w:val="00A21917"/>
    <w:rsid w:val="00A21AF0"/>
    <w:rsid w:val="00A21D81"/>
    <w:rsid w:val="00A21DA3"/>
    <w:rsid w:val="00A21EF3"/>
    <w:rsid w:val="00A21F22"/>
    <w:rsid w:val="00A22229"/>
    <w:rsid w:val="00A223F2"/>
    <w:rsid w:val="00A223FE"/>
    <w:rsid w:val="00A224EF"/>
    <w:rsid w:val="00A225BF"/>
    <w:rsid w:val="00A2297C"/>
    <w:rsid w:val="00A22C76"/>
    <w:rsid w:val="00A23190"/>
    <w:rsid w:val="00A23420"/>
    <w:rsid w:val="00A23529"/>
    <w:rsid w:val="00A23622"/>
    <w:rsid w:val="00A2362B"/>
    <w:rsid w:val="00A239B2"/>
    <w:rsid w:val="00A23C50"/>
    <w:rsid w:val="00A23CD5"/>
    <w:rsid w:val="00A23F2B"/>
    <w:rsid w:val="00A23F4B"/>
    <w:rsid w:val="00A24024"/>
    <w:rsid w:val="00A24048"/>
    <w:rsid w:val="00A24167"/>
    <w:rsid w:val="00A2416A"/>
    <w:rsid w:val="00A24442"/>
    <w:rsid w:val="00A2450A"/>
    <w:rsid w:val="00A2474B"/>
    <w:rsid w:val="00A247E1"/>
    <w:rsid w:val="00A24808"/>
    <w:rsid w:val="00A24ADA"/>
    <w:rsid w:val="00A24B6D"/>
    <w:rsid w:val="00A24C96"/>
    <w:rsid w:val="00A24D5B"/>
    <w:rsid w:val="00A252C9"/>
    <w:rsid w:val="00A2553B"/>
    <w:rsid w:val="00A25A95"/>
    <w:rsid w:val="00A25D3B"/>
    <w:rsid w:val="00A25DD9"/>
    <w:rsid w:val="00A25F40"/>
    <w:rsid w:val="00A25FBB"/>
    <w:rsid w:val="00A261C7"/>
    <w:rsid w:val="00A262F8"/>
    <w:rsid w:val="00A2638C"/>
    <w:rsid w:val="00A26B91"/>
    <w:rsid w:val="00A26FE6"/>
    <w:rsid w:val="00A2740E"/>
    <w:rsid w:val="00A27718"/>
    <w:rsid w:val="00A27953"/>
    <w:rsid w:val="00A27D81"/>
    <w:rsid w:val="00A27ECE"/>
    <w:rsid w:val="00A300C5"/>
    <w:rsid w:val="00A303F1"/>
    <w:rsid w:val="00A306B1"/>
    <w:rsid w:val="00A306ED"/>
    <w:rsid w:val="00A30916"/>
    <w:rsid w:val="00A30AA1"/>
    <w:rsid w:val="00A30C7A"/>
    <w:rsid w:val="00A30E5A"/>
    <w:rsid w:val="00A30EFB"/>
    <w:rsid w:val="00A30F8B"/>
    <w:rsid w:val="00A3113C"/>
    <w:rsid w:val="00A3128E"/>
    <w:rsid w:val="00A3132D"/>
    <w:rsid w:val="00A31349"/>
    <w:rsid w:val="00A31658"/>
    <w:rsid w:val="00A31753"/>
    <w:rsid w:val="00A319BF"/>
    <w:rsid w:val="00A31AE0"/>
    <w:rsid w:val="00A31D88"/>
    <w:rsid w:val="00A31F60"/>
    <w:rsid w:val="00A31FE6"/>
    <w:rsid w:val="00A32131"/>
    <w:rsid w:val="00A321D1"/>
    <w:rsid w:val="00A322C5"/>
    <w:rsid w:val="00A323B8"/>
    <w:rsid w:val="00A32577"/>
    <w:rsid w:val="00A32C39"/>
    <w:rsid w:val="00A330BB"/>
    <w:rsid w:val="00A3367F"/>
    <w:rsid w:val="00A33765"/>
    <w:rsid w:val="00A33AA5"/>
    <w:rsid w:val="00A33C33"/>
    <w:rsid w:val="00A33C48"/>
    <w:rsid w:val="00A33D68"/>
    <w:rsid w:val="00A33E6A"/>
    <w:rsid w:val="00A33EBF"/>
    <w:rsid w:val="00A34004"/>
    <w:rsid w:val="00A346C2"/>
    <w:rsid w:val="00A34B6E"/>
    <w:rsid w:val="00A34C8B"/>
    <w:rsid w:val="00A34D86"/>
    <w:rsid w:val="00A34F45"/>
    <w:rsid w:val="00A34FB2"/>
    <w:rsid w:val="00A34FF3"/>
    <w:rsid w:val="00A35496"/>
    <w:rsid w:val="00A3580D"/>
    <w:rsid w:val="00A35B68"/>
    <w:rsid w:val="00A35C80"/>
    <w:rsid w:val="00A35D92"/>
    <w:rsid w:val="00A35D98"/>
    <w:rsid w:val="00A360A1"/>
    <w:rsid w:val="00A36163"/>
    <w:rsid w:val="00A3625E"/>
    <w:rsid w:val="00A3631B"/>
    <w:rsid w:val="00A363ED"/>
    <w:rsid w:val="00A36455"/>
    <w:rsid w:val="00A365FD"/>
    <w:rsid w:val="00A366AC"/>
    <w:rsid w:val="00A367DB"/>
    <w:rsid w:val="00A36893"/>
    <w:rsid w:val="00A36A61"/>
    <w:rsid w:val="00A36AB3"/>
    <w:rsid w:val="00A36C49"/>
    <w:rsid w:val="00A36E56"/>
    <w:rsid w:val="00A36EF7"/>
    <w:rsid w:val="00A3755C"/>
    <w:rsid w:val="00A376DF"/>
    <w:rsid w:val="00A3771E"/>
    <w:rsid w:val="00A37922"/>
    <w:rsid w:val="00A37AC2"/>
    <w:rsid w:val="00A37ACC"/>
    <w:rsid w:val="00A37B0D"/>
    <w:rsid w:val="00A37E25"/>
    <w:rsid w:val="00A37EC8"/>
    <w:rsid w:val="00A37ECF"/>
    <w:rsid w:val="00A40356"/>
    <w:rsid w:val="00A4057D"/>
    <w:rsid w:val="00A4078C"/>
    <w:rsid w:val="00A40A2E"/>
    <w:rsid w:val="00A40D8B"/>
    <w:rsid w:val="00A40DA5"/>
    <w:rsid w:val="00A40DAD"/>
    <w:rsid w:val="00A40F43"/>
    <w:rsid w:val="00A4111E"/>
    <w:rsid w:val="00A41232"/>
    <w:rsid w:val="00A41398"/>
    <w:rsid w:val="00A4172C"/>
    <w:rsid w:val="00A41BD5"/>
    <w:rsid w:val="00A41D7E"/>
    <w:rsid w:val="00A42092"/>
    <w:rsid w:val="00A421B4"/>
    <w:rsid w:val="00A4264A"/>
    <w:rsid w:val="00A4286C"/>
    <w:rsid w:val="00A428CF"/>
    <w:rsid w:val="00A42B49"/>
    <w:rsid w:val="00A42B7F"/>
    <w:rsid w:val="00A42C61"/>
    <w:rsid w:val="00A42D99"/>
    <w:rsid w:val="00A42E73"/>
    <w:rsid w:val="00A42E91"/>
    <w:rsid w:val="00A42F29"/>
    <w:rsid w:val="00A42FB7"/>
    <w:rsid w:val="00A42FC7"/>
    <w:rsid w:val="00A43409"/>
    <w:rsid w:val="00A43448"/>
    <w:rsid w:val="00A43951"/>
    <w:rsid w:val="00A43A56"/>
    <w:rsid w:val="00A43A73"/>
    <w:rsid w:val="00A43AB4"/>
    <w:rsid w:val="00A43B3B"/>
    <w:rsid w:val="00A43F45"/>
    <w:rsid w:val="00A443BC"/>
    <w:rsid w:val="00A44498"/>
    <w:rsid w:val="00A444DB"/>
    <w:rsid w:val="00A444FF"/>
    <w:rsid w:val="00A4456A"/>
    <w:rsid w:val="00A446F5"/>
    <w:rsid w:val="00A44882"/>
    <w:rsid w:val="00A449CC"/>
    <w:rsid w:val="00A44C10"/>
    <w:rsid w:val="00A45125"/>
    <w:rsid w:val="00A45577"/>
    <w:rsid w:val="00A45799"/>
    <w:rsid w:val="00A45F1D"/>
    <w:rsid w:val="00A4601E"/>
    <w:rsid w:val="00A46077"/>
    <w:rsid w:val="00A4626B"/>
    <w:rsid w:val="00A4626F"/>
    <w:rsid w:val="00A46333"/>
    <w:rsid w:val="00A46816"/>
    <w:rsid w:val="00A46A93"/>
    <w:rsid w:val="00A46BF6"/>
    <w:rsid w:val="00A47000"/>
    <w:rsid w:val="00A47580"/>
    <w:rsid w:val="00A4766C"/>
    <w:rsid w:val="00A476FD"/>
    <w:rsid w:val="00A47797"/>
    <w:rsid w:val="00A478BC"/>
    <w:rsid w:val="00A4798D"/>
    <w:rsid w:val="00A479CF"/>
    <w:rsid w:val="00A47AC7"/>
    <w:rsid w:val="00A47B0F"/>
    <w:rsid w:val="00A47C7A"/>
    <w:rsid w:val="00A47CDF"/>
    <w:rsid w:val="00A47D64"/>
    <w:rsid w:val="00A47FA1"/>
    <w:rsid w:val="00A50055"/>
    <w:rsid w:val="00A50505"/>
    <w:rsid w:val="00A50FA6"/>
    <w:rsid w:val="00A5103A"/>
    <w:rsid w:val="00A51413"/>
    <w:rsid w:val="00A51654"/>
    <w:rsid w:val="00A51808"/>
    <w:rsid w:val="00A5189B"/>
    <w:rsid w:val="00A51AA2"/>
    <w:rsid w:val="00A51D6B"/>
    <w:rsid w:val="00A51E17"/>
    <w:rsid w:val="00A51F57"/>
    <w:rsid w:val="00A52151"/>
    <w:rsid w:val="00A52435"/>
    <w:rsid w:val="00A5254D"/>
    <w:rsid w:val="00A5268A"/>
    <w:rsid w:val="00A5278B"/>
    <w:rsid w:val="00A52886"/>
    <w:rsid w:val="00A528C9"/>
    <w:rsid w:val="00A52995"/>
    <w:rsid w:val="00A52A14"/>
    <w:rsid w:val="00A52B08"/>
    <w:rsid w:val="00A52CD8"/>
    <w:rsid w:val="00A52D9D"/>
    <w:rsid w:val="00A52DD9"/>
    <w:rsid w:val="00A52FF3"/>
    <w:rsid w:val="00A53226"/>
    <w:rsid w:val="00A5338D"/>
    <w:rsid w:val="00A53504"/>
    <w:rsid w:val="00A5388B"/>
    <w:rsid w:val="00A538F5"/>
    <w:rsid w:val="00A53917"/>
    <w:rsid w:val="00A53993"/>
    <w:rsid w:val="00A53A0F"/>
    <w:rsid w:val="00A53CAB"/>
    <w:rsid w:val="00A53CBB"/>
    <w:rsid w:val="00A53D42"/>
    <w:rsid w:val="00A53EC0"/>
    <w:rsid w:val="00A53F52"/>
    <w:rsid w:val="00A542EC"/>
    <w:rsid w:val="00A54351"/>
    <w:rsid w:val="00A543DE"/>
    <w:rsid w:val="00A54715"/>
    <w:rsid w:val="00A547AA"/>
    <w:rsid w:val="00A54836"/>
    <w:rsid w:val="00A548A5"/>
    <w:rsid w:val="00A54945"/>
    <w:rsid w:val="00A54A57"/>
    <w:rsid w:val="00A54BE3"/>
    <w:rsid w:val="00A54D12"/>
    <w:rsid w:val="00A54F7B"/>
    <w:rsid w:val="00A55230"/>
    <w:rsid w:val="00A5536B"/>
    <w:rsid w:val="00A5543C"/>
    <w:rsid w:val="00A55566"/>
    <w:rsid w:val="00A5571F"/>
    <w:rsid w:val="00A55886"/>
    <w:rsid w:val="00A55A4F"/>
    <w:rsid w:val="00A55ADA"/>
    <w:rsid w:val="00A55B7A"/>
    <w:rsid w:val="00A55D39"/>
    <w:rsid w:val="00A55DDE"/>
    <w:rsid w:val="00A55FE3"/>
    <w:rsid w:val="00A5610F"/>
    <w:rsid w:val="00A5633F"/>
    <w:rsid w:val="00A564CA"/>
    <w:rsid w:val="00A565DA"/>
    <w:rsid w:val="00A567F8"/>
    <w:rsid w:val="00A5693F"/>
    <w:rsid w:val="00A569B5"/>
    <w:rsid w:val="00A56BC0"/>
    <w:rsid w:val="00A56D8C"/>
    <w:rsid w:val="00A56F5B"/>
    <w:rsid w:val="00A570C4"/>
    <w:rsid w:val="00A57210"/>
    <w:rsid w:val="00A57492"/>
    <w:rsid w:val="00A57797"/>
    <w:rsid w:val="00A57827"/>
    <w:rsid w:val="00A57AF5"/>
    <w:rsid w:val="00A57BE1"/>
    <w:rsid w:val="00A57E38"/>
    <w:rsid w:val="00A57E8E"/>
    <w:rsid w:val="00A57F13"/>
    <w:rsid w:val="00A6061C"/>
    <w:rsid w:val="00A607AA"/>
    <w:rsid w:val="00A61059"/>
    <w:rsid w:val="00A6174D"/>
    <w:rsid w:val="00A617AC"/>
    <w:rsid w:val="00A61917"/>
    <w:rsid w:val="00A61CD2"/>
    <w:rsid w:val="00A61D2C"/>
    <w:rsid w:val="00A621DA"/>
    <w:rsid w:val="00A62221"/>
    <w:rsid w:val="00A62324"/>
    <w:rsid w:val="00A62453"/>
    <w:rsid w:val="00A62895"/>
    <w:rsid w:val="00A62AE3"/>
    <w:rsid w:val="00A62C0E"/>
    <w:rsid w:val="00A62D3F"/>
    <w:rsid w:val="00A62D44"/>
    <w:rsid w:val="00A62FF3"/>
    <w:rsid w:val="00A6327E"/>
    <w:rsid w:val="00A63307"/>
    <w:rsid w:val="00A639B3"/>
    <w:rsid w:val="00A63A20"/>
    <w:rsid w:val="00A63B22"/>
    <w:rsid w:val="00A63B31"/>
    <w:rsid w:val="00A63D93"/>
    <w:rsid w:val="00A63F04"/>
    <w:rsid w:val="00A63F3E"/>
    <w:rsid w:val="00A6408F"/>
    <w:rsid w:val="00A64221"/>
    <w:rsid w:val="00A64277"/>
    <w:rsid w:val="00A6455C"/>
    <w:rsid w:val="00A648DF"/>
    <w:rsid w:val="00A64B38"/>
    <w:rsid w:val="00A64B42"/>
    <w:rsid w:val="00A64B7C"/>
    <w:rsid w:val="00A64BF6"/>
    <w:rsid w:val="00A64FBE"/>
    <w:rsid w:val="00A6502D"/>
    <w:rsid w:val="00A6533D"/>
    <w:rsid w:val="00A6598C"/>
    <w:rsid w:val="00A65B2B"/>
    <w:rsid w:val="00A65B58"/>
    <w:rsid w:val="00A65CB5"/>
    <w:rsid w:val="00A65CEB"/>
    <w:rsid w:val="00A65FCC"/>
    <w:rsid w:val="00A66196"/>
    <w:rsid w:val="00A662A9"/>
    <w:rsid w:val="00A66369"/>
    <w:rsid w:val="00A66433"/>
    <w:rsid w:val="00A664B6"/>
    <w:rsid w:val="00A66569"/>
    <w:rsid w:val="00A66691"/>
    <w:rsid w:val="00A667DA"/>
    <w:rsid w:val="00A66A92"/>
    <w:rsid w:val="00A66ECA"/>
    <w:rsid w:val="00A66F42"/>
    <w:rsid w:val="00A67263"/>
    <w:rsid w:val="00A6731D"/>
    <w:rsid w:val="00A6748E"/>
    <w:rsid w:val="00A6755F"/>
    <w:rsid w:val="00A675DD"/>
    <w:rsid w:val="00A67600"/>
    <w:rsid w:val="00A67761"/>
    <w:rsid w:val="00A67CF2"/>
    <w:rsid w:val="00A67D0D"/>
    <w:rsid w:val="00A67E3F"/>
    <w:rsid w:val="00A67E67"/>
    <w:rsid w:val="00A67E83"/>
    <w:rsid w:val="00A67FBC"/>
    <w:rsid w:val="00A7003F"/>
    <w:rsid w:val="00A702A5"/>
    <w:rsid w:val="00A70861"/>
    <w:rsid w:val="00A708E7"/>
    <w:rsid w:val="00A70ACE"/>
    <w:rsid w:val="00A7107B"/>
    <w:rsid w:val="00A710E2"/>
    <w:rsid w:val="00A71114"/>
    <w:rsid w:val="00A711FC"/>
    <w:rsid w:val="00A713EF"/>
    <w:rsid w:val="00A713F5"/>
    <w:rsid w:val="00A71408"/>
    <w:rsid w:val="00A71589"/>
    <w:rsid w:val="00A715C7"/>
    <w:rsid w:val="00A7161C"/>
    <w:rsid w:val="00A71883"/>
    <w:rsid w:val="00A71BA7"/>
    <w:rsid w:val="00A71CE4"/>
    <w:rsid w:val="00A71DB5"/>
    <w:rsid w:val="00A72581"/>
    <w:rsid w:val="00A72742"/>
    <w:rsid w:val="00A72959"/>
    <w:rsid w:val="00A72B8C"/>
    <w:rsid w:val="00A72C9C"/>
    <w:rsid w:val="00A72E38"/>
    <w:rsid w:val="00A7344B"/>
    <w:rsid w:val="00A73690"/>
    <w:rsid w:val="00A73702"/>
    <w:rsid w:val="00A73827"/>
    <w:rsid w:val="00A739CF"/>
    <w:rsid w:val="00A73A1B"/>
    <w:rsid w:val="00A744E9"/>
    <w:rsid w:val="00A7482C"/>
    <w:rsid w:val="00A74B8C"/>
    <w:rsid w:val="00A74F6B"/>
    <w:rsid w:val="00A74F8D"/>
    <w:rsid w:val="00A75422"/>
    <w:rsid w:val="00A755BC"/>
    <w:rsid w:val="00A75613"/>
    <w:rsid w:val="00A7579D"/>
    <w:rsid w:val="00A75998"/>
    <w:rsid w:val="00A75BE3"/>
    <w:rsid w:val="00A75C64"/>
    <w:rsid w:val="00A75D6A"/>
    <w:rsid w:val="00A75F02"/>
    <w:rsid w:val="00A76051"/>
    <w:rsid w:val="00A7605B"/>
    <w:rsid w:val="00A762EC"/>
    <w:rsid w:val="00A76305"/>
    <w:rsid w:val="00A76406"/>
    <w:rsid w:val="00A76574"/>
    <w:rsid w:val="00A76737"/>
    <w:rsid w:val="00A767A2"/>
    <w:rsid w:val="00A76CF6"/>
    <w:rsid w:val="00A76DDD"/>
    <w:rsid w:val="00A77268"/>
    <w:rsid w:val="00A778E3"/>
    <w:rsid w:val="00A77AA3"/>
    <w:rsid w:val="00A77DDD"/>
    <w:rsid w:val="00A77E4B"/>
    <w:rsid w:val="00A8007A"/>
    <w:rsid w:val="00A804A0"/>
    <w:rsid w:val="00A8058C"/>
    <w:rsid w:val="00A80664"/>
    <w:rsid w:val="00A80781"/>
    <w:rsid w:val="00A80935"/>
    <w:rsid w:val="00A80A03"/>
    <w:rsid w:val="00A80C17"/>
    <w:rsid w:val="00A80C5F"/>
    <w:rsid w:val="00A80D38"/>
    <w:rsid w:val="00A80E1E"/>
    <w:rsid w:val="00A80F1B"/>
    <w:rsid w:val="00A80F97"/>
    <w:rsid w:val="00A81B13"/>
    <w:rsid w:val="00A81DB9"/>
    <w:rsid w:val="00A81F91"/>
    <w:rsid w:val="00A81FF7"/>
    <w:rsid w:val="00A8216B"/>
    <w:rsid w:val="00A821B5"/>
    <w:rsid w:val="00A82294"/>
    <w:rsid w:val="00A8236D"/>
    <w:rsid w:val="00A82370"/>
    <w:rsid w:val="00A824E5"/>
    <w:rsid w:val="00A8255F"/>
    <w:rsid w:val="00A8270C"/>
    <w:rsid w:val="00A8293B"/>
    <w:rsid w:val="00A82B12"/>
    <w:rsid w:val="00A82F33"/>
    <w:rsid w:val="00A831C6"/>
    <w:rsid w:val="00A831E1"/>
    <w:rsid w:val="00A83240"/>
    <w:rsid w:val="00A83412"/>
    <w:rsid w:val="00A835C4"/>
    <w:rsid w:val="00A836E0"/>
    <w:rsid w:val="00A8370B"/>
    <w:rsid w:val="00A8399B"/>
    <w:rsid w:val="00A839A9"/>
    <w:rsid w:val="00A83AE9"/>
    <w:rsid w:val="00A83CAE"/>
    <w:rsid w:val="00A83FFF"/>
    <w:rsid w:val="00A842D7"/>
    <w:rsid w:val="00A844CC"/>
    <w:rsid w:val="00A844D0"/>
    <w:rsid w:val="00A84677"/>
    <w:rsid w:val="00A846CD"/>
    <w:rsid w:val="00A84716"/>
    <w:rsid w:val="00A84C12"/>
    <w:rsid w:val="00A84CBC"/>
    <w:rsid w:val="00A84D8F"/>
    <w:rsid w:val="00A84EAC"/>
    <w:rsid w:val="00A850D8"/>
    <w:rsid w:val="00A853FE"/>
    <w:rsid w:val="00A854D5"/>
    <w:rsid w:val="00A854EB"/>
    <w:rsid w:val="00A856F0"/>
    <w:rsid w:val="00A8586E"/>
    <w:rsid w:val="00A85C1B"/>
    <w:rsid w:val="00A85D14"/>
    <w:rsid w:val="00A85EA0"/>
    <w:rsid w:val="00A85ED7"/>
    <w:rsid w:val="00A85F2C"/>
    <w:rsid w:val="00A86144"/>
    <w:rsid w:val="00A86208"/>
    <w:rsid w:val="00A86295"/>
    <w:rsid w:val="00A862E6"/>
    <w:rsid w:val="00A86347"/>
    <w:rsid w:val="00A86530"/>
    <w:rsid w:val="00A86ACE"/>
    <w:rsid w:val="00A86B60"/>
    <w:rsid w:val="00A86EDE"/>
    <w:rsid w:val="00A87219"/>
    <w:rsid w:val="00A872E5"/>
    <w:rsid w:val="00A87721"/>
    <w:rsid w:val="00A8795C"/>
    <w:rsid w:val="00A87B91"/>
    <w:rsid w:val="00A87D05"/>
    <w:rsid w:val="00A87D66"/>
    <w:rsid w:val="00A87E2C"/>
    <w:rsid w:val="00A87F86"/>
    <w:rsid w:val="00A87F94"/>
    <w:rsid w:val="00A9008D"/>
    <w:rsid w:val="00A90499"/>
    <w:rsid w:val="00A90692"/>
    <w:rsid w:val="00A90900"/>
    <w:rsid w:val="00A90B3E"/>
    <w:rsid w:val="00A90C8E"/>
    <w:rsid w:val="00A90D7B"/>
    <w:rsid w:val="00A91219"/>
    <w:rsid w:val="00A9131D"/>
    <w:rsid w:val="00A91406"/>
    <w:rsid w:val="00A91471"/>
    <w:rsid w:val="00A91484"/>
    <w:rsid w:val="00A9167A"/>
    <w:rsid w:val="00A9174C"/>
    <w:rsid w:val="00A9190C"/>
    <w:rsid w:val="00A91B64"/>
    <w:rsid w:val="00A91B7D"/>
    <w:rsid w:val="00A91E97"/>
    <w:rsid w:val="00A91EF1"/>
    <w:rsid w:val="00A92047"/>
    <w:rsid w:val="00A9234C"/>
    <w:rsid w:val="00A925E8"/>
    <w:rsid w:val="00A928B8"/>
    <w:rsid w:val="00A92AF7"/>
    <w:rsid w:val="00A92B2B"/>
    <w:rsid w:val="00A92B9C"/>
    <w:rsid w:val="00A92EF2"/>
    <w:rsid w:val="00A93161"/>
    <w:rsid w:val="00A932A8"/>
    <w:rsid w:val="00A93502"/>
    <w:rsid w:val="00A93853"/>
    <w:rsid w:val="00A93908"/>
    <w:rsid w:val="00A93910"/>
    <w:rsid w:val="00A93994"/>
    <w:rsid w:val="00A93B4B"/>
    <w:rsid w:val="00A93DFC"/>
    <w:rsid w:val="00A9401E"/>
    <w:rsid w:val="00A9402E"/>
    <w:rsid w:val="00A9405D"/>
    <w:rsid w:val="00A941FC"/>
    <w:rsid w:val="00A94499"/>
    <w:rsid w:val="00A9461E"/>
    <w:rsid w:val="00A9485A"/>
    <w:rsid w:val="00A94871"/>
    <w:rsid w:val="00A949DD"/>
    <w:rsid w:val="00A94B41"/>
    <w:rsid w:val="00A94BD3"/>
    <w:rsid w:val="00A94FA2"/>
    <w:rsid w:val="00A95275"/>
    <w:rsid w:val="00A952A5"/>
    <w:rsid w:val="00A95306"/>
    <w:rsid w:val="00A95331"/>
    <w:rsid w:val="00A9577C"/>
    <w:rsid w:val="00A958CD"/>
    <w:rsid w:val="00A95D64"/>
    <w:rsid w:val="00A95ECB"/>
    <w:rsid w:val="00A96021"/>
    <w:rsid w:val="00A96183"/>
    <w:rsid w:val="00A9620E"/>
    <w:rsid w:val="00A96301"/>
    <w:rsid w:val="00A96315"/>
    <w:rsid w:val="00A963A8"/>
    <w:rsid w:val="00A96613"/>
    <w:rsid w:val="00A966BA"/>
    <w:rsid w:val="00A9672A"/>
    <w:rsid w:val="00A969F7"/>
    <w:rsid w:val="00A96C30"/>
    <w:rsid w:val="00A96D33"/>
    <w:rsid w:val="00A96DA0"/>
    <w:rsid w:val="00A96E65"/>
    <w:rsid w:val="00A96ECA"/>
    <w:rsid w:val="00A96ECE"/>
    <w:rsid w:val="00A9729F"/>
    <w:rsid w:val="00A97320"/>
    <w:rsid w:val="00A97326"/>
    <w:rsid w:val="00A974A1"/>
    <w:rsid w:val="00A9779B"/>
    <w:rsid w:val="00A979B2"/>
    <w:rsid w:val="00A97C72"/>
    <w:rsid w:val="00A97E04"/>
    <w:rsid w:val="00A9DE2E"/>
    <w:rsid w:val="00AA00D2"/>
    <w:rsid w:val="00AA0230"/>
    <w:rsid w:val="00AA066A"/>
    <w:rsid w:val="00AA06DF"/>
    <w:rsid w:val="00AA092A"/>
    <w:rsid w:val="00AA0C37"/>
    <w:rsid w:val="00AA0C44"/>
    <w:rsid w:val="00AA0C80"/>
    <w:rsid w:val="00AA0DF6"/>
    <w:rsid w:val="00AA0FB8"/>
    <w:rsid w:val="00AA0FC7"/>
    <w:rsid w:val="00AA0FE2"/>
    <w:rsid w:val="00AA10E3"/>
    <w:rsid w:val="00AA150A"/>
    <w:rsid w:val="00AA159D"/>
    <w:rsid w:val="00AA1615"/>
    <w:rsid w:val="00AA1686"/>
    <w:rsid w:val="00AA1834"/>
    <w:rsid w:val="00AA1DC4"/>
    <w:rsid w:val="00AA1E14"/>
    <w:rsid w:val="00AA2138"/>
    <w:rsid w:val="00AA2210"/>
    <w:rsid w:val="00AA24BC"/>
    <w:rsid w:val="00AA267F"/>
    <w:rsid w:val="00AA2963"/>
    <w:rsid w:val="00AA2C48"/>
    <w:rsid w:val="00AA2D6A"/>
    <w:rsid w:val="00AA2E17"/>
    <w:rsid w:val="00AA2E18"/>
    <w:rsid w:val="00AA2E70"/>
    <w:rsid w:val="00AA2F7B"/>
    <w:rsid w:val="00AA3090"/>
    <w:rsid w:val="00AA310B"/>
    <w:rsid w:val="00AA3489"/>
    <w:rsid w:val="00AA35FB"/>
    <w:rsid w:val="00AA3A5F"/>
    <w:rsid w:val="00AA3E02"/>
    <w:rsid w:val="00AA40FB"/>
    <w:rsid w:val="00AA4107"/>
    <w:rsid w:val="00AA4335"/>
    <w:rsid w:val="00AA4424"/>
    <w:rsid w:val="00AA4563"/>
    <w:rsid w:val="00AA47EA"/>
    <w:rsid w:val="00AA4AD4"/>
    <w:rsid w:val="00AA4B48"/>
    <w:rsid w:val="00AA4B99"/>
    <w:rsid w:val="00AA4D9E"/>
    <w:rsid w:val="00AA574C"/>
    <w:rsid w:val="00AA57E6"/>
    <w:rsid w:val="00AA5937"/>
    <w:rsid w:val="00AA5A75"/>
    <w:rsid w:val="00AA6103"/>
    <w:rsid w:val="00AA629C"/>
    <w:rsid w:val="00AA63D4"/>
    <w:rsid w:val="00AA6422"/>
    <w:rsid w:val="00AA6461"/>
    <w:rsid w:val="00AA6B83"/>
    <w:rsid w:val="00AA6BC3"/>
    <w:rsid w:val="00AA6F6B"/>
    <w:rsid w:val="00AA6FBB"/>
    <w:rsid w:val="00AA732E"/>
    <w:rsid w:val="00AA78DC"/>
    <w:rsid w:val="00AA7934"/>
    <w:rsid w:val="00AA79F8"/>
    <w:rsid w:val="00AA7D45"/>
    <w:rsid w:val="00AA7EBB"/>
    <w:rsid w:val="00AB011D"/>
    <w:rsid w:val="00AB0613"/>
    <w:rsid w:val="00AB06E8"/>
    <w:rsid w:val="00AB0764"/>
    <w:rsid w:val="00AB0F0D"/>
    <w:rsid w:val="00AB114D"/>
    <w:rsid w:val="00AB174D"/>
    <w:rsid w:val="00AB1806"/>
    <w:rsid w:val="00AB1847"/>
    <w:rsid w:val="00AB18CD"/>
    <w:rsid w:val="00AB1932"/>
    <w:rsid w:val="00AB1AC1"/>
    <w:rsid w:val="00AB1B30"/>
    <w:rsid w:val="00AB1CA5"/>
    <w:rsid w:val="00AB1CD3"/>
    <w:rsid w:val="00AB1D4C"/>
    <w:rsid w:val="00AB204B"/>
    <w:rsid w:val="00AB247E"/>
    <w:rsid w:val="00AB2683"/>
    <w:rsid w:val="00AB2727"/>
    <w:rsid w:val="00AB275B"/>
    <w:rsid w:val="00AB2773"/>
    <w:rsid w:val="00AB277C"/>
    <w:rsid w:val="00AB2C71"/>
    <w:rsid w:val="00AB2DE3"/>
    <w:rsid w:val="00AB2F67"/>
    <w:rsid w:val="00AB2FA1"/>
    <w:rsid w:val="00AB30B3"/>
    <w:rsid w:val="00AB315D"/>
    <w:rsid w:val="00AB3413"/>
    <w:rsid w:val="00AB352F"/>
    <w:rsid w:val="00AB3BD4"/>
    <w:rsid w:val="00AB3E04"/>
    <w:rsid w:val="00AB3EDD"/>
    <w:rsid w:val="00AB436D"/>
    <w:rsid w:val="00AB44F2"/>
    <w:rsid w:val="00AB45DB"/>
    <w:rsid w:val="00AB46F4"/>
    <w:rsid w:val="00AB49D8"/>
    <w:rsid w:val="00AB4AE9"/>
    <w:rsid w:val="00AB4B79"/>
    <w:rsid w:val="00AB4CA9"/>
    <w:rsid w:val="00AB4DD3"/>
    <w:rsid w:val="00AB4EE9"/>
    <w:rsid w:val="00AB5252"/>
    <w:rsid w:val="00AB5361"/>
    <w:rsid w:val="00AB53B1"/>
    <w:rsid w:val="00AB56EE"/>
    <w:rsid w:val="00AB56FC"/>
    <w:rsid w:val="00AB57A6"/>
    <w:rsid w:val="00AB5947"/>
    <w:rsid w:val="00AB5A70"/>
    <w:rsid w:val="00AB5AE5"/>
    <w:rsid w:val="00AB5B87"/>
    <w:rsid w:val="00AB5CDD"/>
    <w:rsid w:val="00AB5DB2"/>
    <w:rsid w:val="00AB5F83"/>
    <w:rsid w:val="00AB6191"/>
    <w:rsid w:val="00AB62C3"/>
    <w:rsid w:val="00AB6493"/>
    <w:rsid w:val="00AB65A7"/>
    <w:rsid w:val="00AB66C6"/>
    <w:rsid w:val="00AB684A"/>
    <w:rsid w:val="00AB68DE"/>
    <w:rsid w:val="00AB6B8B"/>
    <w:rsid w:val="00AB6DF5"/>
    <w:rsid w:val="00AB7315"/>
    <w:rsid w:val="00AB7395"/>
    <w:rsid w:val="00AB742C"/>
    <w:rsid w:val="00AB797E"/>
    <w:rsid w:val="00AB7A8D"/>
    <w:rsid w:val="00AB7CA7"/>
    <w:rsid w:val="00AB7CBF"/>
    <w:rsid w:val="00AB7D19"/>
    <w:rsid w:val="00AB7D7D"/>
    <w:rsid w:val="00AB7EA9"/>
    <w:rsid w:val="00AC05E4"/>
    <w:rsid w:val="00AC0B65"/>
    <w:rsid w:val="00AC0C36"/>
    <w:rsid w:val="00AC0D08"/>
    <w:rsid w:val="00AC0FFF"/>
    <w:rsid w:val="00AC1138"/>
    <w:rsid w:val="00AC13C9"/>
    <w:rsid w:val="00AC13F4"/>
    <w:rsid w:val="00AC18E4"/>
    <w:rsid w:val="00AC198A"/>
    <w:rsid w:val="00AC1A10"/>
    <w:rsid w:val="00AC1A5E"/>
    <w:rsid w:val="00AC1A6C"/>
    <w:rsid w:val="00AC1AA1"/>
    <w:rsid w:val="00AC1CE9"/>
    <w:rsid w:val="00AC2479"/>
    <w:rsid w:val="00AC25A9"/>
    <w:rsid w:val="00AC2696"/>
    <w:rsid w:val="00AC274B"/>
    <w:rsid w:val="00AC296D"/>
    <w:rsid w:val="00AC2B0C"/>
    <w:rsid w:val="00AC2BD0"/>
    <w:rsid w:val="00AC2C4C"/>
    <w:rsid w:val="00AC2FE9"/>
    <w:rsid w:val="00AC311B"/>
    <w:rsid w:val="00AC3267"/>
    <w:rsid w:val="00AC348F"/>
    <w:rsid w:val="00AC34D9"/>
    <w:rsid w:val="00AC3528"/>
    <w:rsid w:val="00AC3681"/>
    <w:rsid w:val="00AC3705"/>
    <w:rsid w:val="00AC377D"/>
    <w:rsid w:val="00AC3AF3"/>
    <w:rsid w:val="00AC3C31"/>
    <w:rsid w:val="00AC3D04"/>
    <w:rsid w:val="00AC443B"/>
    <w:rsid w:val="00AC45CD"/>
    <w:rsid w:val="00AC4764"/>
    <w:rsid w:val="00AC4AAA"/>
    <w:rsid w:val="00AC4DF5"/>
    <w:rsid w:val="00AC4E27"/>
    <w:rsid w:val="00AC50DB"/>
    <w:rsid w:val="00AC566C"/>
    <w:rsid w:val="00AC58E5"/>
    <w:rsid w:val="00AC5A94"/>
    <w:rsid w:val="00AC5C87"/>
    <w:rsid w:val="00AC5DEE"/>
    <w:rsid w:val="00AC609E"/>
    <w:rsid w:val="00AC6224"/>
    <w:rsid w:val="00AC6333"/>
    <w:rsid w:val="00AC6656"/>
    <w:rsid w:val="00AC6ACF"/>
    <w:rsid w:val="00AC6B4E"/>
    <w:rsid w:val="00AC6D36"/>
    <w:rsid w:val="00AC6D4C"/>
    <w:rsid w:val="00AC6F3A"/>
    <w:rsid w:val="00AC6FB8"/>
    <w:rsid w:val="00AC70A6"/>
    <w:rsid w:val="00AC70EF"/>
    <w:rsid w:val="00AC71B8"/>
    <w:rsid w:val="00AC7251"/>
    <w:rsid w:val="00AC759F"/>
    <w:rsid w:val="00AC7AAA"/>
    <w:rsid w:val="00AC7B80"/>
    <w:rsid w:val="00AD0376"/>
    <w:rsid w:val="00AD052E"/>
    <w:rsid w:val="00AD065D"/>
    <w:rsid w:val="00AD08A4"/>
    <w:rsid w:val="00AD09AB"/>
    <w:rsid w:val="00AD0CBA"/>
    <w:rsid w:val="00AD0EE4"/>
    <w:rsid w:val="00AD101E"/>
    <w:rsid w:val="00AD1204"/>
    <w:rsid w:val="00AD12B2"/>
    <w:rsid w:val="00AD155C"/>
    <w:rsid w:val="00AD1640"/>
    <w:rsid w:val="00AD164B"/>
    <w:rsid w:val="00AD16AD"/>
    <w:rsid w:val="00AD1703"/>
    <w:rsid w:val="00AD173C"/>
    <w:rsid w:val="00AD1980"/>
    <w:rsid w:val="00AD1A82"/>
    <w:rsid w:val="00AD1CEB"/>
    <w:rsid w:val="00AD1D7D"/>
    <w:rsid w:val="00AD1E30"/>
    <w:rsid w:val="00AD20C1"/>
    <w:rsid w:val="00AD22FE"/>
    <w:rsid w:val="00AD2366"/>
    <w:rsid w:val="00AD25ED"/>
    <w:rsid w:val="00AD2646"/>
    <w:rsid w:val="00AD26E2"/>
    <w:rsid w:val="00AD29DC"/>
    <w:rsid w:val="00AD2A3D"/>
    <w:rsid w:val="00AD2B80"/>
    <w:rsid w:val="00AD2E88"/>
    <w:rsid w:val="00AD30A4"/>
    <w:rsid w:val="00AD34E8"/>
    <w:rsid w:val="00AD3B31"/>
    <w:rsid w:val="00AD3C66"/>
    <w:rsid w:val="00AD3E60"/>
    <w:rsid w:val="00AD3F94"/>
    <w:rsid w:val="00AD415D"/>
    <w:rsid w:val="00AD4182"/>
    <w:rsid w:val="00AD4342"/>
    <w:rsid w:val="00AD4732"/>
    <w:rsid w:val="00AD4797"/>
    <w:rsid w:val="00AD4926"/>
    <w:rsid w:val="00AD4AE2"/>
    <w:rsid w:val="00AD50A6"/>
    <w:rsid w:val="00AD5102"/>
    <w:rsid w:val="00AD5284"/>
    <w:rsid w:val="00AD547B"/>
    <w:rsid w:val="00AD5548"/>
    <w:rsid w:val="00AD58A7"/>
    <w:rsid w:val="00AD64AE"/>
    <w:rsid w:val="00AD6517"/>
    <w:rsid w:val="00AD685C"/>
    <w:rsid w:val="00AD6935"/>
    <w:rsid w:val="00AD6B1A"/>
    <w:rsid w:val="00AD6E56"/>
    <w:rsid w:val="00AD7112"/>
    <w:rsid w:val="00AD7207"/>
    <w:rsid w:val="00AD7560"/>
    <w:rsid w:val="00AD7727"/>
    <w:rsid w:val="00AD77EA"/>
    <w:rsid w:val="00AD77F8"/>
    <w:rsid w:val="00AD784C"/>
    <w:rsid w:val="00AD7A12"/>
    <w:rsid w:val="00AD7A54"/>
    <w:rsid w:val="00AD7A6C"/>
    <w:rsid w:val="00AD7C8E"/>
    <w:rsid w:val="00AE0086"/>
    <w:rsid w:val="00AE0126"/>
    <w:rsid w:val="00AE01D4"/>
    <w:rsid w:val="00AE042D"/>
    <w:rsid w:val="00AE0479"/>
    <w:rsid w:val="00AE0967"/>
    <w:rsid w:val="00AE0CF1"/>
    <w:rsid w:val="00AE0EB0"/>
    <w:rsid w:val="00AE126A"/>
    <w:rsid w:val="00AE12BC"/>
    <w:rsid w:val="00AE13B0"/>
    <w:rsid w:val="00AE1575"/>
    <w:rsid w:val="00AE1787"/>
    <w:rsid w:val="00AE193E"/>
    <w:rsid w:val="00AE1B86"/>
    <w:rsid w:val="00AE1BAE"/>
    <w:rsid w:val="00AE1C3A"/>
    <w:rsid w:val="00AE1EB3"/>
    <w:rsid w:val="00AE20A2"/>
    <w:rsid w:val="00AE210A"/>
    <w:rsid w:val="00AE2438"/>
    <w:rsid w:val="00AE2465"/>
    <w:rsid w:val="00AE27AF"/>
    <w:rsid w:val="00AE2AB3"/>
    <w:rsid w:val="00AE2C07"/>
    <w:rsid w:val="00AE2E0C"/>
    <w:rsid w:val="00AE2F36"/>
    <w:rsid w:val="00AE3005"/>
    <w:rsid w:val="00AE308E"/>
    <w:rsid w:val="00AE3379"/>
    <w:rsid w:val="00AE36B8"/>
    <w:rsid w:val="00AE38F5"/>
    <w:rsid w:val="00AE3BB5"/>
    <w:rsid w:val="00AE3BD5"/>
    <w:rsid w:val="00AE4180"/>
    <w:rsid w:val="00AE41E3"/>
    <w:rsid w:val="00AE4352"/>
    <w:rsid w:val="00AE4418"/>
    <w:rsid w:val="00AE450D"/>
    <w:rsid w:val="00AE4574"/>
    <w:rsid w:val="00AE4828"/>
    <w:rsid w:val="00AE4B0D"/>
    <w:rsid w:val="00AE4B26"/>
    <w:rsid w:val="00AE4E45"/>
    <w:rsid w:val="00AE5181"/>
    <w:rsid w:val="00AE5254"/>
    <w:rsid w:val="00AE532A"/>
    <w:rsid w:val="00AE55FC"/>
    <w:rsid w:val="00AE56B5"/>
    <w:rsid w:val="00AE57BB"/>
    <w:rsid w:val="00AE59A0"/>
    <w:rsid w:val="00AE5A51"/>
    <w:rsid w:val="00AE5CA0"/>
    <w:rsid w:val="00AE5D45"/>
    <w:rsid w:val="00AE5ED9"/>
    <w:rsid w:val="00AE5FFB"/>
    <w:rsid w:val="00AE6A3F"/>
    <w:rsid w:val="00AE6A5B"/>
    <w:rsid w:val="00AE6C6D"/>
    <w:rsid w:val="00AE6E01"/>
    <w:rsid w:val="00AE6E6C"/>
    <w:rsid w:val="00AE7062"/>
    <w:rsid w:val="00AE709C"/>
    <w:rsid w:val="00AE7487"/>
    <w:rsid w:val="00AE75C1"/>
    <w:rsid w:val="00AE77AD"/>
    <w:rsid w:val="00AE7ACF"/>
    <w:rsid w:val="00AE7B15"/>
    <w:rsid w:val="00AE7B7F"/>
    <w:rsid w:val="00AF00DD"/>
    <w:rsid w:val="00AF012F"/>
    <w:rsid w:val="00AF0240"/>
    <w:rsid w:val="00AF046B"/>
    <w:rsid w:val="00AF05E2"/>
    <w:rsid w:val="00AF05FB"/>
    <w:rsid w:val="00AF0C57"/>
    <w:rsid w:val="00AF0CF3"/>
    <w:rsid w:val="00AF0F5B"/>
    <w:rsid w:val="00AF0FE3"/>
    <w:rsid w:val="00AF1367"/>
    <w:rsid w:val="00AF15F8"/>
    <w:rsid w:val="00AF1AB2"/>
    <w:rsid w:val="00AF1CD0"/>
    <w:rsid w:val="00AF1DBB"/>
    <w:rsid w:val="00AF214E"/>
    <w:rsid w:val="00AF224B"/>
    <w:rsid w:val="00AF2488"/>
    <w:rsid w:val="00AF24FC"/>
    <w:rsid w:val="00AF26F3"/>
    <w:rsid w:val="00AF2CDD"/>
    <w:rsid w:val="00AF2ECA"/>
    <w:rsid w:val="00AF2FC1"/>
    <w:rsid w:val="00AF3117"/>
    <w:rsid w:val="00AF3174"/>
    <w:rsid w:val="00AF388C"/>
    <w:rsid w:val="00AF3959"/>
    <w:rsid w:val="00AF3D83"/>
    <w:rsid w:val="00AF3DBF"/>
    <w:rsid w:val="00AF3FDF"/>
    <w:rsid w:val="00AF44DB"/>
    <w:rsid w:val="00AF4744"/>
    <w:rsid w:val="00AF47C4"/>
    <w:rsid w:val="00AF482D"/>
    <w:rsid w:val="00AF4858"/>
    <w:rsid w:val="00AF49AE"/>
    <w:rsid w:val="00AF4A04"/>
    <w:rsid w:val="00AF4B2A"/>
    <w:rsid w:val="00AF4EAF"/>
    <w:rsid w:val="00AF4EE8"/>
    <w:rsid w:val="00AF4FFD"/>
    <w:rsid w:val="00AF552C"/>
    <w:rsid w:val="00AF55E9"/>
    <w:rsid w:val="00AF5758"/>
    <w:rsid w:val="00AF59E2"/>
    <w:rsid w:val="00AF5A0B"/>
    <w:rsid w:val="00AF5DAB"/>
    <w:rsid w:val="00AF5F04"/>
    <w:rsid w:val="00AF5FAD"/>
    <w:rsid w:val="00AF6134"/>
    <w:rsid w:val="00AF636C"/>
    <w:rsid w:val="00AF643B"/>
    <w:rsid w:val="00AF6CBE"/>
    <w:rsid w:val="00AF6D37"/>
    <w:rsid w:val="00AF6F41"/>
    <w:rsid w:val="00AF703A"/>
    <w:rsid w:val="00AF7182"/>
    <w:rsid w:val="00AF7663"/>
    <w:rsid w:val="00AF771E"/>
    <w:rsid w:val="00AF79BC"/>
    <w:rsid w:val="00AF7A96"/>
    <w:rsid w:val="00AF7B91"/>
    <w:rsid w:val="00AF7DA0"/>
    <w:rsid w:val="00B00031"/>
    <w:rsid w:val="00B0004D"/>
    <w:rsid w:val="00B000D8"/>
    <w:rsid w:val="00B000E2"/>
    <w:rsid w:val="00B00402"/>
    <w:rsid w:val="00B00487"/>
    <w:rsid w:val="00B0050D"/>
    <w:rsid w:val="00B005AB"/>
    <w:rsid w:val="00B00672"/>
    <w:rsid w:val="00B006DA"/>
    <w:rsid w:val="00B006EE"/>
    <w:rsid w:val="00B009AE"/>
    <w:rsid w:val="00B00A6B"/>
    <w:rsid w:val="00B00D9A"/>
    <w:rsid w:val="00B00F36"/>
    <w:rsid w:val="00B00F86"/>
    <w:rsid w:val="00B01107"/>
    <w:rsid w:val="00B011F4"/>
    <w:rsid w:val="00B01409"/>
    <w:rsid w:val="00B01508"/>
    <w:rsid w:val="00B0169D"/>
    <w:rsid w:val="00B0172B"/>
    <w:rsid w:val="00B017C0"/>
    <w:rsid w:val="00B019FF"/>
    <w:rsid w:val="00B01B4A"/>
    <w:rsid w:val="00B01B4D"/>
    <w:rsid w:val="00B01D20"/>
    <w:rsid w:val="00B0249E"/>
    <w:rsid w:val="00B024A8"/>
    <w:rsid w:val="00B0265D"/>
    <w:rsid w:val="00B02879"/>
    <w:rsid w:val="00B0293E"/>
    <w:rsid w:val="00B02D7A"/>
    <w:rsid w:val="00B02EA6"/>
    <w:rsid w:val="00B02EEC"/>
    <w:rsid w:val="00B02FD5"/>
    <w:rsid w:val="00B0355B"/>
    <w:rsid w:val="00B0368B"/>
    <w:rsid w:val="00B03739"/>
    <w:rsid w:val="00B03C1D"/>
    <w:rsid w:val="00B03D02"/>
    <w:rsid w:val="00B03FFB"/>
    <w:rsid w:val="00B04134"/>
    <w:rsid w:val="00B04489"/>
    <w:rsid w:val="00B0448F"/>
    <w:rsid w:val="00B04522"/>
    <w:rsid w:val="00B04852"/>
    <w:rsid w:val="00B04A19"/>
    <w:rsid w:val="00B04B0B"/>
    <w:rsid w:val="00B04B4E"/>
    <w:rsid w:val="00B04FAD"/>
    <w:rsid w:val="00B05005"/>
    <w:rsid w:val="00B05A10"/>
    <w:rsid w:val="00B05DEB"/>
    <w:rsid w:val="00B06571"/>
    <w:rsid w:val="00B068BA"/>
    <w:rsid w:val="00B068EA"/>
    <w:rsid w:val="00B06940"/>
    <w:rsid w:val="00B069EC"/>
    <w:rsid w:val="00B06A7D"/>
    <w:rsid w:val="00B06E5C"/>
    <w:rsid w:val="00B06F08"/>
    <w:rsid w:val="00B07217"/>
    <w:rsid w:val="00B07322"/>
    <w:rsid w:val="00B07583"/>
    <w:rsid w:val="00B075F8"/>
    <w:rsid w:val="00B07614"/>
    <w:rsid w:val="00B0779E"/>
    <w:rsid w:val="00B07E8B"/>
    <w:rsid w:val="00B07E91"/>
    <w:rsid w:val="00B07EFD"/>
    <w:rsid w:val="00B1034C"/>
    <w:rsid w:val="00B103AF"/>
    <w:rsid w:val="00B10504"/>
    <w:rsid w:val="00B1051E"/>
    <w:rsid w:val="00B10524"/>
    <w:rsid w:val="00B10548"/>
    <w:rsid w:val="00B1062D"/>
    <w:rsid w:val="00B106F5"/>
    <w:rsid w:val="00B108C9"/>
    <w:rsid w:val="00B10999"/>
    <w:rsid w:val="00B10BD0"/>
    <w:rsid w:val="00B10D37"/>
    <w:rsid w:val="00B10D93"/>
    <w:rsid w:val="00B10E6C"/>
    <w:rsid w:val="00B10F1D"/>
    <w:rsid w:val="00B1133C"/>
    <w:rsid w:val="00B1145B"/>
    <w:rsid w:val="00B11607"/>
    <w:rsid w:val="00B116D0"/>
    <w:rsid w:val="00B11BB6"/>
    <w:rsid w:val="00B11CCA"/>
    <w:rsid w:val="00B11D52"/>
    <w:rsid w:val="00B11E72"/>
    <w:rsid w:val="00B11FCD"/>
    <w:rsid w:val="00B1210C"/>
    <w:rsid w:val="00B12124"/>
    <w:rsid w:val="00B1298C"/>
    <w:rsid w:val="00B131C8"/>
    <w:rsid w:val="00B13257"/>
    <w:rsid w:val="00B133AB"/>
    <w:rsid w:val="00B1348C"/>
    <w:rsid w:val="00B13550"/>
    <w:rsid w:val="00B13615"/>
    <w:rsid w:val="00B13651"/>
    <w:rsid w:val="00B137AD"/>
    <w:rsid w:val="00B13851"/>
    <w:rsid w:val="00B13862"/>
    <w:rsid w:val="00B13AC8"/>
    <w:rsid w:val="00B13B1C"/>
    <w:rsid w:val="00B13D6E"/>
    <w:rsid w:val="00B13DD6"/>
    <w:rsid w:val="00B13F9F"/>
    <w:rsid w:val="00B142E5"/>
    <w:rsid w:val="00B14701"/>
    <w:rsid w:val="00B148ED"/>
    <w:rsid w:val="00B14A28"/>
    <w:rsid w:val="00B14B5A"/>
    <w:rsid w:val="00B14B5F"/>
    <w:rsid w:val="00B14E53"/>
    <w:rsid w:val="00B1517D"/>
    <w:rsid w:val="00B15257"/>
    <w:rsid w:val="00B15953"/>
    <w:rsid w:val="00B15BB1"/>
    <w:rsid w:val="00B15C44"/>
    <w:rsid w:val="00B15CB0"/>
    <w:rsid w:val="00B15FCC"/>
    <w:rsid w:val="00B162D5"/>
    <w:rsid w:val="00B16A40"/>
    <w:rsid w:val="00B16C5E"/>
    <w:rsid w:val="00B16D32"/>
    <w:rsid w:val="00B16EFC"/>
    <w:rsid w:val="00B17173"/>
    <w:rsid w:val="00B173C2"/>
    <w:rsid w:val="00B17881"/>
    <w:rsid w:val="00B178A8"/>
    <w:rsid w:val="00B179E0"/>
    <w:rsid w:val="00B17B5B"/>
    <w:rsid w:val="00B17CF0"/>
    <w:rsid w:val="00B17E6C"/>
    <w:rsid w:val="00B17FA2"/>
    <w:rsid w:val="00B17FB5"/>
    <w:rsid w:val="00B20467"/>
    <w:rsid w:val="00B20514"/>
    <w:rsid w:val="00B209E1"/>
    <w:rsid w:val="00B20AF4"/>
    <w:rsid w:val="00B20CDD"/>
    <w:rsid w:val="00B20E33"/>
    <w:rsid w:val="00B20F14"/>
    <w:rsid w:val="00B2158A"/>
    <w:rsid w:val="00B2161E"/>
    <w:rsid w:val="00B218B5"/>
    <w:rsid w:val="00B21AF8"/>
    <w:rsid w:val="00B21B8F"/>
    <w:rsid w:val="00B21C5F"/>
    <w:rsid w:val="00B21D13"/>
    <w:rsid w:val="00B21F90"/>
    <w:rsid w:val="00B22291"/>
    <w:rsid w:val="00B223CE"/>
    <w:rsid w:val="00B22556"/>
    <w:rsid w:val="00B2271B"/>
    <w:rsid w:val="00B22821"/>
    <w:rsid w:val="00B228BD"/>
    <w:rsid w:val="00B22E4E"/>
    <w:rsid w:val="00B232DC"/>
    <w:rsid w:val="00B23652"/>
    <w:rsid w:val="00B237A6"/>
    <w:rsid w:val="00B23E3B"/>
    <w:rsid w:val="00B23F9A"/>
    <w:rsid w:val="00B24047"/>
    <w:rsid w:val="00B2417B"/>
    <w:rsid w:val="00B242A1"/>
    <w:rsid w:val="00B243BE"/>
    <w:rsid w:val="00B244E7"/>
    <w:rsid w:val="00B24E6F"/>
    <w:rsid w:val="00B24F7E"/>
    <w:rsid w:val="00B25131"/>
    <w:rsid w:val="00B25195"/>
    <w:rsid w:val="00B251A7"/>
    <w:rsid w:val="00B252FA"/>
    <w:rsid w:val="00B2540C"/>
    <w:rsid w:val="00B25598"/>
    <w:rsid w:val="00B2590C"/>
    <w:rsid w:val="00B25943"/>
    <w:rsid w:val="00B25AD3"/>
    <w:rsid w:val="00B25B3E"/>
    <w:rsid w:val="00B25DE5"/>
    <w:rsid w:val="00B26256"/>
    <w:rsid w:val="00B2641A"/>
    <w:rsid w:val="00B26479"/>
    <w:rsid w:val="00B2691B"/>
    <w:rsid w:val="00B269F9"/>
    <w:rsid w:val="00B269FC"/>
    <w:rsid w:val="00B26AAA"/>
    <w:rsid w:val="00B26C1C"/>
    <w:rsid w:val="00B26CB5"/>
    <w:rsid w:val="00B26E8F"/>
    <w:rsid w:val="00B27333"/>
    <w:rsid w:val="00B27345"/>
    <w:rsid w:val="00B2738D"/>
    <w:rsid w:val="00B2752E"/>
    <w:rsid w:val="00B27BC9"/>
    <w:rsid w:val="00B27F08"/>
    <w:rsid w:val="00B30170"/>
    <w:rsid w:val="00B307CC"/>
    <w:rsid w:val="00B30AF7"/>
    <w:rsid w:val="00B30BC2"/>
    <w:rsid w:val="00B30E6C"/>
    <w:rsid w:val="00B30ED2"/>
    <w:rsid w:val="00B30F23"/>
    <w:rsid w:val="00B31316"/>
    <w:rsid w:val="00B314DF"/>
    <w:rsid w:val="00B31866"/>
    <w:rsid w:val="00B319D5"/>
    <w:rsid w:val="00B320B6"/>
    <w:rsid w:val="00B326B7"/>
    <w:rsid w:val="00B32788"/>
    <w:rsid w:val="00B3284F"/>
    <w:rsid w:val="00B32A1F"/>
    <w:rsid w:val="00B32ACB"/>
    <w:rsid w:val="00B32B60"/>
    <w:rsid w:val="00B32BD0"/>
    <w:rsid w:val="00B32CFA"/>
    <w:rsid w:val="00B32E99"/>
    <w:rsid w:val="00B3304E"/>
    <w:rsid w:val="00B332FC"/>
    <w:rsid w:val="00B33330"/>
    <w:rsid w:val="00B335F5"/>
    <w:rsid w:val="00B33679"/>
    <w:rsid w:val="00B33E82"/>
    <w:rsid w:val="00B34245"/>
    <w:rsid w:val="00B34575"/>
    <w:rsid w:val="00B345C6"/>
    <w:rsid w:val="00B34638"/>
    <w:rsid w:val="00B3464E"/>
    <w:rsid w:val="00B347B9"/>
    <w:rsid w:val="00B349D7"/>
    <w:rsid w:val="00B34A49"/>
    <w:rsid w:val="00B34D1A"/>
    <w:rsid w:val="00B34D21"/>
    <w:rsid w:val="00B34E01"/>
    <w:rsid w:val="00B34EAA"/>
    <w:rsid w:val="00B34EC6"/>
    <w:rsid w:val="00B3522C"/>
    <w:rsid w:val="00B3535A"/>
    <w:rsid w:val="00B354CF"/>
    <w:rsid w:val="00B35771"/>
    <w:rsid w:val="00B3588E"/>
    <w:rsid w:val="00B35D49"/>
    <w:rsid w:val="00B36051"/>
    <w:rsid w:val="00B360C3"/>
    <w:rsid w:val="00B361D4"/>
    <w:rsid w:val="00B3621B"/>
    <w:rsid w:val="00B362FD"/>
    <w:rsid w:val="00B3654F"/>
    <w:rsid w:val="00B3661C"/>
    <w:rsid w:val="00B3674A"/>
    <w:rsid w:val="00B36EA9"/>
    <w:rsid w:val="00B371CE"/>
    <w:rsid w:val="00B37354"/>
    <w:rsid w:val="00B3760A"/>
    <w:rsid w:val="00B376C4"/>
    <w:rsid w:val="00B3784A"/>
    <w:rsid w:val="00B378F1"/>
    <w:rsid w:val="00B379B9"/>
    <w:rsid w:val="00B37A8B"/>
    <w:rsid w:val="00B400C9"/>
    <w:rsid w:val="00B40175"/>
    <w:rsid w:val="00B402CD"/>
    <w:rsid w:val="00B40658"/>
    <w:rsid w:val="00B40672"/>
    <w:rsid w:val="00B408E9"/>
    <w:rsid w:val="00B40989"/>
    <w:rsid w:val="00B40C4A"/>
    <w:rsid w:val="00B412C8"/>
    <w:rsid w:val="00B414BF"/>
    <w:rsid w:val="00B41610"/>
    <w:rsid w:val="00B41678"/>
    <w:rsid w:val="00B4198F"/>
    <w:rsid w:val="00B419AE"/>
    <w:rsid w:val="00B41D93"/>
    <w:rsid w:val="00B41F3D"/>
    <w:rsid w:val="00B42119"/>
    <w:rsid w:val="00B42341"/>
    <w:rsid w:val="00B424A8"/>
    <w:rsid w:val="00B42681"/>
    <w:rsid w:val="00B42989"/>
    <w:rsid w:val="00B42A03"/>
    <w:rsid w:val="00B42C7C"/>
    <w:rsid w:val="00B42D75"/>
    <w:rsid w:val="00B42E25"/>
    <w:rsid w:val="00B42FA3"/>
    <w:rsid w:val="00B431E8"/>
    <w:rsid w:val="00B43848"/>
    <w:rsid w:val="00B43DD3"/>
    <w:rsid w:val="00B43DDA"/>
    <w:rsid w:val="00B43E59"/>
    <w:rsid w:val="00B4400B"/>
    <w:rsid w:val="00B4418B"/>
    <w:rsid w:val="00B442AA"/>
    <w:rsid w:val="00B4493E"/>
    <w:rsid w:val="00B44BDA"/>
    <w:rsid w:val="00B45141"/>
    <w:rsid w:val="00B4520E"/>
    <w:rsid w:val="00B4553D"/>
    <w:rsid w:val="00B457CE"/>
    <w:rsid w:val="00B45876"/>
    <w:rsid w:val="00B45A82"/>
    <w:rsid w:val="00B46130"/>
    <w:rsid w:val="00B46286"/>
    <w:rsid w:val="00B463C6"/>
    <w:rsid w:val="00B463DE"/>
    <w:rsid w:val="00B47499"/>
    <w:rsid w:val="00B474B2"/>
    <w:rsid w:val="00B475C2"/>
    <w:rsid w:val="00B477E2"/>
    <w:rsid w:val="00B47957"/>
    <w:rsid w:val="00B479F6"/>
    <w:rsid w:val="00B47D29"/>
    <w:rsid w:val="00B47F94"/>
    <w:rsid w:val="00B501C4"/>
    <w:rsid w:val="00B5044A"/>
    <w:rsid w:val="00B50490"/>
    <w:rsid w:val="00B5060D"/>
    <w:rsid w:val="00B5067B"/>
    <w:rsid w:val="00B50888"/>
    <w:rsid w:val="00B50A02"/>
    <w:rsid w:val="00B50DAD"/>
    <w:rsid w:val="00B50DC1"/>
    <w:rsid w:val="00B50F04"/>
    <w:rsid w:val="00B50F1B"/>
    <w:rsid w:val="00B5107F"/>
    <w:rsid w:val="00B513D4"/>
    <w:rsid w:val="00B517EF"/>
    <w:rsid w:val="00B51833"/>
    <w:rsid w:val="00B5193B"/>
    <w:rsid w:val="00B51985"/>
    <w:rsid w:val="00B519CD"/>
    <w:rsid w:val="00B51B18"/>
    <w:rsid w:val="00B51FE8"/>
    <w:rsid w:val="00B523C4"/>
    <w:rsid w:val="00B5244F"/>
    <w:rsid w:val="00B524D2"/>
    <w:rsid w:val="00B52584"/>
    <w:rsid w:val="00B52653"/>
    <w:rsid w:val="00B5273A"/>
    <w:rsid w:val="00B527B1"/>
    <w:rsid w:val="00B528CA"/>
    <w:rsid w:val="00B52A6C"/>
    <w:rsid w:val="00B52A87"/>
    <w:rsid w:val="00B52ABA"/>
    <w:rsid w:val="00B52B3F"/>
    <w:rsid w:val="00B52B57"/>
    <w:rsid w:val="00B52E23"/>
    <w:rsid w:val="00B52E67"/>
    <w:rsid w:val="00B52FBD"/>
    <w:rsid w:val="00B53073"/>
    <w:rsid w:val="00B5317A"/>
    <w:rsid w:val="00B53583"/>
    <w:rsid w:val="00B53C11"/>
    <w:rsid w:val="00B53C31"/>
    <w:rsid w:val="00B53C68"/>
    <w:rsid w:val="00B53CDF"/>
    <w:rsid w:val="00B53D8A"/>
    <w:rsid w:val="00B53E94"/>
    <w:rsid w:val="00B540C8"/>
    <w:rsid w:val="00B5422B"/>
    <w:rsid w:val="00B543D2"/>
    <w:rsid w:val="00B5461F"/>
    <w:rsid w:val="00B546F9"/>
    <w:rsid w:val="00B549EB"/>
    <w:rsid w:val="00B54EEF"/>
    <w:rsid w:val="00B54FD2"/>
    <w:rsid w:val="00B556F5"/>
    <w:rsid w:val="00B55726"/>
    <w:rsid w:val="00B5599B"/>
    <w:rsid w:val="00B55B68"/>
    <w:rsid w:val="00B55F59"/>
    <w:rsid w:val="00B56130"/>
    <w:rsid w:val="00B5621E"/>
    <w:rsid w:val="00B566A8"/>
    <w:rsid w:val="00B569D4"/>
    <w:rsid w:val="00B56C64"/>
    <w:rsid w:val="00B56D84"/>
    <w:rsid w:val="00B56F16"/>
    <w:rsid w:val="00B56F81"/>
    <w:rsid w:val="00B56FE4"/>
    <w:rsid w:val="00B5703E"/>
    <w:rsid w:val="00B570AA"/>
    <w:rsid w:val="00B57329"/>
    <w:rsid w:val="00B57558"/>
    <w:rsid w:val="00B57BB9"/>
    <w:rsid w:val="00B57C75"/>
    <w:rsid w:val="00B57D3A"/>
    <w:rsid w:val="00B60164"/>
    <w:rsid w:val="00B6018A"/>
    <w:rsid w:val="00B60199"/>
    <w:rsid w:val="00B60723"/>
    <w:rsid w:val="00B60E03"/>
    <w:rsid w:val="00B60E61"/>
    <w:rsid w:val="00B60F7A"/>
    <w:rsid w:val="00B6136D"/>
    <w:rsid w:val="00B613B4"/>
    <w:rsid w:val="00B61477"/>
    <w:rsid w:val="00B6162F"/>
    <w:rsid w:val="00B61CEE"/>
    <w:rsid w:val="00B61EB0"/>
    <w:rsid w:val="00B61F56"/>
    <w:rsid w:val="00B61F80"/>
    <w:rsid w:val="00B62687"/>
    <w:rsid w:val="00B6281C"/>
    <w:rsid w:val="00B628BC"/>
    <w:rsid w:val="00B62A8C"/>
    <w:rsid w:val="00B62B50"/>
    <w:rsid w:val="00B62C05"/>
    <w:rsid w:val="00B62ED2"/>
    <w:rsid w:val="00B633E6"/>
    <w:rsid w:val="00B635B7"/>
    <w:rsid w:val="00B6371A"/>
    <w:rsid w:val="00B638B4"/>
    <w:rsid w:val="00B63AE8"/>
    <w:rsid w:val="00B63CD7"/>
    <w:rsid w:val="00B63D30"/>
    <w:rsid w:val="00B63DAD"/>
    <w:rsid w:val="00B63E3B"/>
    <w:rsid w:val="00B63FF2"/>
    <w:rsid w:val="00B640DC"/>
    <w:rsid w:val="00B64663"/>
    <w:rsid w:val="00B64720"/>
    <w:rsid w:val="00B64731"/>
    <w:rsid w:val="00B64766"/>
    <w:rsid w:val="00B649DD"/>
    <w:rsid w:val="00B64A4B"/>
    <w:rsid w:val="00B64D98"/>
    <w:rsid w:val="00B65208"/>
    <w:rsid w:val="00B65292"/>
    <w:rsid w:val="00B65349"/>
    <w:rsid w:val="00B653B8"/>
    <w:rsid w:val="00B65707"/>
    <w:rsid w:val="00B65950"/>
    <w:rsid w:val="00B65F9D"/>
    <w:rsid w:val="00B65FA9"/>
    <w:rsid w:val="00B65FB4"/>
    <w:rsid w:val="00B664F6"/>
    <w:rsid w:val="00B668B8"/>
    <w:rsid w:val="00B66944"/>
    <w:rsid w:val="00B66A5B"/>
    <w:rsid w:val="00B66D83"/>
    <w:rsid w:val="00B66E59"/>
    <w:rsid w:val="00B66E77"/>
    <w:rsid w:val="00B6713B"/>
    <w:rsid w:val="00B672AC"/>
    <w:rsid w:val="00B672C0"/>
    <w:rsid w:val="00B673A0"/>
    <w:rsid w:val="00B676FD"/>
    <w:rsid w:val="00B678B6"/>
    <w:rsid w:val="00B67A46"/>
    <w:rsid w:val="00B67B4F"/>
    <w:rsid w:val="00B67F1E"/>
    <w:rsid w:val="00B67FAF"/>
    <w:rsid w:val="00B703A0"/>
    <w:rsid w:val="00B703C1"/>
    <w:rsid w:val="00B70449"/>
    <w:rsid w:val="00B705BF"/>
    <w:rsid w:val="00B70B69"/>
    <w:rsid w:val="00B7140E"/>
    <w:rsid w:val="00B717A5"/>
    <w:rsid w:val="00B71960"/>
    <w:rsid w:val="00B71C34"/>
    <w:rsid w:val="00B71F41"/>
    <w:rsid w:val="00B7251D"/>
    <w:rsid w:val="00B72523"/>
    <w:rsid w:val="00B72883"/>
    <w:rsid w:val="00B7298F"/>
    <w:rsid w:val="00B72D8D"/>
    <w:rsid w:val="00B72E3F"/>
    <w:rsid w:val="00B72E94"/>
    <w:rsid w:val="00B72F02"/>
    <w:rsid w:val="00B7306A"/>
    <w:rsid w:val="00B7360B"/>
    <w:rsid w:val="00B73889"/>
    <w:rsid w:val="00B73B57"/>
    <w:rsid w:val="00B7407C"/>
    <w:rsid w:val="00B74555"/>
    <w:rsid w:val="00B7461E"/>
    <w:rsid w:val="00B747BB"/>
    <w:rsid w:val="00B7484B"/>
    <w:rsid w:val="00B74951"/>
    <w:rsid w:val="00B74998"/>
    <w:rsid w:val="00B749FC"/>
    <w:rsid w:val="00B74D7B"/>
    <w:rsid w:val="00B74E5A"/>
    <w:rsid w:val="00B75012"/>
    <w:rsid w:val="00B75104"/>
    <w:rsid w:val="00B75125"/>
    <w:rsid w:val="00B75306"/>
    <w:rsid w:val="00B75351"/>
    <w:rsid w:val="00B75536"/>
    <w:rsid w:val="00B75646"/>
    <w:rsid w:val="00B76025"/>
    <w:rsid w:val="00B760BE"/>
    <w:rsid w:val="00B76179"/>
    <w:rsid w:val="00B7629E"/>
    <w:rsid w:val="00B763F5"/>
    <w:rsid w:val="00B7649D"/>
    <w:rsid w:val="00B765B7"/>
    <w:rsid w:val="00B76BDE"/>
    <w:rsid w:val="00B76CC5"/>
    <w:rsid w:val="00B76D9E"/>
    <w:rsid w:val="00B76E6E"/>
    <w:rsid w:val="00B76E7D"/>
    <w:rsid w:val="00B76F44"/>
    <w:rsid w:val="00B770F5"/>
    <w:rsid w:val="00B7714A"/>
    <w:rsid w:val="00B7721C"/>
    <w:rsid w:val="00B77417"/>
    <w:rsid w:val="00B77951"/>
    <w:rsid w:val="00B77B40"/>
    <w:rsid w:val="00B77E58"/>
    <w:rsid w:val="00B80154"/>
    <w:rsid w:val="00B80183"/>
    <w:rsid w:val="00B802B4"/>
    <w:rsid w:val="00B80383"/>
    <w:rsid w:val="00B80394"/>
    <w:rsid w:val="00B805DA"/>
    <w:rsid w:val="00B80899"/>
    <w:rsid w:val="00B80E51"/>
    <w:rsid w:val="00B81017"/>
    <w:rsid w:val="00B810CB"/>
    <w:rsid w:val="00B813EA"/>
    <w:rsid w:val="00B81469"/>
    <w:rsid w:val="00B81586"/>
    <w:rsid w:val="00B81723"/>
    <w:rsid w:val="00B81BFB"/>
    <w:rsid w:val="00B81C6B"/>
    <w:rsid w:val="00B82306"/>
    <w:rsid w:val="00B82309"/>
    <w:rsid w:val="00B82338"/>
    <w:rsid w:val="00B823AB"/>
    <w:rsid w:val="00B8284A"/>
    <w:rsid w:val="00B8299B"/>
    <w:rsid w:val="00B82A89"/>
    <w:rsid w:val="00B82D7D"/>
    <w:rsid w:val="00B82DDF"/>
    <w:rsid w:val="00B83035"/>
    <w:rsid w:val="00B83173"/>
    <w:rsid w:val="00B833A9"/>
    <w:rsid w:val="00B83593"/>
    <w:rsid w:val="00B836C7"/>
    <w:rsid w:val="00B83743"/>
    <w:rsid w:val="00B8384F"/>
    <w:rsid w:val="00B83A48"/>
    <w:rsid w:val="00B83BF1"/>
    <w:rsid w:val="00B83CC5"/>
    <w:rsid w:val="00B83F34"/>
    <w:rsid w:val="00B84120"/>
    <w:rsid w:val="00B842DB"/>
    <w:rsid w:val="00B842DC"/>
    <w:rsid w:val="00B8445F"/>
    <w:rsid w:val="00B8488D"/>
    <w:rsid w:val="00B849AF"/>
    <w:rsid w:val="00B84A0C"/>
    <w:rsid w:val="00B84C2A"/>
    <w:rsid w:val="00B850DC"/>
    <w:rsid w:val="00B8530B"/>
    <w:rsid w:val="00B855E6"/>
    <w:rsid w:val="00B85740"/>
    <w:rsid w:val="00B857AD"/>
    <w:rsid w:val="00B857B3"/>
    <w:rsid w:val="00B857D1"/>
    <w:rsid w:val="00B85A4D"/>
    <w:rsid w:val="00B86194"/>
    <w:rsid w:val="00B861B9"/>
    <w:rsid w:val="00B861F5"/>
    <w:rsid w:val="00B862F3"/>
    <w:rsid w:val="00B86633"/>
    <w:rsid w:val="00B869A9"/>
    <w:rsid w:val="00B869B3"/>
    <w:rsid w:val="00B869C6"/>
    <w:rsid w:val="00B86A6E"/>
    <w:rsid w:val="00B86AD8"/>
    <w:rsid w:val="00B86F0E"/>
    <w:rsid w:val="00B87109"/>
    <w:rsid w:val="00B87290"/>
    <w:rsid w:val="00B872D9"/>
    <w:rsid w:val="00B87332"/>
    <w:rsid w:val="00B8745F"/>
    <w:rsid w:val="00B877D1"/>
    <w:rsid w:val="00B878D3"/>
    <w:rsid w:val="00B87A7F"/>
    <w:rsid w:val="00B87E83"/>
    <w:rsid w:val="00B87F9C"/>
    <w:rsid w:val="00B900D7"/>
    <w:rsid w:val="00B902D8"/>
    <w:rsid w:val="00B9044A"/>
    <w:rsid w:val="00B904F9"/>
    <w:rsid w:val="00B9054B"/>
    <w:rsid w:val="00B90729"/>
    <w:rsid w:val="00B907DA"/>
    <w:rsid w:val="00B90981"/>
    <w:rsid w:val="00B90989"/>
    <w:rsid w:val="00B90B09"/>
    <w:rsid w:val="00B913E7"/>
    <w:rsid w:val="00B91592"/>
    <w:rsid w:val="00B91BA0"/>
    <w:rsid w:val="00B91DE7"/>
    <w:rsid w:val="00B91E12"/>
    <w:rsid w:val="00B922B9"/>
    <w:rsid w:val="00B92585"/>
    <w:rsid w:val="00B926A0"/>
    <w:rsid w:val="00B92BBA"/>
    <w:rsid w:val="00B92D5D"/>
    <w:rsid w:val="00B92F18"/>
    <w:rsid w:val="00B935B5"/>
    <w:rsid w:val="00B936F8"/>
    <w:rsid w:val="00B939FA"/>
    <w:rsid w:val="00B93BD8"/>
    <w:rsid w:val="00B93C32"/>
    <w:rsid w:val="00B93CD2"/>
    <w:rsid w:val="00B93D3B"/>
    <w:rsid w:val="00B94042"/>
    <w:rsid w:val="00B941BE"/>
    <w:rsid w:val="00B94444"/>
    <w:rsid w:val="00B9445F"/>
    <w:rsid w:val="00B944A0"/>
    <w:rsid w:val="00B94506"/>
    <w:rsid w:val="00B9468C"/>
    <w:rsid w:val="00B94B34"/>
    <w:rsid w:val="00B94C5E"/>
    <w:rsid w:val="00B94C81"/>
    <w:rsid w:val="00B94D4A"/>
    <w:rsid w:val="00B94E8C"/>
    <w:rsid w:val="00B94F31"/>
    <w:rsid w:val="00B950BC"/>
    <w:rsid w:val="00B95134"/>
    <w:rsid w:val="00B95351"/>
    <w:rsid w:val="00B956F8"/>
    <w:rsid w:val="00B957D2"/>
    <w:rsid w:val="00B95CA5"/>
    <w:rsid w:val="00B95E43"/>
    <w:rsid w:val="00B9606C"/>
    <w:rsid w:val="00B96347"/>
    <w:rsid w:val="00B96728"/>
    <w:rsid w:val="00B96744"/>
    <w:rsid w:val="00B969D1"/>
    <w:rsid w:val="00B96A3F"/>
    <w:rsid w:val="00B96E35"/>
    <w:rsid w:val="00B97122"/>
    <w:rsid w:val="00B9714C"/>
    <w:rsid w:val="00B9722F"/>
    <w:rsid w:val="00B97241"/>
    <w:rsid w:val="00B976A8"/>
    <w:rsid w:val="00B9789C"/>
    <w:rsid w:val="00B97C7D"/>
    <w:rsid w:val="00BA0043"/>
    <w:rsid w:val="00BA0420"/>
    <w:rsid w:val="00BA048C"/>
    <w:rsid w:val="00BA04FD"/>
    <w:rsid w:val="00BA05A7"/>
    <w:rsid w:val="00BA0624"/>
    <w:rsid w:val="00BA067C"/>
    <w:rsid w:val="00BA07F2"/>
    <w:rsid w:val="00BA0914"/>
    <w:rsid w:val="00BA09FD"/>
    <w:rsid w:val="00BA0A20"/>
    <w:rsid w:val="00BA0A52"/>
    <w:rsid w:val="00BA0C87"/>
    <w:rsid w:val="00BA1150"/>
    <w:rsid w:val="00BA15E1"/>
    <w:rsid w:val="00BA1CE1"/>
    <w:rsid w:val="00BA1F24"/>
    <w:rsid w:val="00BA1F79"/>
    <w:rsid w:val="00BA2041"/>
    <w:rsid w:val="00BA20A7"/>
    <w:rsid w:val="00BA20E0"/>
    <w:rsid w:val="00BA20F9"/>
    <w:rsid w:val="00BA21D5"/>
    <w:rsid w:val="00BA222B"/>
    <w:rsid w:val="00BA23FC"/>
    <w:rsid w:val="00BA26F6"/>
    <w:rsid w:val="00BA27B8"/>
    <w:rsid w:val="00BA29AD"/>
    <w:rsid w:val="00BA2B7A"/>
    <w:rsid w:val="00BA2B97"/>
    <w:rsid w:val="00BA2E09"/>
    <w:rsid w:val="00BA315B"/>
    <w:rsid w:val="00BA33CD"/>
    <w:rsid w:val="00BA33CF"/>
    <w:rsid w:val="00BA375B"/>
    <w:rsid w:val="00BA3DF9"/>
    <w:rsid w:val="00BA3F8D"/>
    <w:rsid w:val="00BA3FA9"/>
    <w:rsid w:val="00BA432A"/>
    <w:rsid w:val="00BA432E"/>
    <w:rsid w:val="00BA4339"/>
    <w:rsid w:val="00BA4367"/>
    <w:rsid w:val="00BA4648"/>
    <w:rsid w:val="00BA4791"/>
    <w:rsid w:val="00BA4D5D"/>
    <w:rsid w:val="00BA4DCD"/>
    <w:rsid w:val="00BA5250"/>
    <w:rsid w:val="00BA59AB"/>
    <w:rsid w:val="00BA5A47"/>
    <w:rsid w:val="00BA5B98"/>
    <w:rsid w:val="00BA5C6F"/>
    <w:rsid w:val="00BA5CD8"/>
    <w:rsid w:val="00BA5E30"/>
    <w:rsid w:val="00BA5EA6"/>
    <w:rsid w:val="00BA63B5"/>
    <w:rsid w:val="00BA640E"/>
    <w:rsid w:val="00BA642E"/>
    <w:rsid w:val="00BA6515"/>
    <w:rsid w:val="00BA671D"/>
    <w:rsid w:val="00BA676A"/>
    <w:rsid w:val="00BA6898"/>
    <w:rsid w:val="00BA696B"/>
    <w:rsid w:val="00BA6B46"/>
    <w:rsid w:val="00BA6C51"/>
    <w:rsid w:val="00BA6E1D"/>
    <w:rsid w:val="00BA70C5"/>
    <w:rsid w:val="00BA71C8"/>
    <w:rsid w:val="00BA7255"/>
    <w:rsid w:val="00BA72AB"/>
    <w:rsid w:val="00BA72CD"/>
    <w:rsid w:val="00BA73D6"/>
    <w:rsid w:val="00BA74BA"/>
    <w:rsid w:val="00BA778A"/>
    <w:rsid w:val="00BA7994"/>
    <w:rsid w:val="00BA7FA4"/>
    <w:rsid w:val="00BA7FC8"/>
    <w:rsid w:val="00BB008F"/>
    <w:rsid w:val="00BB0179"/>
    <w:rsid w:val="00BB04D1"/>
    <w:rsid w:val="00BB0650"/>
    <w:rsid w:val="00BB073A"/>
    <w:rsid w:val="00BB0A1A"/>
    <w:rsid w:val="00BB0DC8"/>
    <w:rsid w:val="00BB0DD1"/>
    <w:rsid w:val="00BB10AC"/>
    <w:rsid w:val="00BB161E"/>
    <w:rsid w:val="00BB19B0"/>
    <w:rsid w:val="00BB1A3C"/>
    <w:rsid w:val="00BB2113"/>
    <w:rsid w:val="00BB24CB"/>
    <w:rsid w:val="00BB2686"/>
    <w:rsid w:val="00BB2DAB"/>
    <w:rsid w:val="00BB2FC7"/>
    <w:rsid w:val="00BB304F"/>
    <w:rsid w:val="00BB316C"/>
    <w:rsid w:val="00BB31BA"/>
    <w:rsid w:val="00BB3829"/>
    <w:rsid w:val="00BB3A27"/>
    <w:rsid w:val="00BB3CB8"/>
    <w:rsid w:val="00BB3E02"/>
    <w:rsid w:val="00BB3F24"/>
    <w:rsid w:val="00BB44AF"/>
    <w:rsid w:val="00BB4CD5"/>
    <w:rsid w:val="00BB4CD8"/>
    <w:rsid w:val="00BB4E74"/>
    <w:rsid w:val="00BB4E8A"/>
    <w:rsid w:val="00BB4F26"/>
    <w:rsid w:val="00BB4F27"/>
    <w:rsid w:val="00BB501E"/>
    <w:rsid w:val="00BB5270"/>
    <w:rsid w:val="00BB5410"/>
    <w:rsid w:val="00BB558C"/>
    <w:rsid w:val="00BB5C64"/>
    <w:rsid w:val="00BB5D1E"/>
    <w:rsid w:val="00BB5E57"/>
    <w:rsid w:val="00BB5E9B"/>
    <w:rsid w:val="00BB5EAE"/>
    <w:rsid w:val="00BB5FC6"/>
    <w:rsid w:val="00BB635A"/>
    <w:rsid w:val="00BB6436"/>
    <w:rsid w:val="00BB66C2"/>
    <w:rsid w:val="00BB6891"/>
    <w:rsid w:val="00BB692A"/>
    <w:rsid w:val="00BB6B91"/>
    <w:rsid w:val="00BB70C7"/>
    <w:rsid w:val="00BB71BD"/>
    <w:rsid w:val="00BB72D0"/>
    <w:rsid w:val="00BB72F4"/>
    <w:rsid w:val="00BB74AC"/>
    <w:rsid w:val="00BB7571"/>
    <w:rsid w:val="00BB75B5"/>
    <w:rsid w:val="00BB7A10"/>
    <w:rsid w:val="00BB7AD5"/>
    <w:rsid w:val="00BB7B3A"/>
    <w:rsid w:val="00BB7C3D"/>
    <w:rsid w:val="00BB7C98"/>
    <w:rsid w:val="00BB7CC1"/>
    <w:rsid w:val="00BB7FE7"/>
    <w:rsid w:val="00BC0308"/>
    <w:rsid w:val="00BC05B8"/>
    <w:rsid w:val="00BC085D"/>
    <w:rsid w:val="00BC0C5D"/>
    <w:rsid w:val="00BC0D05"/>
    <w:rsid w:val="00BC0EB2"/>
    <w:rsid w:val="00BC0F32"/>
    <w:rsid w:val="00BC0FB0"/>
    <w:rsid w:val="00BC1275"/>
    <w:rsid w:val="00BC1380"/>
    <w:rsid w:val="00BC1642"/>
    <w:rsid w:val="00BC17BC"/>
    <w:rsid w:val="00BC1876"/>
    <w:rsid w:val="00BC1A36"/>
    <w:rsid w:val="00BC1A43"/>
    <w:rsid w:val="00BC1AE5"/>
    <w:rsid w:val="00BC1CB2"/>
    <w:rsid w:val="00BC216D"/>
    <w:rsid w:val="00BC2322"/>
    <w:rsid w:val="00BC2461"/>
    <w:rsid w:val="00BC260D"/>
    <w:rsid w:val="00BC2805"/>
    <w:rsid w:val="00BC2918"/>
    <w:rsid w:val="00BC2DBD"/>
    <w:rsid w:val="00BC341C"/>
    <w:rsid w:val="00BC34B6"/>
    <w:rsid w:val="00BC3512"/>
    <w:rsid w:val="00BC367A"/>
    <w:rsid w:val="00BC3698"/>
    <w:rsid w:val="00BC3B4E"/>
    <w:rsid w:val="00BC3CEA"/>
    <w:rsid w:val="00BC3D72"/>
    <w:rsid w:val="00BC3EA0"/>
    <w:rsid w:val="00BC4178"/>
    <w:rsid w:val="00BC425A"/>
    <w:rsid w:val="00BC42B9"/>
    <w:rsid w:val="00BC440D"/>
    <w:rsid w:val="00BC4643"/>
    <w:rsid w:val="00BC47D3"/>
    <w:rsid w:val="00BC490C"/>
    <w:rsid w:val="00BC49C5"/>
    <w:rsid w:val="00BC4A4B"/>
    <w:rsid w:val="00BC4AAE"/>
    <w:rsid w:val="00BC4B9A"/>
    <w:rsid w:val="00BC5032"/>
    <w:rsid w:val="00BC51A0"/>
    <w:rsid w:val="00BC52FE"/>
    <w:rsid w:val="00BC59FE"/>
    <w:rsid w:val="00BC5DE4"/>
    <w:rsid w:val="00BC5E74"/>
    <w:rsid w:val="00BC60BE"/>
    <w:rsid w:val="00BC6853"/>
    <w:rsid w:val="00BC6B57"/>
    <w:rsid w:val="00BC6B82"/>
    <w:rsid w:val="00BC6D23"/>
    <w:rsid w:val="00BC6EE3"/>
    <w:rsid w:val="00BC7142"/>
    <w:rsid w:val="00BC7344"/>
    <w:rsid w:val="00BC7399"/>
    <w:rsid w:val="00BC744A"/>
    <w:rsid w:val="00BC7468"/>
    <w:rsid w:val="00BC74CE"/>
    <w:rsid w:val="00BC7533"/>
    <w:rsid w:val="00BC75C2"/>
    <w:rsid w:val="00BC77A3"/>
    <w:rsid w:val="00BC7A6A"/>
    <w:rsid w:val="00BC7CB7"/>
    <w:rsid w:val="00BC7CF5"/>
    <w:rsid w:val="00BC7D4F"/>
    <w:rsid w:val="00BC7ED7"/>
    <w:rsid w:val="00BC7FAC"/>
    <w:rsid w:val="00BC7FE7"/>
    <w:rsid w:val="00BD00C3"/>
    <w:rsid w:val="00BD00E1"/>
    <w:rsid w:val="00BD011F"/>
    <w:rsid w:val="00BD0465"/>
    <w:rsid w:val="00BD067C"/>
    <w:rsid w:val="00BD0682"/>
    <w:rsid w:val="00BD08E2"/>
    <w:rsid w:val="00BD10CE"/>
    <w:rsid w:val="00BD1418"/>
    <w:rsid w:val="00BD144F"/>
    <w:rsid w:val="00BD1B5D"/>
    <w:rsid w:val="00BD1D03"/>
    <w:rsid w:val="00BD1D8C"/>
    <w:rsid w:val="00BD1DE4"/>
    <w:rsid w:val="00BD1FD4"/>
    <w:rsid w:val="00BD256B"/>
    <w:rsid w:val="00BD26A3"/>
    <w:rsid w:val="00BD2850"/>
    <w:rsid w:val="00BD2B64"/>
    <w:rsid w:val="00BD2D0E"/>
    <w:rsid w:val="00BD31FA"/>
    <w:rsid w:val="00BD32B4"/>
    <w:rsid w:val="00BD34C0"/>
    <w:rsid w:val="00BD3848"/>
    <w:rsid w:val="00BD385E"/>
    <w:rsid w:val="00BD3D74"/>
    <w:rsid w:val="00BD439D"/>
    <w:rsid w:val="00BD4445"/>
    <w:rsid w:val="00BD44F2"/>
    <w:rsid w:val="00BD46F1"/>
    <w:rsid w:val="00BD4708"/>
    <w:rsid w:val="00BD470F"/>
    <w:rsid w:val="00BD4827"/>
    <w:rsid w:val="00BD48BC"/>
    <w:rsid w:val="00BD4A12"/>
    <w:rsid w:val="00BD4A64"/>
    <w:rsid w:val="00BD4C1D"/>
    <w:rsid w:val="00BD4E4B"/>
    <w:rsid w:val="00BD54C6"/>
    <w:rsid w:val="00BD54DA"/>
    <w:rsid w:val="00BD59A1"/>
    <w:rsid w:val="00BD59D4"/>
    <w:rsid w:val="00BD5AD1"/>
    <w:rsid w:val="00BD5AD7"/>
    <w:rsid w:val="00BD611C"/>
    <w:rsid w:val="00BD61D7"/>
    <w:rsid w:val="00BD626D"/>
    <w:rsid w:val="00BD6486"/>
    <w:rsid w:val="00BD65F1"/>
    <w:rsid w:val="00BD691B"/>
    <w:rsid w:val="00BD6A2D"/>
    <w:rsid w:val="00BD6AC8"/>
    <w:rsid w:val="00BD6B9D"/>
    <w:rsid w:val="00BD6D50"/>
    <w:rsid w:val="00BD7058"/>
    <w:rsid w:val="00BD706C"/>
    <w:rsid w:val="00BD7256"/>
    <w:rsid w:val="00BD7262"/>
    <w:rsid w:val="00BD734B"/>
    <w:rsid w:val="00BD7382"/>
    <w:rsid w:val="00BD796C"/>
    <w:rsid w:val="00BD7AE0"/>
    <w:rsid w:val="00BD7CBC"/>
    <w:rsid w:val="00BD7EB2"/>
    <w:rsid w:val="00BD7F58"/>
    <w:rsid w:val="00BE0086"/>
    <w:rsid w:val="00BE00AF"/>
    <w:rsid w:val="00BE02D7"/>
    <w:rsid w:val="00BE033D"/>
    <w:rsid w:val="00BE04C8"/>
    <w:rsid w:val="00BE0549"/>
    <w:rsid w:val="00BE081A"/>
    <w:rsid w:val="00BE088E"/>
    <w:rsid w:val="00BE09BF"/>
    <w:rsid w:val="00BE0E8F"/>
    <w:rsid w:val="00BE0F46"/>
    <w:rsid w:val="00BE11BA"/>
    <w:rsid w:val="00BE15A1"/>
    <w:rsid w:val="00BE168B"/>
    <w:rsid w:val="00BE16F1"/>
    <w:rsid w:val="00BE187F"/>
    <w:rsid w:val="00BE193B"/>
    <w:rsid w:val="00BE1F7C"/>
    <w:rsid w:val="00BE2036"/>
    <w:rsid w:val="00BE2344"/>
    <w:rsid w:val="00BE2505"/>
    <w:rsid w:val="00BE2800"/>
    <w:rsid w:val="00BE28D2"/>
    <w:rsid w:val="00BE28F9"/>
    <w:rsid w:val="00BE2AE8"/>
    <w:rsid w:val="00BE2BAC"/>
    <w:rsid w:val="00BE2E7A"/>
    <w:rsid w:val="00BE3035"/>
    <w:rsid w:val="00BE3051"/>
    <w:rsid w:val="00BE33D1"/>
    <w:rsid w:val="00BE33E9"/>
    <w:rsid w:val="00BE35F7"/>
    <w:rsid w:val="00BE38AD"/>
    <w:rsid w:val="00BE3A00"/>
    <w:rsid w:val="00BE3A2C"/>
    <w:rsid w:val="00BE3B59"/>
    <w:rsid w:val="00BE3EAC"/>
    <w:rsid w:val="00BE3F3B"/>
    <w:rsid w:val="00BE46DA"/>
    <w:rsid w:val="00BE492F"/>
    <w:rsid w:val="00BE4A64"/>
    <w:rsid w:val="00BE4A9A"/>
    <w:rsid w:val="00BE4B34"/>
    <w:rsid w:val="00BE500D"/>
    <w:rsid w:val="00BE510F"/>
    <w:rsid w:val="00BE53EA"/>
    <w:rsid w:val="00BE5586"/>
    <w:rsid w:val="00BE5791"/>
    <w:rsid w:val="00BE58CE"/>
    <w:rsid w:val="00BE59FE"/>
    <w:rsid w:val="00BE5BE7"/>
    <w:rsid w:val="00BE5C2F"/>
    <w:rsid w:val="00BE5DA0"/>
    <w:rsid w:val="00BE5E17"/>
    <w:rsid w:val="00BE5E43"/>
    <w:rsid w:val="00BE5EA9"/>
    <w:rsid w:val="00BE5FCF"/>
    <w:rsid w:val="00BE655B"/>
    <w:rsid w:val="00BE66F6"/>
    <w:rsid w:val="00BE6780"/>
    <w:rsid w:val="00BE68A8"/>
    <w:rsid w:val="00BE6EA8"/>
    <w:rsid w:val="00BE6FDB"/>
    <w:rsid w:val="00BE7063"/>
    <w:rsid w:val="00BE759B"/>
    <w:rsid w:val="00BE75D1"/>
    <w:rsid w:val="00BE7850"/>
    <w:rsid w:val="00BF02E8"/>
    <w:rsid w:val="00BF0872"/>
    <w:rsid w:val="00BF09DC"/>
    <w:rsid w:val="00BF09E8"/>
    <w:rsid w:val="00BF0D50"/>
    <w:rsid w:val="00BF10BE"/>
    <w:rsid w:val="00BF11AE"/>
    <w:rsid w:val="00BF1206"/>
    <w:rsid w:val="00BF1638"/>
    <w:rsid w:val="00BF1977"/>
    <w:rsid w:val="00BF1CDB"/>
    <w:rsid w:val="00BF1EF2"/>
    <w:rsid w:val="00BF20B8"/>
    <w:rsid w:val="00BF20F0"/>
    <w:rsid w:val="00BF2197"/>
    <w:rsid w:val="00BF22C0"/>
    <w:rsid w:val="00BF24D3"/>
    <w:rsid w:val="00BF2650"/>
    <w:rsid w:val="00BF29BA"/>
    <w:rsid w:val="00BF2CD5"/>
    <w:rsid w:val="00BF2E41"/>
    <w:rsid w:val="00BF2E8E"/>
    <w:rsid w:val="00BF3156"/>
    <w:rsid w:val="00BF3333"/>
    <w:rsid w:val="00BF3537"/>
    <w:rsid w:val="00BF35FD"/>
    <w:rsid w:val="00BF3945"/>
    <w:rsid w:val="00BF39BB"/>
    <w:rsid w:val="00BF3D52"/>
    <w:rsid w:val="00BF3D53"/>
    <w:rsid w:val="00BF3D83"/>
    <w:rsid w:val="00BF462D"/>
    <w:rsid w:val="00BF4647"/>
    <w:rsid w:val="00BF4737"/>
    <w:rsid w:val="00BF4801"/>
    <w:rsid w:val="00BF4860"/>
    <w:rsid w:val="00BF49FF"/>
    <w:rsid w:val="00BF4A30"/>
    <w:rsid w:val="00BF4CC7"/>
    <w:rsid w:val="00BF51B4"/>
    <w:rsid w:val="00BF538C"/>
    <w:rsid w:val="00BF5415"/>
    <w:rsid w:val="00BF54D8"/>
    <w:rsid w:val="00BF557D"/>
    <w:rsid w:val="00BF55AB"/>
    <w:rsid w:val="00BF5601"/>
    <w:rsid w:val="00BF585A"/>
    <w:rsid w:val="00BF61E2"/>
    <w:rsid w:val="00BF658A"/>
    <w:rsid w:val="00BF658D"/>
    <w:rsid w:val="00BF6B4C"/>
    <w:rsid w:val="00BF6FA2"/>
    <w:rsid w:val="00BF71D4"/>
    <w:rsid w:val="00BF7224"/>
    <w:rsid w:val="00BF76B2"/>
    <w:rsid w:val="00BF781E"/>
    <w:rsid w:val="00BF79A7"/>
    <w:rsid w:val="00BF7A9A"/>
    <w:rsid w:val="00BF7C8A"/>
    <w:rsid w:val="00BF7D85"/>
    <w:rsid w:val="00BF7F58"/>
    <w:rsid w:val="00C00318"/>
    <w:rsid w:val="00C0075B"/>
    <w:rsid w:val="00C0084F"/>
    <w:rsid w:val="00C00873"/>
    <w:rsid w:val="00C00CBB"/>
    <w:rsid w:val="00C010FE"/>
    <w:rsid w:val="00C01130"/>
    <w:rsid w:val="00C0130C"/>
    <w:rsid w:val="00C01381"/>
    <w:rsid w:val="00C015E2"/>
    <w:rsid w:val="00C0179D"/>
    <w:rsid w:val="00C01857"/>
    <w:rsid w:val="00C01A37"/>
    <w:rsid w:val="00C01AB1"/>
    <w:rsid w:val="00C01B37"/>
    <w:rsid w:val="00C01CD6"/>
    <w:rsid w:val="00C01D46"/>
    <w:rsid w:val="00C01F1C"/>
    <w:rsid w:val="00C01F68"/>
    <w:rsid w:val="00C026A0"/>
    <w:rsid w:val="00C02982"/>
    <w:rsid w:val="00C02A0E"/>
    <w:rsid w:val="00C02F54"/>
    <w:rsid w:val="00C03235"/>
    <w:rsid w:val="00C03318"/>
    <w:rsid w:val="00C033E9"/>
    <w:rsid w:val="00C035DC"/>
    <w:rsid w:val="00C036B2"/>
    <w:rsid w:val="00C03927"/>
    <w:rsid w:val="00C03C57"/>
    <w:rsid w:val="00C03D65"/>
    <w:rsid w:val="00C04023"/>
    <w:rsid w:val="00C041E2"/>
    <w:rsid w:val="00C0424E"/>
    <w:rsid w:val="00C042A7"/>
    <w:rsid w:val="00C042D3"/>
    <w:rsid w:val="00C04327"/>
    <w:rsid w:val="00C04433"/>
    <w:rsid w:val="00C044E6"/>
    <w:rsid w:val="00C045D1"/>
    <w:rsid w:val="00C0481E"/>
    <w:rsid w:val="00C04A8C"/>
    <w:rsid w:val="00C04D19"/>
    <w:rsid w:val="00C04DF8"/>
    <w:rsid w:val="00C04E4D"/>
    <w:rsid w:val="00C05085"/>
    <w:rsid w:val="00C051BB"/>
    <w:rsid w:val="00C052AD"/>
    <w:rsid w:val="00C05363"/>
    <w:rsid w:val="00C055BD"/>
    <w:rsid w:val="00C05747"/>
    <w:rsid w:val="00C05889"/>
    <w:rsid w:val="00C05981"/>
    <w:rsid w:val="00C05C34"/>
    <w:rsid w:val="00C05D3B"/>
    <w:rsid w:val="00C06137"/>
    <w:rsid w:val="00C062D4"/>
    <w:rsid w:val="00C06461"/>
    <w:rsid w:val="00C064C7"/>
    <w:rsid w:val="00C068B5"/>
    <w:rsid w:val="00C06929"/>
    <w:rsid w:val="00C06C33"/>
    <w:rsid w:val="00C06D3A"/>
    <w:rsid w:val="00C0701A"/>
    <w:rsid w:val="00C070A0"/>
    <w:rsid w:val="00C07216"/>
    <w:rsid w:val="00C074A6"/>
    <w:rsid w:val="00C07536"/>
    <w:rsid w:val="00C0776F"/>
    <w:rsid w:val="00C077D6"/>
    <w:rsid w:val="00C0791A"/>
    <w:rsid w:val="00C079B8"/>
    <w:rsid w:val="00C07D80"/>
    <w:rsid w:val="00C07F0F"/>
    <w:rsid w:val="00C10037"/>
    <w:rsid w:val="00C10161"/>
    <w:rsid w:val="00C101A8"/>
    <w:rsid w:val="00C1040E"/>
    <w:rsid w:val="00C10657"/>
    <w:rsid w:val="00C107FF"/>
    <w:rsid w:val="00C108F4"/>
    <w:rsid w:val="00C109DC"/>
    <w:rsid w:val="00C10CCF"/>
    <w:rsid w:val="00C10CDB"/>
    <w:rsid w:val="00C10DB9"/>
    <w:rsid w:val="00C10ECB"/>
    <w:rsid w:val="00C111C2"/>
    <w:rsid w:val="00C113A1"/>
    <w:rsid w:val="00C11424"/>
    <w:rsid w:val="00C11493"/>
    <w:rsid w:val="00C115B8"/>
    <w:rsid w:val="00C115E1"/>
    <w:rsid w:val="00C11678"/>
    <w:rsid w:val="00C11EBF"/>
    <w:rsid w:val="00C1213D"/>
    <w:rsid w:val="00C1222F"/>
    <w:rsid w:val="00C12349"/>
    <w:rsid w:val="00C12394"/>
    <w:rsid w:val="00C123EA"/>
    <w:rsid w:val="00C124BC"/>
    <w:rsid w:val="00C125A9"/>
    <w:rsid w:val="00C127EB"/>
    <w:rsid w:val="00C128E1"/>
    <w:rsid w:val="00C12A49"/>
    <w:rsid w:val="00C12ACF"/>
    <w:rsid w:val="00C12AE8"/>
    <w:rsid w:val="00C12B0E"/>
    <w:rsid w:val="00C13346"/>
    <w:rsid w:val="00C133EE"/>
    <w:rsid w:val="00C134C6"/>
    <w:rsid w:val="00C13816"/>
    <w:rsid w:val="00C1392C"/>
    <w:rsid w:val="00C13AA4"/>
    <w:rsid w:val="00C13B06"/>
    <w:rsid w:val="00C13BA7"/>
    <w:rsid w:val="00C13EEE"/>
    <w:rsid w:val="00C14242"/>
    <w:rsid w:val="00C1425F"/>
    <w:rsid w:val="00C1426B"/>
    <w:rsid w:val="00C1459E"/>
    <w:rsid w:val="00C149D0"/>
    <w:rsid w:val="00C14AF1"/>
    <w:rsid w:val="00C14B37"/>
    <w:rsid w:val="00C1513D"/>
    <w:rsid w:val="00C1530F"/>
    <w:rsid w:val="00C1531F"/>
    <w:rsid w:val="00C1541B"/>
    <w:rsid w:val="00C15F01"/>
    <w:rsid w:val="00C15F1F"/>
    <w:rsid w:val="00C16161"/>
    <w:rsid w:val="00C16205"/>
    <w:rsid w:val="00C162F2"/>
    <w:rsid w:val="00C16485"/>
    <w:rsid w:val="00C164BA"/>
    <w:rsid w:val="00C165DE"/>
    <w:rsid w:val="00C169D8"/>
    <w:rsid w:val="00C16A60"/>
    <w:rsid w:val="00C16B8E"/>
    <w:rsid w:val="00C16CE9"/>
    <w:rsid w:val="00C16DC8"/>
    <w:rsid w:val="00C16E14"/>
    <w:rsid w:val="00C16EE8"/>
    <w:rsid w:val="00C16FAE"/>
    <w:rsid w:val="00C16FC4"/>
    <w:rsid w:val="00C16FED"/>
    <w:rsid w:val="00C17015"/>
    <w:rsid w:val="00C17070"/>
    <w:rsid w:val="00C1710F"/>
    <w:rsid w:val="00C17694"/>
    <w:rsid w:val="00C17BB4"/>
    <w:rsid w:val="00C17E02"/>
    <w:rsid w:val="00C2007E"/>
    <w:rsid w:val="00C2024D"/>
    <w:rsid w:val="00C20811"/>
    <w:rsid w:val="00C20B9D"/>
    <w:rsid w:val="00C20FE7"/>
    <w:rsid w:val="00C2110B"/>
    <w:rsid w:val="00C21450"/>
    <w:rsid w:val="00C217B3"/>
    <w:rsid w:val="00C217EE"/>
    <w:rsid w:val="00C218B2"/>
    <w:rsid w:val="00C218FE"/>
    <w:rsid w:val="00C21985"/>
    <w:rsid w:val="00C21A48"/>
    <w:rsid w:val="00C21B96"/>
    <w:rsid w:val="00C21DC6"/>
    <w:rsid w:val="00C220D1"/>
    <w:rsid w:val="00C22364"/>
    <w:rsid w:val="00C223C2"/>
    <w:rsid w:val="00C22E57"/>
    <w:rsid w:val="00C23066"/>
    <w:rsid w:val="00C23094"/>
    <w:rsid w:val="00C2354D"/>
    <w:rsid w:val="00C2360C"/>
    <w:rsid w:val="00C238B9"/>
    <w:rsid w:val="00C23A29"/>
    <w:rsid w:val="00C23D3B"/>
    <w:rsid w:val="00C241A6"/>
    <w:rsid w:val="00C244A1"/>
    <w:rsid w:val="00C24663"/>
    <w:rsid w:val="00C24790"/>
    <w:rsid w:val="00C2480F"/>
    <w:rsid w:val="00C24812"/>
    <w:rsid w:val="00C24A2D"/>
    <w:rsid w:val="00C24AC5"/>
    <w:rsid w:val="00C24AE9"/>
    <w:rsid w:val="00C24B40"/>
    <w:rsid w:val="00C24E5B"/>
    <w:rsid w:val="00C24F20"/>
    <w:rsid w:val="00C25599"/>
    <w:rsid w:val="00C25793"/>
    <w:rsid w:val="00C258A3"/>
    <w:rsid w:val="00C25BF2"/>
    <w:rsid w:val="00C25DE4"/>
    <w:rsid w:val="00C25F18"/>
    <w:rsid w:val="00C26190"/>
    <w:rsid w:val="00C26588"/>
    <w:rsid w:val="00C265E4"/>
    <w:rsid w:val="00C26651"/>
    <w:rsid w:val="00C26680"/>
    <w:rsid w:val="00C268DE"/>
    <w:rsid w:val="00C27510"/>
    <w:rsid w:val="00C27758"/>
    <w:rsid w:val="00C2788C"/>
    <w:rsid w:val="00C279F3"/>
    <w:rsid w:val="00C27A91"/>
    <w:rsid w:val="00C27D01"/>
    <w:rsid w:val="00C27DE9"/>
    <w:rsid w:val="00C27F30"/>
    <w:rsid w:val="00C30023"/>
    <w:rsid w:val="00C3004C"/>
    <w:rsid w:val="00C3016B"/>
    <w:rsid w:val="00C302D9"/>
    <w:rsid w:val="00C305A7"/>
    <w:rsid w:val="00C30693"/>
    <w:rsid w:val="00C306C6"/>
    <w:rsid w:val="00C3072E"/>
    <w:rsid w:val="00C30A86"/>
    <w:rsid w:val="00C30AAA"/>
    <w:rsid w:val="00C30B5B"/>
    <w:rsid w:val="00C30C6F"/>
    <w:rsid w:val="00C30E0B"/>
    <w:rsid w:val="00C3111D"/>
    <w:rsid w:val="00C31441"/>
    <w:rsid w:val="00C318A5"/>
    <w:rsid w:val="00C319AE"/>
    <w:rsid w:val="00C31A09"/>
    <w:rsid w:val="00C31BEE"/>
    <w:rsid w:val="00C31DDF"/>
    <w:rsid w:val="00C31FB7"/>
    <w:rsid w:val="00C3205F"/>
    <w:rsid w:val="00C320AD"/>
    <w:rsid w:val="00C322BD"/>
    <w:rsid w:val="00C32497"/>
    <w:rsid w:val="00C3280F"/>
    <w:rsid w:val="00C32989"/>
    <w:rsid w:val="00C32B9C"/>
    <w:rsid w:val="00C32D31"/>
    <w:rsid w:val="00C32EB7"/>
    <w:rsid w:val="00C33388"/>
    <w:rsid w:val="00C334D9"/>
    <w:rsid w:val="00C33501"/>
    <w:rsid w:val="00C337B9"/>
    <w:rsid w:val="00C33852"/>
    <w:rsid w:val="00C3388A"/>
    <w:rsid w:val="00C3395D"/>
    <w:rsid w:val="00C33EEB"/>
    <w:rsid w:val="00C33FD3"/>
    <w:rsid w:val="00C34377"/>
    <w:rsid w:val="00C344E2"/>
    <w:rsid w:val="00C345DF"/>
    <w:rsid w:val="00C348F8"/>
    <w:rsid w:val="00C34AB0"/>
    <w:rsid w:val="00C34D2C"/>
    <w:rsid w:val="00C34E1D"/>
    <w:rsid w:val="00C34E46"/>
    <w:rsid w:val="00C35064"/>
    <w:rsid w:val="00C35484"/>
    <w:rsid w:val="00C3549A"/>
    <w:rsid w:val="00C354D4"/>
    <w:rsid w:val="00C355ED"/>
    <w:rsid w:val="00C35618"/>
    <w:rsid w:val="00C35753"/>
    <w:rsid w:val="00C35AAE"/>
    <w:rsid w:val="00C35AFA"/>
    <w:rsid w:val="00C35B25"/>
    <w:rsid w:val="00C35F45"/>
    <w:rsid w:val="00C360C3"/>
    <w:rsid w:val="00C36212"/>
    <w:rsid w:val="00C3637B"/>
    <w:rsid w:val="00C366CA"/>
    <w:rsid w:val="00C3687F"/>
    <w:rsid w:val="00C36B32"/>
    <w:rsid w:val="00C36C68"/>
    <w:rsid w:val="00C36C73"/>
    <w:rsid w:val="00C36D11"/>
    <w:rsid w:val="00C36D9F"/>
    <w:rsid w:val="00C3712D"/>
    <w:rsid w:val="00C37200"/>
    <w:rsid w:val="00C37212"/>
    <w:rsid w:val="00C3722D"/>
    <w:rsid w:val="00C37589"/>
    <w:rsid w:val="00C3771A"/>
    <w:rsid w:val="00C37A19"/>
    <w:rsid w:val="00C37FA0"/>
    <w:rsid w:val="00C3CB74"/>
    <w:rsid w:val="00C40092"/>
    <w:rsid w:val="00C40394"/>
    <w:rsid w:val="00C403EC"/>
    <w:rsid w:val="00C404E9"/>
    <w:rsid w:val="00C40556"/>
    <w:rsid w:val="00C407A8"/>
    <w:rsid w:val="00C40818"/>
    <w:rsid w:val="00C4085E"/>
    <w:rsid w:val="00C408A5"/>
    <w:rsid w:val="00C408FC"/>
    <w:rsid w:val="00C409B0"/>
    <w:rsid w:val="00C40C71"/>
    <w:rsid w:val="00C40E59"/>
    <w:rsid w:val="00C40F0E"/>
    <w:rsid w:val="00C410A7"/>
    <w:rsid w:val="00C41485"/>
    <w:rsid w:val="00C41550"/>
    <w:rsid w:val="00C41610"/>
    <w:rsid w:val="00C41639"/>
    <w:rsid w:val="00C4173A"/>
    <w:rsid w:val="00C41A68"/>
    <w:rsid w:val="00C41B3F"/>
    <w:rsid w:val="00C41D42"/>
    <w:rsid w:val="00C41DCD"/>
    <w:rsid w:val="00C42B4D"/>
    <w:rsid w:val="00C42BCF"/>
    <w:rsid w:val="00C42D5D"/>
    <w:rsid w:val="00C42D9F"/>
    <w:rsid w:val="00C430B9"/>
    <w:rsid w:val="00C43147"/>
    <w:rsid w:val="00C433B9"/>
    <w:rsid w:val="00C4361C"/>
    <w:rsid w:val="00C43B75"/>
    <w:rsid w:val="00C43C88"/>
    <w:rsid w:val="00C43D92"/>
    <w:rsid w:val="00C43DBB"/>
    <w:rsid w:val="00C442B6"/>
    <w:rsid w:val="00C4433B"/>
    <w:rsid w:val="00C443DC"/>
    <w:rsid w:val="00C44422"/>
    <w:rsid w:val="00C4452C"/>
    <w:rsid w:val="00C448CE"/>
    <w:rsid w:val="00C449B1"/>
    <w:rsid w:val="00C44CF0"/>
    <w:rsid w:val="00C44FD6"/>
    <w:rsid w:val="00C45218"/>
    <w:rsid w:val="00C45344"/>
    <w:rsid w:val="00C45357"/>
    <w:rsid w:val="00C45523"/>
    <w:rsid w:val="00C45561"/>
    <w:rsid w:val="00C45899"/>
    <w:rsid w:val="00C458FC"/>
    <w:rsid w:val="00C45939"/>
    <w:rsid w:val="00C45A5E"/>
    <w:rsid w:val="00C45AC6"/>
    <w:rsid w:val="00C45BB4"/>
    <w:rsid w:val="00C45BE3"/>
    <w:rsid w:val="00C45C46"/>
    <w:rsid w:val="00C45C8D"/>
    <w:rsid w:val="00C45DDE"/>
    <w:rsid w:val="00C45F04"/>
    <w:rsid w:val="00C45F2D"/>
    <w:rsid w:val="00C46149"/>
    <w:rsid w:val="00C4632F"/>
    <w:rsid w:val="00C4642A"/>
    <w:rsid w:val="00C46689"/>
    <w:rsid w:val="00C466B8"/>
    <w:rsid w:val="00C466F9"/>
    <w:rsid w:val="00C4681F"/>
    <w:rsid w:val="00C46893"/>
    <w:rsid w:val="00C468DA"/>
    <w:rsid w:val="00C46A72"/>
    <w:rsid w:val="00C46B17"/>
    <w:rsid w:val="00C46CCC"/>
    <w:rsid w:val="00C46EAF"/>
    <w:rsid w:val="00C46FB4"/>
    <w:rsid w:val="00C4714B"/>
    <w:rsid w:val="00C4726F"/>
    <w:rsid w:val="00C473E5"/>
    <w:rsid w:val="00C4745F"/>
    <w:rsid w:val="00C4758F"/>
    <w:rsid w:val="00C47831"/>
    <w:rsid w:val="00C47857"/>
    <w:rsid w:val="00C47A34"/>
    <w:rsid w:val="00C47A61"/>
    <w:rsid w:val="00C47D58"/>
    <w:rsid w:val="00C50215"/>
    <w:rsid w:val="00C502B0"/>
    <w:rsid w:val="00C50486"/>
    <w:rsid w:val="00C5063B"/>
    <w:rsid w:val="00C509E8"/>
    <w:rsid w:val="00C50A4D"/>
    <w:rsid w:val="00C50B12"/>
    <w:rsid w:val="00C50DED"/>
    <w:rsid w:val="00C51111"/>
    <w:rsid w:val="00C512ED"/>
    <w:rsid w:val="00C51798"/>
    <w:rsid w:val="00C51B6A"/>
    <w:rsid w:val="00C51D52"/>
    <w:rsid w:val="00C52217"/>
    <w:rsid w:val="00C52276"/>
    <w:rsid w:val="00C5246F"/>
    <w:rsid w:val="00C524A7"/>
    <w:rsid w:val="00C52523"/>
    <w:rsid w:val="00C527AD"/>
    <w:rsid w:val="00C527C3"/>
    <w:rsid w:val="00C52899"/>
    <w:rsid w:val="00C52BE3"/>
    <w:rsid w:val="00C52C6F"/>
    <w:rsid w:val="00C52DFB"/>
    <w:rsid w:val="00C53162"/>
    <w:rsid w:val="00C53276"/>
    <w:rsid w:val="00C53287"/>
    <w:rsid w:val="00C532C9"/>
    <w:rsid w:val="00C533DD"/>
    <w:rsid w:val="00C5349E"/>
    <w:rsid w:val="00C534AC"/>
    <w:rsid w:val="00C535BD"/>
    <w:rsid w:val="00C538BD"/>
    <w:rsid w:val="00C538E7"/>
    <w:rsid w:val="00C53971"/>
    <w:rsid w:val="00C539D6"/>
    <w:rsid w:val="00C53A2B"/>
    <w:rsid w:val="00C53D69"/>
    <w:rsid w:val="00C53D87"/>
    <w:rsid w:val="00C53DE1"/>
    <w:rsid w:val="00C5466E"/>
    <w:rsid w:val="00C548A4"/>
    <w:rsid w:val="00C5496A"/>
    <w:rsid w:val="00C54AA8"/>
    <w:rsid w:val="00C5505A"/>
    <w:rsid w:val="00C55316"/>
    <w:rsid w:val="00C55446"/>
    <w:rsid w:val="00C5562E"/>
    <w:rsid w:val="00C55676"/>
    <w:rsid w:val="00C55798"/>
    <w:rsid w:val="00C55AC2"/>
    <w:rsid w:val="00C55FCB"/>
    <w:rsid w:val="00C562AC"/>
    <w:rsid w:val="00C5657C"/>
    <w:rsid w:val="00C5658B"/>
    <w:rsid w:val="00C566E0"/>
    <w:rsid w:val="00C56A69"/>
    <w:rsid w:val="00C56C78"/>
    <w:rsid w:val="00C56CE5"/>
    <w:rsid w:val="00C56E54"/>
    <w:rsid w:val="00C56EC2"/>
    <w:rsid w:val="00C56F35"/>
    <w:rsid w:val="00C574B3"/>
    <w:rsid w:val="00C5755B"/>
    <w:rsid w:val="00C579FD"/>
    <w:rsid w:val="00C57A1D"/>
    <w:rsid w:val="00C57E04"/>
    <w:rsid w:val="00C57E56"/>
    <w:rsid w:val="00C60108"/>
    <w:rsid w:val="00C6013C"/>
    <w:rsid w:val="00C602FF"/>
    <w:rsid w:val="00C60411"/>
    <w:rsid w:val="00C60456"/>
    <w:rsid w:val="00C6046E"/>
    <w:rsid w:val="00C6049B"/>
    <w:rsid w:val="00C604AB"/>
    <w:rsid w:val="00C606AA"/>
    <w:rsid w:val="00C6073C"/>
    <w:rsid w:val="00C607A1"/>
    <w:rsid w:val="00C608DC"/>
    <w:rsid w:val="00C60AAD"/>
    <w:rsid w:val="00C61174"/>
    <w:rsid w:val="00C6128D"/>
    <w:rsid w:val="00C6148F"/>
    <w:rsid w:val="00C6152C"/>
    <w:rsid w:val="00C61B31"/>
    <w:rsid w:val="00C621B1"/>
    <w:rsid w:val="00C62397"/>
    <w:rsid w:val="00C624E7"/>
    <w:rsid w:val="00C627BE"/>
    <w:rsid w:val="00C6286A"/>
    <w:rsid w:val="00C62D5A"/>
    <w:rsid w:val="00C62EF7"/>
    <w:rsid w:val="00C62F7A"/>
    <w:rsid w:val="00C63050"/>
    <w:rsid w:val="00C631E4"/>
    <w:rsid w:val="00C6322E"/>
    <w:rsid w:val="00C633FA"/>
    <w:rsid w:val="00C6362D"/>
    <w:rsid w:val="00C6374A"/>
    <w:rsid w:val="00C638BE"/>
    <w:rsid w:val="00C63B16"/>
    <w:rsid w:val="00C63B9C"/>
    <w:rsid w:val="00C63C97"/>
    <w:rsid w:val="00C63CFF"/>
    <w:rsid w:val="00C63D86"/>
    <w:rsid w:val="00C6412E"/>
    <w:rsid w:val="00C6447E"/>
    <w:rsid w:val="00C644EE"/>
    <w:rsid w:val="00C64663"/>
    <w:rsid w:val="00C6487F"/>
    <w:rsid w:val="00C649C8"/>
    <w:rsid w:val="00C64A3A"/>
    <w:rsid w:val="00C64BC0"/>
    <w:rsid w:val="00C64C50"/>
    <w:rsid w:val="00C64DA9"/>
    <w:rsid w:val="00C65073"/>
    <w:rsid w:val="00C65238"/>
    <w:rsid w:val="00C65341"/>
    <w:rsid w:val="00C65748"/>
    <w:rsid w:val="00C6595F"/>
    <w:rsid w:val="00C65ACC"/>
    <w:rsid w:val="00C65BA8"/>
    <w:rsid w:val="00C66092"/>
    <w:rsid w:val="00C66450"/>
    <w:rsid w:val="00C6645D"/>
    <w:rsid w:val="00C667DF"/>
    <w:rsid w:val="00C667FD"/>
    <w:rsid w:val="00C6682F"/>
    <w:rsid w:val="00C66847"/>
    <w:rsid w:val="00C66B46"/>
    <w:rsid w:val="00C66CCF"/>
    <w:rsid w:val="00C66CFE"/>
    <w:rsid w:val="00C66FFE"/>
    <w:rsid w:val="00C67120"/>
    <w:rsid w:val="00C679D9"/>
    <w:rsid w:val="00C67A35"/>
    <w:rsid w:val="00C67A6B"/>
    <w:rsid w:val="00C67AED"/>
    <w:rsid w:val="00C67BCB"/>
    <w:rsid w:val="00C67BF4"/>
    <w:rsid w:val="00C67C44"/>
    <w:rsid w:val="00C67CB8"/>
    <w:rsid w:val="00C67F8B"/>
    <w:rsid w:val="00C702CB"/>
    <w:rsid w:val="00C7040D"/>
    <w:rsid w:val="00C705EE"/>
    <w:rsid w:val="00C707A3"/>
    <w:rsid w:val="00C70800"/>
    <w:rsid w:val="00C70853"/>
    <w:rsid w:val="00C709DD"/>
    <w:rsid w:val="00C70DB9"/>
    <w:rsid w:val="00C71253"/>
    <w:rsid w:val="00C713FB"/>
    <w:rsid w:val="00C7175D"/>
    <w:rsid w:val="00C719C2"/>
    <w:rsid w:val="00C71ABA"/>
    <w:rsid w:val="00C71BBA"/>
    <w:rsid w:val="00C71DB2"/>
    <w:rsid w:val="00C72114"/>
    <w:rsid w:val="00C72205"/>
    <w:rsid w:val="00C72452"/>
    <w:rsid w:val="00C7275E"/>
    <w:rsid w:val="00C730D4"/>
    <w:rsid w:val="00C731AF"/>
    <w:rsid w:val="00C73254"/>
    <w:rsid w:val="00C7354D"/>
    <w:rsid w:val="00C7358E"/>
    <w:rsid w:val="00C73846"/>
    <w:rsid w:val="00C73BB5"/>
    <w:rsid w:val="00C73C6A"/>
    <w:rsid w:val="00C73CB0"/>
    <w:rsid w:val="00C73DEF"/>
    <w:rsid w:val="00C73EB1"/>
    <w:rsid w:val="00C73F5C"/>
    <w:rsid w:val="00C7406D"/>
    <w:rsid w:val="00C74084"/>
    <w:rsid w:val="00C740AF"/>
    <w:rsid w:val="00C7413C"/>
    <w:rsid w:val="00C74351"/>
    <w:rsid w:val="00C74559"/>
    <w:rsid w:val="00C746C4"/>
    <w:rsid w:val="00C74835"/>
    <w:rsid w:val="00C749C8"/>
    <w:rsid w:val="00C74C5D"/>
    <w:rsid w:val="00C74C7E"/>
    <w:rsid w:val="00C74CD2"/>
    <w:rsid w:val="00C750A9"/>
    <w:rsid w:val="00C7524A"/>
    <w:rsid w:val="00C7544E"/>
    <w:rsid w:val="00C75601"/>
    <w:rsid w:val="00C75731"/>
    <w:rsid w:val="00C75854"/>
    <w:rsid w:val="00C75F13"/>
    <w:rsid w:val="00C76056"/>
    <w:rsid w:val="00C762C9"/>
    <w:rsid w:val="00C76355"/>
    <w:rsid w:val="00C7682F"/>
    <w:rsid w:val="00C76A8F"/>
    <w:rsid w:val="00C76B04"/>
    <w:rsid w:val="00C76B3C"/>
    <w:rsid w:val="00C770AD"/>
    <w:rsid w:val="00C7764F"/>
    <w:rsid w:val="00C77712"/>
    <w:rsid w:val="00C77748"/>
    <w:rsid w:val="00C7791F"/>
    <w:rsid w:val="00C77927"/>
    <w:rsid w:val="00C77B3A"/>
    <w:rsid w:val="00C77E82"/>
    <w:rsid w:val="00C77ECD"/>
    <w:rsid w:val="00C77EDC"/>
    <w:rsid w:val="00C77F47"/>
    <w:rsid w:val="00C80162"/>
    <w:rsid w:val="00C8027F"/>
    <w:rsid w:val="00C809E5"/>
    <w:rsid w:val="00C80BC6"/>
    <w:rsid w:val="00C81157"/>
    <w:rsid w:val="00C81352"/>
    <w:rsid w:val="00C8135C"/>
    <w:rsid w:val="00C813F9"/>
    <w:rsid w:val="00C81855"/>
    <w:rsid w:val="00C81E08"/>
    <w:rsid w:val="00C82055"/>
    <w:rsid w:val="00C82205"/>
    <w:rsid w:val="00C8220F"/>
    <w:rsid w:val="00C82332"/>
    <w:rsid w:val="00C8253F"/>
    <w:rsid w:val="00C82658"/>
    <w:rsid w:val="00C826BF"/>
    <w:rsid w:val="00C82829"/>
    <w:rsid w:val="00C8282B"/>
    <w:rsid w:val="00C82A95"/>
    <w:rsid w:val="00C82AD3"/>
    <w:rsid w:val="00C82BC6"/>
    <w:rsid w:val="00C82C7F"/>
    <w:rsid w:val="00C82CE1"/>
    <w:rsid w:val="00C82DFC"/>
    <w:rsid w:val="00C831E7"/>
    <w:rsid w:val="00C836AA"/>
    <w:rsid w:val="00C83793"/>
    <w:rsid w:val="00C837C1"/>
    <w:rsid w:val="00C83969"/>
    <w:rsid w:val="00C83B3C"/>
    <w:rsid w:val="00C83E40"/>
    <w:rsid w:val="00C83F84"/>
    <w:rsid w:val="00C8415D"/>
    <w:rsid w:val="00C8424B"/>
    <w:rsid w:val="00C8436D"/>
    <w:rsid w:val="00C843A7"/>
    <w:rsid w:val="00C8465D"/>
    <w:rsid w:val="00C848CB"/>
    <w:rsid w:val="00C849B2"/>
    <w:rsid w:val="00C849DA"/>
    <w:rsid w:val="00C84DC9"/>
    <w:rsid w:val="00C84F0B"/>
    <w:rsid w:val="00C84F28"/>
    <w:rsid w:val="00C84FC7"/>
    <w:rsid w:val="00C8515B"/>
    <w:rsid w:val="00C851C7"/>
    <w:rsid w:val="00C851D1"/>
    <w:rsid w:val="00C853AC"/>
    <w:rsid w:val="00C85A4B"/>
    <w:rsid w:val="00C85B42"/>
    <w:rsid w:val="00C85C25"/>
    <w:rsid w:val="00C85CBE"/>
    <w:rsid w:val="00C85CE4"/>
    <w:rsid w:val="00C85D90"/>
    <w:rsid w:val="00C85DFE"/>
    <w:rsid w:val="00C85ED3"/>
    <w:rsid w:val="00C86169"/>
    <w:rsid w:val="00C86295"/>
    <w:rsid w:val="00C862B2"/>
    <w:rsid w:val="00C862DA"/>
    <w:rsid w:val="00C86357"/>
    <w:rsid w:val="00C863C3"/>
    <w:rsid w:val="00C863C4"/>
    <w:rsid w:val="00C863DC"/>
    <w:rsid w:val="00C8646B"/>
    <w:rsid w:val="00C86610"/>
    <w:rsid w:val="00C86954"/>
    <w:rsid w:val="00C86B7F"/>
    <w:rsid w:val="00C87133"/>
    <w:rsid w:val="00C87189"/>
    <w:rsid w:val="00C872AC"/>
    <w:rsid w:val="00C872D6"/>
    <w:rsid w:val="00C87777"/>
    <w:rsid w:val="00C87B02"/>
    <w:rsid w:val="00C87E59"/>
    <w:rsid w:val="00C90186"/>
    <w:rsid w:val="00C901A7"/>
    <w:rsid w:val="00C90376"/>
    <w:rsid w:val="00C90500"/>
    <w:rsid w:val="00C90610"/>
    <w:rsid w:val="00C9090C"/>
    <w:rsid w:val="00C90B33"/>
    <w:rsid w:val="00C90B38"/>
    <w:rsid w:val="00C90B5D"/>
    <w:rsid w:val="00C90BC8"/>
    <w:rsid w:val="00C90DAB"/>
    <w:rsid w:val="00C90DD1"/>
    <w:rsid w:val="00C90F59"/>
    <w:rsid w:val="00C90FE3"/>
    <w:rsid w:val="00C918D9"/>
    <w:rsid w:val="00C918DA"/>
    <w:rsid w:val="00C91A19"/>
    <w:rsid w:val="00C91D46"/>
    <w:rsid w:val="00C91E41"/>
    <w:rsid w:val="00C91F90"/>
    <w:rsid w:val="00C920D4"/>
    <w:rsid w:val="00C920EA"/>
    <w:rsid w:val="00C9264F"/>
    <w:rsid w:val="00C926CC"/>
    <w:rsid w:val="00C92A00"/>
    <w:rsid w:val="00C92DBB"/>
    <w:rsid w:val="00C92E28"/>
    <w:rsid w:val="00C92EAA"/>
    <w:rsid w:val="00C93060"/>
    <w:rsid w:val="00C93196"/>
    <w:rsid w:val="00C93275"/>
    <w:rsid w:val="00C936C6"/>
    <w:rsid w:val="00C937FF"/>
    <w:rsid w:val="00C9387F"/>
    <w:rsid w:val="00C93B3A"/>
    <w:rsid w:val="00C93C3E"/>
    <w:rsid w:val="00C93E02"/>
    <w:rsid w:val="00C93E9A"/>
    <w:rsid w:val="00C9449C"/>
    <w:rsid w:val="00C94572"/>
    <w:rsid w:val="00C945B2"/>
    <w:rsid w:val="00C945C7"/>
    <w:rsid w:val="00C9483C"/>
    <w:rsid w:val="00C9486C"/>
    <w:rsid w:val="00C9488C"/>
    <w:rsid w:val="00C94AB8"/>
    <w:rsid w:val="00C94DE8"/>
    <w:rsid w:val="00C950C5"/>
    <w:rsid w:val="00C95268"/>
    <w:rsid w:val="00C95341"/>
    <w:rsid w:val="00C953D8"/>
    <w:rsid w:val="00C95689"/>
    <w:rsid w:val="00C9583E"/>
    <w:rsid w:val="00C958FA"/>
    <w:rsid w:val="00C959F1"/>
    <w:rsid w:val="00C95BC2"/>
    <w:rsid w:val="00C95EBF"/>
    <w:rsid w:val="00C95EF0"/>
    <w:rsid w:val="00C96012"/>
    <w:rsid w:val="00C963CB"/>
    <w:rsid w:val="00C965D6"/>
    <w:rsid w:val="00C966D1"/>
    <w:rsid w:val="00C967B2"/>
    <w:rsid w:val="00C969B0"/>
    <w:rsid w:val="00C969C3"/>
    <w:rsid w:val="00C969DF"/>
    <w:rsid w:val="00C96CA9"/>
    <w:rsid w:val="00C97008"/>
    <w:rsid w:val="00C970C5"/>
    <w:rsid w:val="00C971EB"/>
    <w:rsid w:val="00C971EF"/>
    <w:rsid w:val="00C9739E"/>
    <w:rsid w:val="00C977FC"/>
    <w:rsid w:val="00C97C0A"/>
    <w:rsid w:val="00C97CB1"/>
    <w:rsid w:val="00C97D39"/>
    <w:rsid w:val="00C97FC1"/>
    <w:rsid w:val="00CA04A1"/>
    <w:rsid w:val="00CA053F"/>
    <w:rsid w:val="00CA1044"/>
    <w:rsid w:val="00CA12E3"/>
    <w:rsid w:val="00CA12EA"/>
    <w:rsid w:val="00CA1476"/>
    <w:rsid w:val="00CA1593"/>
    <w:rsid w:val="00CA167B"/>
    <w:rsid w:val="00CA1BB4"/>
    <w:rsid w:val="00CA20AA"/>
    <w:rsid w:val="00CA218F"/>
    <w:rsid w:val="00CA21EB"/>
    <w:rsid w:val="00CA291D"/>
    <w:rsid w:val="00CA2B9F"/>
    <w:rsid w:val="00CA2F4B"/>
    <w:rsid w:val="00CA313B"/>
    <w:rsid w:val="00CA354F"/>
    <w:rsid w:val="00CA368F"/>
    <w:rsid w:val="00CA3958"/>
    <w:rsid w:val="00CA3CF4"/>
    <w:rsid w:val="00CA3EB8"/>
    <w:rsid w:val="00CA41C5"/>
    <w:rsid w:val="00CA429B"/>
    <w:rsid w:val="00CA4C30"/>
    <w:rsid w:val="00CA4C66"/>
    <w:rsid w:val="00CA4C90"/>
    <w:rsid w:val="00CA4CC8"/>
    <w:rsid w:val="00CA4E14"/>
    <w:rsid w:val="00CA50EF"/>
    <w:rsid w:val="00CA51F9"/>
    <w:rsid w:val="00CA52E9"/>
    <w:rsid w:val="00CA5633"/>
    <w:rsid w:val="00CA5935"/>
    <w:rsid w:val="00CA5DF2"/>
    <w:rsid w:val="00CA60E8"/>
    <w:rsid w:val="00CA6611"/>
    <w:rsid w:val="00CA66CB"/>
    <w:rsid w:val="00CA6892"/>
    <w:rsid w:val="00CA6AE6"/>
    <w:rsid w:val="00CA6B2D"/>
    <w:rsid w:val="00CA6B5F"/>
    <w:rsid w:val="00CA70E1"/>
    <w:rsid w:val="00CA7366"/>
    <w:rsid w:val="00CA76F3"/>
    <w:rsid w:val="00CA7752"/>
    <w:rsid w:val="00CA782F"/>
    <w:rsid w:val="00CA788A"/>
    <w:rsid w:val="00CA796B"/>
    <w:rsid w:val="00CA7B51"/>
    <w:rsid w:val="00CA7B60"/>
    <w:rsid w:val="00CA7C04"/>
    <w:rsid w:val="00CA7CDA"/>
    <w:rsid w:val="00CA7E6F"/>
    <w:rsid w:val="00CB01A2"/>
    <w:rsid w:val="00CB01A5"/>
    <w:rsid w:val="00CB01F7"/>
    <w:rsid w:val="00CB073C"/>
    <w:rsid w:val="00CB0D5A"/>
    <w:rsid w:val="00CB10B8"/>
    <w:rsid w:val="00CB10DB"/>
    <w:rsid w:val="00CB1569"/>
    <w:rsid w:val="00CB158A"/>
    <w:rsid w:val="00CB187B"/>
    <w:rsid w:val="00CB1921"/>
    <w:rsid w:val="00CB19AC"/>
    <w:rsid w:val="00CB1A52"/>
    <w:rsid w:val="00CB1AF7"/>
    <w:rsid w:val="00CB1B79"/>
    <w:rsid w:val="00CB1C06"/>
    <w:rsid w:val="00CB1D4A"/>
    <w:rsid w:val="00CB1E34"/>
    <w:rsid w:val="00CB1F15"/>
    <w:rsid w:val="00CB211A"/>
    <w:rsid w:val="00CB2162"/>
    <w:rsid w:val="00CB21A4"/>
    <w:rsid w:val="00CB235C"/>
    <w:rsid w:val="00CB255D"/>
    <w:rsid w:val="00CB26C3"/>
    <w:rsid w:val="00CB2835"/>
    <w:rsid w:val="00CB29B7"/>
    <w:rsid w:val="00CB2DA0"/>
    <w:rsid w:val="00CB3285"/>
    <w:rsid w:val="00CB33E3"/>
    <w:rsid w:val="00CB352F"/>
    <w:rsid w:val="00CB3642"/>
    <w:rsid w:val="00CB36A5"/>
    <w:rsid w:val="00CB37BB"/>
    <w:rsid w:val="00CB3B42"/>
    <w:rsid w:val="00CB3C44"/>
    <w:rsid w:val="00CB4272"/>
    <w:rsid w:val="00CB4370"/>
    <w:rsid w:val="00CB4500"/>
    <w:rsid w:val="00CB4509"/>
    <w:rsid w:val="00CB4586"/>
    <w:rsid w:val="00CB4703"/>
    <w:rsid w:val="00CB4B07"/>
    <w:rsid w:val="00CB4D7F"/>
    <w:rsid w:val="00CB4EED"/>
    <w:rsid w:val="00CB5115"/>
    <w:rsid w:val="00CB5168"/>
    <w:rsid w:val="00CB52FC"/>
    <w:rsid w:val="00CB53B3"/>
    <w:rsid w:val="00CB5665"/>
    <w:rsid w:val="00CB5928"/>
    <w:rsid w:val="00CB5D14"/>
    <w:rsid w:val="00CB5FB2"/>
    <w:rsid w:val="00CB6220"/>
    <w:rsid w:val="00CB630C"/>
    <w:rsid w:val="00CB644D"/>
    <w:rsid w:val="00CB6AD4"/>
    <w:rsid w:val="00CB6F3F"/>
    <w:rsid w:val="00CB6F5C"/>
    <w:rsid w:val="00CB7315"/>
    <w:rsid w:val="00CB7554"/>
    <w:rsid w:val="00CB7641"/>
    <w:rsid w:val="00CB77F4"/>
    <w:rsid w:val="00CB7901"/>
    <w:rsid w:val="00CB7A4E"/>
    <w:rsid w:val="00CB7B82"/>
    <w:rsid w:val="00CB7B8A"/>
    <w:rsid w:val="00CB7FA1"/>
    <w:rsid w:val="00CB7FE9"/>
    <w:rsid w:val="00CC00C8"/>
    <w:rsid w:val="00CC00F4"/>
    <w:rsid w:val="00CC0100"/>
    <w:rsid w:val="00CC0133"/>
    <w:rsid w:val="00CC0471"/>
    <w:rsid w:val="00CC0476"/>
    <w:rsid w:val="00CC06EC"/>
    <w:rsid w:val="00CC08D2"/>
    <w:rsid w:val="00CC09C3"/>
    <w:rsid w:val="00CC0B32"/>
    <w:rsid w:val="00CC0C27"/>
    <w:rsid w:val="00CC0C72"/>
    <w:rsid w:val="00CC0D19"/>
    <w:rsid w:val="00CC0E14"/>
    <w:rsid w:val="00CC1243"/>
    <w:rsid w:val="00CC1306"/>
    <w:rsid w:val="00CC1513"/>
    <w:rsid w:val="00CC15DE"/>
    <w:rsid w:val="00CC15FA"/>
    <w:rsid w:val="00CC18C5"/>
    <w:rsid w:val="00CC1BD3"/>
    <w:rsid w:val="00CC1CB3"/>
    <w:rsid w:val="00CC2325"/>
    <w:rsid w:val="00CC2476"/>
    <w:rsid w:val="00CC258A"/>
    <w:rsid w:val="00CC298D"/>
    <w:rsid w:val="00CC2B8E"/>
    <w:rsid w:val="00CC2BE1"/>
    <w:rsid w:val="00CC2BFD"/>
    <w:rsid w:val="00CC2CFC"/>
    <w:rsid w:val="00CC34A3"/>
    <w:rsid w:val="00CC34D1"/>
    <w:rsid w:val="00CC34FA"/>
    <w:rsid w:val="00CC35A1"/>
    <w:rsid w:val="00CC38C8"/>
    <w:rsid w:val="00CC3BB0"/>
    <w:rsid w:val="00CC3CE7"/>
    <w:rsid w:val="00CC3D56"/>
    <w:rsid w:val="00CC4587"/>
    <w:rsid w:val="00CC4592"/>
    <w:rsid w:val="00CC4A36"/>
    <w:rsid w:val="00CC4AA8"/>
    <w:rsid w:val="00CC4E07"/>
    <w:rsid w:val="00CC50E5"/>
    <w:rsid w:val="00CC512B"/>
    <w:rsid w:val="00CC547B"/>
    <w:rsid w:val="00CC56F8"/>
    <w:rsid w:val="00CC5866"/>
    <w:rsid w:val="00CC5A4A"/>
    <w:rsid w:val="00CC5A4F"/>
    <w:rsid w:val="00CC5A75"/>
    <w:rsid w:val="00CC5BC3"/>
    <w:rsid w:val="00CC5C2D"/>
    <w:rsid w:val="00CC5C2E"/>
    <w:rsid w:val="00CC65A6"/>
    <w:rsid w:val="00CC69C2"/>
    <w:rsid w:val="00CC6B19"/>
    <w:rsid w:val="00CC6C92"/>
    <w:rsid w:val="00CC6CDD"/>
    <w:rsid w:val="00CC6F40"/>
    <w:rsid w:val="00CC6FEF"/>
    <w:rsid w:val="00CC71DE"/>
    <w:rsid w:val="00CC73C4"/>
    <w:rsid w:val="00CC748A"/>
    <w:rsid w:val="00CC753D"/>
    <w:rsid w:val="00CC75F3"/>
    <w:rsid w:val="00CC77FC"/>
    <w:rsid w:val="00CC789A"/>
    <w:rsid w:val="00CC7B7A"/>
    <w:rsid w:val="00CC7BAF"/>
    <w:rsid w:val="00CC7BF8"/>
    <w:rsid w:val="00CC7ECA"/>
    <w:rsid w:val="00CC7EE2"/>
    <w:rsid w:val="00CD01DD"/>
    <w:rsid w:val="00CD0837"/>
    <w:rsid w:val="00CD086A"/>
    <w:rsid w:val="00CD09EE"/>
    <w:rsid w:val="00CD0C77"/>
    <w:rsid w:val="00CD0CD2"/>
    <w:rsid w:val="00CD0DA1"/>
    <w:rsid w:val="00CD0DE2"/>
    <w:rsid w:val="00CD0F7A"/>
    <w:rsid w:val="00CD118A"/>
    <w:rsid w:val="00CD1250"/>
    <w:rsid w:val="00CD13BF"/>
    <w:rsid w:val="00CD14C6"/>
    <w:rsid w:val="00CD1612"/>
    <w:rsid w:val="00CD17FA"/>
    <w:rsid w:val="00CD1827"/>
    <w:rsid w:val="00CD1ADC"/>
    <w:rsid w:val="00CD1B06"/>
    <w:rsid w:val="00CD1BFC"/>
    <w:rsid w:val="00CD1C6F"/>
    <w:rsid w:val="00CD1E2A"/>
    <w:rsid w:val="00CD2326"/>
    <w:rsid w:val="00CD24C0"/>
    <w:rsid w:val="00CD26E8"/>
    <w:rsid w:val="00CD27BD"/>
    <w:rsid w:val="00CD2A35"/>
    <w:rsid w:val="00CD2B8E"/>
    <w:rsid w:val="00CD2BD7"/>
    <w:rsid w:val="00CD2CC4"/>
    <w:rsid w:val="00CD2DF0"/>
    <w:rsid w:val="00CD31AD"/>
    <w:rsid w:val="00CD32C4"/>
    <w:rsid w:val="00CD3476"/>
    <w:rsid w:val="00CD35AD"/>
    <w:rsid w:val="00CD37C7"/>
    <w:rsid w:val="00CD405C"/>
    <w:rsid w:val="00CD4163"/>
    <w:rsid w:val="00CD4528"/>
    <w:rsid w:val="00CD4542"/>
    <w:rsid w:val="00CD4712"/>
    <w:rsid w:val="00CD47BE"/>
    <w:rsid w:val="00CD47D8"/>
    <w:rsid w:val="00CD4B6B"/>
    <w:rsid w:val="00CD4FA5"/>
    <w:rsid w:val="00CD514A"/>
    <w:rsid w:val="00CD57C0"/>
    <w:rsid w:val="00CD5918"/>
    <w:rsid w:val="00CD5953"/>
    <w:rsid w:val="00CD5A20"/>
    <w:rsid w:val="00CD5AB6"/>
    <w:rsid w:val="00CD5B89"/>
    <w:rsid w:val="00CD5E44"/>
    <w:rsid w:val="00CD64B0"/>
    <w:rsid w:val="00CD64DF"/>
    <w:rsid w:val="00CD6D6D"/>
    <w:rsid w:val="00CD7304"/>
    <w:rsid w:val="00CD756B"/>
    <w:rsid w:val="00CD7582"/>
    <w:rsid w:val="00CD77CC"/>
    <w:rsid w:val="00CD7C92"/>
    <w:rsid w:val="00CE006C"/>
    <w:rsid w:val="00CE030B"/>
    <w:rsid w:val="00CE05A7"/>
    <w:rsid w:val="00CE07BD"/>
    <w:rsid w:val="00CE07C3"/>
    <w:rsid w:val="00CE0904"/>
    <w:rsid w:val="00CE0957"/>
    <w:rsid w:val="00CE09C2"/>
    <w:rsid w:val="00CE0D22"/>
    <w:rsid w:val="00CE0EC1"/>
    <w:rsid w:val="00CE0F20"/>
    <w:rsid w:val="00CE132F"/>
    <w:rsid w:val="00CE1616"/>
    <w:rsid w:val="00CE1A39"/>
    <w:rsid w:val="00CE1BB6"/>
    <w:rsid w:val="00CE1D8C"/>
    <w:rsid w:val="00CE1DDC"/>
    <w:rsid w:val="00CE1FA2"/>
    <w:rsid w:val="00CE225F"/>
    <w:rsid w:val="00CE22B8"/>
    <w:rsid w:val="00CE27DF"/>
    <w:rsid w:val="00CE2872"/>
    <w:rsid w:val="00CE29D8"/>
    <w:rsid w:val="00CE29FD"/>
    <w:rsid w:val="00CE2A84"/>
    <w:rsid w:val="00CE2AEE"/>
    <w:rsid w:val="00CE2CAC"/>
    <w:rsid w:val="00CE2F7A"/>
    <w:rsid w:val="00CE30BD"/>
    <w:rsid w:val="00CE30CE"/>
    <w:rsid w:val="00CE3112"/>
    <w:rsid w:val="00CE319B"/>
    <w:rsid w:val="00CE3202"/>
    <w:rsid w:val="00CE3226"/>
    <w:rsid w:val="00CE33C1"/>
    <w:rsid w:val="00CE365F"/>
    <w:rsid w:val="00CE3AAF"/>
    <w:rsid w:val="00CE3B1A"/>
    <w:rsid w:val="00CE3ED2"/>
    <w:rsid w:val="00CE4190"/>
    <w:rsid w:val="00CE4335"/>
    <w:rsid w:val="00CE444B"/>
    <w:rsid w:val="00CE44C3"/>
    <w:rsid w:val="00CE4602"/>
    <w:rsid w:val="00CE4674"/>
    <w:rsid w:val="00CE4C60"/>
    <w:rsid w:val="00CE4D90"/>
    <w:rsid w:val="00CE4E62"/>
    <w:rsid w:val="00CE4FFF"/>
    <w:rsid w:val="00CE51DE"/>
    <w:rsid w:val="00CE51EC"/>
    <w:rsid w:val="00CE52D6"/>
    <w:rsid w:val="00CE536D"/>
    <w:rsid w:val="00CE54B2"/>
    <w:rsid w:val="00CE56CF"/>
    <w:rsid w:val="00CE5736"/>
    <w:rsid w:val="00CE583A"/>
    <w:rsid w:val="00CE5A7A"/>
    <w:rsid w:val="00CE5AFD"/>
    <w:rsid w:val="00CE5C72"/>
    <w:rsid w:val="00CE5E77"/>
    <w:rsid w:val="00CE5FA5"/>
    <w:rsid w:val="00CE6142"/>
    <w:rsid w:val="00CE6167"/>
    <w:rsid w:val="00CE6213"/>
    <w:rsid w:val="00CE62C2"/>
    <w:rsid w:val="00CE6610"/>
    <w:rsid w:val="00CE665A"/>
    <w:rsid w:val="00CE6732"/>
    <w:rsid w:val="00CE67F5"/>
    <w:rsid w:val="00CE68D3"/>
    <w:rsid w:val="00CE6E19"/>
    <w:rsid w:val="00CE73FB"/>
    <w:rsid w:val="00CE7446"/>
    <w:rsid w:val="00CE746C"/>
    <w:rsid w:val="00CE7508"/>
    <w:rsid w:val="00CE7573"/>
    <w:rsid w:val="00CE76BF"/>
    <w:rsid w:val="00CE7970"/>
    <w:rsid w:val="00CE7B2D"/>
    <w:rsid w:val="00CF02AF"/>
    <w:rsid w:val="00CF0743"/>
    <w:rsid w:val="00CF0757"/>
    <w:rsid w:val="00CF0815"/>
    <w:rsid w:val="00CF08DF"/>
    <w:rsid w:val="00CF098F"/>
    <w:rsid w:val="00CF0A59"/>
    <w:rsid w:val="00CF0D48"/>
    <w:rsid w:val="00CF125C"/>
    <w:rsid w:val="00CF133E"/>
    <w:rsid w:val="00CF161C"/>
    <w:rsid w:val="00CF1653"/>
    <w:rsid w:val="00CF1819"/>
    <w:rsid w:val="00CF18D7"/>
    <w:rsid w:val="00CF19F7"/>
    <w:rsid w:val="00CF1EDD"/>
    <w:rsid w:val="00CF1FC8"/>
    <w:rsid w:val="00CF23B2"/>
    <w:rsid w:val="00CF250E"/>
    <w:rsid w:val="00CF2742"/>
    <w:rsid w:val="00CF2776"/>
    <w:rsid w:val="00CF27A3"/>
    <w:rsid w:val="00CF280A"/>
    <w:rsid w:val="00CF2B5F"/>
    <w:rsid w:val="00CF2BC4"/>
    <w:rsid w:val="00CF2D6D"/>
    <w:rsid w:val="00CF2EE4"/>
    <w:rsid w:val="00CF2F50"/>
    <w:rsid w:val="00CF3003"/>
    <w:rsid w:val="00CF314C"/>
    <w:rsid w:val="00CF31C6"/>
    <w:rsid w:val="00CF33DB"/>
    <w:rsid w:val="00CF363A"/>
    <w:rsid w:val="00CF365B"/>
    <w:rsid w:val="00CF37A7"/>
    <w:rsid w:val="00CF37B7"/>
    <w:rsid w:val="00CF37E3"/>
    <w:rsid w:val="00CF3A05"/>
    <w:rsid w:val="00CF3CBF"/>
    <w:rsid w:val="00CF3E7C"/>
    <w:rsid w:val="00CF4092"/>
    <w:rsid w:val="00CF41AA"/>
    <w:rsid w:val="00CF41E3"/>
    <w:rsid w:val="00CF422A"/>
    <w:rsid w:val="00CF4259"/>
    <w:rsid w:val="00CF4309"/>
    <w:rsid w:val="00CF4659"/>
    <w:rsid w:val="00CF48E1"/>
    <w:rsid w:val="00CF4903"/>
    <w:rsid w:val="00CF49C3"/>
    <w:rsid w:val="00CF4B22"/>
    <w:rsid w:val="00CF4BEB"/>
    <w:rsid w:val="00CF4CD2"/>
    <w:rsid w:val="00CF4CDE"/>
    <w:rsid w:val="00CF4DC2"/>
    <w:rsid w:val="00CF507C"/>
    <w:rsid w:val="00CF5158"/>
    <w:rsid w:val="00CF53CA"/>
    <w:rsid w:val="00CF55DA"/>
    <w:rsid w:val="00CF57F5"/>
    <w:rsid w:val="00CF5A8E"/>
    <w:rsid w:val="00CF5BCC"/>
    <w:rsid w:val="00CF616D"/>
    <w:rsid w:val="00CF6182"/>
    <w:rsid w:val="00CF6198"/>
    <w:rsid w:val="00CF626B"/>
    <w:rsid w:val="00CF631F"/>
    <w:rsid w:val="00CF635C"/>
    <w:rsid w:val="00CF6601"/>
    <w:rsid w:val="00CF6806"/>
    <w:rsid w:val="00CF6A4C"/>
    <w:rsid w:val="00CF6B1F"/>
    <w:rsid w:val="00CF6CFD"/>
    <w:rsid w:val="00CF78D5"/>
    <w:rsid w:val="00CF79CE"/>
    <w:rsid w:val="00CF7EED"/>
    <w:rsid w:val="00CF7F7E"/>
    <w:rsid w:val="00D005AF"/>
    <w:rsid w:val="00D00623"/>
    <w:rsid w:val="00D00681"/>
    <w:rsid w:val="00D00988"/>
    <w:rsid w:val="00D00B22"/>
    <w:rsid w:val="00D00E02"/>
    <w:rsid w:val="00D00F35"/>
    <w:rsid w:val="00D011F1"/>
    <w:rsid w:val="00D0141D"/>
    <w:rsid w:val="00D015EA"/>
    <w:rsid w:val="00D0181A"/>
    <w:rsid w:val="00D018E0"/>
    <w:rsid w:val="00D0198D"/>
    <w:rsid w:val="00D01AF6"/>
    <w:rsid w:val="00D01B2D"/>
    <w:rsid w:val="00D01BC3"/>
    <w:rsid w:val="00D01D0D"/>
    <w:rsid w:val="00D020C0"/>
    <w:rsid w:val="00D024B6"/>
    <w:rsid w:val="00D025B2"/>
    <w:rsid w:val="00D025DA"/>
    <w:rsid w:val="00D0271C"/>
    <w:rsid w:val="00D0277D"/>
    <w:rsid w:val="00D02919"/>
    <w:rsid w:val="00D02C5E"/>
    <w:rsid w:val="00D02C61"/>
    <w:rsid w:val="00D02EAF"/>
    <w:rsid w:val="00D02F42"/>
    <w:rsid w:val="00D0328B"/>
    <w:rsid w:val="00D03365"/>
    <w:rsid w:val="00D0340F"/>
    <w:rsid w:val="00D03526"/>
    <w:rsid w:val="00D03574"/>
    <w:rsid w:val="00D0358A"/>
    <w:rsid w:val="00D035DA"/>
    <w:rsid w:val="00D03ECE"/>
    <w:rsid w:val="00D03F11"/>
    <w:rsid w:val="00D04002"/>
    <w:rsid w:val="00D045CF"/>
    <w:rsid w:val="00D045EF"/>
    <w:rsid w:val="00D045FC"/>
    <w:rsid w:val="00D04772"/>
    <w:rsid w:val="00D04912"/>
    <w:rsid w:val="00D04967"/>
    <w:rsid w:val="00D049FC"/>
    <w:rsid w:val="00D04A11"/>
    <w:rsid w:val="00D04C61"/>
    <w:rsid w:val="00D04E15"/>
    <w:rsid w:val="00D04E90"/>
    <w:rsid w:val="00D04F1F"/>
    <w:rsid w:val="00D04F4F"/>
    <w:rsid w:val="00D04F7A"/>
    <w:rsid w:val="00D05047"/>
    <w:rsid w:val="00D0537E"/>
    <w:rsid w:val="00D057B5"/>
    <w:rsid w:val="00D057F2"/>
    <w:rsid w:val="00D0593D"/>
    <w:rsid w:val="00D05A34"/>
    <w:rsid w:val="00D05B8D"/>
    <w:rsid w:val="00D05B9B"/>
    <w:rsid w:val="00D05D9B"/>
    <w:rsid w:val="00D05F33"/>
    <w:rsid w:val="00D05F35"/>
    <w:rsid w:val="00D05F37"/>
    <w:rsid w:val="00D061AD"/>
    <w:rsid w:val="00D06464"/>
    <w:rsid w:val="00D064E3"/>
    <w:rsid w:val="00D06532"/>
    <w:rsid w:val="00D065A2"/>
    <w:rsid w:val="00D065EC"/>
    <w:rsid w:val="00D066B6"/>
    <w:rsid w:val="00D0678C"/>
    <w:rsid w:val="00D0685A"/>
    <w:rsid w:val="00D06860"/>
    <w:rsid w:val="00D068E6"/>
    <w:rsid w:val="00D06C8F"/>
    <w:rsid w:val="00D06E41"/>
    <w:rsid w:val="00D06E9F"/>
    <w:rsid w:val="00D06FF7"/>
    <w:rsid w:val="00D0701D"/>
    <w:rsid w:val="00D0714A"/>
    <w:rsid w:val="00D072A9"/>
    <w:rsid w:val="00D0744A"/>
    <w:rsid w:val="00D07681"/>
    <w:rsid w:val="00D078F8"/>
    <w:rsid w:val="00D079AA"/>
    <w:rsid w:val="00D079B2"/>
    <w:rsid w:val="00D07A12"/>
    <w:rsid w:val="00D07A21"/>
    <w:rsid w:val="00D07ADF"/>
    <w:rsid w:val="00D07C1E"/>
    <w:rsid w:val="00D07CA9"/>
    <w:rsid w:val="00D07F00"/>
    <w:rsid w:val="00D1003E"/>
    <w:rsid w:val="00D10847"/>
    <w:rsid w:val="00D10FBF"/>
    <w:rsid w:val="00D11080"/>
    <w:rsid w:val="00D11123"/>
    <w:rsid w:val="00D112E2"/>
    <w:rsid w:val="00D1130F"/>
    <w:rsid w:val="00D114D7"/>
    <w:rsid w:val="00D117DA"/>
    <w:rsid w:val="00D1184E"/>
    <w:rsid w:val="00D11E32"/>
    <w:rsid w:val="00D11EA6"/>
    <w:rsid w:val="00D11EF3"/>
    <w:rsid w:val="00D120C5"/>
    <w:rsid w:val="00D120D7"/>
    <w:rsid w:val="00D121E6"/>
    <w:rsid w:val="00D1237D"/>
    <w:rsid w:val="00D1252E"/>
    <w:rsid w:val="00D127B3"/>
    <w:rsid w:val="00D128B6"/>
    <w:rsid w:val="00D12A35"/>
    <w:rsid w:val="00D12B0C"/>
    <w:rsid w:val="00D12B58"/>
    <w:rsid w:val="00D12B83"/>
    <w:rsid w:val="00D12F7E"/>
    <w:rsid w:val="00D1302E"/>
    <w:rsid w:val="00D1324A"/>
    <w:rsid w:val="00D13334"/>
    <w:rsid w:val="00D13580"/>
    <w:rsid w:val="00D13CC2"/>
    <w:rsid w:val="00D13CDB"/>
    <w:rsid w:val="00D13FB9"/>
    <w:rsid w:val="00D140B5"/>
    <w:rsid w:val="00D14183"/>
    <w:rsid w:val="00D1421D"/>
    <w:rsid w:val="00D143EB"/>
    <w:rsid w:val="00D14401"/>
    <w:rsid w:val="00D14519"/>
    <w:rsid w:val="00D14534"/>
    <w:rsid w:val="00D147FD"/>
    <w:rsid w:val="00D14BA0"/>
    <w:rsid w:val="00D14DE9"/>
    <w:rsid w:val="00D14DEF"/>
    <w:rsid w:val="00D14EF3"/>
    <w:rsid w:val="00D15422"/>
    <w:rsid w:val="00D15B08"/>
    <w:rsid w:val="00D15D59"/>
    <w:rsid w:val="00D15E34"/>
    <w:rsid w:val="00D15EA5"/>
    <w:rsid w:val="00D16662"/>
    <w:rsid w:val="00D167CE"/>
    <w:rsid w:val="00D16A4D"/>
    <w:rsid w:val="00D16C6A"/>
    <w:rsid w:val="00D16D1E"/>
    <w:rsid w:val="00D16DD5"/>
    <w:rsid w:val="00D16F7B"/>
    <w:rsid w:val="00D17015"/>
    <w:rsid w:val="00D171C4"/>
    <w:rsid w:val="00D17352"/>
    <w:rsid w:val="00D173D9"/>
    <w:rsid w:val="00D1751C"/>
    <w:rsid w:val="00D17541"/>
    <w:rsid w:val="00D175F0"/>
    <w:rsid w:val="00D177E2"/>
    <w:rsid w:val="00D17AF0"/>
    <w:rsid w:val="00D17B72"/>
    <w:rsid w:val="00D17C34"/>
    <w:rsid w:val="00D17CD3"/>
    <w:rsid w:val="00D17DFF"/>
    <w:rsid w:val="00D17E27"/>
    <w:rsid w:val="00D20002"/>
    <w:rsid w:val="00D2021D"/>
    <w:rsid w:val="00D2023A"/>
    <w:rsid w:val="00D202B0"/>
    <w:rsid w:val="00D203B1"/>
    <w:rsid w:val="00D205D1"/>
    <w:rsid w:val="00D206A5"/>
    <w:rsid w:val="00D20A56"/>
    <w:rsid w:val="00D20C47"/>
    <w:rsid w:val="00D20D8C"/>
    <w:rsid w:val="00D20DC5"/>
    <w:rsid w:val="00D20FF0"/>
    <w:rsid w:val="00D2101F"/>
    <w:rsid w:val="00D213E6"/>
    <w:rsid w:val="00D2150D"/>
    <w:rsid w:val="00D217BE"/>
    <w:rsid w:val="00D217E1"/>
    <w:rsid w:val="00D218B2"/>
    <w:rsid w:val="00D21DDC"/>
    <w:rsid w:val="00D2219B"/>
    <w:rsid w:val="00D2223F"/>
    <w:rsid w:val="00D222C9"/>
    <w:rsid w:val="00D228CC"/>
    <w:rsid w:val="00D22C07"/>
    <w:rsid w:val="00D22E5F"/>
    <w:rsid w:val="00D22E63"/>
    <w:rsid w:val="00D22F78"/>
    <w:rsid w:val="00D23095"/>
    <w:rsid w:val="00D234FD"/>
    <w:rsid w:val="00D23718"/>
    <w:rsid w:val="00D2384F"/>
    <w:rsid w:val="00D23895"/>
    <w:rsid w:val="00D2413D"/>
    <w:rsid w:val="00D2426F"/>
    <w:rsid w:val="00D243AA"/>
    <w:rsid w:val="00D2487C"/>
    <w:rsid w:val="00D24CD1"/>
    <w:rsid w:val="00D24DB9"/>
    <w:rsid w:val="00D24E47"/>
    <w:rsid w:val="00D2546B"/>
    <w:rsid w:val="00D258E1"/>
    <w:rsid w:val="00D25C18"/>
    <w:rsid w:val="00D26228"/>
    <w:rsid w:val="00D26768"/>
    <w:rsid w:val="00D26CA0"/>
    <w:rsid w:val="00D26E0C"/>
    <w:rsid w:val="00D26F6F"/>
    <w:rsid w:val="00D2700A"/>
    <w:rsid w:val="00D27014"/>
    <w:rsid w:val="00D2730C"/>
    <w:rsid w:val="00D273F6"/>
    <w:rsid w:val="00D2746A"/>
    <w:rsid w:val="00D2794C"/>
    <w:rsid w:val="00D279D9"/>
    <w:rsid w:val="00D27AD8"/>
    <w:rsid w:val="00D27B81"/>
    <w:rsid w:val="00D27D5B"/>
    <w:rsid w:val="00D3008C"/>
    <w:rsid w:val="00D30294"/>
    <w:rsid w:val="00D30335"/>
    <w:rsid w:val="00D3037E"/>
    <w:rsid w:val="00D304EC"/>
    <w:rsid w:val="00D30622"/>
    <w:rsid w:val="00D3063F"/>
    <w:rsid w:val="00D30A57"/>
    <w:rsid w:val="00D30D7E"/>
    <w:rsid w:val="00D30EAA"/>
    <w:rsid w:val="00D31065"/>
    <w:rsid w:val="00D31215"/>
    <w:rsid w:val="00D31458"/>
    <w:rsid w:val="00D31792"/>
    <w:rsid w:val="00D3185C"/>
    <w:rsid w:val="00D31A36"/>
    <w:rsid w:val="00D31E19"/>
    <w:rsid w:val="00D31FA3"/>
    <w:rsid w:val="00D31FFE"/>
    <w:rsid w:val="00D32002"/>
    <w:rsid w:val="00D3205F"/>
    <w:rsid w:val="00D32402"/>
    <w:rsid w:val="00D32474"/>
    <w:rsid w:val="00D324B3"/>
    <w:rsid w:val="00D32529"/>
    <w:rsid w:val="00D32572"/>
    <w:rsid w:val="00D325DD"/>
    <w:rsid w:val="00D327EE"/>
    <w:rsid w:val="00D32806"/>
    <w:rsid w:val="00D32CE3"/>
    <w:rsid w:val="00D32D24"/>
    <w:rsid w:val="00D3318E"/>
    <w:rsid w:val="00D331D5"/>
    <w:rsid w:val="00D331F3"/>
    <w:rsid w:val="00D3331B"/>
    <w:rsid w:val="00D335AF"/>
    <w:rsid w:val="00D33A4F"/>
    <w:rsid w:val="00D33A78"/>
    <w:rsid w:val="00D33E72"/>
    <w:rsid w:val="00D34579"/>
    <w:rsid w:val="00D34A46"/>
    <w:rsid w:val="00D34BBD"/>
    <w:rsid w:val="00D34CD1"/>
    <w:rsid w:val="00D34CEC"/>
    <w:rsid w:val="00D34EE4"/>
    <w:rsid w:val="00D352BD"/>
    <w:rsid w:val="00D355FC"/>
    <w:rsid w:val="00D35830"/>
    <w:rsid w:val="00D35BD6"/>
    <w:rsid w:val="00D35DFE"/>
    <w:rsid w:val="00D35EE9"/>
    <w:rsid w:val="00D361B3"/>
    <w:rsid w:val="00D361B5"/>
    <w:rsid w:val="00D36543"/>
    <w:rsid w:val="00D365BB"/>
    <w:rsid w:val="00D36812"/>
    <w:rsid w:val="00D36B40"/>
    <w:rsid w:val="00D36B87"/>
    <w:rsid w:val="00D36D95"/>
    <w:rsid w:val="00D36DA9"/>
    <w:rsid w:val="00D36DB4"/>
    <w:rsid w:val="00D37040"/>
    <w:rsid w:val="00D3728B"/>
    <w:rsid w:val="00D3754A"/>
    <w:rsid w:val="00D37653"/>
    <w:rsid w:val="00D37B8B"/>
    <w:rsid w:val="00D403BB"/>
    <w:rsid w:val="00D40891"/>
    <w:rsid w:val="00D408C0"/>
    <w:rsid w:val="00D408C5"/>
    <w:rsid w:val="00D40FB6"/>
    <w:rsid w:val="00D410BD"/>
    <w:rsid w:val="00D411A2"/>
    <w:rsid w:val="00D411BA"/>
    <w:rsid w:val="00D41355"/>
    <w:rsid w:val="00D41592"/>
    <w:rsid w:val="00D415EE"/>
    <w:rsid w:val="00D41B33"/>
    <w:rsid w:val="00D4209C"/>
    <w:rsid w:val="00D42232"/>
    <w:rsid w:val="00D4248C"/>
    <w:rsid w:val="00D42536"/>
    <w:rsid w:val="00D42FC0"/>
    <w:rsid w:val="00D43232"/>
    <w:rsid w:val="00D43788"/>
    <w:rsid w:val="00D437B8"/>
    <w:rsid w:val="00D437D1"/>
    <w:rsid w:val="00D43CD9"/>
    <w:rsid w:val="00D43D22"/>
    <w:rsid w:val="00D43F8C"/>
    <w:rsid w:val="00D44476"/>
    <w:rsid w:val="00D445EF"/>
    <w:rsid w:val="00D44B1D"/>
    <w:rsid w:val="00D44D02"/>
    <w:rsid w:val="00D44E15"/>
    <w:rsid w:val="00D44E84"/>
    <w:rsid w:val="00D450A0"/>
    <w:rsid w:val="00D451E7"/>
    <w:rsid w:val="00D4559C"/>
    <w:rsid w:val="00D455DA"/>
    <w:rsid w:val="00D45920"/>
    <w:rsid w:val="00D4595D"/>
    <w:rsid w:val="00D45AD5"/>
    <w:rsid w:val="00D45BD6"/>
    <w:rsid w:val="00D45CE7"/>
    <w:rsid w:val="00D45D7D"/>
    <w:rsid w:val="00D45D8C"/>
    <w:rsid w:val="00D45E85"/>
    <w:rsid w:val="00D4606D"/>
    <w:rsid w:val="00D462EF"/>
    <w:rsid w:val="00D463B7"/>
    <w:rsid w:val="00D4696F"/>
    <w:rsid w:val="00D469A2"/>
    <w:rsid w:val="00D46BB2"/>
    <w:rsid w:val="00D46DC8"/>
    <w:rsid w:val="00D46E68"/>
    <w:rsid w:val="00D46FDD"/>
    <w:rsid w:val="00D47059"/>
    <w:rsid w:val="00D47176"/>
    <w:rsid w:val="00D473B6"/>
    <w:rsid w:val="00D473BA"/>
    <w:rsid w:val="00D47485"/>
    <w:rsid w:val="00D47998"/>
    <w:rsid w:val="00D47B06"/>
    <w:rsid w:val="00D47DC4"/>
    <w:rsid w:val="00D50002"/>
    <w:rsid w:val="00D502A7"/>
    <w:rsid w:val="00D50407"/>
    <w:rsid w:val="00D506BA"/>
    <w:rsid w:val="00D50B9C"/>
    <w:rsid w:val="00D50C9B"/>
    <w:rsid w:val="00D50E42"/>
    <w:rsid w:val="00D50F27"/>
    <w:rsid w:val="00D51011"/>
    <w:rsid w:val="00D51345"/>
    <w:rsid w:val="00D513AF"/>
    <w:rsid w:val="00D5166C"/>
    <w:rsid w:val="00D517C7"/>
    <w:rsid w:val="00D51976"/>
    <w:rsid w:val="00D51A54"/>
    <w:rsid w:val="00D51AA3"/>
    <w:rsid w:val="00D51CB4"/>
    <w:rsid w:val="00D51D22"/>
    <w:rsid w:val="00D51D7D"/>
    <w:rsid w:val="00D521EF"/>
    <w:rsid w:val="00D52223"/>
    <w:rsid w:val="00D524C6"/>
    <w:rsid w:val="00D5286D"/>
    <w:rsid w:val="00D529C5"/>
    <w:rsid w:val="00D52B2D"/>
    <w:rsid w:val="00D52D73"/>
    <w:rsid w:val="00D52DB7"/>
    <w:rsid w:val="00D52E58"/>
    <w:rsid w:val="00D531F6"/>
    <w:rsid w:val="00D53341"/>
    <w:rsid w:val="00D5344B"/>
    <w:rsid w:val="00D53625"/>
    <w:rsid w:val="00D53773"/>
    <w:rsid w:val="00D53893"/>
    <w:rsid w:val="00D539CC"/>
    <w:rsid w:val="00D54501"/>
    <w:rsid w:val="00D54526"/>
    <w:rsid w:val="00D549C5"/>
    <w:rsid w:val="00D54ABF"/>
    <w:rsid w:val="00D54AD3"/>
    <w:rsid w:val="00D54BED"/>
    <w:rsid w:val="00D54E4B"/>
    <w:rsid w:val="00D54ED8"/>
    <w:rsid w:val="00D55411"/>
    <w:rsid w:val="00D554A3"/>
    <w:rsid w:val="00D55775"/>
    <w:rsid w:val="00D557D5"/>
    <w:rsid w:val="00D558E2"/>
    <w:rsid w:val="00D55C78"/>
    <w:rsid w:val="00D561E7"/>
    <w:rsid w:val="00D56334"/>
    <w:rsid w:val="00D56944"/>
    <w:rsid w:val="00D56B20"/>
    <w:rsid w:val="00D56F28"/>
    <w:rsid w:val="00D56FC4"/>
    <w:rsid w:val="00D57375"/>
    <w:rsid w:val="00D576D3"/>
    <w:rsid w:val="00D576F4"/>
    <w:rsid w:val="00D578B3"/>
    <w:rsid w:val="00D578CF"/>
    <w:rsid w:val="00D57AC0"/>
    <w:rsid w:val="00D57DF8"/>
    <w:rsid w:val="00D60068"/>
    <w:rsid w:val="00D600E8"/>
    <w:rsid w:val="00D60106"/>
    <w:rsid w:val="00D60200"/>
    <w:rsid w:val="00D602FD"/>
    <w:rsid w:val="00D6053C"/>
    <w:rsid w:val="00D60B5A"/>
    <w:rsid w:val="00D60C0A"/>
    <w:rsid w:val="00D60CA6"/>
    <w:rsid w:val="00D60F66"/>
    <w:rsid w:val="00D61133"/>
    <w:rsid w:val="00D613CD"/>
    <w:rsid w:val="00D6172E"/>
    <w:rsid w:val="00D61785"/>
    <w:rsid w:val="00D618EA"/>
    <w:rsid w:val="00D618F4"/>
    <w:rsid w:val="00D61CD1"/>
    <w:rsid w:val="00D61E6C"/>
    <w:rsid w:val="00D621CD"/>
    <w:rsid w:val="00D62414"/>
    <w:rsid w:val="00D6251C"/>
    <w:rsid w:val="00D62636"/>
    <w:rsid w:val="00D62638"/>
    <w:rsid w:val="00D62CC9"/>
    <w:rsid w:val="00D62D4C"/>
    <w:rsid w:val="00D62D5B"/>
    <w:rsid w:val="00D62D6B"/>
    <w:rsid w:val="00D63636"/>
    <w:rsid w:val="00D639BA"/>
    <w:rsid w:val="00D63AB2"/>
    <w:rsid w:val="00D63BC5"/>
    <w:rsid w:val="00D643E0"/>
    <w:rsid w:val="00D644A7"/>
    <w:rsid w:val="00D64557"/>
    <w:rsid w:val="00D6456C"/>
    <w:rsid w:val="00D64587"/>
    <w:rsid w:val="00D64A1B"/>
    <w:rsid w:val="00D64A76"/>
    <w:rsid w:val="00D64B7D"/>
    <w:rsid w:val="00D64D3E"/>
    <w:rsid w:val="00D64E34"/>
    <w:rsid w:val="00D64FB3"/>
    <w:rsid w:val="00D65294"/>
    <w:rsid w:val="00D65330"/>
    <w:rsid w:val="00D656F1"/>
    <w:rsid w:val="00D65989"/>
    <w:rsid w:val="00D65AD8"/>
    <w:rsid w:val="00D65D29"/>
    <w:rsid w:val="00D65D2D"/>
    <w:rsid w:val="00D65DA3"/>
    <w:rsid w:val="00D65F31"/>
    <w:rsid w:val="00D66025"/>
    <w:rsid w:val="00D660DB"/>
    <w:rsid w:val="00D66273"/>
    <w:rsid w:val="00D667FF"/>
    <w:rsid w:val="00D66B24"/>
    <w:rsid w:val="00D66E41"/>
    <w:rsid w:val="00D6747C"/>
    <w:rsid w:val="00D677FB"/>
    <w:rsid w:val="00D67B41"/>
    <w:rsid w:val="00D67D66"/>
    <w:rsid w:val="00D70307"/>
    <w:rsid w:val="00D704EC"/>
    <w:rsid w:val="00D704F6"/>
    <w:rsid w:val="00D705DE"/>
    <w:rsid w:val="00D7064B"/>
    <w:rsid w:val="00D706B3"/>
    <w:rsid w:val="00D70AAC"/>
    <w:rsid w:val="00D70C55"/>
    <w:rsid w:val="00D70EBE"/>
    <w:rsid w:val="00D71214"/>
    <w:rsid w:val="00D714CC"/>
    <w:rsid w:val="00D714E5"/>
    <w:rsid w:val="00D71871"/>
    <w:rsid w:val="00D71A9A"/>
    <w:rsid w:val="00D71AA5"/>
    <w:rsid w:val="00D71AFC"/>
    <w:rsid w:val="00D71DAB"/>
    <w:rsid w:val="00D71DCC"/>
    <w:rsid w:val="00D71E0A"/>
    <w:rsid w:val="00D7224A"/>
    <w:rsid w:val="00D722A9"/>
    <w:rsid w:val="00D72330"/>
    <w:rsid w:val="00D726CC"/>
    <w:rsid w:val="00D72797"/>
    <w:rsid w:val="00D72831"/>
    <w:rsid w:val="00D72965"/>
    <w:rsid w:val="00D72E8E"/>
    <w:rsid w:val="00D72E9A"/>
    <w:rsid w:val="00D7301B"/>
    <w:rsid w:val="00D730E3"/>
    <w:rsid w:val="00D731CD"/>
    <w:rsid w:val="00D73214"/>
    <w:rsid w:val="00D7344C"/>
    <w:rsid w:val="00D734FE"/>
    <w:rsid w:val="00D73BC6"/>
    <w:rsid w:val="00D73C8C"/>
    <w:rsid w:val="00D73CB7"/>
    <w:rsid w:val="00D73EE8"/>
    <w:rsid w:val="00D742E2"/>
    <w:rsid w:val="00D74449"/>
    <w:rsid w:val="00D745E8"/>
    <w:rsid w:val="00D7481A"/>
    <w:rsid w:val="00D74942"/>
    <w:rsid w:val="00D74D24"/>
    <w:rsid w:val="00D74F3F"/>
    <w:rsid w:val="00D7513B"/>
    <w:rsid w:val="00D75631"/>
    <w:rsid w:val="00D75DA4"/>
    <w:rsid w:val="00D75DD2"/>
    <w:rsid w:val="00D75E32"/>
    <w:rsid w:val="00D75EA7"/>
    <w:rsid w:val="00D7615C"/>
    <w:rsid w:val="00D76430"/>
    <w:rsid w:val="00D76874"/>
    <w:rsid w:val="00D76887"/>
    <w:rsid w:val="00D769C4"/>
    <w:rsid w:val="00D76D57"/>
    <w:rsid w:val="00D76ECC"/>
    <w:rsid w:val="00D76EF6"/>
    <w:rsid w:val="00D777A8"/>
    <w:rsid w:val="00D777D3"/>
    <w:rsid w:val="00D778F5"/>
    <w:rsid w:val="00D77939"/>
    <w:rsid w:val="00D779A2"/>
    <w:rsid w:val="00D77B55"/>
    <w:rsid w:val="00D77CA5"/>
    <w:rsid w:val="00D77EB4"/>
    <w:rsid w:val="00D77F14"/>
    <w:rsid w:val="00D77F23"/>
    <w:rsid w:val="00D77F52"/>
    <w:rsid w:val="00D80183"/>
    <w:rsid w:val="00D806A1"/>
    <w:rsid w:val="00D8078C"/>
    <w:rsid w:val="00D8098A"/>
    <w:rsid w:val="00D80BC6"/>
    <w:rsid w:val="00D80DB7"/>
    <w:rsid w:val="00D80E6D"/>
    <w:rsid w:val="00D81035"/>
    <w:rsid w:val="00D8104A"/>
    <w:rsid w:val="00D811B0"/>
    <w:rsid w:val="00D8124F"/>
    <w:rsid w:val="00D8141C"/>
    <w:rsid w:val="00D814D1"/>
    <w:rsid w:val="00D8156E"/>
    <w:rsid w:val="00D816C4"/>
    <w:rsid w:val="00D817FC"/>
    <w:rsid w:val="00D818AE"/>
    <w:rsid w:val="00D81ADF"/>
    <w:rsid w:val="00D81BEE"/>
    <w:rsid w:val="00D81C01"/>
    <w:rsid w:val="00D81F21"/>
    <w:rsid w:val="00D81F33"/>
    <w:rsid w:val="00D8206E"/>
    <w:rsid w:val="00D821B5"/>
    <w:rsid w:val="00D82391"/>
    <w:rsid w:val="00D82520"/>
    <w:rsid w:val="00D82522"/>
    <w:rsid w:val="00D82580"/>
    <w:rsid w:val="00D82641"/>
    <w:rsid w:val="00D826E8"/>
    <w:rsid w:val="00D82856"/>
    <w:rsid w:val="00D82BFA"/>
    <w:rsid w:val="00D82C22"/>
    <w:rsid w:val="00D82D21"/>
    <w:rsid w:val="00D82DAB"/>
    <w:rsid w:val="00D82DC4"/>
    <w:rsid w:val="00D82F1E"/>
    <w:rsid w:val="00D830CC"/>
    <w:rsid w:val="00D834A6"/>
    <w:rsid w:val="00D837DF"/>
    <w:rsid w:val="00D83C0E"/>
    <w:rsid w:val="00D83C96"/>
    <w:rsid w:val="00D83D08"/>
    <w:rsid w:val="00D83D15"/>
    <w:rsid w:val="00D840D2"/>
    <w:rsid w:val="00D8412D"/>
    <w:rsid w:val="00D8412F"/>
    <w:rsid w:val="00D8416B"/>
    <w:rsid w:val="00D841DB"/>
    <w:rsid w:val="00D84508"/>
    <w:rsid w:val="00D8462D"/>
    <w:rsid w:val="00D8470D"/>
    <w:rsid w:val="00D84A80"/>
    <w:rsid w:val="00D84B11"/>
    <w:rsid w:val="00D84D14"/>
    <w:rsid w:val="00D84D15"/>
    <w:rsid w:val="00D84E66"/>
    <w:rsid w:val="00D8502E"/>
    <w:rsid w:val="00D8512B"/>
    <w:rsid w:val="00D851F6"/>
    <w:rsid w:val="00D8545C"/>
    <w:rsid w:val="00D85716"/>
    <w:rsid w:val="00D85B10"/>
    <w:rsid w:val="00D85D39"/>
    <w:rsid w:val="00D85D64"/>
    <w:rsid w:val="00D85EA6"/>
    <w:rsid w:val="00D8608E"/>
    <w:rsid w:val="00D86100"/>
    <w:rsid w:val="00D864F2"/>
    <w:rsid w:val="00D866F6"/>
    <w:rsid w:val="00D8676D"/>
    <w:rsid w:val="00D86868"/>
    <w:rsid w:val="00D86ABB"/>
    <w:rsid w:val="00D86C03"/>
    <w:rsid w:val="00D86C0F"/>
    <w:rsid w:val="00D86D58"/>
    <w:rsid w:val="00D86EBC"/>
    <w:rsid w:val="00D86EBE"/>
    <w:rsid w:val="00D871B3"/>
    <w:rsid w:val="00D872CE"/>
    <w:rsid w:val="00D8737B"/>
    <w:rsid w:val="00D87425"/>
    <w:rsid w:val="00D879E9"/>
    <w:rsid w:val="00D87F23"/>
    <w:rsid w:val="00D87FD5"/>
    <w:rsid w:val="00D90622"/>
    <w:rsid w:val="00D906ED"/>
    <w:rsid w:val="00D90AEA"/>
    <w:rsid w:val="00D90B12"/>
    <w:rsid w:val="00D90CEC"/>
    <w:rsid w:val="00D90D59"/>
    <w:rsid w:val="00D90D73"/>
    <w:rsid w:val="00D90D7C"/>
    <w:rsid w:val="00D91127"/>
    <w:rsid w:val="00D913A1"/>
    <w:rsid w:val="00D9153B"/>
    <w:rsid w:val="00D916E9"/>
    <w:rsid w:val="00D916EA"/>
    <w:rsid w:val="00D91CE9"/>
    <w:rsid w:val="00D91E74"/>
    <w:rsid w:val="00D91EF6"/>
    <w:rsid w:val="00D91FAB"/>
    <w:rsid w:val="00D922E9"/>
    <w:rsid w:val="00D925A5"/>
    <w:rsid w:val="00D92762"/>
    <w:rsid w:val="00D928FD"/>
    <w:rsid w:val="00D929BF"/>
    <w:rsid w:val="00D92A43"/>
    <w:rsid w:val="00D92AE7"/>
    <w:rsid w:val="00D92B3E"/>
    <w:rsid w:val="00D92CE8"/>
    <w:rsid w:val="00D92D65"/>
    <w:rsid w:val="00D93031"/>
    <w:rsid w:val="00D931AD"/>
    <w:rsid w:val="00D932F4"/>
    <w:rsid w:val="00D93360"/>
    <w:rsid w:val="00D933A1"/>
    <w:rsid w:val="00D936DB"/>
    <w:rsid w:val="00D936EB"/>
    <w:rsid w:val="00D9379A"/>
    <w:rsid w:val="00D937E2"/>
    <w:rsid w:val="00D9384B"/>
    <w:rsid w:val="00D93AAE"/>
    <w:rsid w:val="00D93C63"/>
    <w:rsid w:val="00D94034"/>
    <w:rsid w:val="00D940D3"/>
    <w:rsid w:val="00D94395"/>
    <w:rsid w:val="00D943F8"/>
    <w:rsid w:val="00D944FD"/>
    <w:rsid w:val="00D94502"/>
    <w:rsid w:val="00D947CA"/>
    <w:rsid w:val="00D94826"/>
    <w:rsid w:val="00D94B45"/>
    <w:rsid w:val="00D94C5C"/>
    <w:rsid w:val="00D94D37"/>
    <w:rsid w:val="00D9531D"/>
    <w:rsid w:val="00D95470"/>
    <w:rsid w:val="00D954CB"/>
    <w:rsid w:val="00D9557F"/>
    <w:rsid w:val="00D955EF"/>
    <w:rsid w:val="00D958A7"/>
    <w:rsid w:val="00D958D8"/>
    <w:rsid w:val="00D95B01"/>
    <w:rsid w:val="00D95CD9"/>
    <w:rsid w:val="00D96227"/>
    <w:rsid w:val="00D96318"/>
    <w:rsid w:val="00D96372"/>
    <w:rsid w:val="00D9644A"/>
    <w:rsid w:val="00D96635"/>
    <w:rsid w:val="00D966E5"/>
    <w:rsid w:val="00D96992"/>
    <w:rsid w:val="00D96B55"/>
    <w:rsid w:val="00D96BAC"/>
    <w:rsid w:val="00D973A3"/>
    <w:rsid w:val="00D97498"/>
    <w:rsid w:val="00D97752"/>
    <w:rsid w:val="00D97DC8"/>
    <w:rsid w:val="00DA01A3"/>
    <w:rsid w:val="00DA087E"/>
    <w:rsid w:val="00DA088E"/>
    <w:rsid w:val="00DA0D62"/>
    <w:rsid w:val="00DA0DB6"/>
    <w:rsid w:val="00DA0E5B"/>
    <w:rsid w:val="00DA0F5F"/>
    <w:rsid w:val="00DA118B"/>
    <w:rsid w:val="00DA12C1"/>
    <w:rsid w:val="00DA140F"/>
    <w:rsid w:val="00DA16E8"/>
    <w:rsid w:val="00DA18A0"/>
    <w:rsid w:val="00DA1ACE"/>
    <w:rsid w:val="00DA1D55"/>
    <w:rsid w:val="00DA1DFB"/>
    <w:rsid w:val="00DA1EE0"/>
    <w:rsid w:val="00DA1F53"/>
    <w:rsid w:val="00DA204C"/>
    <w:rsid w:val="00DA2078"/>
    <w:rsid w:val="00DA20BA"/>
    <w:rsid w:val="00DA2303"/>
    <w:rsid w:val="00DA2331"/>
    <w:rsid w:val="00DA2401"/>
    <w:rsid w:val="00DA2488"/>
    <w:rsid w:val="00DA24BE"/>
    <w:rsid w:val="00DA2619"/>
    <w:rsid w:val="00DA27EE"/>
    <w:rsid w:val="00DA2B6B"/>
    <w:rsid w:val="00DA2BA3"/>
    <w:rsid w:val="00DA2D4E"/>
    <w:rsid w:val="00DA2E44"/>
    <w:rsid w:val="00DA2FE2"/>
    <w:rsid w:val="00DA2FE4"/>
    <w:rsid w:val="00DA2FFF"/>
    <w:rsid w:val="00DA3142"/>
    <w:rsid w:val="00DA35B7"/>
    <w:rsid w:val="00DA35FA"/>
    <w:rsid w:val="00DA37E7"/>
    <w:rsid w:val="00DA38FA"/>
    <w:rsid w:val="00DA3B84"/>
    <w:rsid w:val="00DA3BF9"/>
    <w:rsid w:val="00DA3C52"/>
    <w:rsid w:val="00DA3CFC"/>
    <w:rsid w:val="00DA3EC4"/>
    <w:rsid w:val="00DA3EDD"/>
    <w:rsid w:val="00DA3F93"/>
    <w:rsid w:val="00DA40B5"/>
    <w:rsid w:val="00DA41D4"/>
    <w:rsid w:val="00DA4239"/>
    <w:rsid w:val="00DA42C1"/>
    <w:rsid w:val="00DA4346"/>
    <w:rsid w:val="00DA4652"/>
    <w:rsid w:val="00DA476C"/>
    <w:rsid w:val="00DA4B9D"/>
    <w:rsid w:val="00DA4CB8"/>
    <w:rsid w:val="00DA4FBA"/>
    <w:rsid w:val="00DA4FFC"/>
    <w:rsid w:val="00DA50AC"/>
    <w:rsid w:val="00DA52D8"/>
    <w:rsid w:val="00DA548E"/>
    <w:rsid w:val="00DA588C"/>
    <w:rsid w:val="00DA58F2"/>
    <w:rsid w:val="00DA5C6A"/>
    <w:rsid w:val="00DA5CD5"/>
    <w:rsid w:val="00DA5CEC"/>
    <w:rsid w:val="00DA5EB0"/>
    <w:rsid w:val="00DA6320"/>
    <w:rsid w:val="00DA65DE"/>
    <w:rsid w:val="00DA66FC"/>
    <w:rsid w:val="00DA681D"/>
    <w:rsid w:val="00DA6885"/>
    <w:rsid w:val="00DA68FD"/>
    <w:rsid w:val="00DA6E31"/>
    <w:rsid w:val="00DA7724"/>
    <w:rsid w:val="00DA794B"/>
    <w:rsid w:val="00DA7DC1"/>
    <w:rsid w:val="00DA7E38"/>
    <w:rsid w:val="00DB0106"/>
    <w:rsid w:val="00DB0602"/>
    <w:rsid w:val="00DB08C4"/>
    <w:rsid w:val="00DB0A6A"/>
    <w:rsid w:val="00DB0B24"/>
    <w:rsid w:val="00DB0B5A"/>
    <w:rsid w:val="00DB0B61"/>
    <w:rsid w:val="00DB0CA1"/>
    <w:rsid w:val="00DB10B0"/>
    <w:rsid w:val="00DB1474"/>
    <w:rsid w:val="00DB171A"/>
    <w:rsid w:val="00DB1D3A"/>
    <w:rsid w:val="00DB1E3E"/>
    <w:rsid w:val="00DB1EB6"/>
    <w:rsid w:val="00DB1ED2"/>
    <w:rsid w:val="00DB21E6"/>
    <w:rsid w:val="00DB2297"/>
    <w:rsid w:val="00DB239C"/>
    <w:rsid w:val="00DB2962"/>
    <w:rsid w:val="00DB2CA3"/>
    <w:rsid w:val="00DB2D4A"/>
    <w:rsid w:val="00DB3490"/>
    <w:rsid w:val="00DB39F1"/>
    <w:rsid w:val="00DB3D95"/>
    <w:rsid w:val="00DB3E1A"/>
    <w:rsid w:val="00DB4042"/>
    <w:rsid w:val="00DB43AB"/>
    <w:rsid w:val="00DB4830"/>
    <w:rsid w:val="00DB486F"/>
    <w:rsid w:val="00DB48F8"/>
    <w:rsid w:val="00DB4C57"/>
    <w:rsid w:val="00DB4C8D"/>
    <w:rsid w:val="00DB4F10"/>
    <w:rsid w:val="00DB4F99"/>
    <w:rsid w:val="00DB50CD"/>
    <w:rsid w:val="00DB521C"/>
    <w:rsid w:val="00DB52FB"/>
    <w:rsid w:val="00DB538E"/>
    <w:rsid w:val="00DB53D3"/>
    <w:rsid w:val="00DB5472"/>
    <w:rsid w:val="00DB59EB"/>
    <w:rsid w:val="00DB5A38"/>
    <w:rsid w:val="00DB5B4B"/>
    <w:rsid w:val="00DB5CDB"/>
    <w:rsid w:val="00DB5E9A"/>
    <w:rsid w:val="00DB5FAF"/>
    <w:rsid w:val="00DB623F"/>
    <w:rsid w:val="00DB64ED"/>
    <w:rsid w:val="00DB67A8"/>
    <w:rsid w:val="00DB707B"/>
    <w:rsid w:val="00DB7624"/>
    <w:rsid w:val="00DB783D"/>
    <w:rsid w:val="00DB79E5"/>
    <w:rsid w:val="00DB7AAB"/>
    <w:rsid w:val="00DB7C1A"/>
    <w:rsid w:val="00DB7C24"/>
    <w:rsid w:val="00DB7F7C"/>
    <w:rsid w:val="00DC013B"/>
    <w:rsid w:val="00DC0344"/>
    <w:rsid w:val="00DC04F7"/>
    <w:rsid w:val="00DC0526"/>
    <w:rsid w:val="00DC090B"/>
    <w:rsid w:val="00DC0A5D"/>
    <w:rsid w:val="00DC0EE4"/>
    <w:rsid w:val="00DC14C0"/>
    <w:rsid w:val="00DC1521"/>
    <w:rsid w:val="00DC1679"/>
    <w:rsid w:val="00DC180C"/>
    <w:rsid w:val="00DC18D4"/>
    <w:rsid w:val="00DC1984"/>
    <w:rsid w:val="00DC1C93"/>
    <w:rsid w:val="00DC1DD5"/>
    <w:rsid w:val="00DC1DE5"/>
    <w:rsid w:val="00DC1E33"/>
    <w:rsid w:val="00DC1F85"/>
    <w:rsid w:val="00DC219B"/>
    <w:rsid w:val="00DC235B"/>
    <w:rsid w:val="00DC263C"/>
    <w:rsid w:val="00DC2899"/>
    <w:rsid w:val="00DC28CA"/>
    <w:rsid w:val="00DC29C5"/>
    <w:rsid w:val="00DC2B2E"/>
    <w:rsid w:val="00DC2B4E"/>
    <w:rsid w:val="00DC2CC4"/>
    <w:rsid w:val="00DC2CF1"/>
    <w:rsid w:val="00DC2DC7"/>
    <w:rsid w:val="00DC2EA0"/>
    <w:rsid w:val="00DC2EFF"/>
    <w:rsid w:val="00DC313A"/>
    <w:rsid w:val="00DC321E"/>
    <w:rsid w:val="00DC33FF"/>
    <w:rsid w:val="00DC3402"/>
    <w:rsid w:val="00DC38FA"/>
    <w:rsid w:val="00DC3A7C"/>
    <w:rsid w:val="00DC3AC9"/>
    <w:rsid w:val="00DC3D89"/>
    <w:rsid w:val="00DC4060"/>
    <w:rsid w:val="00DC4125"/>
    <w:rsid w:val="00DC432A"/>
    <w:rsid w:val="00DC436E"/>
    <w:rsid w:val="00DC45AF"/>
    <w:rsid w:val="00DC462E"/>
    <w:rsid w:val="00DC4634"/>
    <w:rsid w:val="00DC4919"/>
    <w:rsid w:val="00DC4A2E"/>
    <w:rsid w:val="00DC4C60"/>
    <w:rsid w:val="00DC4DB2"/>
    <w:rsid w:val="00DC4F12"/>
    <w:rsid w:val="00DC4FCF"/>
    <w:rsid w:val="00DC50E0"/>
    <w:rsid w:val="00DC513E"/>
    <w:rsid w:val="00DC533A"/>
    <w:rsid w:val="00DC54FB"/>
    <w:rsid w:val="00DC5717"/>
    <w:rsid w:val="00DC58E3"/>
    <w:rsid w:val="00DC5B02"/>
    <w:rsid w:val="00DC5B2C"/>
    <w:rsid w:val="00DC5BEA"/>
    <w:rsid w:val="00DC5C82"/>
    <w:rsid w:val="00DC5D59"/>
    <w:rsid w:val="00DC5E19"/>
    <w:rsid w:val="00DC6033"/>
    <w:rsid w:val="00DC6255"/>
    <w:rsid w:val="00DC6386"/>
    <w:rsid w:val="00DC656D"/>
    <w:rsid w:val="00DC67B6"/>
    <w:rsid w:val="00DC69A8"/>
    <w:rsid w:val="00DC69EF"/>
    <w:rsid w:val="00DC6BBE"/>
    <w:rsid w:val="00DC6E5F"/>
    <w:rsid w:val="00DC71E7"/>
    <w:rsid w:val="00DC7231"/>
    <w:rsid w:val="00DC7317"/>
    <w:rsid w:val="00DC73A0"/>
    <w:rsid w:val="00DC7658"/>
    <w:rsid w:val="00DC779D"/>
    <w:rsid w:val="00DC7947"/>
    <w:rsid w:val="00DC7BD7"/>
    <w:rsid w:val="00DC7E33"/>
    <w:rsid w:val="00DC7E53"/>
    <w:rsid w:val="00DC7FFA"/>
    <w:rsid w:val="00DD0154"/>
    <w:rsid w:val="00DD0338"/>
    <w:rsid w:val="00DD043F"/>
    <w:rsid w:val="00DD050B"/>
    <w:rsid w:val="00DD0524"/>
    <w:rsid w:val="00DD053E"/>
    <w:rsid w:val="00DD088E"/>
    <w:rsid w:val="00DD0907"/>
    <w:rsid w:val="00DD0AA1"/>
    <w:rsid w:val="00DD0AFE"/>
    <w:rsid w:val="00DD0B92"/>
    <w:rsid w:val="00DD0C5F"/>
    <w:rsid w:val="00DD0FA3"/>
    <w:rsid w:val="00DD108F"/>
    <w:rsid w:val="00DD1123"/>
    <w:rsid w:val="00DD1130"/>
    <w:rsid w:val="00DD1136"/>
    <w:rsid w:val="00DD1297"/>
    <w:rsid w:val="00DD1415"/>
    <w:rsid w:val="00DD16D9"/>
    <w:rsid w:val="00DD16FE"/>
    <w:rsid w:val="00DD1792"/>
    <w:rsid w:val="00DD17E6"/>
    <w:rsid w:val="00DD1951"/>
    <w:rsid w:val="00DD19ED"/>
    <w:rsid w:val="00DD1B6B"/>
    <w:rsid w:val="00DD1DB5"/>
    <w:rsid w:val="00DD1E9E"/>
    <w:rsid w:val="00DD1FEC"/>
    <w:rsid w:val="00DD2289"/>
    <w:rsid w:val="00DD2437"/>
    <w:rsid w:val="00DD24BC"/>
    <w:rsid w:val="00DD281C"/>
    <w:rsid w:val="00DD2D2B"/>
    <w:rsid w:val="00DD2EA7"/>
    <w:rsid w:val="00DD2FE8"/>
    <w:rsid w:val="00DD304D"/>
    <w:rsid w:val="00DD312F"/>
    <w:rsid w:val="00DD3230"/>
    <w:rsid w:val="00DD33AC"/>
    <w:rsid w:val="00DD36B5"/>
    <w:rsid w:val="00DD3823"/>
    <w:rsid w:val="00DD396A"/>
    <w:rsid w:val="00DD3B81"/>
    <w:rsid w:val="00DD3BA6"/>
    <w:rsid w:val="00DD3EEA"/>
    <w:rsid w:val="00DD42EA"/>
    <w:rsid w:val="00DD4818"/>
    <w:rsid w:val="00DD487D"/>
    <w:rsid w:val="00DD4AB0"/>
    <w:rsid w:val="00DD4B8E"/>
    <w:rsid w:val="00DD4E7C"/>
    <w:rsid w:val="00DD4E83"/>
    <w:rsid w:val="00DD5149"/>
    <w:rsid w:val="00DD523A"/>
    <w:rsid w:val="00DD52A6"/>
    <w:rsid w:val="00DD52D5"/>
    <w:rsid w:val="00DD55F9"/>
    <w:rsid w:val="00DD56E7"/>
    <w:rsid w:val="00DD56F9"/>
    <w:rsid w:val="00DD5844"/>
    <w:rsid w:val="00DD5A5E"/>
    <w:rsid w:val="00DD5AAB"/>
    <w:rsid w:val="00DD5AB5"/>
    <w:rsid w:val="00DD5C72"/>
    <w:rsid w:val="00DD5CA4"/>
    <w:rsid w:val="00DD5D59"/>
    <w:rsid w:val="00DD5F03"/>
    <w:rsid w:val="00DD5F04"/>
    <w:rsid w:val="00DD6223"/>
    <w:rsid w:val="00DD625B"/>
    <w:rsid w:val="00DD6274"/>
    <w:rsid w:val="00DD6429"/>
    <w:rsid w:val="00DD6628"/>
    <w:rsid w:val="00DD66A0"/>
    <w:rsid w:val="00DD684E"/>
    <w:rsid w:val="00DD6945"/>
    <w:rsid w:val="00DD6AC8"/>
    <w:rsid w:val="00DD6B38"/>
    <w:rsid w:val="00DD6FC1"/>
    <w:rsid w:val="00DD72BE"/>
    <w:rsid w:val="00DD7491"/>
    <w:rsid w:val="00DD75F6"/>
    <w:rsid w:val="00DD76A8"/>
    <w:rsid w:val="00DD76B1"/>
    <w:rsid w:val="00DD77D7"/>
    <w:rsid w:val="00DD7867"/>
    <w:rsid w:val="00DD7928"/>
    <w:rsid w:val="00DD7C0F"/>
    <w:rsid w:val="00DD7E4D"/>
    <w:rsid w:val="00DE0621"/>
    <w:rsid w:val="00DE06D7"/>
    <w:rsid w:val="00DE0808"/>
    <w:rsid w:val="00DE0953"/>
    <w:rsid w:val="00DE0A21"/>
    <w:rsid w:val="00DE118A"/>
    <w:rsid w:val="00DE11E5"/>
    <w:rsid w:val="00DE13D6"/>
    <w:rsid w:val="00DE1485"/>
    <w:rsid w:val="00DE1505"/>
    <w:rsid w:val="00DE170A"/>
    <w:rsid w:val="00DE172F"/>
    <w:rsid w:val="00DE1904"/>
    <w:rsid w:val="00DE1BCD"/>
    <w:rsid w:val="00DE21AE"/>
    <w:rsid w:val="00DE226F"/>
    <w:rsid w:val="00DE24D5"/>
    <w:rsid w:val="00DE2697"/>
    <w:rsid w:val="00DE2882"/>
    <w:rsid w:val="00DE29F5"/>
    <w:rsid w:val="00DE2C1A"/>
    <w:rsid w:val="00DE2D04"/>
    <w:rsid w:val="00DE2DAC"/>
    <w:rsid w:val="00DE2F70"/>
    <w:rsid w:val="00DE3250"/>
    <w:rsid w:val="00DE3506"/>
    <w:rsid w:val="00DE377A"/>
    <w:rsid w:val="00DE3D2D"/>
    <w:rsid w:val="00DE3D8C"/>
    <w:rsid w:val="00DE4055"/>
    <w:rsid w:val="00DE418D"/>
    <w:rsid w:val="00DE43EA"/>
    <w:rsid w:val="00DE4533"/>
    <w:rsid w:val="00DE46B7"/>
    <w:rsid w:val="00DE4BB5"/>
    <w:rsid w:val="00DE4F59"/>
    <w:rsid w:val="00DE4F6E"/>
    <w:rsid w:val="00DE515C"/>
    <w:rsid w:val="00DE51B8"/>
    <w:rsid w:val="00DE5224"/>
    <w:rsid w:val="00DE56EF"/>
    <w:rsid w:val="00DE5746"/>
    <w:rsid w:val="00DE57AA"/>
    <w:rsid w:val="00DE5C6A"/>
    <w:rsid w:val="00DE5E1D"/>
    <w:rsid w:val="00DE6028"/>
    <w:rsid w:val="00DE65B8"/>
    <w:rsid w:val="00DE6935"/>
    <w:rsid w:val="00DE6A1E"/>
    <w:rsid w:val="00DE6C85"/>
    <w:rsid w:val="00DE6D05"/>
    <w:rsid w:val="00DE6D70"/>
    <w:rsid w:val="00DE7004"/>
    <w:rsid w:val="00DE71FC"/>
    <w:rsid w:val="00DE736B"/>
    <w:rsid w:val="00DE73A0"/>
    <w:rsid w:val="00DE74AE"/>
    <w:rsid w:val="00DE75A6"/>
    <w:rsid w:val="00DE763D"/>
    <w:rsid w:val="00DE78A3"/>
    <w:rsid w:val="00DE7915"/>
    <w:rsid w:val="00DE7A1A"/>
    <w:rsid w:val="00DE7A5C"/>
    <w:rsid w:val="00DE7A9D"/>
    <w:rsid w:val="00DE7B11"/>
    <w:rsid w:val="00DF02E8"/>
    <w:rsid w:val="00DF05E5"/>
    <w:rsid w:val="00DF060F"/>
    <w:rsid w:val="00DF076C"/>
    <w:rsid w:val="00DF09D2"/>
    <w:rsid w:val="00DF0A6E"/>
    <w:rsid w:val="00DF0B10"/>
    <w:rsid w:val="00DF0CFA"/>
    <w:rsid w:val="00DF0E16"/>
    <w:rsid w:val="00DF101E"/>
    <w:rsid w:val="00DF103B"/>
    <w:rsid w:val="00DF1213"/>
    <w:rsid w:val="00DF1344"/>
    <w:rsid w:val="00DF15EC"/>
    <w:rsid w:val="00DF16B5"/>
    <w:rsid w:val="00DF1745"/>
    <w:rsid w:val="00DF17F0"/>
    <w:rsid w:val="00DF182F"/>
    <w:rsid w:val="00DF19EA"/>
    <w:rsid w:val="00DF1A71"/>
    <w:rsid w:val="00DF1BA8"/>
    <w:rsid w:val="00DF1BD8"/>
    <w:rsid w:val="00DF1CB6"/>
    <w:rsid w:val="00DF1CD3"/>
    <w:rsid w:val="00DF1DC5"/>
    <w:rsid w:val="00DF1DC6"/>
    <w:rsid w:val="00DF1EB7"/>
    <w:rsid w:val="00DF1ED0"/>
    <w:rsid w:val="00DF1F1A"/>
    <w:rsid w:val="00DF220E"/>
    <w:rsid w:val="00DF2213"/>
    <w:rsid w:val="00DF22D8"/>
    <w:rsid w:val="00DF233C"/>
    <w:rsid w:val="00DF23CD"/>
    <w:rsid w:val="00DF250B"/>
    <w:rsid w:val="00DF2541"/>
    <w:rsid w:val="00DF262E"/>
    <w:rsid w:val="00DF2836"/>
    <w:rsid w:val="00DF2ED6"/>
    <w:rsid w:val="00DF32E6"/>
    <w:rsid w:val="00DF3815"/>
    <w:rsid w:val="00DF38A3"/>
    <w:rsid w:val="00DF3A94"/>
    <w:rsid w:val="00DF3C96"/>
    <w:rsid w:val="00DF3D6F"/>
    <w:rsid w:val="00DF3D85"/>
    <w:rsid w:val="00DF3DE8"/>
    <w:rsid w:val="00DF3E02"/>
    <w:rsid w:val="00DF3F1E"/>
    <w:rsid w:val="00DF40C5"/>
    <w:rsid w:val="00DF4225"/>
    <w:rsid w:val="00DF434B"/>
    <w:rsid w:val="00DF43AB"/>
    <w:rsid w:val="00DF48F7"/>
    <w:rsid w:val="00DF49C0"/>
    <w:rsid w:val="00DF49C3"/>
    <w:rsid w:val="00DF49F2"/>
    <w:rsid w:val="00DF4BA8"/>
    <w:rsid w:val="00DF4D36"/>
    <w:rsid w:val="00DF4EAA"/>
    <w:rsid w:val="00DF4EAE"/>
    <w:rsid w:val="00DF50E5"/>
    <w:rsid w:val="00DF50FC"/>
    <w:rsid w:val="00DF543A"/>
    <w:rsid w:val="00DF5567"/>
    <w:rsid w:val="00DF5740"/>
    <w:rsid w:val="00DF59C8"/>
    <w:rsid w:val="00DF5BF7"/>
    <w:rsid w:val="00DF5D10"/>
    <w:rsid w:val="00DF5D6D"/>
    <w:rsid w:val="00DF5E03"/>
    <w:rsid w:val="00DF5EC8"/>
    <w:rsid w:val="00DF5F8A"/>
    <w:rsid w:val="00DF60B8"/>
    <w:rsid w:val="00DF62A4"/>
    <w:rsid w:val="00DF64F8"/>
    <w:rsid w:val="00DF656D"/>
    <w:rsid w:val="00DF67C4"/>
    <w:rsid w:val="00DF687E"/>
    <w:rsid w:val="00DF68C7"/>
    <w:rsid w:val="00DF6B98"/>
    <w:rsid w:val="00DF6DFA"/>
    <w:rsid w:val="00DF6EF8"/>
    <w:rsid w:val="00DF6F9F"/>
    <w:rsid w:val="00DF731A"/>
    <w:rsid w:val="00DF737C"/>
    <w:rsid w:val="00DF76D9"/>
    <w:rsid w:val="00DF78B6"/>
    <w:rsid w:val="00DF7E75"/>
    <w:rsid w:val="00E001E0"/>
    <w:rsid w:val="00E00366"/>
    <w:rsid w:val="00E0067C"/>
    <w:rsid w:val="00E00B5E"/>
    <w:rsid w:val="00E00BB4"/>
    <w:rsid w:val="00E00D38"/>
    <w:rsid w:val="00E00E41"/>
    <w:rsid w:val="00E00FEF"/>
    <w:rsid w:val="00E01222"/>
    <w:rsid w:val="00E01278"/>
    <w:rsid w:val="00E0127E"/>
    <w:rsid w:val="00E01B36"/>
    <w:rsid w:val="00E01CA2"/>
    <w:rsid w:val="00E01EC5"/>
    <w:rsid w:val="00E02042"/>
    <w:rsid w:val="00E02283"/>
    <w:rsid w:val="00E024CC"/>
    <w:rsid w:val="00E0275B"/>
    <w:rsid w:val="00E02933"/>
    <w:rsid w:val="00E02B64"/>
    <w:rsid w:val="00E03005"/>
    <w:rsid w:val="00E03312"/>
    <w:rsid w:val="00E03408"/>
    <w:rsid w:val="00E03732"/>
    <w:rsid w:val="00E037EE"/>
    <w:rsid w:val="00E038BC"/>
    <w:rsid w:val="00E039CE"/>
    <w:rsid w:val="00E03C2D"/>
    <w:rsid w:val="00E03E3E"/>
    <w:rsid w:val="00E04214"/>
    <w:rsid w:val="00E04702"/>
    <w:rsid w:val="00E048B8"/>
    <w:rsid w:val="00E048C2"/>
    <w:rsid w:val="00E049F1"/>
    <w:rsid w:val="00E04B79"/>
    <w:rsid w:val="00E04BC5"/>
    <w:rsid w:val="00E04D57"/>
    <w:rsid w:val="00E04DBB"/>
    <w:rsid w:val="00E05140"/>
    <w:rsid w:val="00E0532F"/>
    <w:rsid w:val="00E05652"/>
    <w:rsid w:val="00E05979"/>
    <w:rsid w:val="00E05BA0"/>
    <w:rsid w:val="00E05C2B"/>
    <w:rsid w:val="00E05C94"/>
    <w:rsid w:val="00E05E86"/>
    <w:rsid w:val="00E06251"/>
    <w:rsid w:val="00E06329"/>
    <w:rsid w:val="00E069CA"/>
    <w:rsid w:val="00E06B75"/>
    <w:rsid w:val="00E06E7A"/>
    <w:rsid w:val="00E06ED7"/>
    <w:rsid w:val="00E06F4A"/>
    <w:rsid w:val="00E07182"/>
    <w:rsid w:val="00E07454"/>
    <w:rsid w:val="00E0753F"/>
    <w:rsid w:val="00E07B13"/>
    <w:rsid w:val="00E1002A"/>
    <w:rsid w:val="00E1087B"/>
    <w:rsid w:val="00E10AE6"/>
    <w:rsid w:val="00E112D7"/>
    <w:rsid w:val="00E11332"/>
    <w:rsid w:val="00E11352"/>
    <w:rsid w:val="00E1195A"/>
    <w:rsid w:val="00E11C01"/>
    <w:rsid w:val="00E11C3C"/>
    <w:rsid w:val="00E11D80"/>
    <w:rsid w:val="00E11F5E"/>
    <w:rsid w:val="00E1230A"/>
    <w:rsid w:val="00E1239C"/>
    <w:rsid w:val="00E123EF"/>
    <w:rsid w:val="00E12567"/>
    <w:rsid w:val="00E1265D"/>
    <w:rsid w:val="00E126BE"/>
    <w:rsid w:val="00E1282D"/>
    <w:rsid w:val="00E12975"/>
    <w:rsid w:val="00E12B50"/>
    <w:rsid w:val="00E12D57"/>
    <w:rsid w:val="00E1300E"/>
    <w:rsid w:val="00E130F8"/>
    <w:rsid w:val="00E1338F"/>
    <w:rsid w:val="00E13C24"/>
    <w:rsid w:val="00E13D2C"/>
    <w:rsid w:val="00E13EE8"/>
    <w:rsid w:val="00E13FD1"/>
    <w:rsid w:val="00E140AD"/>
    <w:rsid w:val="00E14272"/>
    <w:rsid w:val="00E142AA"/>
    <w:rsid w:val="00E14329"/>
    <w:rsid w:val="00E14656"/>
    <w:rsid w:val="00E14798"/>
    <w:rsid w:val="00E14B95"/>
    <w:rsid w:val="00E14BD1"/>
    <w:rsid w:val="00E14F05"/>
    <w:rsid w:val="00E150B8"/>
    <w:rsid w:val="00E15995"/>
    <w:rsid w:val="00E15AEF"/>
    <w:rsid w:val="00E15C36"/>
    <w:rsid w:val="00E15D1A"/>
    <w:rsid w:val="00E15D46"/>
    <w:rsid w:val="00E16035"/>
    <w:rsid w:val="00E16074"/>
    <w:rsid w:val="00E163B3"/>
    <w:rsid w:val="00E164B9"/>
    <w:rsid w:val="00E1656B"/>
    <w:rsid w:val="00E16753"/>
    <w:rsid w:val="00E1675D"/>
    <w:rsid w:val="00E16769"/>
    <w:rsid w:val="00E1677E"/>
    <w:rsid w:val="00E1686C"/>
    <w:rsid w:val="00E16B14"/>
    <w:rsid w:val="00E16CB5"/>
    <w:rsid w:val="00E16E68"/>
    <w:rsid w:val="00E17006"/>
    <w:rsid w:val="00E170DC"/>
    <w:rsid w:val="00E17134"/>
    <w:rsid w:val="00E1713E"/>
    <w:rsid w:val="00E17283"/>
    <w:rsid w:val="00E1731E"/>
    <w:rsid w:val="00E17502"/>
    <w:rsid w:val="00E17546"/>
    <w:rsid w:val="00E17957"/>
    <w:rsid w:val="00E179B6"/>
    <w:rsid w:val="00E17CF0"/>
    <w:rsid w:val="00E17E96"/>
    <w:rsid w:val="00E17F10"/>
    <w:rsid w:val="00E200A5"/>
    <w:rsid w:val="00E2012F"/>
    <w:rsid w:val="00E20231"/>
    <w:rsid w:val="00E2028A"/>
    <w:rsid w:val="00E20483"/>
    <w:rsid w:val="00E204D6"/>
    <w:rsid w:val="00E207C1"/>
    <w:rsid w:val="00E20A99"/>
    <w:rsid w:val="00E20FA7"/>
    <w:rsid w:val="00E210B5"/>
    <w:rsid w:val="00E21214"/>
    <w:rsid w:val="00E21309"/>
    <w:rsid w:val="00E214A9"/>
    <w:rsid w:val="00E21670"/>
    <w:rsid w:val="00E2174E"/>
    <w:rsid w:val="00E21868"/>
    <w:rsid w:val="00E21AA5"/>
    <w:rsid w:val="00E21BA5"/>
    <w:rsid w:val="00E21E5F"/>
    <w:rsid w:val="00E22224"/>
    <w:rsid w:val="00E2232F"/>
    <w:rsid w:val="00E22352"/>
    <w:rsid w:val="00E22429"/>
    <w:rsid w:val="00E2252B"/>
    <w:rsid w:val="00E226D4"/>
    <w:rsid w:val="00E22733"/>
    <w:rsid w:val="00E228D0"/>
    <w:rsid w:val="00E229E9"/>
    <w:rsid w:val="00E22BE4"/>
    <w:rsid w:val="00E22DBB"/>
    <w:rsid w:val="00E22EAC"/>
    <w:rsid w:val="00E22FEC"/>
    <w:rsid w:val="00E230C4"/>
    <w:rsid w:val="00E2318D"/>
    <w:rsid w:val="00E2322F"/>
    <w:rsid w:val="00E2339F"/>
    <w:rsid w:val="00E233B6"/>
    <w:rsid w:val="00E234BE"/>
    <w:rsid w:val="00E23521"/>
    <w:rsid w:val="00E23648"/>
    <w:rsid w:val="00E23914"/>
    <w:rsid w:val="00E23ABA"/>
    <w:rsid w:val="00E23C7E"/>
    <w:rsid w:val="00E23F62"/>
    <w:rsid w:val="00E24275"/>
    <w:rsid w:val="00E2427D"/>
    <w:rsid w:val="00E24324"/>
    <w:rsid w:val="00E245C4"/>
    <w:rsid w:val="00E245D8"/>
    <w:rsid w:val="00E24C10"/>
    <w:rsid w:val="00E25260"/>
    <w:rsid w:val="00E2532D"/>
    <w:rsid w:val="00E25552"/>
    <w:rsid w:val="00E2563C"/>
    <w:rsid w:val="00E25A2F"/>
    <w:rsid w:val="00E25AF9"/>
    <w:rsid w:val="00E25B58"/>
    <w:rsid w:val="00E25B73"/>
    <w:rsid w:val="00E25CF8"/>
    <w:rsid w:val="00E25DD4"/>
    <w:rsid w:val="00E25FE1"/>
    <w:rsid w:val="00E261B3"/>
    <w:rsid w:val="00E26580"/>
    <w:rsid w:val="00E26818"/>
    <w:rsid w:val="00E2691B"/>
    <w:rsid w:val="00E26A4D"/>
    <w:rsid w:val="00E27265"/>
    <w:rsid w:val="00E2740A"/>
    <w:rsid w:val="00E27419"/>
    <w:rsid w:val="00E274DD"/>
    <w:rsid w:val="00E27753"/>
    <w:rsid w:val="00E278AD"/>
    <w:rsid w:val="00E27A57"/>
    <w:rsid w:val="00E27B0B"/>
    <w:rsid w:val="00E27E10"/>
    <w:rsid w:val="00E27FFC"/>
    <w:rsid w:val="00E300BC"/>
    <w:rsid w:val="00E3013D"/>
    <w:rsid w:val="00E303EE"/>
    <w:rsid w:val="00E3044F"/>
    <w:rsid w:val="00E305A2"/>
    <w:rsid w:val="00E30B15"/>
    <w:rsid w:val="00E30B45"/>
    <w:rsid w:val="00E30B58"/>
    <w:rsid w:val="00E30CF3"/>
    <w:rsid w:val="00E30E00"/>
    <w:rsid w:val="00E30E46"/>
    <w:rsid w:val="00E30F91"/>
    <w:rsid w:val="00E31214"/>
    <w:rsid w:val="00E3164D"/>
    <w:rsid w:val="00E3173A"/>
    <w:rsid w:val="00E3174F"/>
    <w:rsid w:val="00E31C99"/>
    <w:rsid w:val="00E31E12"/>
    <w:rsid w:val="00E31E16"/>
    <w:rsid w:val="00E31EA3"/>
    <w:rsid w:val="00E31EB0"/>
    <w:rsid w:val="00E320F8"/>
    <w:rsid w:val="00E3231A"/>
    <w:rsid w:val="00E3270B"/>
    <w:rsid w:val="00E32C38"/>
    <w:rsid w:val="00E32E6F"/>
    <w:rsid w:val="00E33022"/>
    <w:rsid w:val="00E33050"/>
    <w:rsid w:val="00E331B5"/>
    <w:rsid w:val="00E33237"/>
    <w:rsid w:val="00E3371E"/>
    <w:rsid w:val="00E33769"/>
    <w:rsid w:val="00E33957"/>
    <w:rsid w:val="00E33B47"/>
    <w:rsid w:val="00E33BDB"/>
    <w:rsid w:val="00E33DEB"/>
    <w:rsid w:val="00E33E75"/>
    <w:rsid w:val="00E340C6"/>
    <w:rsid w:val="00E342AD"/>
    <w:rsid w:val="00E34522"/>
    <w:rsid w:val="00E3465E"/>
    <w:rsid w:val="00E3478A"/>
    <w:rsid w:val="00E348A4"/>
    <w:rsid w:val="00E34944"/>
    <w:rsid w:val="00E34FC2"/>
    <w:rsid w:val="00E35417"/>
    <w:rsid w:val="00E35458"/>
    <w:rsid w:val="00E35BFD"/>
    <w:rsid w:val="00E35D93"/>
    <w:rsid w:val="00E35D96"/>
    <w:rsid w:val="00E35F33"/>
    <w:rsid w:val="00E3601C"/>
    <w:rsid w:val="00E36038"/>
    <w:rsid w:val="00E361E8"/>
    <w:rsid w:val="00E3633D"/>
    <w:rsid w:val="00E3646E"/>
    <w:rsid w:val="00E365CF"/>
    <w:rsid w:val="00E36726"/>
    <w:rsid w:val="00E369F1"/>
    <w:rsid w:val="00E36A20"/>
    <w:rsid w:val="00E36ADE"/>
    <w:rsid w:val="00E36B6D"/>
    <w:rsid w:val="00E36E53"/>
    <w:rsid w:val="00E3731D"/>
    <w:rsid w:val="00E37521"/>
    <w:rsid w:val="00E377F5"/>
    <w:rsid w:val="00E37965"/>
    <w:rsid w:val="00E37A83"/>
    <w:rsid w:val="00E37AA9"/>
    <w:rsid w:val="00E37B48"/>
    <w:rsid w:val="00E4003C"/>
    <w:rsid w:val="00E40181"/>
    <w:rsid w:val="00E40186"/>
    <w:rsid w:val="00E4039E"/>
    <w:rsid w:val="00E40597"/>
    <w:rsid w:val="00E409A8"/>
    <w:rsid w:val="00E40A68"/>
    <w:rsid w:val="00E40D12"/>
    <w:rsid w:val="00E40E8C"/>
    <w:rsid w:val="00E4114B"/>
    <w:rsid w:val="00E41637"/>
    <w:rsid w:val="00E416BD"/>
    <w:rsid w:val="00E4176C"/>
    <w:rsid w:val="00E41C15"/>
    <w:rsid w:val="00E42091"/>
    <w:rsid w:val="00E4214C"/>
    <w:rsid w:val="00E42F38"/>
    <w:rsid w:val="00E430FE"/>
    <w:rsid w:val="00E43526"/>
    <w:rsid w:val="00E43602"/>
    <w:rsid w:val="00E43755"/>
    <w:rsid w:val="00E439E7"/>
    <w:rsid w:val="00E43A7E"/>
    <w:rsid w:val="00E43A7F"/>
    <w:rsid w:val="00E43D6D"/>
    <w:rsid w:val="00E4412C"/>
    <w:rsid w:val="00E441A4"/>
    <w:rsid w:val="00E442EC"/>
    <w:rsid w:val="00E444DD"/>
    <w:rsid w:val="00E44893"/>
    <w:rsid w:val="00E448B4"/>
    <w:rsid w:val="00E448CB"/>
    <w:rsid w:val="00E44AB7"/>
    <w:rsid w:val="00E44CAA"/>
    <w:rsid w:val="00E44F49"/>
    <w:rsid w:val="00E45443"/>
    <w:rsid w:val="00E454B4"/>
    <w:rsid w:val="00E456A4"/>
    <w:rsid w:val="00E45713"/>
    <w:rsid w:val="00E457AF"/>
    <w:rsid w:val="00E45D50"/>
    <w:rsid w:val="00E45D57"/>
    <w:rsid w:val="00E46081"/>
    <w:rsid w:val="00E46298"/>
    <w:rsid w:val="00E46341"/>
    <w:rsid w:val="00E46607"/>
    <w:rsid w:val="00E4698F"/>
    <w:rsid w:val="00E46AB0"/>
    <w:rsid w:val="00E46BEF"/>
    <w:rsid w:val="00E46DE5"/>
    <w:rsid w:val="00E46E5B"/>
    <w:rsid w:val="00E47636"/>
    <w:rsid w:val="00E4765D"/>
    <w:rsid w:val="00E47750"/>
    <w:rsid w:val="00E47770"/>
    <w:rsid w:val="00E477D6"/>
    <w:rsid w:val="00E477E1"/>
    <w:rsid w:val="00E47900"/>
    <w:rsid w:val="00E47B13"/>
    <w:rsid w:val="00E47F9B"/>
    <w:rsid w:val="00E501E3"/>
    <w:rsid w:val="00E502F6"/>
    <w:rsid w:val="00E5059C"/>
    <w:rsid w:val="00E50A07"/>
    <w:rsid w:val="00E50A33"/>
    <w:rsid w:val="00E50A9F"/>
    <w:rsid w:val="00E50AA5"/>
    <w:rsid w:val="00E50CDA"/>
    <w:rsid w:val="00E50F84"/>
    <w:rsid w:val="00E51016"/>
    <w:rsid w:val="00E51861"/>
    <w:rsid w:val="00E51B0F"/>
    <w:rsid w:val="00E51B17"/>
    <w:rsid w:val="00E51B21"/>
    <w:rsid w:val="00E51F13"/>
    <w:rsid w:val="00E5201D"/>
    <w:rsid w:val="00E52155"/>
    <w:rsid w:val="00E52546"/>
    <w:rsid w:val="00E52619"/>
    <w:rsid w:val="00E52EE5"/>
    <w:rsid w:val="00E52F38"/>
    <w:rsid w:val="00E530F3"/>
    <w:rsid w:val="00E53192"/>
    <w:rsid w:val="00E531A2"/>
    <w:rsid w:val="00E53458"/>
    <w:rsid w:val="00E535AC"/>
    <w:rsid w:val="00E5360E"/>
    <w:rsid w:val="00E5387B"/>
    <w:rsid w:val="00E539F7"/>
    <w:rsid w:val="00E53B88"/>
    <w:rsid w:val="00E53E9D"/>
    <w:rsid w:val="00E540A9"/>
    <w:rsid w:val="00E54648"/>
    <w:rsid w:val="00E5470F"/>
    <w:rsid w:val="00E54877"/>
    <w:rsid w:val="00E54913"/>
    <w:rsid w:val="00E54950"/>
    <w:rsid w:val="00E54981"/>
    <w:rsid w:val="00E54990"/>
    <w:rsid w:val="00E54A4D"/>
    <w:rsid w:val="00E54AC9"/>
    <w:rsid w:val="00E54C23"/>
    <w:rsid w:val="00E54F2B"/>
    <w:rsid w:val="00E54F7B"/>
    <w:rsid w:val="00E552F7"/>
    <w:rsid w:val="00E5577B"/>
    <w:rsid w:val="00E559BE"/>
    <w:rsid w:val="00E55B3B"/>
    <w:rsid w:val="00E55B90"/>
    <w:rsid w:val="00E55C52"/>
    <w:rsid w:val="00E55FB3"/>
    <w:rsid w:val="00E56137"/>
    <w:rsid w:val="00E561AE"/>
    <w:rsid w:val="00E562D6"/>
    <w:rsid w:val="00E56364"/>
    <w:rsid w:val="00E564E6"/>
    <w:rsid w:val="00E56A01"/>
    <w:rsid w:val="00E56CE8"/>
    <w:rsid w:val="00E56E04"/>
    <w:rsid w:val="00E56ECD"/>
    <w:rsid w:val="00E56EDE"/>
    <w:rsid w:val="00E570FB"/>
    <w:rsid w:val="00E5725A"/>
    <w:rsid w:val="00E572FC"/>
    <w:rsid w:val="00E574CB"/>
    <w:rsid w:val="00E576A4"/>
    <w:rsid w:val="00E579F3"/>
    <w:rsid w:val="00E57E30"/>
    <w:rsid w:val="00E60014"/>
    <w:rsid w:val="00E60051"/>
    <w:rsid w:val="00E6013B"/>
    <w:rsid w:val="00E601A3"/>
    <w:rsid w:val="00E606C6"/>
    <w:rsid w:val="00E607EC"/>
    <w:rsid w:val="00E610D0"/>
    <w:rsid w:val="00E6132D"/>
    <w:rsid w:val="00E61616"/>
    <w:rsid w:val="00E61810"/>
    <w:rsid w:val="00E618CF"/>
    <w:rsid w:val="00E61A4F"/>
    <w:rsid w:val="00E62043"/>
    <w:rsid w:val="00E62146"/>
    <w:rsid w:val="00E622F3"/>
    <w:rsid w:val="00E62581"/>
    <w:rsid w:val="00E628A0"/>
    <w:rsid w:val="00E62994"/>
    <w:rsid w:val="00E629A1"/>
    <w:rsid w:val="00E62A3E"/>
    <w:rsid w:val="00E62A52"/>
    <w:rsid w:val="00E62CBC"/>
    <w:rsid w:val="00E62FCB"/>
    <w:rsid w:val="00E63005"/>
    <w:rsid w:val="00E6324F"/>
    <w:rsid w:val="00E63516"/>
    <w:rsid w:val="00E63586"/>
    <w:rsid w:val="00E63796"/>
    <w:rsid w:val="00E63819"/>
    <w:rsid w:val="00E63C97"/>
    <w:rsid w:val="00E63CCA"/>
    <w:rsid w:val="00E63FB0"/>
    <w:rsid w:val="00E6454B"/>
    <w:rsid w:val="00E64DA6"/>
    <w:rsid w:val="00E64FE5"/>
    <w:rsid w:val="00E6517D"/>
    <w:rsid w:val="00E6519D"/>
    <w:rsid w:val="00E65648"/>
    <w:rsid w:val="00E65710"/>
    <w:rsid w:val="00E658B3"/>
    <w:rsid w:val="00E658FC"/>
    <w:rsid w:val="00E659F2"/>
    <w:rsid w:val="00E659FD"/>
    <w:rsid w:val="00E65A9B"/>
    <w:rsid w:val="00E65CA3"/>
    <w:rsid w:val="00E65CCD"/>
    <w:rsid w:val="00E6626C"/>
    <w:rsid w:val="00E66431"/>
    <w:rsid w:val="00E666B1"/>
    <w:rsid w:val="00E667D8"/>
    <w:rsid w:val="00E668C1"/>
    <w:rsid w:val="00E668F7"/>
    <w:rsid w:val="00E66949"/>
    <w:rsid w:val="00E66C95"/>
    <w:rsid w:val="00E66C9B"/>
    <w:rsid w:val="00E66DBD"/>
    <w:rsid w:val="00E66E13"/>
    <w:rsid w:val="00E67150"/>
    <w:rsid w:val="00E671EF"/>
    <w:rsid w:val="00E67874"/>
    <w:rsid w:val="00E6794C"/>
    <w:rsid w:val="00E679D2"/>
    <w:rsid w:val="00E67BCF"/>
    <w:rsid w:val="00E67BE4"/>
    <w:rsid w:val="00E67D45"/>
    <w:rsid w:val="00E701E2"/>
    <w:rsid w:val="00E70211"/>
    <w:rsid w:val="00E70244"/>
    <w:rsid w:val="00E70294"/>
    <w:rsid w:val="00E70700"/>
    <w:rsid w:val="00E70916"/>
    <w:rsid w:val="00E70D49"/>
    <w:rsid w:val="00E70D7C"/>
    <w:rsid w:val="00E70DEC"/>
    <w:rsid w:val="00E70EA3"/>
    <w:rsid w:val="00E70F75"/>
    <w:rsid w:val="00E71285"/>
    <w:rsid w:val="00E71591"/>
    <w:rsid w:val="00E715DD"/>
    <w:rsid w:val="00E7160E"/>
    <w:rsid w:val="00E71651"/>
    <w:rsid w:val="00E71743"/>
    <w:rsid w:val="00E718F6"/>
    <w:rsid w:val="00E71971"/>
    <w:rsid w:val="00E71CEB"/>
    <w:rsid w:val="00E72055"/>
    <w:rsid w:val="00E7207D"/>
    <w:rsid w:val="00E721D3"/>
    <w:rsid w:val="00E72D07"/>
    <w:rsid w:val="00E73000"/>
    <w:rsid w:val="00E7314D"/>
    <w:rsid w:val="00E73276"/>
    <w:rsid w:val="00E73690"/>
    <w:rsid w:val="00E736D8"/>
    <w:rsid w:val="00E7378E"/>
    <w:rsid w:val="00E737EA"/>
    <w:rsid w:val="00E7386D"/>
    <w:rsid w:val="00E73928"/>
    <w:rsid w:val="00E73AE0"/>
    <w:rsid w:val="00E73D82"/>
    <w:rsid w:val="00E73FE5"/>
    <w:rsid w:val="00E7459B"/>
    <w:rsid w:val="00E745B3"/>
    <w:rsid w:val="00E7474F"/>
    <w:rsid w:val="00E74A5C"/>
    <w:rsid w:val="00E75180"/>
    <w:rsid w:val="00E754EA"/>
    <w:rsid w:val="00E75582"/>
    <w:rsid w:val="00E75621"/>
    <w:rsid w:val="00E756EF"/>
    <w:rsid w:val="00E75A6A"/>
    <w:rsid w:val="00E75BF1"/>
    <w:rsid w:val="00E75D44"/>
    <w:rsid w:val="00E75DFC"/>
    <w:rsid w:val="00E76436"/>
    <w:rsid w:val="00E7645F"/>
    <w:rsid w:val="00E7647C"/>
    <w:rsid w:val="00E76524"/>
    <w:rsid w:val="00E76555"/>
    <w:rsid w:val="00E7655E"/>
    <w:rsid w:val="00E766BE"/>
    <w:rsid w:val="00E767B3"/>
    <w:rsid w:val="00E76A0D"/>
    <w:rsid w:val="00E76BC8"/>
    <w:rsid w:val="00E76C25"/>
    <w:rsid w:val="00E76D67"/>
    <w:rsid w:val="00E76F33"/>
    <w:rsid w:val="00E77286"/>
    <w:rsid w:val="00E77C22"/>
    <w:rsid w:val="00E77FF7"/>
    <w:rsid w:val="00E8017B"/>
    <w:rsid w:val="00E80362"/>
    <w:rsid w:val="00E8069F"/>
    <w:rsid w:val="00E808CA"/>
    <w:rsid w:val="00E80952"/>
    <w:rsid w:val="00E80A41"/>
    <w:rsid w:val="00E80DE3"/>
    <w:rsid w:val="00E80E68"/>
    <w:rsid w:val="00E80F81"/>
    <w:rsid w:val="00E80FC2"/>
    <w:rsid w:val="00E81032"/>
    <w:rsid w:val="00E8108F"/>
    <w:rsid w:val="00E810C8"/>
    <w:rsid w:val="00E81F7C"/>
    <w:rsid w:val="00E82086"/>
    <w:rsid w:val="00E822BB"/>
    <w:rsid w:val="00E82C55"/>
    <w:rsid w:val="00E832F1"/>
    <w:rsid w:val="00E83555"/>
    <w:rsid w:val="00E836CC"/>
    <w:rsid w:val="00E8380D"/>
    <w:rsid w:val="00E83F61"/>
    <w:rsid w:val="00E83FB1"/>
    <w:rsid w:val="00E84025"/>
    <w:rsid w:val="00E841BF"/>
    <w:rsid w:val="00E842D9"/>
    <w:rsid w:val="00E8435A"/>
    <w:rsid w:val="00E846B6"/>
    <w:rsid w:val="00E848A1"/>
    <w:rsid w:val="00E84CE9"/>
    <w:rsid w:val="00E85132"/>
    <w:rsid w:val="00E855AF"/>
    <w:rsid w:val="00E855CB"/>
    <w:rsid w:val="00E85698"/>
    <w:rsid w:val="00E856F9"/>
    <w:rsid w:val="00E85728"/>
    <w:rsid w:val="00E8579E"/>
    <w:rsid w:val="00E857BB"/>
    <w:rsid w:val="00E858E8"/>
    <w:rsid w:val="00E85A4A"/>
    <w:rsid w:val="00E85CCB"/>
    <w:rsid w:val="00E85E42"/>
    <w:rsid w:val="00E865FB"/>
    <w:rsid w:val="00E866AB"/>
    <w:rsid w:val="00E8674B"/>
    <w:rsid w:val="00E86A2D"/>
    <w:rsid w:val="00E86AB5"/>
    <w:rsid w:val="00E86AF2"/>
    <w:rsid w:val="00E86BDE"/>
    <w:rsid w:val="00E8708B"/>
    <w:rsid w:val="00E8713C"/>
    <w:rsid w:val="00E8736C"/>
    <w:rsid w:val="00E87425"/>
    <w:rsid w:val="00E8744F"/>
    <w:rsid w:val="00E876C8"/>
    <w:rsid w:val="00E8787E"/>
    <w:rsid w:val="00E87968"/>
    <w:rsid w:val="00E879F9"/>
    <w:rsid w:val="00E9026C"/>
    <w:rsid w:val="00E9042A"/>
    <w:rsid w:val="00E904FA"/>
    <w:rsid w:val="00E909EB"/>
    <w:rsid w:val="00E90BE3"/>
    <w:rsid w:val="00E91065"/>
    <w:rsid w:val="00E91108"/>
    <w:rsid w:val="00E91228"/>
    <w:rsid w:val="00E91371"/>
    <w:rsid w:val="00E91439"/>
    <w:rsid w:val="00E91461"/>
    <w:rsid w:val="00E91521"/>
    <w:rsid w:val="00E915D0"/>
    <w:rsid w:val="00E916CE"/>
    <w:rsid w:val="00E91704"/>
    <w:rsid w:val="00E917CC"/>
    <w:rsid w:val="00E918FA"/>
    <w:rsid w:val="00E91A7F"/>
    <w:rsid w:val="00E91C2C"/>
    <w:rsid w:val="00E91D1B"/>
    <w:rsid w:val="00E91E76"/>
    <w:rsid w:val="00E92012"/>
    <w:rsid w:val="00E921C9"/>
    <w:rsid w:val="00E925C5"/>
    <w:rsid w:val="00E92862"/>
    <w:rsid w:val="00E92AC3"/>
    <w:rsid w:val="00E92B35"/>
    <w:rsid w:val="00E93074"/>
    <w:rsid w:val="00E93107"/>
    <w:rsid w:val="00E93541"/>
    <w:rsid w:val="00E935D7"/>
    <w:rsid w:val="00E93BB2"/>
    <w:rsid w:val="00E93E33"/>
    <w:rsid w:val="00E93F06"/>
    <w:rsid w:val="00E940FE"/>
    <w:rsid w:val="00E9467A"/>
    <w:rsid w:val="00E947A3"/>
    <w:rsid w:val="00E948A2"/>
    <w:rsid w:val="00E94DF2"/>
    <w:rsid w:val="00E94E5A"/>
    <w:rsid w:val="00E953CD"/>
    <w:rsid w:val="00E956B1"/>
    <w:rsid w:val="00E95769"/>
    <w:rsid w:val="00E95801"/>
    <w:rsid w:val="00E95BDA"/>
    <w:rsid w:val="00E95CF3"/>
    <w:rsid w:val="00E95F3B"/>
    <w:rsid w:val="00E96102"/>
    <w:rsid w:val="00E9628B"/>
    <w:rsid w:val="00E962C3"/>
    <w:rsid w:val="00E9630A"/>
    <w:rsid w:val="00E9658F"/>
    <w:rsid w:val="00E9676D"/>
    <w:rsid w:val="00E96A71"/>
    <w:rsid w:val="00E96B9F"/>
    <w:rsid w:val="00E96D00"/>
    <w:rsid w:val="00E97131"/>
    <w:rsid w:val="00E9761B"/>
    <w:rsid w:val="00E97765"/>
    <w:rsid w:val="00E977E3"/>
    <w:rsid w:val="00E97B2C"/>
    <w:rsid w:val="00E97C19"/>
    <w:rsid w:val="00E97CB2"/>
    <w:rsid w:val="00E97E16"/>
    <w:rsid w:val="00E97ED2"/>
    <w:rsid w:val="00E97F98"/>
    <w:rsid w:val="00E97F99"/>
    <w:rsid w:val="00EA01C9"/>
    <w:rsid w:val="00EA06EF"/>
    <w:rsid w:val="00EA0A61"/>
    <w:rsid w:val="00EA0B21"/>
    <w:rsid w:val="00EA0F3F"/>
    <w:rsid w:val="00EA0FDC"/>
    <w:rsid w:val="00EA1038"/>
    <w:rsid w:val="00EA1570"/>
    <w:rsid w:val="00EA1808"/>
    <w:rsid w:val="00EA1942"/>
    <w:rsid w:val="00EA19C7"/>
    <w:rsid w:val="00EA1AEE"/>
    <w:rsid w:val="00EA1B74"/>
    <w:rsid w:val="00EA2049"/>
    <w:rsid w:val="00EA2181"/>
    <w:rsid w:val="00EA24F8"/>
    <w:rsid w:val="00EA265A"/>
    <w:rsid w:val="00EA2662"/>
    <w:rsid w:val="00EA273F"/>
    <w:rsid w:val="00EA27AD"/>
    <w:rsid w:val="00EA2C10"/>
    <w:rsid w:val="00EA2E21"/>
    <w:rsid w:val="00EA2F31"/>
    <w:rsid w:val="00EA2F5F"/>
    <w:rsid w:val="00EA2F6A"/>
    <w:rsid w:val="00EA3006"/>
    <w:rsid w:val="00EA31B4"/>
    <w:rsid w:val="00EA3277"/>
    <w:rsid w:val="00EA32A2"/>
    <w:rsid w:val="00EA32AB"/>
    <w:rsid w:val="00EA346D"/>
    <w:rsid w:val="00EA3846"/>
    <w:rsid w:val="00EA3BE8"/>
    <w:rsid w:val="00EA40F1"/>
    <w:rsid w:val="00EA430A"/>
    <w:rsid w:val="00EA431F"/>
    <w:rsid w:val="00EA4387"/>
    <w:rsid w:val="00EA443F"/>
    <w:rsid w:val="00EA45D0"/>
    <w:rsid w:val="00EA46BE"/>
    <w:rsid w:val="00EA4990"/>
    <w:rsid w:val="00EA4A28"/>
    <w:rsid w:val="00EA4B8C"/>
    <w:rsid w:val="00EA523F"/>
    <w:rsid w:val="00EA53F3"/>
    <w:rsid w:val="00EA5632"/>
    <w:rsid w:val="00EA563E"/>
    <w:rsid w:val="00EA56B5"/>
    <w:rsid w:val="00EA59E8"/>
    <w:rsid w:val="00EA5A5E"/>
    <w:rsid w:val="00EA5A6A"/>
    <w:rsid w:val="00EA602C"/>
    <w:rsid w:val="00EA63B3"/>
    <w:rsid w:val="00EA6562"/>
    <w:rsid w:val="00EA6C35"/>
    <w:rsid w:val="00EA6D10"/>
    <w:rsid w:val="00EA6D51"/>
    <w:rsid w:val="00EA6DF1"/>
    <w:rsid w:val="00EA7055"/>
    <w:rsid w:val="00EA717C"/>
    <w:rsid w:val="00EA71F0"/>
    <w:rsid w:val="00EA7A83"/>
    <w:rsid w:val="00EA7B77"/>
    <w:rsid w:val="00EA7C7F"/>
    <w:rsid w:val="00EA7D3C"/>
    <w:rsid w:val="00EA7E43"/>
    <w:rsid w:val="00EA7E80"/>
    <w:rsid w:val="00EA7FD1"/>
    <w:rsid w:val="00EB00E0"/>
    <w:rsid w:val="00EB0366"/>
    <w:rsid w:val="00EB0515"/>
    <w:rsid w:val="00EB05D5"/>
    <w:rsid w:val="00EB0661"/>
    <w:rsid w:val="00EB06BB"/>
    <w:rsid w:val="00EB10DD"/>
    <w:rsid w:val="00EB124C"/>
    <w:rsid w:val="00EB15C1"/>
    <w:rsid w:val="00EB17F1"/>
    <w:rsid w:val="00EB19BA"/>
    <w:rsid w:val="00EB1A2C"/>
    <w:rsid w:val="00EB1B38"/>
    <w:rsid w:val="00EB20E2"/>
    <w:rsid w:val="00EB2782"/>
    <w:rsid w:val="00EB28B1"/>
    <w:rsid w:val="00EB2A01"/>
    <w:rsid w:val="00EB312C"/>
    <w:rsid w:val="00EB31DD"/>
    <w:rsid w:val="00EB32F2"/>
    <w:rsid w:val="00EB333D"/>
    <w:rsid w:val="00EB3650"/>
    <w:rsid w:val="00EB3701"/>
    <w:rsid w:val="00EB385F"/>
    <w:rsid w:val="00EB3944"/>
    <w:rsid w:val="00EB39DB"/>
    <w:rsid w:val="00EB3CD5"/>
    <w:rsid w:val="00EB3D77"/>
    <w:rsid w:val="00EB3D83"/>
    <w:rsid w:val="00EB3F95"/>
    <w:rsid w:val="00EB419D"/>
    <w:rsid w:val="00EB429C"/>
    <w:rsid w:val="00EB44E8"/>
    <w:rsid w:val="00EB4630"/>
    <w:rsid w:val="00EB4721"/>
    <w:rsid w:val="00EB4AA0"/>
    <w:rsid w:val="00EB4ABA"/>
    <w:rsid w:val="00EB4BC7"/>
    <w:rsid w:val="00EB4E8A"/>
    <w:rsid w:val="00EB4EF1"/>
    <w:rsid w:val="00EB56B9"/>
    <w:rsid w:val="00EB5822"/>
    <w:rsid w:val="00EB58A5"/>
    <w:rsid w:val="00EB5906"/>
    <w:rsid w:val="00EB5A2D"/>
    <w:rsid w:val="00EB5BD1"/>
    <w:rsid w:val="00EB5F90"/>
    <w:rsid w:val="00EB6049"/>
    <w:rsid w:val="00EB6154"/>
    <w:rsid w:val="00EB62C3"/>
    <w:rsid w:val="00EB65B9"/>
    <w:rsid w:val="00EB683A"/>
    <w:rsid w:val="00EB68B8"/>
    <w:rsid w:val="00EB6A5D"/>
    <w:rsid w:val="00EB6AC1"/>
    <w:rsid w:val="00EB6C19"/>
    <w:rsid w:val="00EB6DCA"/>
    <w:rsid w:val="00EB7283"/>
    <w:rsid w:val="00EB72E4"/>
    <w:rsid w:val="00EB73C0"/>
    <w:rsid w:val="00EB79B4"/>
    <w:rsid w:val="00EB7DA4"/>
    <w:rsid w:val="00EB7F8F"/>
    <w:rsid w:val="00EC0054"/>
    <w:rsid w:val="00EC0062"/>
    <w:rsid w:val="00EC018A"/>
    <w:rsid w:val="00EC0471"/>
    <w:rsid w:val="00EC059F"/>
    <w:rsid w:val="00EC0603"/>
    <w:rsid w:val="00EC0623"/>
    <w:rsid w:val="00EC08E9"/>
    <w:rsid w:val="00EC0980"/>
    <w:rsid w:val="00EC0A10"/>
    <w:rsid w:val="00EC0F40"/>
    <w:rsid w:val="00EC10CF"/>
    <w:rsid w:val="00EC14EA"/>
    <w:rsid w:val="00EC159A"/>
    <w:rsid w:val="00EC1891"/>
    <w:rsid w:val="00EC1983"/>
    <w:rsid w:val="00EC1A16"/>
    <w:rsid w:val="00EC1F24"/>
    <w:rsid w:val="00EC203D"/>
    <w:rsid w:val="00EC20AA"/>
    <w:rsid w:val="00EC2180"/>
    <w:rsid w:val="00EC22F6"/>
    <w:rsid w:val="00EC248A"/>
    <w:rsid w:val="00EC271E"/>
    <w:rsid w:val="00EC292E"/>
    <w:rsid w:val="00EC29B6"/>
    <w:rsid w:val="00EC2EC9"/>
    <w:rsid w:val="00EC2EFE"/>
    <w:rsid w:val="00EC3063"/>
    <w:rsid w:val="00EC3353"/>
    <w:rsid w:val="00EC3575"/>
    <w:rsid w:val="00EC3620"/>
    <w:rsid w:val="00EC37B6"/>
    <w:rsid w:val="00EC3B0E"/>
    <w:rsid w:val="00EC3DB9"/>
    <w:rsid w:val="00EC3DDC"/>
    <w:rsid w:val="00EC433F"/>
    <w:rsid w:val="00EC43F5"/>
    <w:rsid w:val="00EC43FB"/>
    <w:rsid w:val="00EC4547"/>
    <w:rsid w:val="00EC455F"/>
    <w:rsid w:val="00EC487A"/>
    <w:rsid w:val="00EC4932"/>
    <w:rsid w:val="00EC49EB"/>
    <w:rsid w:val="00EC4AF8"/>
    <w:rsid w:val="00EC4B56"/>
    <w:rsid w:val="00EC4BAC"/>
    <w:rsid w:val="00EC4C4D"/>
    <w:rsid w:val="00EC4C55"/>
    <w:rsid w:val="00EC4D2C"/>
    <w:rsid w:val="00EC4D46"/>
    <w:rsid w:val="00EC4F05"/>
    <w:rsid w:val="00EC4F8F"/>
    <w:rsid w:val="00EC5031"/>
    <w:rsid w:val="00EC5044"/>
    <w:rsid w:val="00EC5430"/>
    <w:rsid w:val="00EC588D"/>
    <w:rsid w:val="00EC5B57"/>
    <w:rsid w:val="00EC5C7D"/>
    <w:rsid w:val="00EC63B4"/>
    <w:rsid w:val="00EC72E3"/>
    <w:rsid w:val="00EC7432"/>
    <w:rsid w:val="00EC758B"/>
    <w:rsid w:val="00EC7702"/>
    <w:rsid w:val="00EC7AD6"/>
    <w:rsid w:val="00EC7DB4"/>
    <w:rsid w:val="00EC7DD6"/>
    <w:rsid w:val="00ED002E"/>
    <w:rsid w:val="00ED0036"/>
    <w:rsid w:val="00ED0218"/>
    <w:rsid w:val="00ED021A"/>
    <w:rsid w:val="00ED0293"/>
    <w:rsid w:val="00ED0309"/>
    <w:rsid w:val="00ED046E"/>
    <w:rsid w:val="00ED048B"/>
    <w:rsid w:val="00ED0AB4"/>
    <w:rsid w:val="00ED0EF6"/>
    <w:rsid w:val="00ED0F68"/>
    <w:rsid w:val="00ED107C"/>
    <w:rsid w:val="00ED1191"/>
    <w:rsid w:val="00ED128A"/>
    <w:rsid w:val="00ED141C"/>
    <w:rsid w:val="00ED188E"/>
    <w:rsid w:val="00ED19F8"/>
    <w:rsid w:val="00ED1E17"/>
    <w:rsid w:val="00ED2067"/>
    <w:rsid w:val="00ED2188"/>
    <w:rsid w:val="00ED23C5"/>
    <w:rsid w:val="00ED24E6"/>
    <w:rsid w:val="00ED28F9"/>
    <w:rsid w:val="00ED2A32"/>
    <w:rsid w:val="00ED2AAA"/>
    <w:rsid w:val="00ED2F68"/>
    <w:rsid w:val="00ED2F9F"/>
    <w:rsid w:val="00ED30D9"/>
    <w:rsid w:val="00ED3194"/>
    <w:rsid w:val="00ED31BC"/>
    <w:rsid w:val="00ED3596"/>
    <w:rsid w:val="00ED362E"/>
    <w:rsid w:val="00ED371F"/>
    <w:rsid w:val="00ED38C7"/>
    <w:rsid w:val="00ED3C7D"/>
    <w:rsid w:val="00ED3D00"/>
    <w:rsid w:val="00ED3FA8"/>
    <w:rsid w:val="00ED3FB1"/>
    <w:rsid w:val="00ED40BB"/>
    <w:rsid w:val="00ED41BC"/>
    <w:rsid w:val="00ED48EB"/>
    <w:rsid w:val="00ED51EF"/>
    <w:rsid w:val="00ED524D"/>
    <w:rsid w:val="00ED53B4"/>
    <w:rsid w:val="00ED54CA"/>
    <w:rsid w:val="00ED583D"/>
    <w:rsid w:val="00ED58BB"/>
    <w:rsid w:val="00ED5942"/>
    <w:rsid w:val="00ED5A20"/>
    <w:rsid w:val="00ED5B9B"/>
    <w:rsid w:val="00ED61B3"/>
    <w:rsid w:val="00ED67A5"/>
    <w:rsid w:val="00ED6BAD"/>
    <w:rsid w:val="00ED6DE0"/>
    <w:rsid w:val="00ED6DED"/>
    <w:rsid w:val="00ED7105"/>
    <w:rsid w:val="00ED716B"/>
    <w:rsid w:val="00ED7201"/>
    <w:rsid w:val="00ED725B"/>
    <w:rsid w:val="00ED7348"/>
    <w:rsid w:val="00ED7447"/>
    <w:rsid w:val="00ED7558"/>
    <w:rsid w:val="00ED76A6"/>
    <w:rsid w:val="00ED7762"/>
    <w:rsid w:val="00ED79D6"/>
    <w:rsid w:val="00ED7B65"/>
    <w:rsid w:val="00ED7C72"/>
    <w:rsid w:val="00ED7CF2"/>
    <w:rsid w:val="00ED7CFF"/>
    <w:rsid w:val="00ED7E19"/>
    <w:rsid w:val="00ED7EB7"/>
    <w:rsid w:val="00EE0042"/>
    <w:rsid w:val="00EE00D6"/>
    <w:rsid w:val="00EE056F"/>
    <w:rsid w:val="00EE0662"/>
    <w:rsid w:val="00EE09DD"/>
    <w:rsid w:val="00EE0A89"/>
    <w:rsid w:val="00EE0C57"/>
    <w:rsid w:val="00EE0E6C"/>
    <w:rsid w:val="00EE0E70"/>
    <w:rsid w:val="00EE1056"/>
    <w:rsid w:val="00EE11E7"/>
    <w:rsid w:val="00EE1488"/>
    <w:rsid w:val="00EE17C7"/>
    <w:rsid w:val="00EE17EF"/>
    <w:rsid w:val="00EE1A6C"/>
    <w:rsid w:val="00EE1E68"/>
    <w:rsid w:val="00EE1F92"/>
    <w:rsid w:val="00EE209F"/>
    <w:rsid w:val="00EE2157"/>
    <w:rsid w:val="00EE2229"/>
    <w:rsid w:val="00EE2309"/>
    <w:rsid w:val="00EE2446"/>
    <w:rsid w:val="00EE2613"/>
    <w:rsid w:val="00EE2756"/>
    <w:rsid w:val="00EE29AD"/>
    <w:rsid w:val="00EE2B31"/>
    <w:rsid w:val="00EE2CC7"/>
    <w:rsid w:val="00EE2F86"/>
    <w:rsid w:val="00EE353A"/>
    <w:rsid w:val="00EE3817"/>
    <w:rsid w:val="00EE3E24"/>
    <w:rsid w:val="00EE4373"/>
    <w:rsid w:val="00EE4861"/>
    <w:rsid w:val="00EE4BB2"/>
    <w:rsid w:val="00EE4D5D"/>
    <w:rsid w:val="00EE4FD8"/>
    <w:rsid w:val="00EE5131"/>
    <w:rsid w:val="00EE561E"/>
    <w:rsid w:val="00EE5887"/>
    <w:rsid w:val="00EE58F1"/>
    <w:rsid w:val="00EE5B1A"/>
    <w:rsid w:val="00EE6453"/>
    <w:rsid w:val="00EE6483"/>
    <w:rsid w:val="00EE6692"/>
    <w:rsid w:val="00EE66B2"/>
    <w:rsid w:val="00EE67E6"/>
    <w:rsid w:val="00EE6B33"/>
    <w:rsid w:val="00EE719B"/>
    <w:rsid w:val="00EE7836"/>
    <w:rsid w:val="00EE7866"/>
    <w:rsid w:val="00EE7AE2"/>
    <w:rsid w:val="00EE7B02"/>
    <w:rsid w:val="00EE7B72"/>
    <w:rsid w:val="00EE7D26"/>
    <w:rsid w:val="00EE7E49"/>
    <w:rsid w:val="00EF00A7"/>
    <w:rsid w:val="00EF04BF"/>
    <w:rsid w:val="00EF04D3"/>
    <w:rsid w:val="00EF0564"/>
    <w:rsid w:val="00EF058B"/>
    <w:rsid w:val="00EF0843"/>
    <w:rsid w:val="00EF0A38"/>
    <w:rsid w:val="00EF0CD4"/>
    <w:rsid w:val="00EF0ED3"/>
    <w:rsid w:val="00EF0F50"/>
    <w:rsid w:val="00EF0F5F"/>
    <w:rsid w:val="00EF109B"/>
    <w:rsid w:val="00EF1262"/>
    <w:rsid w:val="00EF130D"/>
    <w:rsid w:val="00EF1464"/>
    <w:rsid w:val="00EF14AA"/>
    <w:rsid w:val="00EF15AC"/>
    <w:rsid w:val="00EF1662"/>
    <w:rsid w:val="00EF16BF"/>
    <w:rsid w:val="00EF17FB"/>
    <w:rsid w:val="00EF196A"/>
    <w:rsid w:val="00EF1BF2"/>
    <w:rsid w:val="00EF1CA3"/>
    <w:rsid w:val="00EF1D16"/>
    <w:rsid w:val="00EF1E54"/>
    <w:rsid w:val="00EF201C"/>
    <w:rsid w:val="00EF2077"/>
    <w:rsid w:val="00EF215B"/>
    <w:rsid w:val="00EF23C4"/>
    <w:rsid w:val="00EF2440"/>
    <w:rsid w:val="00EF2553"/>
    <w:rsid w:val="00EF2801"/>
    <w:rsid w:val="00EF2837"/>
    <w:rsid w:val="00EF2A9B"/>
    <w:rsid w:val="00EF2AD7"/>
    <w:rsid w:val="00EF2C72"/>
    <w:rsid w:val="00EF2E09"/>
    <w:rsid w:val="00EF304C"/>
    <w:rsid w:val="00EF30A3"/>
    <w:rsid w:val="00EF314D"/>
    <w:rsid w:val="00EF31AD"/>
    <w:rsid w:val="00EF348B"/>
    <w:rsid w:val="00EF35EA"/>
    <w:rsid w:val="00EF3605"/>
    <w:rsid w:val="00EF36AF"/>
    <w:rsid w:val="00EF375B"/>
    <w:rsid w:val="00EF3857"/>
    <w:rsid w:val="00EF392A"/>
    <w:rsid w:val="00EF393E"/>
    <w:rsid w:val="00EF39C4"/>
    <w:rsid w:val="00EF3C0F"/>
    <w:rsid w:val="00EF3EA2"/>
    <w:rsid w:val="00EF4480"/>
    <w:rsid w:val="00EF46C0"/>
    <w:rsid w:val="00EF473D"/>
    <w:rsid w:val="00EF4789"/>
    <w:rsid w:val="00EF4968"/>
    <w:rsid w:val="00EF4D0D"/>
    <w:rsid w:val="00EF4D99"/>
    <w:rsid w:val="00EF4F5A"/>
    <w:rsid w:val="00EF503B"/>
    <w:rsid w:val="00EF5351"/>
    <w:rsid w:val="00EF536B"/>
    <w:rsid w:val="00EF563C"/>
    <w:rsid w:val="00EF56A5"/>
    <w:rsid w:val="00EF5765"/>
    <w:rsid w:val="00EF58E7"/>
    <w:rsid w:val="00EF59A3"/>
    <w:rsid w:val="00EF59DE"/>
    <w:rsid w:val="00EF5C22"/>
    <w:rsid w:val="00EF5D02"/>
    <w:rsid w:val="00EF6029"/>
    <w:rsid w:val="00EF6174"/>
    <w:rsid w:val="00EF6675"/>
    <w:rsid w:val="00EF67E3"/>
    <w:rsid w:val="00EF6B77"/>
    <w:rsid w:val="00EF6FCC"/>
    <w:rsid w:val="00EF73D1"/>
    <w:rsid w:val="00EF7505"/>
    <w:rsid w:val="00EF7727"/>
    <w:rsid w:val="00EF77E9"/>
    <w:rsid w:val="00EF7B11"/>
    <w:rsid w:val="00EF7C97"/>
    <w:rsid w:val="00F00128"/>
    <w:rsid w:val="00F00210"/>
    <w:rsid w:val="00F002D1"/>
    <w:rsid w:val="00F0063D"/>
    <w:rsid w:val="00F00AD1"/>
    <w:rsid w:val="00F00BA1"/>
    <w:rsid w:val="00F00D1F"/>
    <w:rsid w:val="00F00D39"/>
    <w:rsid w:val="00F00F9C"/>
    <w:rsid w:val="00F0106C"/>
    <w:rsid w:val="00F0161A"/>
    <w:rsid w:val="00F01750"/>
    <w:rsid w:val="00F0180D"/>
    <w:rsid w:val="00F01A7B"/>
    <w:rsid w:val="00F01B50"/>
    <w:rsid w:val="00F01E5F"/>
    <w:rsid w:val="00F01EB5"/>
    <w:rsid w:val="00F023C3"/>
    <w:rsid w:val="00F024DB"/>
    <w:rsid w:val="00F024F3"/>
    <w:rsid w:val="00F0266F"/>
    <w:rsid w:val="00F026E4"/>
    <w:rsid w:val="00F02A04"/>
    <w:rsid w:val="00F02ABA"/>
    <w:rsid w:val="00F02B49"/>
    <w:rsid w:val="00F02C39"/>
    <w:rsid w:val="00F02D59"/>
    <w:rsid w:val="00F02E2A"/>
    <w:rsid w:val="00F02FB3"/>
    <w:rsid w:val="00F03035"/>
    <w:rsid w:val="00F0321A"/>
    <w:rsid w:val="00F0324E"/>
    <w:rsid w:val="00F0337C"/>
    <w:rsid w:val="00F03404"/>
    <w:rsid w:val="00F03767"/>
    <w:rsid w:val="00F03966"/>
    <w:rsid w:val="00F039A9"/>
    <w:rsid w:val="00F039DD"/>
    <w:rsid w:val="00F03A57"/>
    <w:rsid w:val="00F03BDD"/>
    <w:rsid w:val="00F03DC7"/>
    <w:rsid w:val="00F0437A"/>
    <w:rsid w:val="00F04ADD"/>
    <w:rsid w:val="00F04BAC"/>
    <w:rsid w:val="00F04C88"/>
    <w:rsid w:val="00F04C94"/>
    <w:rsid w:val="00F04D3C"/>
    <w:rsid w:val="00F04F83"/>
    <w:rsid w:val="00F04FFC"/>
    <w:rsid w:val="00F05215"/>
    <w:rsid w:val="00F055AA"/>
    <w:rsid w:val="00F057F5"/>
    <w:rsid w:val="00F05CDC"/>
    <w:rsid w:val="00F05D9D"/>
    <w:rsid w:val="00F05DB7"/>
    <w:rsid w:val="00F05EC3"/>
    <w:rsid w:val="00F062EC"/>
    <w:rsid w:val="00F06338"/>
    <w:rsid w:val="00F06495"/>
    <w:rsid w:val="00F0658F"/>
    <w:rsid w:val="00F067C0"/>
    <w:rsid w:val="00F067D3"/>
    <w:rsid w:val="00F06969"/>
    <w:rsid w:val="00F06A5C"/>
    <w:rsid w:val="00F06A76"/>
    <w:rsid w:val="00F06E5F"/>
    <w:rsid w:val="00F07080"/>
    <w:rsid w:val="00F072C8"/>
    <w:rsid w:val="00F07AF3"/>
    <w:rsid w:val="00F07BF3"/>
    <w:rsid w:val="00F07C01"/>
    <w:rsid w:val="00F1019A"/>
    <w:rsid w:val="00F101B8"/>
    <w:rsid w:val="00F10231"/>
    <w:rsid w:val="00F102DB"/>
    <w:rsid w:val="00F1089D"/>
    <w:rsid w:val="00F10CDA"/>
    <w:rsid w:val="00F10E7B"/>
    <w:rsid w:val="00F10ECD"/>
    <w:rsid w:val="00F11037"/>
    <w:rsid w:val="00F110FD"/>
    <w:rsid w:val="00F11536"/>
    <w:rsid w:val="00F115B1"/>
    <w:rsid w:val="00F1173C"/>
    <w:rsid w:val="00F118C7"/>
    <w:rsid w:val="00F11BB2"/>
    <w:rsid w:val="00F12052"/>
    <w:rsid w:val="00F12239"/>
    <w:rsid w:val="00F12285"/>
    <w:rsid w:val="00F122BF"/>
    <w:rsid w:val="00F122D2"/>
    <w:rsid w:val="00F12558"/>
    <w:rsid w:val="00F126AC"/>
    <w:rsid w:val="00F12804"/>
    <w:rsid w:val="00F12B1C"/>
    <w:rsid w:val="00F12B63"/>
    <w:rsid w:val="00F12B6C"/>
    <w:rsid w:val="00F12F01"/>
    <w:rsid w:val="00F12FF3"/>
    <w:rsid w:val="00F13171"/>
    <w:rsid w:val="00F13236"/>
    <w:rsid w:val="00F1334D"/>
    <w:rsid w:val="00F1349F"/>
    <w:rsid w:val="00F137DB"/>
    <w:rsid w:val="00F1380F"/>
    <w:rsid w:val="00F13816"/>
    <w:rsid w:val="00F13847"/>
    <w:rsid w:val="00F13AF5"/>
    <w:rsid w:val="00F13C57"/>
    <w:rsid w:val="00F13D1D"/>
    <w:rsid w:val="00F13D2B"/>
    <w:rsid w:val="00F13EB7"/>
    <w:rsid w:val="00F13EEF"/>
    <w:rsid w:val="00F14290"/>
    <w:rsid w:val="00F1429E"/>
    <w:rsid w:val="00F1436B"/>
    <w:rsid w:val="00F14376"/>
    <w:rsid w:val="00F14383"/>
    <w:rsid w:val="00F143C9"/>
    <w:rsid w:val="00F14553"/>
    <w:rsid w:val="00F14681"/>
    <w:rsid w:val="00F14D70"/>
    <w:rsid w:val="00F14F90"/>
    <w:rsid w:val="00F15251"/>
    <w:rsid w:val="00F154CE"/>
    <w:rsid w:val="00F15767"/>
    <w:rsid w:val="00F1577D"/>
    <w:rsid w:val="00F159C7"/>
    <w:rsid w:val="00F159F6"/>
    <w:rsid w:val="00F15BF2"/>
    <w:rsid w:val="00F15D06"/>
    <w:rsid w:val="00F15D40"/>
    <w:rsid w:val="00F15FE4"/>
    <w:rsid w:val="00F1658C"/>
    <w:rsid w:val="00F1675E"/>
    <w:rsid w:val="00F16F1B"/>
    <w:rsid w:val="00F16FA1"/>
    <w:rsid w:val="00F171B1"/>
    <w:rsid w:val="00F172BD"/>
    <w:rsid w:val="00F173D4"/>
    <w:rsid w:val="00F174BC"/>
    <w:rsid w:val="00F1766C"/>
    <w:rsid w:val="00F176FF"/>
    <w:rsid w:val="00F17BC2"/>
    <w:rsid w:val="00F17FA4"/>
    <w:rsid w:val="00F2021B"/>
    <w:rsid w:val="00F202E6"/>
    <w:rsid w:val="00F20409"/>
    <w:rsid w:val="00F204A2"/>
    <w:rsid w:val="00F20A44"/>
    <w:rsid w:val="00F20D52"/>
    <w:rsid w:val="00F211B6"/>
    <w:rsid w:val="00F21243"/>
    <w:rsid w:val="00F213F2"/>
    <w:rsid w:val="00F2154C"/>
    <w:rsid w:val="00F21813"/>
    <w:rsid w:val="00F219E7"/>
    <w:rsid w:val="00F21A45"/>
    <w:rsid w:val="00F21AB7"/>
    <w:rsid w:val="00F21BF3"/>
    <w:rsid w:val="00F21F79"/>
    <w:rsid w:val="00F2217A"/>
    <w:rsid w:val="00F223C6"/>
    <w:rsid w:val="00F22539"/>
    <w:rsid w:val="00F22636"/>
    <w:rsid w:val="00F22900"/>
    <w:rsid w:val="00F22913"/>
    <w:rsid w:val="00F22A18"/>
    <w:rsid w:val="00F22A3D"/>
    <w:rsid w:val="00F22BF6"/>
    <w:rsid w:val="00F22D3B"/>
    <w:rsid w:val="00F22D6D"/>
    <w:rsid w:val="00F22E0D"/>
    <w:rsid w:val="00F22EA3"/>
    <w:rsid w:val="00F239E3"/>
    <w:rsid w:val="00F23E30"/>
    <w:rsid w:val="00F23FB3"/>
    <w:rsid w:val="00F24210"/>
    <w:rsid w:val="00F244E0"/>
    <w:rsid w:val="00F24583"/>
    <w:rsid w:val="00F248B6"/>
    <w:rsid w:val="00F248E2"/>
    <w:rsid w:val="00F2496D"/>
    <w:rsid w:val="00F24CE4"/>
    <w:rsid w:val="00F24D30"/>
    <w:rsid w:val="00F24DBC"/>
    <w:rsid w:val="00F250A9"/>
    <w:rsid w:val="00F25199"/>
    <w:rsid w:val="00F2523D"/>
    <w:rsid w:val="00F252C5"/>
    <w:rsid w:val="00F25681"/>
    <w:rsid w:val="00F25BB0"/>
    <w:rsid w:val="00F25E2E"/>
    <w:rsid w:val="00F26029"/>
    <w:rsid w:val="00F2608F"/>
    <w:rsid w:val="00F2622C"/>
    <w:rsid w:val="00F267AF"/>
    <w:rsid w:val="00F26930"/>
    <w:rsid w:val="00F26ED7"/>
    <w:rsid w:val="00F26F04"/>
    <w:rsid w:val="00F26F33"/>
    <w:rsid w:val="00F26F64"/>
    <w:rsid w:val="00F2734F"/>
    <w:rsid w:val="00F27589"/>
    <w:rsid w:val="00F277AA"/>
    <w:rsid w:val="00F277F6"/>
    <w:rsid w:val="00F27CCB"/>
    <w:rsid w:val="00F27E80"/>
    <w:rsid w:val="00F27F40"/>
    <w:rsid w:val="00F27F64"/>
    <w:rsid w:val="00F304F3"/>
    <w:rsid w:val="00F30FEB"/>
    <w:rsid w:val="00F30FF4"/>
    <w:rsid w:val="00F3122E"/>
    <w:rsid w:val="00F3131C"/>
    <w:rsid w:val="00F31D4A"/>
    <w:rsid w:val="00F31EBA"/>
    <w:rsid w:val="00F32174"/>
    <w:rsid w:val="00F321F2"/>
    <w:rsid w:val="00F32269"/>
    <w:rsid w:val="00F32368"/>
    <w:rsid w:val="00F323B0"/>
    <w:rsid w:val="00F32519"/>
    <w:rsid w:val="00F326FD"/>
    <w:rsid w:val="00F329DA"/>
    <w:rsid w:val="00F329ED"/>
    <w:rsid w:val="00F32A74"/>
    <w:rsid w:val="00F32CFB"/>
    <w:rsid w:val="00F32E6D"/>
    <w:rsid w:val="00F32FF7"/>
    <w:rsid w:val="00F331AD"/>
    <w:rsid w:val="00F33275"/>
    <w:rsid w:val="00F33605"/>
    <w:rsid w:val="00F33956"/>
    <w:rsid w:val="00F33E1D"/>
    <w:rsid w:val="00F3437C"/>
    <w:rsid w:val="00F34663"/>
    <w:rsid w:val="00F3485E"/>
    <w:rsid w:val="00F34884"/>
    <w:rsid w:val="00F348B8"/>
    <w:rsid w:val="00F34B56"/>
    <w:rsid w:val="00F34CD3"/>
    <w:rsid w:val="00F34DE6"/>
    <w:rsid w:val="00F35287"/>
    <w:rsid w:val="00F3530D"/>
    <w:rsid w:val="00F3572A"/>
    <w:rsid w:val="00F35808"/>
    <w:rsid w:val="00F35895"/>
    <w:rsid w:val="00F359C6"/>
    <w:rsid w:val="00F35E1A"/>
    <w:rsid w:val="00F35E4D"/>
    <w:rsid w:val="00F36141"/>
    <w:rsid w:val="00F361F7"/>
    <w:rsid w:val="00F36702"/>
    <w:rsid w:val="00F367B7"/>
    <w:rsid w:val="00F3686E"/>
    <w:rsid w:val="00F368B4"/>
    <w:rsid w:val="00F3694A"/>
    <w:rsid w:val="00F36C78"/>
    <w:rsid w:val="00F36CB7"/>
    <w:rsid w:val="00F36DA2"/>
    <w:rsid w:val="00F36DDB"/>
    <w:rsid w:val="00F36EE6"/>
    <w:rsid w:val="00F37103"/>
    <w:rsid w:val="00F371EF"/>
    <w:rsid w:val="00F374B4"/>
    <w:rsid w:val="00F37920"/>
    <w:rsid w:val="00F37977"/>
    <w:rsid w:val="00F37DC5"/>
    <w:rsid w:val="00F37F26"/>
    <w:rsid w:val="00F3F950"/>
    <w:rsid w:val="00F400E9"/>
    <w:rsid w:val="00F40178"/>
    <w:rsid w:val="00F401FA"/>
    <w:rsid w:val="00F40687"/>
    <w:rsid w:val="00F4076D"/>
    <w:rsid w:val="00F407E8"/>
    <w:rsid w:val="00F4086B"/>
    <w:rsid w:val="00F40A70"/>
    <w:rsid w:val="00F40BAF"/>
    <w:rsid w:val="00F40D8B"/>
    <w:rsid w:val="00F40E45"/>
    <w:rsid w:val="00F40F15"/>
    <w:rsid w:val="00F41276"/>
    <w:rsid w:val="00F412DC"/>
    <w:rsid w:val="00F414E0"/>
    <w:rsid w:val="00F4166F"/>
    <w:rsid w:val="00F41849"/>
    <w:rsid w:val="00F418B8"/>
    <w:rsid w:val="00F41D2B"/>
    <w:rsid w:val="00F423FC"/>
    <w:rsid w:val="00F4257A"/>
    <w:rsid w:val="00F427C0"/>
    <w:rsid w:val="00F42881"/>
    <w:rsid w:val="00F42B1C"/>
    <w:rsid w:val="00F42B55"/>
    <w:rsid w:val="00F42EA7"/>
    <w:rsid w:val="00F42EDE"/>
    <w:rsid w:val="00F42FC3"/>
    <w:rsid w:val="00F434A1"/>
    <w:rsid w:val="00F43905"/>
    <w:rsid w:val="00F43A37"/>
    <w:rsid w:val="00F43E0B"/>
    <w:rsid w:val="00F44186"/>
    <w:rsid w:val="00F4422F"/>
    <w:rsid w:val="00F442A4"/>
    <w:rsid w:val="00F443CE"/>
    <w:rsid w:val="00F4459B"/>
    <w:rsid w:val="00F44757"/>
    <w:rsid w:val="00F4478C"/>
    <w:rsid w:val="00F448FE"/>
    <w:rsid w:val="00F449C0"/>
    <w:rsid w:val="00F44CC0"/>
    <w:rsid w:val="00F44E6C"/>
    <w:rsid w:val="00F44F93"/>
    <w:rsid w:val="00F44FD3"/>
    <w:rsid w:val="00F45046"/>
    <w:rsid w:val="00F4516D"/>
    <w:rsid w:val="00F45370"/>
    <w:rsid w:val="00F453B0"/>
    <w:rsid w:val="00F457F2"/>
    <w:rsid w:val="00F45818"/>
    <w:rsid w:val="00F45A8E"/>
    <w:rsid w:val="00F45BD4"/>
    <w:rsid w:val="00F45C10"/>
    <w:rsid w:val="00F45E5A"/>
    <w:rsid w:val="00F45F22"/>
    <w:rsid w:val="00F4641B"/>
    <w:rsid w:val="00F4662E"/>
    <w:rsid w:val="00F466E6"/>
    <w:rsid w:val="00F46791"/>
    <w:rsid w:val="00F46860"/>
    <w:rsid w:val="00F468D1"/>
    <w:rsid w:val="00F46CCD"/>
    <w:rsid w:val="00F46D0E"/>
    <w:rsid w:val="00F46EB8"/>
    <w:rsid w:val="00F4710E"/>
    <w:rsid w:val="00F47497"/>
    <w:rsid w:val="00F47632"/>
    <w:rsid w:val="00F47833"/>
    <w:rsid w:val="00F478F0"/>
    <w:rsid w:val="00F479DF"/>
    <w:rsid w:val="00F47DD5"/>
    <w:rsid w:val="00F47E8A"/>
    <w:rsid w:val="00F50610"/>
    <w:rsid w:val="00F50727"/>
    <w:rsid w:val="00F50737"/>
    <w:rsid w:val="00F50799"/>
    <w:rsid w:val="00F508F2"/>
    <w:rsid w:val="00F50997"/>
    <w:rsid w:val="00F509B1"/>
    <w:rsid w:val="00F50CB9"/>
    <w:rsid w:val="00F50CD1"/>
    <w:rsid w:val="00F50D15"/>
    <w:rsid w:val="00F50FEC"/>
    <w:rsid w:val="00F511E4"/>
    <w:rsid w:val="00F51332"/>
    <w:rsid w:val="00F51770"/>
    <w:rsid w:val="00F51839"/>
    <w:rsid w:val="00F5184B"/>
    <w:rsid w:val="00F51935"/>
    <w:rsid w:val="00F519AC"/>
    <w:rsid w:val="00F51A5F"/>
    <w:rsid w:val="00F51D12"/>
    <w:rsid w:val="00F51D6C"/>
    <w:rsid w:val="00F51D92"/>
    <w:rsid w:val="00F51FAF"/>
    <w:rsid w:val="00F526FC"/>
    <w:rsid w:val="00F527FC"/>
    <w:rsid w:val="00F52D09"/>
    <w:rsid w:val="00F52D1C"/>
    <w:rsid w:val="00F52DBF"/>
    <w:rsid w:val="00F52E08"/>
    <w:rsid w:val="00F52F32"/>
    <w:rsid w:val="00F52FB3"/>
    <w:rsid w:val="00F53024"/>
    <w:rsid w:val="00F530F8"/>
    <w:rsid w:val="00F53387"/>
    <w:rsid w:val="00F533B0"/>
    <w:rsid w:val="00F533C1"/>
    <w:rsid w:val="00F53440"/>
    <w:rsid w:val="00F5388C"/>
    <w:rsid w:val="00F538C8"/>
    <w:rsid w:val="00F5399D"/>
    <w:rsid w:val="00F53A3A"/>
    <w:rsid w:val="00F53A66"/>
    <w:rsid w:val="00F53B90"/>
    <w:rsid w:val="00F53CCC"/>
    <w:rsid w:val="00F53DC9"/>
    <w:rsid w:val="00F53ED3"/>
    <w:rsid w:val="00F53EF8"/>
    <w:rsid w:val="00F53FE2"/>
    <w:rsid w:val="00F541C1"/>
    <w:rsid w:val="00F543A3"/>
    <w:rsid w:val="00F54428"/>
    <w:rsid w:val="00F54451"/>
    <w:rsid w:val="00F5462D"/>
    <w:rsid w:val="00F546B1"/>
    <w:rsid w:val="00F54775"/>
    <w:rsid w:val="00F54961"/>
    <w:rsid w:val="00F54F43"/>
    <w:rsid w:val="00F54FB3"/>
    <w:rsid w:val="00F558A9"/>
    <w:rsid w:val="00F55B21"/>
    <w:rsid w:val="00F55B73"/>
    <w:rsid w:val="00F55D94"/>
    <w:rsid w:val="00F55FC4"/>
    <w:rsid w:val="00F560A3"/>
    <w:rsid w:val="00F56365"/>
    <w:rsid w:val="00F56390"/>
    <w:rsid w:val="00F56430"/>
    <w:rsid w:val="00F56660"/>
    <w:rsid w:val="00F566D1"/>
    <w:rsid w:val="00F5680D"/>
    <w:rsid w:val="00F56AB2"/>
    <w:rsid w:val="00F56DA3"/>
    <w:rsid w:val="00F56E5C"/>
    <w:rsid w:val="00F56EF6"/>
    <w:rsid w:val="00F57193"/>
    <w:rsid w:val="00F57277"/>
    <w:rsid w:val="00F5735B"/>
    <w:rsid w:val="00F573D5"/>
    <w:rsid w:val="00F573EA"/>
    <w:rsid w:val="00F5750C"/>
    <w:rsid w:val="00F57723"/>
    <w:rsid w:val="00F577BF"/>
    <w:rsid w:val="00F578C8"/>
    <w:rsid w:val="00F57908"/>
    <w:rsid w:val="00F57911"/>
    <w:rsid w:val="00F57956"/>
    <w:rsid w:val="00F57D01"/>
    <w:rsid w:val="00F57E98"/>
    <w:rsid w:val="00F60082"/>
    <w:rsid w:val="00F602C4"/>
    <w:rsid w:val="00F602EF"/>
    <w:rsid w:val="00F606A9"/>
    <w:rsid w:val="00F6071C"/>
    <w:rsid w:val="00F60832"/>
    <w:rsid w:val="00F60893"/>
    <w:rsid w:val="00F608E3"/>
    <w:rsid w:val="00F60C30"/>
    <w:rsid w:val="00F615D9"/>
    <w:rsid w:val="00F617DF"/>
    <w:rsid w:val="00F61894"/>
    <w:rsid w:val="00F6198C"/>
    <w:rsid w:val="00F61A9F"/>
    <w:rsid w:val="00F61B5F"/>
    <w:rsid w:val="00F61CDE"/>
    <w:rsid w:val="00F6253A"/>
    <w:rsid w:val="00F62A88"/>
    <w:rsid w:val="00F62CA5"/>
    <w:rsid w:val="00F62DA9"/>
    <w:rsid w:val="00F62ECE"/>
    <w:rsid w:val="00F631E2"/>
    <w:rsid w:val="00F63693"/>
    <w:rsid w:val="00F6385F"/>
    <w:rsid w:val="00F63AF0"/>
    <w:rsid w:val="00F63D01"/>
    <w:rsid w:val="00F63E5F"/>
    <w:rsid w:val="00F64242"/>
    <w:rsid w:val="00F6431F"/>
    <w:rsid w:val="00F64696"/>
    <w:rsid w:val="00F6480F"/>
    <w:rsid w:val="00F64CD2"/>
    <w:rsid w:val="00F64FA3"/>
    <w:rsid w:val="00F65132"/>
    <w:rsid w:val="00F65223"/>
    <w:rsid w:val="00F6529F"/>
    <w:rsid w:val="00F652F2"/>
    <w:rsid w:val="00F653B4"/>
    <w:rsid w:val="00F65621"/>
    <w:rsid w:val="00F65740"/>
    <w:rsid w:val="00F65AA9"/>
    <w:rsid w:val="00F65BF7"/>
    <w:rsid w:val="00F65C0F"/>
    <w:rsid w:val="00F65D4C"/>
    <w:rsid w:val="00F65D92"/>
    <w:rsid w:val="00F65FEE"/>
    <w:rsid w:val="00F66074"/>
    <w:rsid w:val="00F661BB"/>
    <w:rsid w:val="00F662EC"/>
    <w:rsid w:val="00F6638A"/>
    <w:rsid w:val="00F6677D"/>
    <w:rsid w:val="00F667B8"/>
    <w:rsid w:val="00F66989"/>
    <w:rsid w:val="00F66AA8"/>
    <w:rsid w:val="00F66DC5"/>
    <w:rsid w:val="00F67000"/>
    <w:rsid w:val="00F670F3"/>
    <w:rsid w:val="00F67356"/>
    <w:rsid w:val="00F67443"/>
    <w:rsid w:val="00F6768F"/>
    <w:rsid w:val="00F67698"/>
    <w:rsid w:val="00F676B5"/>
    <w:rsid w:val="00F676F5"/>
    <w:rsid w:val="00F67770"/>
    <w:rsid w:val="00F678DF"/>
    <w:rsid w:val="00F67B58"/>
    <w:rsid w:val="00F67B76"/>
    <w:rsid w:val="00F67C57"/>
    <w:rsid w:val="00F67D03"/>
    <w:rsid w:val="00F67E73"/>
    <w:rsid w:val="00F67EF2"/>
    <w:rsid w:val="00F7011F"/>
    <w:rsid w:val="00F7027A"/>
    <w:rsid w:val="00F702E2"/>
    <w:rsid w:val="00F704CB"/>
    <w:rsid w:val="00F7090E"/>
    <w:rsid w:val="00F70C4E"/>
    <w:rsid w:val="00F70F15"/>
    <w:rsid w:val="00F70FDB"/>
    <w:rsid w:val="00F71281"/>
    <w:rsid w:val="00F712DF"/>
    <w:rsid w:val="00F716A3"/>
    <w:rsid w:val="00F71705"/>
    <w:rsid w:val="00F717C5"/>
    <w:rsid w:val="00F7194B"/>
    <w:rsid w:val="00F71B53"/>
    <w:rsid w:val="00F71C4D"/>
    <w:rsid w:val="00F71E34"/>
    <w:rsid w:val="00F72949"/>
    <w:rsid w:val="00F729F1"/>
    <w:rsid w:val="00F72ABA"/>
    <w:rsid w:val="00F72B79"/>
    <w:rsid w:val="00F72C2C"/>
    <w:rsid w:val="00F72C67"/>
    <w:rsid w:val="00F7350C"/>
    <w:rsid w:val="00F73531"/>
    <w:rsid w:val="00F73573"/>
    <w:rsid w:val="00F73714"/>
    <w:rsid w:val="00F7372E"/>
    <w:rsid w:val="00F73778"/>
    <w:rsid w:val="00F73A6D"/>
    <w:rsid w:val="00F73E31"/>
    <w:rsid w:val="00F73EE1"/>
    <w:rsid w:val="00F73FB2"/>
    <w:rsid w:val="00F73FF0"/>
    <w:rsid w:val="00F74076"/>
    <w:rsid w:val="00F74137"/>
    <w:rsid w:val="00F741F2"/>
    <w:rsid w:val="00F74343"/>
    <w:rsid w:val="00F74387"/>
    <w:rsid w:val="00F7453D"/>
    <w:rsid w:val="00F74623"/>
    <w:rsid w:val="00F746BE"/>
    <w:rsid w:val="00F74BE2"/>
    <w:rsid w:val="00F74C24"/>
    <w:rsid w:val="00F74FC0"/>
    <w:rsid w:val="00F750F7"/>
    <w:rsid w:val="00F751A2"/>
    <w:rsid w:val="00F7585F"/>
    <w:rsid w:val="00F758C3"/>
    <w:rsid w:val="00F75A12"/>
    <w:rsid w:val="00F75B2B"/>
    <w:rsid w:val="00F75BBE"/>
    <w:rsid w:val="00F75BFD"/>
    <w:rsid w:val="00F75D16"/>
    <w:rsid w:val="00F75DD8"/>
    <w:rsid w:val="00F76086"/>
    <w:rsid w:val="00F762CB"/>
    <w:rsid w:val="00F76303"/>
    <w:rsid w:val="00F763C0"/>
    <w:rsid w:val="00F763CF"/>
    <w:rsid w:val="00F768B7"/>
    <w:rsid w:val="00F768E6"/>
    <w:rsid w:val="00F76938"/>
    <w:rsid w:val="00F76BC5"/>
    <w:rsid w:val="00F76CAB"/>
    <w:rsid w:val="00F76DCB"/>
    <w:rsid w:val="00F76F67"/>
    <w:rsid w:val="00F76FC6"/>
    <w:rsid w:val="00F772C6"/>
    <w:rsid w:val="00F775A3"/>
    <w:rsid w:val="00F778E9"/>
    <w:rsid w:val="00F77B5B"/>
    <w:rsid w:val="00F77B70"/>
    <w:rsid w:val="00F77DF9"/>
    <w:rsid w:val="00F80021"/>
    <w:rsid w:val="00F8011D"/>
    <w:rsid w:val="00F8018C"/>
    <w:rsid w:val="00F8056E"/>
    <w:rsid w:val="00F80655"/>
    <w:rsid w:val="00F81132"/>
    <w:rsid w:val="00F8130A"/>
    <w:rsid w:val="00F815B5"/>
    <w:rsid w:val="00F8171C"/>
    <w:rsid w:val="00F8183E"/>
    <w:rsid w:val="00F81917"/>
    <w:rsid w:val="00F82046"/>
    <w:rsid w:val="00F8205A"/>
    <w:rsid w:val="00F82062"/>
    <w:rsid w:val="00F820B1"/>
    <w:rsid w:val="00F8210C"/>
    <w:rsid w:val="00F82742"/>
    <w:rsid w:val="00F829DA"/>
    <w:rsid w:val="00F82A7B"/>
    <w:rsid w:val="00F82AE1"/>
    <w:rsid w:val="00F82D73"/>
    <w:rsid w:val="00F830B9"/>
    <w:rsid w:val="00F835CD"/>
    <w:rsid w:val="00F837F4"/>
    <w:rsid w:val="00F83912"/>
    <w:rsid w:val="00F83A1C"/>
    <w:rsid w:val="00F83A9C"/>
    <w:rsid w:val="00F83B80"/>
    <w:rsid w:val="00F83D2A"/>
    <w:rsid w:val="00F83DAD"/>
    <w:rsid w:val="00F83EEF"/>
    <w:rsid w:val="00F841C9"/>
    <w:rsid w:val="00F8450B"/>
    <w:rsid w:val="00F84706"/>
    <w:rsid w:val="00F848C2"/>
    <w:rsid w:val="00F84965"/>
    <w:rsid w:val="00F85058"/>
    <w:rsid w:val="00F85195"/>
    <w:rsid w:val="00F8541D"/>
    <w:rsid w:val="00F854A9"/>
    <w:rsid w:val="00F8571C"/>
    <w:rsid w:val="00F85844"/>
    <w:rsid w:val="00F858CD"/>
    <w:rsid w:val="00F85B8D"/>
    <w:rsid w:val="00F85D84"/>
    <w:rsid w:val="00F85D97"/>
    <w:rsid w:val="00F86007"/>
    <w:rsid w:val="00F86086"/>
    <w:rsid w:val="00F862CD"/>
    <w:rsid w:val="00F8673D"/>
    <w:rsid w:val="00F86877"/>
    <w:rsid w:val="00F868E3"/>
    <w:rsid w:val="00F86A36"/>
    <w:rsid w:val="00F86C06"/>
    <w:rsid w:val="00F86D37"/>
    <w:rsid w:val="00F86E24"/>
    <w:rsid w:val="00F87196"/>
    <w:rsid w:val="00F874BC"/>
    <w:rsid w:val="00F877EA"/>
    <w:rsid w:val="00F878C5"/>
    <w:rsid w:val="00F878C7"/>
    <w:rsid w:val="00F878D8"/>
    <w:rsid w:val="00F87A5E"/>
    <w:rsid w:val="00F87A89"/>
    <w:rsid w:val="00F87C40"/>
    <w:rsid w:val="00F87D4F"/>
    <w:rsid w:val="00F87F94"/>
    <w:rsid w:val="00F9006A"/>
    <w:rsid w:val="00F900C6"/>
    <w:rsid w:val="00F900EC"/>
    <w:rsid w:val="00F9014C"/>
    <w:rsid w:val="00F9057F"/>
    <w:rsid w:val="00F90594"/>
    <w:rsid w:val="00F906B4"/>
    <w:rsid w:val="00F909A1"/>
    <w:rsid w:val="00F90BF3"/>
    <w:rsid w:val="00F90E50"/>
    <w:rsid w:val="00F90ED9"/>
    <w:rsid w:val="00F91309"/>
    <w:rsid w:val="00F913A9"/>
    <w:rsid w:val="00F9162A"/>
    <w:rsid w:val="00F917AA"/>
    <w:rsid w:val="00F917BB"/>
    <w:rsid w:val="00F91873"/>
    <w:rsid w:val="00F91DDD"/>
    <w:rsid w:val="00F927AB"/>
    <w:rsid w:val="00F929D1"/>
    <w:rsid w:val="00F92A55"/>
    <w:rsid w:val="00F92DB0"/>
    <w:rsid w:val="00F9328E"/>
    <w:rsid w:val="00F93434"/>
    <w:rsid w:val="00F93538"/>
    <w:rsid w:val="00F9371E"/>
    <w:rsid w:val="00F938BA"/>
    <w:rsid w:val="00F939F2"/>
    <w:rsid w:val="00F93A86"/>
    <w:rsid w:val="00F93AC9"/>
    <w:rsid w:val="00F94218"/>
    <w:rsid w:val="00F944CE"/>
    <w:rsid w:val="00F94784"/>
    <w:rsid w:val="00F948B6"/>
    <w:rsid w:val="00F94B04"/>
    <w:rsid w:val="00F94D42"/>
    <w:rsid w:val="00F94E69"/>
    <w:rsid w:val="00F94FA1"/>
    <w:rsid w:val="00F95125"/>
    <w:rsid w:val="00F9550F"/>
    <w:rsid w:val="00F95C51"/>
    <w:rsid w:val="00F95E73"/>
    <w:rsid w:val="00F96052"/>
    <w:rsid w:val="00F96211"/>
    <w:rsid w:val="00F9651B"/>
    <w:rsid w:val="00F966FA"/>
    <w:rsid w:val="00F96743"/>
    <w:rsid w:val="00F96795"/>
    <w:rsid w:val="00F9682A"/>
    <w:rsid w:val="00F9693B"/>
    <w:rsid w:val="00F96B56"/>
    <w:rsid w:val="00F96B69"/>
    <w:rsid w:val="00F96F39"/>
    <w:rsid w:val="00F97044"/>
    <w:rsid w:val="00F9710D"/>
    <w:rsid w:val="00F9731B"/>
    <w:rsid w:val="00F97390"/>
    <w:rsid w:val="00F97454"/>
    <w:rsid w:val="00F97520"/>
    <w:rsid w:val="00F9771A"/>
    <w:rsid w:val="00F97732"/>
    <w:rsid w:val="00F97919"/>
    <w:rsid w:val="00F97A29"/>
    <w:rsid w:val="00FA017D"/>
    <w:rsid w:val="00FA01C6"/>
    <w:rsid w:val="00FA05CF"/>
    <w:rsid w:val="00FA08C1"/>
    <w:rsid w:val="00FA09D4"/>
    <w:rsid w:val="00FA0B5B"/>
    <w:rsid w:val="00FA0D1F"/>
    <w:rsid w:val="00FA0EB6"/>
    <w:rsid w:val="00FA11AF"/>
    <w:rsid w:val="00FA12D9"/>
    <w:rsid w:val="00FA145E"/>
    <w:rsid w:val="00FA149E"/>
    <w:rsid w:val="00FA15BE"/>
    <w:rsid w:val="00FA16E4"/>
    <w:rsid w:val="00FA193C"/>
    <w:rsid w:val="00FA1A65"/>
    <w:rsid w:val="00FA1B99"/>
    <w:rsid w:val="00FA1E45"/>
    <w:rsid w:val="00FA1E47"/>
    <w:rsid w:val="00FA1F2E"/>
    <w:rsid w:val="00FA1FFA"/>
    <w:rsid w:val="00FA22BF"/>
    <w:rsid w:val="00FA2A1E"/>
    <w:rsid w:val="00FA2C46"/>
    <w:rsid w:val="00FA2DBC"/>
    <w:rsid w:val="00FA2E3C"/>
    <w:rsid w:val="00FA30B4"/>
    <w:rsid w:val="00FA3142"/>
    <w:rsid w:val="00FA31A5"/>
    <w:rsid w:val="00FA3332"/>
    <w:rsid w:val="00FA34F2"/>
    <w:rsid w:val="00FA3525"/>
    <w:rsid w:val="00FA355E"/>
    <w:rsid w:val="00FA36E9"/>
    <w:rsid w:val="00FA37FD"/>
    <w:rsid w:val="00FA3CAD"/>
    <w:rsid w:val="00FA3E7E"/>
    <w:rsid w:val="00FA3F56"/>
    <w:rsid w:val="00FA40C6"/>
    <w:rsid w:val="00FA44E2"/>
    <w:rsid w:val="00FA45D2"/>
    <w:rsid w:val="00FA477A"/>
    <w:rsid w:val="00FA4CBB"/>
    <w:rsid w:val="00FA513A"/>
    <w:rsid w:val="00FA51F8"/>
    <w:rsid w:val="00FA5656"/>
    <w:rsid w:val="00FA566D"/>
    <w:rsid w:val="00FA5911"/>
    <w:rsid w:val="00FA5A53"/>
    <w:rsid w:val="00FA5B54"/>
    <w:rsid w:val="00FA5D43"/>
    <w:rsid w:val="00FA5FDF"/>
    <w:rsid w:val="00FA615A"/>
    <w:rsid w:val="00FA631B"/>
    <w:rsid w:val="00FA6450"/>
    <w:rsid w:val="00FA6644"/>
    <w:rsid w:val="00FA6BB5"/>
    <w:rsid w:val="00FA6F1D"/>
    <w:rsid w:val="00FA70B8"/>
    <w:rsid w:val="00FA72A9"/>
    <w:rsid w:val="00FA7535"/>
    <w:rsid w:val="00FA7583"/>
    <w:rsid w:val="00FA7806"/>
    <w:rsid w:val="00FA79B6"/>
    <w:rsid w:val="00FA79BC"/>
    <w:rsid w:val="00FA7B34"/>
    <w:rsid w:val="00FA7CD9"/>
    <w:rsid w:val="00FA7D0A"/>
    <w:rsid w:val="00FA7F3B"/>
    <w:rsid w:val="00FA7FAE"/>
    <w:rsid w:val="00FA7FD2"/>
    <w:rsid w:val="00FB008F"/>
    <w:rsid w:val="00FB02CA"/>
    <w:rsid w:val="00FB030C"/>
    <w:rsid w:val="00FB0A5B"/>
    <w:rsid w:val="00FB0C65"/>
    <w:rsid w:val="00FB0CA4"/>
    <w:rsid w:val="00FB0CF7"/>
    <w:rsid w:val="00FB0DA7"/>
    <w:rsid w:val="00FB0F0B"/>
    <w:rsid w:val="00FB1163"/>
    <w:rsid w:val="00FB13C6"/>
    <w:rsid w:val="00FB17F2"/>
    <w:rsid w:val="00FB1E8A"/>
    <w:rsid w:val="00FB1E95"/>
    <w:rsid w:val="00FB1F2C"/>
    <w:rsid w:val="00FB1F6E"/>
    <w:rsid w:val="00FB2057"/>
    <w:rsid w:val="00FB2192"/>
    <w:rsid w:val="00FB21CE"/>
    <w:rsid w:val="00FB22AA"/>
    <w:rsid w:val="00FB255E"/>
    <w:rsid w:val="00FB2575"/>
    <w:rsid w:val="00FB2B11"/>
    <w:rsid w:val="00FB2C3A"/>
    <w:rsid w:val="00FB2C51"/>
    <w:rsid w:val="00FB36E5"/>
    <w:rsid w:val="00FB3915"/>
    <w:rsid w:val="00FB3D3D"/>
    <w:rsid w:val="00FB3EAB"/>
    <w:rsid w:val="00FB40D2"/>
    <w:rsid w:val="00FB4307"/>
    <w:rsid w:val="00FB433E"/>
    <w:rsid w:val="00FB448F"/>
    <w:rsid w:val="00FB4519"/>
    <w:rsid w:val="00FB4532"/>
    <w:rsid w:val="00FB4537"/>
    <w:rsid w:val="00FB4612"/>
    <w:rsid w:val="00FB4663"/>
    <w:rsid w:val="00FB4769"/>
    <w:rsid w:val="00FB4C53"/>
    <w:rsid w:val="00FB4CDA"/>
    <w:rsid w:val="00FB4DEB"/>
    <w:rsid w:val="00FB4E38"/>
    <w:rsid w:val="00FB50D9"/>
    <w:rsid w:val="00FB5302"/>
    <w:rsid w:val="00FB5346"/>
    <w:rsid w:val="00FB5602"/>
    <w:rsid w:val="00FB5618"/>
    <w:rsid w:val="00FB576E"/>
    <w:rsid w:val="00FB5AE8"/>
    <w:rsid w:val="00FB5B3F"/>
    <w:rsid w:val="00FB5FF0"/>
    <w:rsid w:val="00FB6021"/>
    <w:rsid w:val="00FB62B5"/>
    <w:rsid w:val="00FB6481"/>
    <w:rsid w:val="00FB64A7"/>
    <w:rsid w:val="00FB6719"/>
    <w:rsid w:val="00FB6C1D"/>
    <w:rsid w:val="00FB6D36"/>
    <w:rsid w:val="00FB6D49"/>
    <w:rsid w:val="00FB6E24"/>
    <w:rsid w:val="00FB6E63"/>
    <w:rsid w:val="00FB702A"/>
    <w:rsid w:val="00FB738C"/>
    <w:rsid w:val="00FB7566"/>
    <w:rsid w:val="00FB75C2"/>
    <w:rsid w:val="00FB789D"/>
    <w:rsid w:val="00FB7A9C"/>
    <w:rsid w:val="00FB7B7D"/>
    <w:rsid w:val="00FB7D3B"/>
    <w:rsid w:val="00FB7DC7"/>
    <w:rsid w:val="00FB7DE2"/>
    <w:rsid w:val="00FB7E14"/>
    <w:rsid w:val="00FB7F2C"/>
    <w:rsid w:val="00FC0236"/>
    <w:rsid w:val="00FC0253"/>
    <w:rsid w:val="00FC046D"/>
    <w:rsid w:val="00FC0965"/>
    <w:rsid w:val="00FC0C8A"/>
    <w:rsid w:val="00FC0F81"/>
    <w:rsid w:val="00FC1152"/>
    <w:rsid w:val="00FC118F"/>
    <w:rsid w:val="00FC14DB"/>
    <w:rsid w:val="00FC1811"/>
    <w:rsid w:val="00FC1AD9"/>
    <w:rsid w:val="00FC1E9A"/>
    <w:rsid w:val="00FC1F1E"/>
    <w:rsid w:val="00FC2063"/>
    <w:rsid w:val="00FC252F"/>
    <w:rsid w:val="00FC2A8E"/>
    <w:rsid w:val="00FC2BF1"/>
    <w:rsid w:val="00FC2CFC"/>
    <w:rsid w:val="00FC2D02"/>
    <w:rsid w:val="00FC2E1D"/>
    <w:rsid w:val="00FC30F6"/>
    <w:rsid w:val="00FC31E7"/>
    <w:rsid w:val="00FC31F9"/>
    <w:rsid w:val="00FC3649"/>
    <w:rsid w:val="00FC3845"/>
    <w:rsid w:val="00FC388F"/>
    <w:rsid w:val="00FC394D"/>
    <w:rsid w:val="00FC395C"/>
    <w:rsid w:val="00FC3E1F"/>
    <w:rsid w:val="00FC3F74"/>
    <w:rsid w:val="00FC426B"/>
    <w:rsid w:val="00FC47B8"/>
    <w:rsid w:val="00FC4888"/>
    <w:rsid w:val="00FC48CC"/>
    <w:rsid w:val="00FC498E"/>
    <w:rsid w:val="00FC4B39"/>
    <w:rsid w:val="00FC4C99"/>
    <w:rsid w:val="00FC4F5A"/>
    <w:rsid w:val="00FC521D"/>
    <w:rsid w:val="00FC549B"/>
    <w:rsid w:val="00FC56AA"/>
    <w:rsid w:val="00FC59A9"/>
    <w:rsid w:val="00FC5BC3"/>
    <w:rsid w:val="00FC5CA0"/>
    <w:rsid w:val="00FC5D49"/>
    <w:rsid w:val="00FC5E8E"/>
    <w:rsid w:val="00FC6103"/>
    <w:rsid w:val="00FC6730"/>
    <w:rsid w:val="00FC687C"/>
    <w:rsid w:val="00FC697C"/>
    <w:rsid w:val="00FC6A42"/>
    <w:rsid w:val="00FC6AC2"/>
    <w:rsid w:val="00FC6B41"/>
    <w:rsid w:val="00FC6B78"/>
    <w:rsid w:val="00FC759B"/>
    <w:rsid w:val="00FC7738"/>
    <w:rsid w:val="00FC7CC0"/>
    <w:rsid w:val="00FD020B"/>
    <w:rsid w:val="00FD068C"/>
    <w:rsid w:val="00FD07B3"/>
    <w:rsid w:val="00FD086B"/>
    <w:rsid w:val="00FD0B4D"/>
    <w:rsid w:val="00FD0FF9"/>
    <w:rsid w:val="00FD1142"/>
    <w:rsid w:val="00FD1384"/>
    <w:rsid w:val="00FD162D"/>
    <w:rsid w:val="00FD1682"/>
    <w:rsid w:val="00FD16A9"/>
    <w:rsid w:val="00FD171C"/>
    <w:rsid w:val="00FD1744"/>
    <w:rsid w:val="00FD1782"/>
    <w:rsid w:val="00FD1BBC"/>
    <w:rsid w:val="00FD1BF7"/>
    <w:rsid w:val="00FD1C2F"/>
    <w:rsid w:val="00FD1CD3"/>
    <w:rsid w:val="00FD1FC2"/>
    <w:rsid w:val="00FD2054"/>
    <w:rsid w:val="00FD2272"/>
    <w:rsid w:val="00FD227F"/>
    <w:rsid w:val="00FD22DE"/>
    <w:rsid w:val="00FD24A1"/>
    <w:rsid w:val="00FD25D3"/>
    <w:rsid w:val="00FD2EDC"/>
    <w:rsid w:val="00FD303F"/>
    <w:rsid w:val="00FD30B4"/>
    <w:rsid w:val="00FD3253"/>
    <w:rsid w:val="00FD32CB"/>
    <w:rsid w:val="00FD3623"/>
    <w:rsid w:val="00FD3654"/>
    <w:rsid w:val="00FD36DD"/>
    <w:rsid w:val="00FD374A"/>
    <w:rsid w:val="00FD3766"/>
    <w:rsid w:val="00FD3818"/>
    <w:rsid w:val="00FD3BEB"/>
    <w:rsid w:val="00FD3C8C"/>
    <w:rsid w:val="00FD3C9E"/>
    <w:rsid w:val="00FD3D05"/>
    <w:rsid w:val="00FD3F03"/>
    <w:rsid w:val="00FD4007"/>
    <w:rsid w:val="00FD4492"/>
    <w:rsid w:val="00FD4582"/>
    <w:rsid w:val="00FD47C4"/>
    <w:rsid w:val="00FD4A04"/>
    <w:rsid w:val="00FD4A4D"/>
    <w:rsid w:val="00FD4B9C"/>
    <w:rsid w:val="00FD4DDB"/>
    <w:rsid w:val="00FD5289"/>
    <w:rsid w:val="00FD5602"/>
    <w:rsid w:val="00FD571F"/>
    <w:rsid w:val="00FD60BD"/>
    <w:rsid w:val="00FD61CA"/>
    <w:rsid w:val="00FD64E4"/>
    <w:rsid w:val="00FD6716"/>
    <w:rsid w:val="00FD671D"/>
    <w:rsid w:val="00FD6980"/>
    <w:rsid w:val="00FD6B92"/>
    <w:rsid w:val="00FD6BFC"/>
    <w:rsid w:val="00FD6CC6"/>
    <w:rsid w:val="00FD6CD7"/>
    <w:rsid w:val="00FD6DD8"/>
    <w:rsid w:val="00FD7329"/>
    <w:rsid w:val="00FD75E8"/>
    <w:rsid w:val="00FD79CC"/>
    <w:rsid w:val="00FD7B4E"/>
    <w:rsid w:val="00FD7D6E"/>
    <w:rsid w:val="00FE025A"/>
    <w:rsid w:val="00FE0EBE"/>
    <w:rsid w:val="00FE124D"/>
    <w:rsid w:val="00FE1343"/>
    <w:rsid w:val="00FE1561"/>
    <w:rsid w:val="00FE1697"/>
    <w:rsid w:val="00FE16B1"/>
    <w:rsid w:val="00FE172F"/>
    <w:rsid w:val="00FE17E4"/>
    <w:rsid w:val="00FE19A2"/>
    <w:rsid w:val="00FE19F2"/>
    <w:rsid w:val="00FE1A69"/>
    <w:rsid w:val="00FE1B25"/>
    <w:rsid w:val="00FE1ED3"/>
    <w:rsid w:val="00FE221B"/>
    <w:rsid w:val="00FE2344"/>
    <w:rsid w:val="00FE242A"/>
    <w:rsid w:val="00FE2474"/>
    <w:rsid w:val="00FE26B4"/>
    <w:rsid w:val="00FE278E"/>
    <w:rsid w:val="00FE2915"/>
    <w:rsid w:val="00FE2991"/>
    <w:rsid w:val="00FE2B69"/>
    <w:rsid w:val="00FE2D0A"/>
    <w:rsid w:val="00FE2DCF"/>
    <w:rsid w:val="00FE2F07"/>
    <w:rsid w:val="00FE30C7"/>
    <w:rsid w:val="00FE30FC"/>
    <w:rsid w:val="00FE3216"/>
    <w:rsid w:val="00FE325C"/>
    <w:rsid w:val="00FE344C"/>
    <w:rsid w:val="00FE367B"/>
    <w:rsid w:val="00FE36F6"/>
    <w:rsid w:val="00FE39C0"/>
    <w:rsid w:val="00FE3B3B"/>
    <w:rsid w:val="00FE3CDB"/>
    <w:rsid w:val="00FE3FA7"/>
    <w:rsid w:val="00FE4025"/>
    <w:rsid w:val="00FE4081"/>
    <w:rsid w:val="00FE40C2"/>
    <w:rsid w:val="00FE4197"/>
    <w:rsid w:val="00FE420B"/>
    <w:rsid w:val="00FE45CF"/>
    <w:rsid w:val="00FE4889"/>
    <w:rsid w:val="00FE48E8"/>
    <w:rsid w:val="00FE4CFF"/>
    <w:rsid w:val="00FE4E28"/>
    <w:rsid w:val="00FE4E7B"/>
    <w:rsid w:val="00FE50ED"/>
    <w:rsid w:val="00FE514E"/>
    <w:rsid w:val="00FE53EB"/>
    <w:rsid w:val="00FE5557"/>
    <w:rsid w:val="00FE5699"/>
    <w:rsid w:val="00FE57AC"/>
    <w:rsid w:val="00FE57FB"/>
    <w:rsid w:val="00FE58DD"/>
    <w:rsid w:val="00FE5BEE"/>
    <w:rsid w:val="00FE5FC6"/>
    <w:rsid w:val="00FE66FD"/>
    <w:rsid w:val="00FE6800"/>
    <w:rsid w:val="00FE69DF"/>
    <w:rsid w:val="00FE6F9D"/>
    <w:rsid w:val="00FE6FC8"/>
    <w:rsid w:val="00FE70F4"/>
    <w:rsid w:val="00FE710D"/>
    <w:rsid w:val="00FE7571"/>
    <w:rsid w:val="00FE78D2"/>
    <w:rsid w:val="00FE7BC1"/>
    <w:rsid w:val="00FE7DB3"/>
    <w:rsid w:val="00FE7E6F"/>
    <w:rsid w:val="00FF0306"/>
    <w:rsid w:val="00FF0615"/>
    <w:rsid w:val="00FF0796"/>
    <w:rsid w:val="00FF0CC5"/>
    <w:rsid w:val="00FF0DDB"/>
    <w:rsid w:val="00FF0E9F"/>
    <w:rsid w:val="00FF0F0E"/>
    <w:rsid w:val="00FF0FFB"/>
    <w:rsid w:val="00FF103A"/>
    <w:rsid w:val="00FF110E"/>
    <w:rsid w:val="00FF11F7"/>
    <w:rsid w:val="00FF12B2"/>
    <w:rsid w:val="00FF1412"/>
    <w:rsid w:val="00FF157A"/>
    <w:rsid w:val="00FF15B8"/>
    <w:rsid w:val="00FF1840"/>
    <w:rsid w:val="00FF1873"/>
    <w:rsid w:val="00FF1BC7"/>
    <w:rsid w:val="00FF216A"/>
    <w:rsid w:val="00FF23F6"/>
    <w:rsid w:val="00FF24F4"/>
    <w:rsid w:val="00FF2A4E"/>
    <w:rsid w:val="00FF2BFC"/>
    <w:rsid w:val="00FF2C05"/>
    <w:rsid w:val="00FF2C77"/>
    <w:rsid w:val="00FF2C9D"/>
    <w:rsid w:val="00FF2D95"/>
    <w:rsid w:val="00FF2E30"/>
    <w:rsid w:val="00FF2E87"/>
    <w:rsid w:val="00FF2FCE"/>
    <w:rsid w:val="00FF2FFD"/>
    <w:rsid w:val="00FF30DC"/>
    <w:rsid w:val="00FF31E2"/>
    <w:rsid w:val="00FF3285"/>
    <w:rsid w:val="00FF3B09"/>
    <w:rsid w:val="00FF3D8C"/>
    <w:rsid w:val="00FF405A"/>
    <w:rsid w:val="00FF40DD"/>
    <w:rsid w:val="00FF41F6"/>
    <w:rsid w:val="00FF43DF"/>
    <w:rsid w:val="00FF4954"/>
    <w:rsid w:val="00FF4D08"/>
    <w:rsid w:val="00FF4D81"/>
    <w:rsid w:val="00FF4DBF"/>
    <w:rsid w:val="00FF4F7D"/>
    <w:rsid w:val="00FF5113"/>
    <w:rsid w:val="00FF5228"/>
    <w:rsid w:val="00FF542A"/>
    <w:rsid w:val="00FF54EF"/>
    <w:rsid w:val="00FF5C7D"/>
    <w:rsid w:val="00FF6190"/>
    <w:rsid w:val="00FF6360"/>
    <w:rsid w:val="00FF64B6"/>
    <w:rsid w:val="00FF64E5"/>
    <w:rsid w:val="00FF6561"/>
    <w:rsid w:val="00FF658A"/>
    <w:rsid w:val="00FF65CB"/>
    <w:rsid w:val="00FF66F7"/>
    <w:rsid w:val="00FF6AED"/>
    <w:rsid w:val="00FF6D9D"/>
    <w:rsid w:val="00FF6FB0"/>
    <w:rsid w:val="00FF70E4"/>
    <w:rsid w:val="00FF7184"/>
    <w:rsid w:val="00FF7221"/>
    <w:rsid w:val="00FF72AE"/>
    <w:rsid w:val="00FF734D"/>
    <w:rsid w:val="00FF7367"/>
    <w:rsid w:val="00FF7620"/>
    <w:rsid w:val="00FF78B0"/>
    <w:rsid w:val="00FF78EB"/>
    <w:rsid w:val="00FF7DCE"/>
    <w:rsid w:val="00FF7DD5"/>
    <w:rsid w:val="00FF7DD7"/>
    <w:rsid w:val="00FF7F5C"/>
    <w:rsid w:val="010CD0E5"/>
    <w:rsid w:val="010F45C0"/>
    <w:rsid w:val="01180A7E"/>
    <w:rsid w:val="0118C787"/>
    <w:rsid w:val="011F0C03"/>
    <w:rsid w:val="01266310"/>
    <w:rsid w:val="014A3AB4"/>
    <w:rsid w:val="015058B7"/>
    <w:rsid w:val="01560CD6"/>
    <w:rsid w:val="01564D69"/>
    <w:rsid w:val="0170C998"/>
    <w:rsid w:val="0172B13B"/>
    <w:rsid w:val="0176F3EE"/>
    <w:rsid w:val="0185BEF4"/>
    <w:rsid w:val="01B5651E"/>
    <w:rsid w:val="01C35EFA"/>
    <w:rsid w:val="01CC46FD"/>
    <w:rsid w:val="01DE7EBE"/>
    <w:rsid w:val="01F04638"/>
    <w:rsid w:val="02006604"/>
    <w:rsid w:val="0219F1A3"/>
    <w:rsid w:val="021E6AF4"/>
    <w:rsid w:val="022700C6"/>
    <w:rsid w:val="02289E2A"/>
    <w:rsid w:val="022E0DD1"/>
    <w:rsid w:val="023126ED"/>
    <w:rsid w:val="02426956"/>
    <w:rsid w:val="024457CF"/>
    <w:rsid w:val="0248F17D"/>
    <w:rsid w:val="024D7C91"/>
    <w:rsid w:val="027C9F74"/>
    <w:rsid w:val="02800A58"/>
    <w:rsid w:val="02816DEC"/>
    <w:rsid w:val="02915E89"/>
    <w:rsid w:val="02943DB1"/>
    <w:rsid w:val="0295570B"/>
    <w:rsid w:val="029CCA2B"/>
    <w:rsid w:val="02B676C4"/>
    <w:rsid w:val="02D078D0"/>
    <w:rsid w:val="02D0973A"/>
    <w:rsid w:val="0315128F"/>
    <w:rsid w:val="03268508"/>
    <w:rsid w:val="032D3D9E"/>
    <w:rsid w:val="033100B8"/>
    <w:rsid w:val="0341D0F3"/>
    <w:rsid w:val="035BB01E"/>
    <w:rsid w:val="03643049"/>
    <w:rsid w:val="037F9B46"/>
    <w:rsid w:val="03859C7E"/>
    <w:rsid w:val="03930841"/>
    <w:rsid w:val="03A68197"/>
    <w:rsid w:val="03A89DB9"/>
    <w:rsid w:val="03AD937B"/>
    <w:rsid w:val="03B1D1A3"/>
    <w:rsid w:val="03B9EA51"/>
    <w:rsid w:val="03CB6EBB"/>
    <w:rsid w:val="03DD9712"/>
    <w:rsid w:val="03EECEFE"/>
    <w:rsid w:val="03FF5DE2"/>
    <w:rsid w:val="0404E9CA"/>
    <w:rsid w:val="040EAA77"/>
    <w:rsid w:val="0412F083"/>
    <w:rsid w:val="0418EBAA"/>
    <w:rsid w:val="041F4919"/>
    <w:rsid w:val="04220ECC"/>
    <w:rsid w:val="04451D87"/>
    <w:rsid w:val="044B0262"/>
    <w:rsid w:val="045A8942"/>
    <w:rsid w:val="045E6052"/>
    <w:rsid w:val="048F1C3A"/>
    <w:rsid w:val="048FF14C"/>
    <w:rsid w:val="049C395C"/>
    <w:rsid w:val="04A63939"/>
    <w:rsid w:val="04B2D4DA"/>
    <w:rsid w:val="04B63EAA"/>
    <w:rsid w:val="04C35B40"/>
    <w:rsid w:val="04CE47A7"/>
    <w:rsid w:val="04E2311C"/>
    <w:rsid w:val="04ED4825"/>
    <w:rsid w:val="04EE95FE"/>
    <w:rsid w:val="04EF3C99"/>
    <w:rsid w:val="04F30DAA"/>
    <w:rsid w:val="04F52D27"/>
    <w:rsid w:val="0509FC8B"/>
    <w:rsid w:val="0511022C"/>
    <w:rsid w:val="0513F379"/>
    <w:rsid w:val="05261439"/>
    <w:rsid w:val="0529962C"/>
    <w:rsid w:val="05330E3F"/>
    <w:rsid w:val="05400D3D"/>
    <w:rsid w:val="054ED135"/>
    <w:rsid w:val="05645EFE"/>
    <w:rsid w:val="057074D1"/>
    <w:rsid w:val="057C6AD8"/>
    <w:rsid w:val="057CBAC9"/>
    <w:rsid w:val="05803E06"/>
    <w:rsid w:val="0581E935"/>
    <w:rsid w:val="05930F13"/>
    <w:rsid w:val="05AA6C32"/>
    <w:rsid w:val="05B89D44"/>
    <w:rsid w:val="05BB044E"/>
    <w:rsid w:val="05CEA3EF"/>
    <w:rsid w:val="05DC7053"/>
    <w:rsid w:val="05EF00E4"/>
    <w:rsid w:val="05F7AFCE"/>
    <w:rsid w:val="0600F6F0"/>
    <w:rsid w:val="06095A35"/>
    <w:rsid w:val="0624CAD5"/>
    <w:rsid w:val="0625469A"/>
    <w:rsid w:val="06335FEB"/>
    <w:rsid w:val="064BD74E"/>
    <w:rsid w:val="065BA5BF"/>
    <w:rsid w:val="0668260F"/>
    <w:rsid w:val="066F7899"/>
    <w:rsid w:val="067D0CAC"/>
    <w:rsid w:val="068F387E"/>
    <w:rsid w:val="0692F32B"/>
    <w:rsid w:val="06AA0D1B"/>
    <w:rsid w:val="06AE5848"/>
    <w:rsid w:val="06B32977"/>
    <w:rsid w:val="06BB05B3"/>
    <w:rsid w:val="06BE449D"/>
    <w:rsid w:val="06CE8B4C"/>
    <w:rsid w:val="06F1F10D"/>
    <w:rsid w:val="06FAF59A"/>
    <w:rsid w:val="07037E8B"/>
    <w:rsid w:val="07092A43"/>
    <w:rsid w:val="0718BA39"/>
    <w:rsid w:val="0725CF99"/>
    <w:rsid w:val="07328A39"/>
    <w:rsid w:val="073B15DC"/>
    <w:rsid w:val="07503948"/>
    <w:rsid w:val="0755D1BA"/>
    <w:rsid w:val="0764CE15"/>
    <w:rsid w:val="0780F302"/>
    <w:rsid w:val="07817FFB"/>
    <w:rsid w:val="07E10859"/>
    <w:rsid w:val="07E55791"/>
    <w:rsid w:val="07E721A7"/>
    <w:rsid w:val="07F2C262"/>
    <w:rsid w:val="07FBFA5C"/>
    <w:rsid w:val="07FE1A39"/>
    <w:rsid w:val="08051A60"/>
    <w:rsid w:val="0818DCB4"/>
    <w:rsid w:val="0830C2C4"/>
    <w:rsid w:val="08447AF1"/>
    <w:rsid w:val="084D9580"/>
    <w:rsid w:val="085A2DDD"/>
    <w:rsid w:val="0866F8F9"/>
    <w:rsid w:val="0876CB9F"/>
    <w:rsid w:val="088BA8D1"/>
    <w:rsid w:val="088FFF4F"/>
    <w:rsid w:val="0892A849"/>
    <w:rsid w:val="089D22B8"/>
    <w:rsid w:val="08A897B1"/>
    <w:rsid w:val="08E250BA"/>
    <w:rsid w:val="08E3BAE9"/>
    <w:rsid w:val="08E6CC5E"/>
    <w:rsid w:val="08FFB991"/>
    <w:rsid w:val="090A937D"/>
    <w:rsid w:val="090F92B0"/>
    <w:rsid w:val="093D5389"/>
    <w:rsid w:val="09437AD1"/>
    <w:rsid w:val="09459B17"/>
    <w:rsid w:val="094CE6C4"/>
    <w:rsid w:val="0950B491"/>
    <w:rsid w:val="09617AFF"/>
    <w:rsid w:val="09782C84"/>
    <w:rsid w:val="09995C21"/>
    <w:rsid w:val="099FB30B"/>
    <w:rsid w:val="09A447F8"/>
    <w:rsid w:val="09C793CA"/>
    <w:rsid w:val="09C7D64A"/>
    <w:rsid w:val="09C82DD2"/>
    <w:rsid w:val="09E202D8"/>
    <w:rsid w:val="09FE3A20"/>
    <w:rsid w:val="0A145A4B"/>
    <w:rsid w:val="0A43A06C"/>
    <w:rsid w:val="0A4A7CAC"/>
    <w:rsid w:val="0A5027BA"/>
    <w:rsid w:val="0A5C3F54"/>
    <w:rsid w:val="0A5E05C0"/>
    <w:rsid w:val="0A6BDA5B"/>
    <w:rsid w:val="0A708509"/>
    <w:rsid w:val="0A757F16"/>
    <w:rsid w:val="0A7C8A17"/>
    <w:rsid w:val="0A82478C"/>
    <w:rsid w:val="0A9DE9ED"/>
    <w:rsid w:val="0AA0B74D"/>
    <w:rsid w:val="0AA87167"/>
    <w:rsid w:val="0AC373A6"/>
    <w:rsid w:val="0AD6136A"/>
    <w:rsid w:val="0AD8B31B"/>
    <w:rsid w:val="0AF5D03F"/>
    <w:rsid w:val="0AFC8BD5"/>
    <w:rsid w:val="0AFF488A"/>
    <w:rsid w:val="0B1F6ACD"/>
    <w:rsid w:val="0B2FD304"/>
    <w:rsid w:val="0B3137DF"/>
    <w:rsid w:val="0B479BD8"/>
    <w:rsid w:val="0B6EF697"/>
    <w:rsid w:val="0B80A4A5"/>
    <w:rsid w:val="0B85FAC8"/>
    <w:rsid w:val="0B896D7B"/>
    <w:rsid w:val="0B8C96D8"/>
    <w:rsid w:val="0B9C9F87"/>
    <w:rsid w:val="0BC1D2E5"/>
    <w:rsid w:val="0BCB349E"/>
    <w:rsid w:val="0BD2EA53"/>
    <w:rsid w:val="0BD789B9"/>
    <w:rsid w:val="0BEE7598"/>
    <w:rsid w:val="0BFD7486"/>
    <w:rsid w:val="0C06C6B0"/>
    <w:rsid w:val="0C3A1060"/>
    <w:rsid w:val="0C4DEDAA"/>
    <w:rsid w:val="0C5D8E06"/>
    <w:rsid w:val="0C763A12"/>
    <w:rsid w:val="0C831786"/>
    <w:rsid w:val="0C84971E"/>
    <w:rsid w:val="0CC56607"/>
    <w:rsid w:val="0CCD9538"/>
    <w:rsid w:val="0CD07983"/>
    <w:rsid w:val="0CDE2B02"/>
    <w:rsid w:val="0CF4B95A"/>
    <w:rsid w:val="0CF9537A"/>
    <w:rsid w:val="0CFA55A2"/>
    <w:rsid w:val="0CFB1550"/>
    <w:rsid w:val="0D049916"/>
    <w:rsid w:val="0D180153"/>
    <w:rsid w:val="0D1A6E9E"/>
    <w:rsid w:val="0D1DFB3E"/>
    <w:rsid w:val="0D2061FA"/>
    <w:rsid w:val="0D245428"/>
    <w:rsid w:val="0D28DE03"/>
    <w:rsid w:val="0D2DA954"/>
    <w:rsid w:val="0D321A1D"/>
    <w:rsid w:val="0D39446F"/>
    <w:rsid w:val="0D530926"/>
    <w:rsid w:val="0D584484"/>
    <w:rsid w:val="0D5BC375"/>
    <w:rsid w:val="0D7B41BD"/>
    <w:rsid w:val="0D815F67"/>
    <w:rsid w:val="0D85ECF9"/>
    <w:rsid w:val="0D92E2DF"/>
    <w:rsid w:val="0D936E62"/>
    <w:rsid w:val="0D9AE98A"/>
    <w:rsid w:val="0DAE52BF"/>
    <w:rsid w:val="0DB875E7"/>
    <w:rsid w:val="0DBE2989"/>
    <w:rsid w:val="0DD9D6EB"/>
    <w:rsid w:val="0E0B71B9"/>
    <w:rsid w:val="0E331E3C"/>
    <w:rsid w:val="0E3BC526"/>
    <w:rsid w:val="0E485A50"/>
    <w:rsid w:val="0E55DBB2"/>
    <w:rsid w:val="0E6DDAC7"/>
    <w:rsid w:val="0E747FDD"/>
    <w:rsid w:val="0E8F0BA8"/>
    <w:rsid w:val="0E966F9E"/>
    <w:rsid w:val="0EA9603B"/>
    <w:rsid w:val="0EBE5690"/>
    <w:rsid w:val="0EC6B7E9"/>
    <w:rsid w:val="0ECFF587"/>
    <w:rsid w:val="0ED170FF"/>
    <w:rsid w:val="0EDF01BB"/>
    <w:rsid w:val="0EE33E6B"/>
    <w:rsid w:val="0F219AC2"/>
    <w:rsid w:val="0F21FE12"/>
    <w:rsid w:val="0F32156F"/>
    <w:rsid w:val="0F408537"/>
    <w:rsid w:val="0F60B4C7"/>
    <w:rsid w:val="0F61A3FC"/>
    <w:rsid w:val="0FA3276D"/>
    <w:rsid w:val="0FA5E9B6"/>
    <w:rsid w:val="0FA97335"/>
    <w:rsid w:val="0FB9A424"/>
    <w:rsid w:val="0FC6D75C"/>
    <w:rsid w:val="0FF7214F"/>
    <w:rsid w:val="0FFBBA55"/>
    <w:rsid w:val="10093E27"/>
    <w:rsid w:val="100A7509"/>
    <w:rsid w:val="1013B5EB"/>
    <w:rsid w:val="10271E7B"/>
    <w:rsid w:val="1044BD08"/>
    <w:rsid w:val="104733B6"/>
    <w:rsid w:val="104D0362"/>
    <w:rsid w:val="1053F2D4"/>
    <w:rsid w:val="105C0EE0"/>
    <w:rsid w:val="108BDD4D"/>
    <w:rsid w:val="1094E3D6"/>
    <w:rsid w:val="10958E6B"/>
    <w:rsid w:val="109FF6FD"/>
    <w:rsid w:val="10A3D167"/>
    <w:rsid w:val="10DD382C"/>
    <w:rsid w:val="10E122E4"/>
    <w:rsid w:val="110C4849"/>
    <w:rsid w:val="1119684D"/>
    <w:rsid w:val="1120C5D2"/>
    <w:rsid w:val="1132B3DC"/>
    <w:rsid w:val="113810FC"/>
    <w:rsid w:val="1142ED30"/>
    <w:rsid w:val="11493F8C"/>
    <w:rsid w:val="114AFD58"/>
    <w:rsid w:val="1160F0EB"/>
    <w:rsid w:val="11658BEF"/>
    <w:rsid w:val="1175FF44"/>
    <w:rsid w:val="118B2248"/>
    <w:rsid w:val="118FEA4A"/>
    <w:rsid w:val="119F7DDE"/>
    <w:rsid w:val="11ABAFF9"/>
    <w:rsid w:val="11CEDEE7"/>
    <w:rsid w:val="11E43538"/>
    <w:rsid w:val="11FB223F"/>
    <w:rsid w:val="11FCFF8C"/>
    <w:rsid w:val="120480FD"/>
    <w:rsid w:val="120ABB9F"/>
    <w:rsid w:val="12164AE9"/>
    <w:rsid w:val="122294CF"/>
    <w:rsid w:val="122E6026"/>
    <w:rsid w:val="122E99B8"/>
    <w:rsid w:val="1232A4FA"/>
    <w:rsid w:val="123F2FC1"/>
    <w:rsid w:val="1247BAA8"/>
    <w:rsid w:val="12488A1C"/>
    <w:rsid w:val="125035D8"/>
    <w:rsid w:val="125AEA01"/>
    <w:rsid w:val="1264E7B0"/>
    <w:rsid w:val="1265FB10"/>
    <w:rsid w:val="12661E9B"/>
    <w:rsid w:val="1275FC2D"/>
    <w:rsid w:val="127DEEA1"/>
    <w:rsid w:val="128669B6"/>
    <w:rsid w:val="12A47811"/>
    <w:rsid w:val="12B3850E"/>
    <w:rsid w:val="12CC12D1"/>
    <w:rsid w:val="12D1E43C"/>
    <w:rsid w:val="12F6843E"/>
    <w:rsid w:val="12FE5937"/>
    <w:rsid w:val="1303966C"/>
    <w:rsid w:val="13279AFC"/>
    <w:rsid w:val="132D8BE6"/>
    <w:rsid w:val="132E231E"/>
    <w:rsid w:val="133CE699"/>
    <w:rsid w:val="1341F1C4"/>
    <w:rsid w:val="134CF88F"/>
    <w:rsid w:val="13522D63"/>
    <w:rsid w:val="13635FC0"/>
    <w:rsid w:val="1364472A"/>
    <w:rsid w:val="1364D20F"/>
    <w:rsid w:val="1389A4A9"/>
    <w:rsid w:val="138FC15C"/>
    <w:rsid w:val="1390B4DE"/>
    <w:rsid w:val="13D3D259"/>
    <w:rsid w:val="13DD7A9E"/>
    <w:rsid w:val="13E544A6"/>
    <w:rsid w:val="13E608F4"/>
    <w:rsid w:val="14003220"/>
    <w:rsid w:val="1407AD65"/>
    <w:rsid w:val="1413E3D5"/>
    <w:rsid w:val="145DD5CA"/>
    <w:rsid w:val="146B7E4C"/>
    <w:rsid w:val="14853E3B"/>
    <w:rsid w:val="14BAB823"/>
    <w:rsid w:val="14BCF2F3"/>
    <w:rsid w:val="14C091E8"/>
    <w:rsid w:val="14CC0B13"/>
    <w:rsid w:val="14E52959"/>
    <w:rsid w:val="14E6A53D"/>
    <w:rsid w:val="14E90FA1"/>
    <w:rsid w:val="14F756D7"/>
    <w:rsid w:val="151971C4"/>
    <w:rsid w:val="152000DE"/>
    <w:rsid w:val="1527511C"/>
    <w:rsid w:val="15379855"/>
    <w:rsid w:val="1547E611"/>
    <w:rsid w:val="1549ED3B"/>
    <w:rsid w:val="15544EB1"/>
    <w:rsid w:val="155E91AF"/>
    <w:rsid w:val="1561B477"/>
    <w:rsid w:val="15626C09"/>
    <w:rsid w:val="156CE31F"/>
    <w:rsid w:val="157869D2"/>
    <w:rsid w:val="157CBF65"/>
    <w:rsid w:val="158A004D"/>
    <w:rsid w:val="158B101C"/>
    <w:rsid w:val="1591AC74"/>
    <w:rsid w:val="159F215F"/>
    <w:rsid w:val="15A22222"/>
    <w:rsid w:val="15A5DF74"/>
    <w:rsid w:val="15AD33F7"/>
    <w:rsid w:val="15B7E5BF"/>
    <w:rsid w:val="15C1B178"/>
    <w:rsid w:val="15D0A801"/>
    <w:rsid w:val="15E6A59E"/>
    <w:rsid w:val="15F24CDB"/>
    <w:rsid w:val="15F4CD16"/>
    <w:rsid w:val="15F6BBAA"/>
    <w:rsid w:val="15FEF6EF"/>
    <w:rsid w:val="160C6945"/>
    <w:rsid w:val="16115D38"/>
    <w:rsid w:val="16262B8B"/>
    <w:rsid w:val="162D241A"/>
    <w:rsid w:val="16338284"/>
    <w:rsid w:val="1649DE75"/>
    <w:rsid w:val="16640B8A"/>
    <w:rsid w:val="16713854"/>
    <w:rsid w:val="16754DA9"/>
    <w:rsid w:val="1676F392"/>
    <w:rsid w:val="1686AC84"/>
    <w:rsid w:val="1691E323"/>
    <w:rsid w:val="169F33AA"/>
    <w:rsid w:val="16A00F45"/>
    <w:rsid w:val="16D428D3"/>
    <w:rsid w:val="16F66A2A"/>
    <w:rsid w:val="1720241A"/>
    <w:rsid w:val="1727F677"/>
    <w:rsid w:val="172AFFC6"/>
    <w:rsid w:val="172BEC22"/>
    <w:rsid w:val="174AF185"/>
    <w:rsid w:val="1758D3AB"/>
    <w:rsid w:val="175B1580"/>
    <w:rsid w:val="175C1E4E"/>
    <w:rsid w:val="175D9E23"/>
    <w:rsid w:val="17660497"/>
    <w:rsid w:val="17712A43"/>
    <w:rsid w:val="177A6E6A"/>
    <w:rsid w:val="1783274C"/>
    <w:rsid w:val="17923C82"/>
    <w:rsid w:val="17AE37D4"/>
    <w:rsid w:val="17B1B9F8"/>
    <w:rsid w:val="17C461E7"/>
    <w:rsid w:val="17DE2AC0"/>
    <w:rsid w:val="17E50A4C"/>
    <w:rsid w:val="17E576F2"/>
    <w:rsid w:val="180481D9"/>
    <w:rsid w:val="180E5D2B"/>
    <w:rsid w:val="1812E855"/>
    <w:rsid w:val="183B8EA7"/>
    <w:rsid w:val="183CF6A8"/>
    <w:rsid w:val="1841C3A8"/>
    <w:rsid w:val="184F96E9"/>
    <w:rsid w:val="188D7333"/>
    <w:rsid w:val="189B863D"/>
    <w:rsid w:val="18AF49FE"/>
    <w:rsid w:val="18B2D743"/>
    <w:rsid w:val="18BD51DC"/>
    <w:rsid w:val="18C1E0DA"/>
    <w:rsid w:val="18D1915F"/>
    <w:rsid w:val="18ED453A"/>
    <w:rsid w:val="18F358F3"/>
    <w:rsid w:val="18FA55DA"/>
    <w:rsid w:val="1905BD09"/>
    <w:rsid w:val="192CD2F6"/>
    <w:rsid w:val="1932FF8E"/>
    <w:rsid w:val="19365E97"/>
    <w:rsid w:val="19394079"/>
    <w:rsid w:val="1941E6ED"/>
    <w:rsid w:val="19483726"/>
    <w:rsid w:val="195350B2"/>
    <w:rsid w:val="1958DFB0"/>
    <w:rsid w:val="195BD67D"/>
    <w:rsid w:val="197823A9"/>
    <w:rsid w:val="1990D836"/>
    <w:rsid w:val="199190D6"/>
    <w:rsid w:val="1995288E"/>
    <w:rsid w:val="19969DEE"/>
    <w:rsid w:val="19C55625"/>
    <w:rsid w:val="19C5CCD4"/>
    <w:rsid w:val="19D91441"/>
    <w:rsid w:val="19E32C7F"/>
    <w:rsid w:val="19E64F55"/>
    <w:rsid w:val="1A040CC8"/>
    <w:rsid w:val="1A4C63DF"/>
    <w:rsid w:val="1A61E42F"/>
    <w:rsid w:val="1A625E49"/>
    <w:rsid w:val="1A764D6C"/>
    <w:rsid w:val="1A8154FA"/>
    <w:rsid w:val="1A82FD6F"/>
    <w:rsid w:val="1A91D203"/>
    <w:rsid w:val="1A9372B3"/>
    <w:rsid w:val="1A989FD2"/>
    <w:rsid w:val="1AA38E6C"/>
    <w:rsid w:val="1AA69DFA"/>
    <w:rsid w:val="1ACAE15F"/>
    <w:rsid w:val="1ACB6157"/>
    <w:rsid w:val="1AD2C0BF"/>
    <w:rsid w:val="1B0CEDE2"/>
    <w:rsid w:val="1B20CABA"/>
    <w:rsid w:val="1B21D6BA"/>
    <w:rsid w:val="1B24E701"/>
    <w:rsid w:val="1B24F12F"/>
    <w:rsid w:val="1B31AB50"/>
    <w:rsid w:val="1B3BFA51"/>
    <w:rsid w:val="1B47B79E"/>
    <w:rsid w:val="1B92E02B"/>
    <w:rsid w:val="1B971569"/>
    <w:rsid w:val="1BCD712C"/>
    <w:rsid w:val="1BD74297"/>
    <w:rsid w:val="1BDAE4B9"/>
    <w:rsid w:val="1BF44179"/>
    <w:rsid w:val="1BF79968"/>
    <w:rsid w:val="1C06DA72"/>
    <w:rsid w:val="1C088BB9"/>
    <w:rsid w:val="1C1949F5"/>
    <w:rsid w:val="1C1C26DC"/>
    <w:rsid w:val="1C3C84F3"/>
    <w:rsid w:val="1C47DD2C"/>
    <w:rsid w:val="1C4C2F9F"/>
    <w:rsid w:val="1C5C220A"/>
    <w:rsid w:val="1C81090B"/>
    <w:rsid w:val="1C854FAE"/>
    <w:rsid w:val="1CB65082"/>
    <w:rsid w:val="1CBC72C9"/>
    <w:rsid w:val="1CC464C1"/>
    <w:rsid w:val="1CD69884"/>
    <w:rsid w:val="1CD9DE11"/>
    <w:rsid w:val="1CF8AF1D"/>
    <w:rsid w:val="1D142559"/>
    <w:rsid w:val="1D1758EA"/>
    <w:rsid w:val="1D2A4428"/>
    <w:rsid w:val="1D34A303"/>
    <w:rsid w:val="1D35C996"/>
    <w:rsid w:val="1D3FCA92"/>
    <w:rsid w:val="1D4556F5"/>
    <w:rsid w:val="1D46B87B"/>
    <w:rsid w:val="1D4719C0"/>
    <w:rsid w:val="1D4949F0"/>
    <w:rsid w:val="1D6736AC"/>
    <w:rsid w:val="1DAA109C"/>
    <w:rsid w:val="1DAB1858"/>
    <w:rsid w:val="1DAF2FB5"/>
    <w:rsid w:val="1DB0E262"/>
    <w:rsid w:val="1DB2D878"/>
    <w:rsid w:val="1DCA3594"/>
    <w:rsid w:val="1DCA6BC6"/>
    <w:rsid w:val="1DCAD883"/>
    <w:rsid w:val="1DE8ED32"/>
    <w:rsid w:val="1DF45011"/>
    <w:rsid w:val="1E04DFEC"/>
    <w:rsid w:val="1E180232"/>
    <w:rsid w:val="1E2588F2"/>
    <w:rsid w:val="1E516964"/>
    <w:rsid w:val="1E55894D"/>
    <w:rsid w:val="1E569388"/>
    <w:rsid w:val="1E700066"/>
    <w:rsid w:val="1E77553C"/>
    <w:rsid w:val="1E7C70B0"/>
    <w:rsid w:val="1E8726B6"/>
    <w:rsid w:val="1E8A80DC"/>
    <w:rsid w:val="1EB71BDE"/>
    <w:rsid w:val="1EB8CF1E"/>
    <w:rsid w:val="1F07CBEA"/>
    <w:rsid w:val="1F15FB71"/>
    <w:rsid w:val="1F23357B"/>
    <w:rsid w:val="1F34C041"/>
    <w:rsid w:val="1F3A2E7D"/>
    <w:rsid w:val="1F6614E6"/>
    <w:rsid w:val="1F870C14"/>
    <w:rsid w:val="1F97599E"/>
    <w:rsid w:val="1FA86912"/>
    <w:rsid w:val="1FAFEA63"/>
    <w:rsid w:val="1FB7776D"/>
    <w:rsid w:val="1FC0793C"/>
    <w:rsid w:val="1FC3E611"/>
    <w:rsid w:val="1FCBFA6F"/>
    <w:rsid w:val="1FCC9F1F"/>
    <w:rsid w:val="1FDE16DA"/>
    <w:rsid w:val="1FE3FAA9"/>
    <w:rsid w:val="1FE61E2F"/>
    <w:rsid w:val="1FF5711D"/>
    <w:rsid w:val="1FFF66B5"/>
    <w:rsid w:val="1FFF8F72"/>
    <w:rsid w:val="20075970"/>
    <w:rsid w:val="2017621E"/>
    <w:rsid w:val="201B9CEA"/>
    <w:rsid w:val="202CAF46"/>
    <w:rsid w:val="20318145"/>
    <w:rsid w:val="203D2535"/>
    <w:rsid w:val="205C6997"/>
    <w:rsid w:val="205C7F9F"/>
    <w:rsid w:val="205FDF46"/>
    <w:rsid w:val="2064360F"/>
    <w:rsid w:val="207C1106"/>
    <w:rsid w:val="208327C5"/>
    <w:rsid w:val="208B03DB"/>
    <w:rsid w:val="208EDDFB"/>
    <w:rsid w:val="208F000E"/>
    <w:rsid w:val="209A82B1"/>
    <w:rsid w:val="20A4E299"/>
    <w:rsid w:val="20A9FA44"/>
    <w:rsid w:val="20C8EF83"/>
    <w:rsid w:val="20D1DBA2"/>
    <w:rsid w:val="20E51B82"/>
    <w:rsid w:val="20EE1EEB"/>
    <w:rsid w:val="20FA4C8A"/>
    <w:rsid w:val="20FBA954"/>
    <w:rsid w:val="210F4034"/>
    <w:rsid w:val="21188E9C"/>
    <w:rsid w:val="211FC927"/>
    <w:rsid w:val="212B2EDD"/>
    <w:rsid w:val="21381213"/>
    <w:rsid w:val="213ACC80"/>
    <w:rsid w:val="215070E1"/>
    <w:rsid w:val="21848B59"/>
    <w:rsid w:val="2185B793"/>
    <w:rsid w:val="21AA30E8"/>
    <w:rsid w:val="21AEE0E9"/>
    <w:rsid w:val="21D29D85"/>
    <w:rsid w:val="21D9557B"/>
    <w:rsid w:val="21EC09B6"/>
    <w:rsid w:val="21F4FF2F"/>
    <w:rsid w:val="2225901C"/>
    <w:rsid w:val="222C6770"/>
    <w:rsid w:val="222D1F1C"/>
    <w:rsid w:val="22340EFA"/>
    <w:rsid w:val="223B4220"/>
    <w:rsid w:val="223BC02F"/>
    <w:rsid w:val="22527670"/>
    <w:rsid w:val="226140B6"/>
    <w:rsid w:val="22637D85"/>
    <w:rsid w:val="227F0B91"/>
    <w:rsid w:val="2286E22E"/>
    <w:rsid w:val="228BF11E"/>
    <w:rsid w:val="22990F84"/>
    <w:rsid w:val="22A0B077"/>
    <w:rsid w:val="22A1859E"/>
    <w:rsid w:val="22A2ED4E"/>
    <w:rsid w:val="22BBEC8B"/>
    <w:rsid w:val="22F32EC6"/>
    <w:rsid w:val="22F60F52"/>
    <w:rsid w:val="231E81A9"/>
    <w:rsid w:val="2343AF02"/>
    <w:rsid w:val="234ECFB8"/>
    <w:rsid w:val="2361103B"/>
    <w:rsid w:val="23618E00"/>
    <w:rsid w:val="23667579"/>
    <w:rsid w:val="23694C9E"/>
    <w:rsid w:val="23778BC1"/>
    <w:rsid w:val="23791768"/>
    <w:rsid w:val="237A75B9"/>
    <w:rsid w:val="23A19A87"/>
    <w:rsid w:val="23C4698E"/>
    <w:rsid w:val="23DDF5F9"/>
    <w:rsid w:val="23E9A85D"/>
    <w:rsid w:val="240459CF"/>
    <w:rsid w:val="241417C9"/>
    <w:rsid w:val="2414F165"/>
    <w:rsid w:val="24269E0D"/>
    <w:rsid w:val="242E6792"/>
    <w:rsid w:val="24323521"/>
    <w:rsid w:val="2443D0ED"/>
    <w:rsid w:val="245B8C95"/>
    <w:rsid w:val="24627433"/>
    <w:rsid w:val="24651760"/>
    <w:rsid w:val="2465C93E"/>
    <w:rsid w:val="24717CCD"/>
    <w:rsid w:val="247EAE5E"/>
    <w:rsid w:val="248BDCAB"/>
    <w:rsid w:val="24914ECF"/>
    <w:rsid w:val="2493E09D"/>
    <w:rsid w:val="24A52FFF"/>
    <w:rsid w:val="24A80CD1"/>
    <w:rsid w:val="24B5D888"/>
    <w:rsid w:val="24BA7D74"/>
    <w:rsid w:val="24BC2666"/>
    <w:rsid w:val="24BD7979"/>
    <w:rsid w:val="24C43C4B"/>
    <w:rsid w:val="24CD30FB"/>
    <w:rsid w:val="24D6C2C5"/>
    <w:rsid w:val="24E339E1"/>
    <w:rsid w:val="24E56F05"/>
    <w:rsid w:val="24E5F396"/>
    <w:rsid w:val="24F4F4AE"/>
    <w:rsid w:val="24F90DF4"/>
    <w:rsid w:val="24FE7EBD"/>
    <w:rsid w:val="25004B70"/>
    <w:rsid w:val="250ECA68"/>
    <w:rsid w:val="251AFD34"/>
    <w:rsid w:val="25236CD2"/>
    <w:rsid w:val="25262EEE"/>
    <w:rsid w:val="252E2660"/>
    <w:rsid w:val="2531C41C"/>
    <w:rsid w:val="2543A30E"/>
    <w:rsid w:val="25604B8A"/>
    <w:rsid w:val="256C76A9"/>
    <w:rsid w:val="257163C7"/>
    <w:rsid w:val="25846E3F"/>
    <w:rsid w:val="2585AE3E"/>
    <w:rsid w:val="25A81504"/>
    <w:rsid w:val="25B0E61D"/>
    <w:rsid w:val="25B51887"/>
    <w:rsid w:val="25BF00D1"/>
    <w:rsid w:val="25C04076"/>
    <w:rsid w:val="25C301F1"/>
    <w:rsid w:val="25C4256D"/>
    <w:rsid w:val="25CF219F"/>
    <w:rsid w:val="25D0D7B0"/>
    <w:rsid w:val="25E37A14"/>
    <w:rsid w:val="25E74D5A"/>
    <w:rsid w:val="260352D4"/>
    <w:rsid w:val="26099622"/>
    <w:rsid w:val="2614BB7C"/>
    <w:rsid w:val="2623526F"/>
    <w:rsid w:val="26318BFD"/>
    <w:rsid w:val="26325B93"/>
    <w:rsid w:val="26577872"/>
    <w:rsid w:val="265B2F70"/>
    <w:rsid w:val="2665F356"/>
    <w:rsid w:val="266AC397"/>
    <w:rsid w:val="266C23D5"/>
    <w:rsid w:val="2677E05C"/>
    <w:rsid w:val="267F34A2"/>
    <w:rsid w:val="2681C05D"/>
    <w:rsid w:val="269CB00B"/>
    <w:rsid w:val="26A2BD10"/>
    <w:rsid w:val="26A41F91"/>
    <w:rsid w:val="26CEF1F2"/>
    <w:rsid w:val="26E7C75A"/>
    <w:rsid w:val="27081196"/>
    <w:rsid w:val="27193866"/>
    <w:rsid w:val="27316F60"/>
    <w:rsid w:val="27327EC6"/>
    <w:rsid w:val="27393209"/>
    <w:rsid w:val="274488A6"/>
    <w:rsid w:val="27465249"/>
    <w:rsid w:val="2748CE91"/>
    <w:rsid w:val="27513374"/>
    <w:rsid w:val="27681216"/>
    <w:rsid w:val="2797FE29"/>
    <w:rsid w:val="27CA24F0"/>
    <w:rsid w:val="27D06A7B"/>
    <w:rsid w:val="27D271B3"/>
    <w:rsid w:val="27D6324C"/>
    <w:rsid w:val="27E30DD6"/>
    <w:rsid w:val="27EFCFFE"/>
    <w:rsid w:val="27F44514"/>
    <w:rsid w:val="28090F6F"/>
    <w:rsid w:val="2820CEF7"/>
    <w:rsid w:val="2823E5FD"/>
    <w:rsid w:val="28390525"/>
    <w:rsid w:val="284D6CDD"/>
    <w:rsid w:val="285FF91B"/>
    <w:rsid w:val="2874701E"/>
    <w:rsid w:val="288326A0"/>
    <w:rsid w:val="2884E18F"/>
    <w:rsid w:val="288F07F7"/>
    <w:rsid w:val="289A14D5"/>
    <w:rsid w:val="28A6F6BF"/>
    <w:rsid w:val="28AFB1FE"/>
    <w:rsid w:val="28B1000D"/>
    <w:rsid w:val="28DD50E9"/>
    <w:rsid w:val="28E5DB04"/>
    <w:rsid w:val="28FCE4E8"/>
    <w:rsid w:val="28FF57FE"/>
    <w:rsid w:val="291325BF"/>
    <w:rsid w:val="292E4E4D"/>
    <w:rsid w:val="2931F962"/>
    <w:rsid w:val="294701DC"/>
    <w:rsid w:val="29725275"/>
    <w:rsid w:val="2975AD8B"/>
    <w:rsid w:val="297B63A2"/>
    <w:rsid w:val="298D1715"/>
    <w:rsid w:val="29965EDF"/>
    <w:rsid w:val="299E3744"/>
    <w:rsid w:val="29B41BF8"/>
    <w:rsid w:val="29BD0EA1"/>
    <w:rsid w:val="29C4EB95"/>
    <w:rsid w:val="29D070A0"/>
    <w:rsid w:val="29F4DC62"/>
    <w:rsid w:val="29F772E4"/>
    <w:rsid w:val="2A210928"/>
    <w:rsid w:val="2A3A4AA4"/>
    <w:rsid w:val="2A3EB287"/>
    <w:rsid w:val="2A42D092"/>
    <w:rsid w:val="2A581894"/>
    <w:rsid w:val="2A7AD0F1"/>
    <w:rsid w:val="2A92042E"/>
    <w:rsid w:val="2A936A4C"/>
    <w:rsid w:val="2A95F75E"/>
    <w:rsid w:val="2A97261E"/>
    <w:rsid w:val="2AA41DFF"/>
    <w:rsid w:val="2AA88483"/>
    <w:rsid w:val="2AABB851"/>
    <w:rsid w:val="2AAE3C47"/>
    <w:rsid w:val="2AB6BFC2"/>
    <w:rsid w:val="2AC3B328"/>
    <w:rsid w:val="2AC9A229"/>
    <w:rsid w:val="2AD4642B"/>
    <w:rsid w:val="2AE0FCF4"/>
    <w:rsid w:val="2AE2E108"/>
    <w:rsid w:val="2AEE390A"/>
    <w:rsid w:val="2AF4A7DB"/>
    <w:rsid w:val="2AF4ADF0"/>
    <w:rsid w:val="2AF6ECDF"/>
    <w:rsid w:val="2AFC2EAF"/>
    <w:rsid w:val="2B134BEB"/>
    <w:rsid w:val="2B1F167B"/>
    <w:rsid w:val="2B262C54"/>
    <w:rsid w:val="2B2CC414"/>
    <w:rsid w:val="2B511090"/>
    <w:rsid w:val="2B575D35"/>
    <w:rsid w:val="2B629AAE"/>
    <w:rsid w:val="2B6C8454"/>
    <w:rsid w:val="2B787B33"/>
    <w:rsid w:val="2B886FCB"/>
    <w:rsid w:val="2B899BF5"/>
    <w:rsid w:val="2B8AA518"/>
    <w:rsid w:val="2B9F20D6"/>
    <w:rsid w:val="2BA04ED4"/>
    <w:rsid w:val="2BCE51D9"/>
    <w:rsid w:val="2BF24475"/>
    <w:rsid w:val="2C2084AA"/>
    <w:rsid w:val="2C2303A5"/>
    <w:rsid w:val="2C3BFEAE"/>
    <w:rsid w:val="2C472942"/>
    <w:rsid w:val="2C4E36D3"/>
    <w:rsid w:val="2C584C5A"/>
    <w:rsid w:val="2C6D04E1"/>
    <w:rsid w:val="2C772A81"/>
    <w:rsid w:val="2C918415"/>
    <w:rsid w:val="2C98FEA0"/>
    <w:rsid w:val="2C9F37A2"/>
    <w:rsid w:val="2CA9AF45"/>
    <w:rsid w:val="2CC7DF25"/>
    <w:rsid w:val="2CD9C449"/>
    <w:rsid w:val="2CE05B3C"/>
    <w:rsid w:val="2CE30837"/>
    <w:rsid w:val="2CE543C2"/>
    <w:rsid w:val="2CEADFA2"/>
    <w:rsid w:val="2D12B593"/>
    <w:rsid w:val="2D18C9C3"/>
    <w:rsid w:val="2D37052B"/>
    <w:rsid w:val="2D5567FB"/>
    <w:rsid w:val="2D824774"/>
    <w:rsid w:val="2D92D377"/>
    <w:rsid w:val="2DA728B7"/>
    <w:rsid w:val="2DA9135E"/>
    <w:rsid w:val="2DB38F80"/>
    <w:rsid w:val="2DC5381D"/>
    <w:rsid w:val="2E06B49D"/>
    <w:rsid w:val="2E10CD12"/>
    <w:rsid w:val="2E297D1E"/>
    <w:rsid w:val="2E36CB8C"/>
    <w:rsid w:val="2E3CBC9D"/>
    <w:rsid w:val="2E476B01"/>
    <w:rsid w:val="2E507540"/>
    <w:rsid w:val="2E54ADC6"/>
    <w:rsid w:val="2E6750FF"/>
    <w:rsid w:val="2E86B53F"/>
    <w:rsid w:val="2E9B8190"/>
    <w:rsid w:val="2EBC6E32"/>
    <w:rsid w:val="2EC43CA6"/>
    <w:rsid w:val="2ECFC544"/>
    <w:rsid w:val="2EDB414B"/>
    <w:rsid w:val="2EF28C30"/>
    <w:rsid w:val="2F1166C5"/>
    <w:rsid w:val="2F193463"/>
    <w:rsid w:val="2F1E82F3"/>
    <w:rsid w:val="2F22C827"/>
    <w:rsid w:val="2F5107B8"/>
    <w:rsid w:val="2F5F3036"/>
    <w:rsid w:val="2FAF4242"/>
    <w:rsid w:val="2FC28ADB"/>
    <w:rsid w:val="2FE6EE83"/>
    <w:rsid w:val="2FED6FCF"/>
    <w:rsid w:val="2FF4CE2D"/>
    <w:rsid w:val="300945A4"/>
    <w:rsid w:val="30096FDA"/>
    <w:rsid w:val="3011AF40"/>
    <w:rsid w:val="3012FBFC"/>
    <w:rsid w:val="301BCA57"/>
    <w:rsid w:val="30342B3C"/>
    <w:rsid w:val="30428545"/>
    <w:rsid w:val="3044CC1A"/>
    <w:rsid w:val="304894DE"/>
    <w:rsid w:val="304940B3"/>
    <w:rsid w:val="304CC7CC"/>
    <w:rsid w:val="304FB14E"/>
    <w:rsid w:val="30519110"/>
    <w:rsid w:val="305D59C0"/>
    <w:rsid w:val="3077FFC9"/>
    <w:rsid w:val="3086D41F"/>
    <w:rsid w:val="309B30D1"/>
    <w:rsid w:val="30A2DC7F"/>
    <w:rsid w:val="30AFEAD1"/>
    <w:rsid w:val="30BF5D26"/>
    <w:rsid w:val="30D52085"/>
    <w:rsid w:val="30E4BD45"/>
    <w:rsid w:val="30ED276A"/>
    <w:rsid w:val="30FB4517"/>
    <w:rsid w:val="3100A25E"/>
    <w:rsid w:val="3101A7DE"/>
    <w:rsid w:val="3124F4D4"/>
    <w:rsid w:val="312A2E04"/>
    <w:rsid w:val="313E4231"/>
    <w:rsid w:val="314EEC57"/>
    <w:rsid w:val="3152D9F3"/>
    <w:rsid w:val="31572E21"/>
    <w:rsid w:val="3159958A"/>
    <w:rsid w:val="315F0B79"/>
    <w:rsid w:val="3162B839"/>
    <w:rsid w:val="316D9500"/>
    <w:rsid w:val="31767CE1"/>
    <w:rsid w:val="317AC9D5"/>
    <w:rsid w:val="31898375"/>
    <w:rsid w:val="31A44D21"/>
    <w:rsid w:val="31A9A0F5"/>
    <w:rsid w:val="31B4433E"/>
    <w:rsid w:val="31B596C2"/>
    <w:rsid w:val="31C3737D"/>
    <w:rsid w:val="31D3A04D"/>
    <w:rsid w:val="31DD87D1"/>
    <w:rsid w:val="31E44559"/>
    <w:rsid w:val="321B3070"/>
    <w:rsid w:val="32209352"/>
    <w:rsid w:val="322F2EC4"/>
    <w:rsid w:val="323B1DB6"/>
    <w:rsid w:val="3240926F"/>
    <w:rsid w:val="325B3502"/>
    <w:rsid w:val="325BD1E3"/>
    <w:rsid w:val="328225AA"/>
    <w:rsid w:val="32829EEA"/>
    <w:rsid w:val="3282B2AE"/>
    <w:rsid w:val="328DF61E"/>
    <w:rsid w:val="329886CC"/>
    <w:rsid w:val="3299A9B4"/>
    <w:rsid w:val="329CDC18"/>
    <w:rsid w:val="32FA57D1"/>
    <w:rsid w:val="3308D1FC"/>
    <w:rsid w:val="330AAF41"/>
    <w:rsid w:val="3322935A"/>
    <w:rsid w:val="33250547"/>
    <w:rsid w:val="3327A067"/>
    <w:rsid w:val="33309E19"/>
    <w:rsid w:val="3335F9B5"/>
    <w:rsid w:val="3337C688"/>
    <w:rsid w:val="33423CB3"/>
    <w:rsid w:val="33501CBC"/>
    <w:rsid w:val="3360517A"/>
    <w:rsid w:val="33620B71"/>
    <w:rsid w:val="33779E79"/>
    <w:rsid w:val="33AB593A"/>
    <w:rsid w:val="33B95F5B"/>
    <w:rsid w:val="33BA0117"/>
    <w:rsid w:val="33C20E6C"/>
    <w:rsid w:val="33DDFF07"/>
    <w:rsid w:val="33E5A3D9"/>
    <w:rsid w:val="33F29257"/>
    <w:rsid w:val="33FA53FA"/>
    <w:rsid w:val="33FD00EB"/>
    <w:rsid w:val="3406751D"/>
    <w:rsid w:val="340A3555"/>
    <w:rsid w:val="340B2A11"/>
    <w:rsid w:val="341D238A"/>
    <w:rsid w:val="343BBD01"/>
    <w:rsid w:val="343C618F"/>
    <w:rsid w:val="344524A2"/>
    <w:rsid w:val="34524F1D"/>
    <w:rsid w:val="345402DB"/>
    <w:rsid w:val="346D2A80"/>
    <w:rsid w:val="347D876C"/>
    <w:rsid w:val="3488A759"/>
    <w:rsid w:val="3497B229"/>
    <w:rsid w:val="349EC483"/>
    <w:rsid w:val="34A00EA8"/>
    <w:rsid w:val="34AD3542"/>
    <w:rsid w:val="34CED7CA"/>
    <w:rsid w:val="34E12D3E"/>
    <w:rsid w:val="34E5D580"/>
    <w:rsid w:val="34E6BB27"/>
    <w:rsid w:val="34FB9B8E"/>
    <w:rsid w:val="350E4F0C"/>
    <w:rsid w:val="351BC747"/>
    <w:rsid w:val="351DBB24"/>
    <w:rsid w:val="3521A8AC"/>
    <w:rsid w:val="353FE4C3"/>
    <w:rsid w:val="354DF9C9"/>
    <w:rsid w:val="3552FA41"/>
    <w:rsid w:val="355B2EFA"/>
    <w:rsid w:val="35610EFA"/>
    <w:rsid w:val="35711606"/>
    <w:rsid w:val="35763E36"/>
    <w:rsid w:val="35819436"/>
    <w:rsid w:val="358AD3CF"/>
    <w:rsid w:val="35A9D69A"/>
    <w:rsid w:val="35AFF049"/>
    <w:rsid w:val="35CC5C7E"/>
    <w:rsid w:val="35CD1189"/>
    <w:rsid w:val="35CE38FF"/>
    <w:rsid w:val="35D0690A"/>
    <w:rsid w:val="35DC7732"/>
    <w:rsid w:val="35EDC04A"/>
    <w:rsid w:val="35F7A85F"/>
    <w:rsid w:val="3606E106"/>
    <w:rsid w:val="3641932D"/>
    <w:rsid w:val="368BF5DE"/>
    <w:rsid w:val="368EAF14"/>
    <w:rsid w:val="3699602D"/>
    <w:rsid w:val="36A3D18F"/>
    <w:rsid w:val="36B04746"/>
    <w:rsid w:val="36B0C995"/>
    <w:rsid w:val="36B9041A"/>
    <w:rsid w:val="36D2F3E5"/>
    <w:rsid w:val="36D561C6"/>
    <w:rsid w:val="36E0C913"/>
    <w:rsid w:val="36E8F286"/>
    <w:rsid w:val="36F47F13"/>
    <w:rsid w:val="36F92FAD"/>
    <w:rsid w:val="36FDC811"/>
    <w:rsid w:val="3710D89E"/>
    <w:rsid w:val="3715B9BC"/>
    <w:rsid w:val="371B8442"/>
    <w:rsid w:val="37407CA5"/>
    <w:rsid w:val="376935FC"/>
    <w:rsid w:val="376FBB34"/>
    <w:rsid w:val="377A34A9"/>
    <w:rsid w:val="3787F2C4"/>
    <w:rsid w:val="378E56BB"/>
    <w:rsid w:val="37A53819"/>
    <w:rsid w:val="37B72D10"/>
    <w:rsid w:val="37C028FD"/>
    <w:rsid w:val="37CDB909"/>
    <w:rsid w:val="37E97A34"/>
    <w:rsid w:val="37EB13AA"/>
    <w:rsid w:val="37F09038"/>
    <w:rsid w:val="37FE7443"/>
    <w:rsid w:val="3818B6D1"/>
    <w:rsid w:val="381F530E"/>
    <w:rsid w:val="38270EB6"/>
    <w:rsid w:val="3879CE2D"/>
    <w:rsid w:val="3882C6CA"/>
    <w:rsid w:val="388DD1C3"/>
    <w:rsid w:val="3896B150"/>
    <w:rsid w:val="38A883BA"/>
    <w:rsid w:val="38B96F7B"/>
    <w:rsid w:val="38B97092"/>
    <w:rsid w:val="38C3E230"/>
    <w:rsid w:val="38C85EFC"/>
    <w:rsid w:val="38DC515B"/>
    <w:rsid w:val="38DFFDE2"/>
    <w:rsid w:val="38F8DC19"/>
    <w:rsid w:val="3905C7E5"/>
    <w:rsid w:val="390CF653"/>
    <w:rsid w:val="390DFCF8"/>
    <w:rsid w:val="393C1F04"/>
    <w:rsid w:val="3947B201"/>
    <w:rsid w:val="3949D782"/>
    <w:rsid w:val="3958F69F"/>
    <w:rsid w:val="3976064A"/>
    <w:rsid w:val="39764194"/>
    <w:rsid w:val="39768374"/>
    <w:rsid w:val="397BFD0B"/>
    <w:rsid w:val="3990CF9F"/>
    <w:rsid w:val="39C3B0A7"/>
    <w:rsid w:val="39CC5DB6"/>
    <w:rsid w:val="39D63712"/>
    <w:rsid w:val="39F50423"/>
    <w:rsid w:val="3A1021ED"/>
    <w:rsid w:val="3A1AC2B0"/>
    <w:rsid w:val="3A2C96BE"/>
    <w:rsid w:val="3A48FD23"/>
    <w:rsid w:val="3A5CA22D"/>
    <w:rsid w:val="3A5E8D70"/>
    <w:rsid w:val="3A5F8FEC"/>
    <w:rsid w:val="3A6E4B2D"/>
    <w:rsid w:val="3A921C35"/>
    <w:rsid w:val="3A983979"/>
    <w:rsid w:val="3AA4DB6B"/>
    <w:rsid w:val="3AAB18E7"/>
    <w:rsid w:val="3AC4F77F"/>
    <w:rsid w:val="3AD42703"/>
    <w:rsid w:val="3AD9D32E"/>
    <w:rsid w:val="3AEB29B3"/>
    <w:rsid w:val="3B099ED1"/>
    <w:rsid w:val="3B1B6902"/>
    <w:rsid w:val="3B333203"/>
    <w:rsid w:val="3B3AB284"/>
    <w:rsid w:val="3B3F966A"/>
    <w:rsid w:val="3B68EDD4"/>
    <w:rsid w:val="3B6BEBFD"/>
    <w:rsid w:val="3B7ECDE2"/>
    <w:rsid w:val="3B8E193A"/>
    <w:rsid w:val="3BA1B21F"/>
    <w:rsid w:val="3BC7BF77"/>
    <w:rsid w:val="3BC7F930"/>
    <w:rsid w:val="3BCC0038"/>
    <w:rsid w:val="3BEA706A"/>
    <w:rsid w:val="3BEB0E6F"/>
    <w:rsid w:val="3BEDF975"/>
    <w:rsid w:val="3BF308E3"/>
    <w:rsid w:val="3BF39F53"/>
    <w:rsid w:val="3BF61659"/>
    <w:rsid w:val="3C104328"/>
    <w:rsid w:val="3C1DD957"/>
    <w:rsid w:val="3C437959"/>
    <w:rsid w:val="3C814893"/>
    <w:rsid w:val="3C94C49E"/>
    <w:rsid w:val="3C9D838D"/>
    <w:rsid w:val="3CCE16AC"/>
    <w:rsid w:val="3CD7407C"/>
    <w:rsid w:val="3CDBE0A8"/>
    <w:rsid w:val="3CE4F9B9"/>
    <w:rsid w:val="3CEA0C29"/>
    <w:rsid w:val="3CEEAFD9"/>
    <w:rsid w:val="3CF7EBB4"/>
    <w:rsid w:val="3CFE9675"/>
    <w:rsid w:val="3D2028BC"/>
    <w:rsid w:val="3D25069D"/>
    <w:rsid w:val="3D2A72B2"/>
    <w:rsid w:val="3D325D9F"/>
    <w:rsid w:val="3D331E54"/>
    <w:rsid w:val="3D35ABFB"/>
    <w:rsid w:val="3D362F6A"/>
    <w:rsid w:val="3D459691"/>
    <w:rsid w:val="3D638C49"/>
    <w:rsid w:val="3D63BDBD"/>
    <w:rsid w:val="3D66B12D"/>
    <w:rsid w:val="3D882428"/>
    <w:rsid w:val="3D8FA94E"/>
    <w:rsid w:val="3DAC65E5"/>
    <w:rsid w:val="3DAE3370"/>
    <w:rsid w:val="3DB581DF"/>
    <w:rsid w:val="3DC7B7CD"/>
    <w:rsid w:val="3DE54DDE"/>
    <w:rsid w:val="3DE8305D"/>
    <w:rsid w:val="3DF0DE67"/>
    <w:rsid w:val="3DF46AE1"/>
    <w:rsid w:val="3E07CDC7"/>
    <w:rsid w:val="3E30EC89"/>
    <w:rsid w:val="3E4E57C1"/>
    <w:rsid w:val="3E4FECDB"/>
    <w:rsid w:val="3E503F63"/>
    <w:rsid w:val="3E590772"/>
    <w:rsid w:val="3E84DA89"/>
    <w:rsid w:val="3E879873"/>
    <w:rsid w:val="3EAC4BD2"/>
    <w:rsid w:val="3EB0169D"/>
    <w:rsid w:val="3EBBED57"/>
    <w:rsid w:val="3ECA20D9"/>
    <w:rsid w:val="3ED749F3"/>
    <w:rsid w:val="3EDF778A"/>
    <w:rsid w:val="3EE6640E"/>
    <w:rsid w:val="3EF0F3A4"/>
    <w:rsid w:val="3F28314B"/>
    <w:rsid w:val="3F2C959C"/>
    <w:rsid w:val="3F304814"/>
    <w:rsid w:val="3F353223"/>
    <w:rsid w:val="3F48A3D3"/>
    <w:rsid w:val="3F528552"/>
    <w:rsid w:val="3F603A63"/>
    <w:rsid w:val="3F61D7DE"/>
    <w:rsid w:val="3F633E5E"/>
    <w:rsid w:val="3F6D486D"/>
    <w:rsid w:val="3F7B4037"/>
    <w:rsid w:val="3F9C6AF9"/>
    <w:rsid w:val="3FA6079D"/>
    <w:rsid w:val="3FC95141"/>
    <w:rsid w:val="3FD07073"/>
    <w:rsid w:val="3FDA5B57"/>
    <w:rsid w:val="3FDBF51A"/>
    <w:rsid w:val="3FE9301C"/>
    <w:rsid w:val="3FEB7E06"/>
    <w:rsid w:val="400C1BD1"/>
    <w:rsid w:val="4021311C"/>
    <w:rsid w:val="4052ED0F"/>
    <w:rsid w:val="4055D25B"/>
    <w:rsid w:val="4060A78B"/>
    <w:rsid w:val="406178BA"/>
    <w:rsid w:val="407C6F9E"/>
    <w:rsid w:val="407D5890"/>
    <w:rsid w:val="40898750"/>
    <w:rsid w:val="4098939E"/>
    <w:rsid w:val="40A182DB"/>
    <w:rsid w:val="40B234E4"/>
    <w:rsid w:val="40B865D5"/>
    <w:rsid w:val="40C17880"/>
    <w:rsid w:val="40D08669"/>
    <w:rsid w:val="40ED07C0"/>
    <w:rsid w:val="40EF87BD"/>
    <w:rsid w:val="40F6C64B"/>
    <w:rsid w:val="41147D3B"/>
    <w:rsid w:val="413D43BD"/>
    <w:rsid w:val="414F1A23"/>
    <w:rsid w:val="415491F8"/>
    <w:rsid w:val="4167FB90"/>
    <w:rsid w:val="4182CFDC"/>
    <w:rsid w:val="41916EEB"/>
    <w:rsid w:val="419EE7B4"/>
    <w:rsid w:val="41A038CB"/>
    <w:rsid w:val="41C8F776"/>
    <w:rsid w:val="41D59896"/>
    <w:rsid w:val="41E31698"/>
    <w:rsid w:val="41E757DC"/>
    <w:rsid w:val="41E7AC04"/>
    <w:rsid w:val="41F323A2"/>
    <w:rsid w:val="42265C7F"/>
    <w:rsid w:val="422E7F3C"/>
    <w:rsid w:val="42363E21"/>
    <w:rsid w:val="4266A9D1"/>
    <w:rsid w:val="4282DE7A"/>
    <w:rsid w:val="42963205"/>
    <w:rsid w:val="429AB186"/>
    <w:rsid w:val="42A5F1E9"/>
    <w:rsid w:val="42A7341A"/>
    <w:rsid w:val="42B4E63A"/>
    <w:rsid w:val="42B78375"/>
    <w:rsid w:val="42B8DCF8"/>
    <w:rsid w:val="42BA7D25"/>
    <w:rsid w:val="42C42070"/>
    <w:rsid w:val="42D4F287"/>
    <w:rsid w:val="42D6D429"/>
    <w:rsid w:val="42F0CC5E"/>
    <w:rsid w:val="4301867D"/>
    <w:rsid w:val="432C70B1"/>
    <w:rsid w:val="432CBDDB"/>
    <w:rsid w:val="433600ED"/>
    <w:rsid w:val="4348B5E2"/>
    <w:rsid w:val="435451E1"/>
    <w:rsid w:val="4355868D"/>
    <w:rsid w:val="43582CE9"/>
    <w:rsid w:val="4359058A"/>
    <w:rsid w:val="438377D8"/>
    <w:rsid w:val="439E1268"/>
    <w:rsid w:val="43A213B8"/>
    <w:rsid w:val="43B42E39"/>
    <w:rsid w:val="43BC4D0B"/>
    <w:rsid w:val="43BD0A07"/>
    <w:rsid w:val="43BE4724"/>
    <w:rsid w:val="43C16991"/>
    <w:rsid w:val="43C47CCE"/>
    <w:rsid w:val="43D21044"/>
    <w:rsid w:val="43DAFC1D"/>
    <w:rsid w:val="43E56DA4"/>
    <w:rsid w:val="43EC69A2"/>
    <w:rsid w:val="43ED91A3"/>
    <w:rsid w:val="43F9E532"/>
    <w:rsid w:val="4401E4E8"/>
    <w:rsid w:val="4407B3D1"/>
    <w:rsid w:val="440ABE86"/>
    <w:rsid w:val="440EB785"/>
    <w:rsid w:val="4420E74E"/>
    <w:rsid w:val="442B33F0"/>
    <w:rsid w:val="443143D4"/>
    <w:rsid w:val="4439901D"/>
    <w:rsid w:val="44485CB1"/>
    <w:rsid w:val="445B62B1"/>
    <w:rsid w:val="446B1E02"/>
    <w:rsid w:val="446F8537"/>
    <w:rsid w:val="4470A18D"/>
    <w:rsid w:val="447BD9ED"/>
    <w:rsid w:val="4483D353"/>
    <w:rsid w:val="44871C21"/>
    <w:rsid w:val="449C3EC9"/>
    <w:rsid w:val="44ADBAB5"/>
    <w:rsid w:val="44B011A2"/>
    <w:rsid w:val="44B45B7B"/>
    <w:rsid w:val="44B54972"/>
    <w:rsid w:val="44BBB93A"/>
    <w:rsid w:val="44D64745"/>
    <w:rsid w:val="44DFB460"/>
    <w:rsid w:val="44F704C8"/>
    <w:rsid w:val="44FFC456"/>
    <w:rsid w:val="450CD5EC"/>
    <w:rsid w:val="45109CD6"/>
    <w:rsid w:val="45136E6F"/>
    <w:rsid w:val="451E10B2"/>
    <w:rsid w:val="45257620"/>
    <w:rsid w:val="452EDCAD"/>
    <w:rsid w:val="45325C37"/>
    <w:rsid w:val="45420EE3"/>
    <w:rsid w:val="4546AB92"/>
    <w:rsid w:val="454B9269"/>
    <w:rsid w:val="45501152"/>
    <w:rsid w:val="4558EAF0"/>
    <w:rsid w:val="455B8C89"/>
    <w:rsid w:val="455D980B"/>
    <w:rsid w:val="456E1B14"/>
    <w:rsid w:val="458E3734"/>
    <w:rsid w:val="45A481AC"/>
    <w:rsid w:val="45BF28DB"/>
    <w:rsid w:val="45E79547"/>
    <w:rsid w:val="45E80651"/>
    <w:rsid w:val="45FCB606"/>
    <w:rsid w:val="46170453"/>
    <w:rsid w:val="46177C3B"/>
    <w:rsid w:val="4624053E"/>
    <w:rsid w:val="4628D077"/>
    <w:rsid w:val="463027AF"/>
    <w:rsid w:val="4652BBA0"/>
    <w:rsid w:val="4657AE2D"/>
    <w:rsid w:val="466C95F6"/>
    <w:rsid w:val="4670CB6A"/>
    <w:rsid w:val="467446B9"/>
    <w:rsid w:val="46747E2C"/>
    <w:rsid w:val="467A8AA5"/>
    <w:rsid w:val="468C79AF"/>
    <w:rsid w:val="468C7EA5"/>
    <w:rsid w:val="46A5B1CE"/>
    <w:rsid w:val="46A64D89"/>
    <w:rsid w:val="46BECCC4"/>
    <w:rsid w:val="46C55901"/>
    <w:rsid w:val="46C58AAE"/>
    <w:rsid w:val="46CB09DF"/>
    <w:rsid w:val="46CE13C9"/>
    <w:rsid w:val="46D3DB1C"/>
    <w:rsid w:val="46D4909B"/>
    <w:rsid w:val="46E18CA4"/>
    <w:rsid w:val="46F71AD3"/>
    <w:rsid w:val="46F73871"/>
    <w:rsid w:val="46FED956"/>
    <w:rsid w:val="47071743"/>
    <w:rsid w:val="470CF8CC"/>
    <w:rsid w:val="472CC685"/>
    <w:rsid w:val="47335F71"/>
    <w:rsid w:val="475E3014"/>
    <w:rsid w:val="47613B78"/>
    <w:rsid w:val="47783A14"/>
    <w:rsid w:val="478306CE"/>
    <w:rsid w:val="478E98B1"/>
    <w:rsid w:val="4797B851"/>
    <w:rsid w:val="47A38DEC"/>
    <w:rsid w:val="47C3675C"/>
    <w:rsid w:val="47C86293"/>
    <w:rsid w:val="47D19E1F"/>
    <w:rsid w:val="482E8834"/>
    <w:rsid w:val="4831EA62"/>
    <w:rsid w:val="4847129E"/>
    <w:rsid w:val="4868D41E"/>
    <w:rsid w:val="48728302"/>
    <w:rsid w:val="4899439A"/>
    <w:rsid w:val="48B85BE0"/>
    <w:rsid w:val="48BACADA"/>
    <w:rsid w:val="48BBEE45"/>
    <w:rsid w:val="48EA8AF0"/>
    <w:rsid w:val="48EBB6F7"/>
    <w:rsid w:val="48EC1C70"/>
    <w:rsid w:val="48F34358"/>
    <w:rsid w:val="48FB1110"/>
    <w:rsid w:val="490DB914"/>
    <w:rsid w:val="491C51B1"/>
    <w:rsid w:val="492D4900"/>
    <w:rsid w:val="493063AB"/>
    <w:rsid w:val="493D8A9F"/>
    <w:rsid w:val="49660BE4"/>
    <w:rsid w:val="49664210"/>
    <w:rsid w:val="49730977"/>
    <w:rsid w:val="4988B69B"/>
    <w:rsid w:val="4990D65E"/>
    <w:rsid w:val="49B411F3"/>
    <w:rsid w:val="49BD5BBE"/>
    <w:rsid w:val="49C01509"/>
    <w:rsid w:val="49D4E901"/>
    <w:rsid w:val="49EC8CB3"/>
    <w:rsid w:val="4A3ADC72"/>
    <w:rsid w:val="4A3EC911"/>
    <w:rsid w:val="4A68077F"/>
    <w:rsid w:val="4A789C3A"/>
    <w:rsid w:val="4A8B185F"/>
    <w:rsid w:val="4AA9636C"/>
    <w:rsid w:val="4AAAD90C"/>
    <w:rsid w:val="4AB0A60F"/>
    <w:rsid w:val="4AB43F04"/>
    <w:rsid w:val="4ACDD58D"/>
    <w:rsid w:val="4ACF9841"/>
    <w:rsid w:val="4AEA7D39"/>
    <w:rsid w:val="4AF7CFB0"/>
    <w:rsid w:val="4AFB068E"/>
    <w:rsid w:val="4AFF0075"/>
    <w:rsid w:val="4B18B8BF"/>
    <w:rsid w:val="4B1CF250"/>
    <w:rsid w:val="4B24BB7A"/>
    <w:rsid w:val="4B270DD1"/>
    <w:rsid w:val="4B2C69FD"/>
    <w:rsid w:val="4B368D7E"/>
    <w:rsid w:val="4B3C6A48"/>
    <w:rsid w:val="4B43D827"/>
    <w:rsid w:val="4B5E2AE9"/>
    <w:rsid w:val="4B6D00C3"/>
    <w:rsid w:val="4B7A8036"/>
    <w:rsid w:val="4B82AF59"/>
    <w:rsid w:val="4B8DD418"/>
    <w:rsid w:val="4B91BD0D"/>
    <w:rsid w:val="4BC10BF7"/>
    <w:rsid w:val="4BC63C89"/>
    <w:rsid w:val="4BDCE77F"/>
    <w:rsid w:val="4BF1473B"/>
    <w:rsid w:val="4C0A4F78"/>
    <w:rsid w:val="4C1637B8"/>
    <w:rsid w:val="4C1FFA38"/>
    <w:rsid w:val="4C2728FE"/>
    <w:rsid w:val="4C2810EE"/>
    <w:rsid w:val="4C2837F1"/>
    <w:rsid w:val="4C3E731F"/>
    <w:rsid w:val="4C5446A1"/>
    <w:rsid w:val="4C6BB58C"/>
    <w:rsid w:val="4C6BBD4E"/>
    <w:rsid w:val="4C6D635E"/>
    <w:rsid w:val="4C719D85"/>
    <w:rsid w:val="4C738887"/>
    <w:rsid w:val="4C7739DD"/>
    <w:rsid w:val="4C83BFB1"/>
    <w:rsid w:val="4C8E5E85"/>
    <w:rsid w:val="4C8FC0BE"/>
    <w:rsid w:val="4C99E3C9"/>
    <w:rsid w:val="4CA1A17D"/>
    <w:rsid w:val="4CAA477C"/>
    <w:rsid w:val="4CAD6769"/>
    <w:rsid w:val="4CB20E19"/>
    <w:rsid w:val="4CB3DBB6"/>
    <w:rsid w:val="4CBE8BB8"/>
    <w:rsid w:val="4CC5CB6C"/>
    <w:rsid w:val="4CD7C901"/>
    <w:rsid w:val="4CF91452"/>
    <w:rsid w:val="4D0BF947"/>
    <w:rsid w:val="4D26BD5C"/>
    <w:rsid w:val="4D2DF083"/>
    <w:rsid w:val="4D314AF4"/>
    <w:rsid w:val="4D3FA603"/>
    <w:rsid w:val="4D4067E8"/>
    <w:rsid w:val="4D60D264"/>
    <w:rsid w:val="4D6260F9"/>
    <w:rsid w:val="4D6BC5E9"/>
    <w:rsid w:val="4D772A93"/>
    <w:rsid w:val="4D89082D"/>
    <w:rsid w:val="4D8FB44B"/>
    <w:rsid w:val="4D9F38DC"/>
    <w:rsid w:val="4D9F8CD1"/>
    <w:rsid w:val="4DA11FD3"/>
    <w:rsid w:val="4DA355E9"/>
    <w:rsid w:val="4DA9A390"/>
    <w:rsid w:val="4DAD59B5"/>
    <w:rsid w:val="4DBEE0CC"/>
    <w:rsid w:val="4DC4F1BE"/>
    <w:rsid w:val="4DC5011D"/>
    <w:rsid w:val="4DD41478"/>
    <w:rsid w:val="4DD89A7B"/>
    <w:rsid w:val="4DF9F9CD"/>
    <w:rsid w:val="4E02A599"/>
    <w:rsid w:val="4E030DEB"/>
    <w:rsid w:val="4E0A38C7"/>
    <w:rsid w:val="4E1ADC41"/>
    <w:rsid w:val="4E202B13"/>
    <w:rsid w:val="4E205933"/>
    <w:rsid w:val="4E241C41"/>
    <w:rsid w:val="4E40429C"/>
    <w:rsid w:val="4E41BF43"/>
    <w:rsid w:val="4E474C77"/>
    <w:rsid w:val="4E69B62C"/>
    <w:rsid w:val="4E6AF631"/>
    <w:rsid w:val="4E8529E8"/>
    <w:rsid w:val="4E97E5BF"/>
    <w:rsid w:val="4E9B6E67"/>
    <w:rsid w:val="4EBA4AF9"/>
    <w:rsid w:val="4EC20D50"/>
    <w:rsid w:val="4ECC4C12"/>
    <w:rsid w:val="4EDA6FBC"/>
    <w:rsid w:val="4EFEADEE"/>
    <w:rsid w:val="4F043B6D"/>
    <w:rsid w:val="4F096207"/>
    <w:rsid w:val="4F33D681"/>
    <w:rsid w:val="4F42A3C6"/>
    <w:rsid w:val="4F55874A"/>
    <w:rsid w:val="4F65693A"/>
    <w:rsid w:val="4F6976E4"/>
    <w:rsid w:val="4F7365BA"/>
    <w:rsid w:val="4F9EF46B"/>
    <w:rsid w:val="4FA5FB74"/>
    <w:rsid w:val="4FA7065F"/>
    <w:rsid w:val="4FC3C6BD"/>
    <w:rsid w:val="4FC89F22"/>
    <w:rsid w:val="4FCC550F"/>
    <w:rsid w:val="4FF60F4F"/>
    <w:rsid w:val="50284011"/>
    <w:rsid w:val="502C90CD"/>
    <w:rsid w:val="505F33F2"/>
    <w:rsid w:val="5086732F"/>
    <w:rsid w:val="509DD024"/>
    <w:rsid w:val="50D93166"/>
    <w:rsid w:val="50E41807"/>
    <w:rsid w:val="511EDDFF"/>
    <w:rsid w:val="51503FE7"/>
    <w:rsid w:val="5161C25F"/>
    <w:rsid w:val="51723D27"/>
    <w:rsid w:val="51743A40"/>
    <w:rsid w:val="51A53248"/>
    <w:rsid w:val="51AF855D"/>
    <w:rsid w:val="51B0B987"/>
    <w:rsid w:val="51B9DF77"/>
    <w:rsid w:val="51BFE088"/>
    <w:rsid w:val="51C71967"/>
    <w:rsid w:val="51D20E6E"/>
    <w:rsid w:val="51E05389"/>
    <w:rsid w:val="51E24ACA"/>
    <w:rsid w:val="51E47914"/>
    <w:rsid w:val="51FEF1C4"/>
    <w:rsid w:val="520CF899"/>
    <w:rsid w:val="521ACEFD"/>
    <w:rsid w:val="52200A34"/>
    <w:rsid w:val="52424522"/>
    <w:rsid w:val="525353B4"/>
    <w:rsid w:val="525447C5"/>
    <w:rsid w:val="5257C8B2"/>
    <w:rsid w:val="525915D4"/>
    <w:rsid w:val="526FF522"/>
    <w:rsid w:val="528997EF"/>
    <w:rsid w:val="52B0BBBD"/>
    <w:rsid w:val="52B56D3E"/>
    <w:rsid w:val="52E1DC0F"/>
    <w:rsid w:val="52EABB8A"/>
    <w:rsid w:val="52FFADCD"/>
    <w:rsid w:val="5307EA74"/>
    <w:rsid w:val="530A009D"/>
    <w:rsid w:val="530BAC64"/>
    <w:rsid w:val="531A4610"/>
    <w:rsid w:val="532F2AF0"/>
    <w:rsid w:val="533D990B"/>
    <w:rsid w:val="534F1B2A"/>
    <w:rsid w:val="534FDDBC"/>
    <w:rsid w:val="535D5457"/>
    <w:rsid w:val="53668F07"/>
    <w:rsid w:val="536A0369"/>
    <w:rsid w:val="53789344"/>
    <w:rsid w:val="538EB939"/>
    <w:rsid w:val="539145D8"/>
    <w:rsid w:val="5399675D"/>
    <w:rsid w:val="539CD004"/>
    <w:rsid w:val="53A86EBF"/>
    <w:rsid w:val="53B6ABA9"/>
    <w:rsid w:val="53BB02AC"/>
    <w:rsid w:val="53BF27B6"/>
    <w:rsid w:val="53C59C85"/>
    <w:rsid w:val="53CA14EC"/>
    <w:rsid w:val="53CD667C"/>
    <w:rsid w:val="53D069DA"/>
    <w:rsid w:val="53D155A5"/>
    <w:rsid w:val="53D7859F"/>
    <w:rsid w:val="53E12D0E"/>
    <w:rsid w:val="53E63B79"/>
    <w:rsid w:val="53EFE4B7"/>
    <w:rsid w:val="53F26B83"/>
    <w:rsid w:val="53F7C305"/>
    <w:rsid w:val="5402AB0E"/>
    <w:rsid w:val="540ED6A1"/>
    <w:rsid w:val="54193A03"/>
    <w:rsid w:val="543CEA82"/>
    <w:rsid w:val="544097FF"/>
    <w:rsid w:val="5444DCB8"/>
    <w:rsid w:val="54507C8F"/>
    <w:rsid w:val="5463EECD"/>
    <w:rsid w:val="5469EC31"/>
    <w:rsid w:val="546B4F1D"/>
    <w:rsid w:val="5478CE70"/>
    <w:rsid w:val="5496C73D"/>
    <w:rsid w:val="54A55E8E"/>
    <w:rsid w:val="54AF266E"/>
    <w:rsid w:val="54BD2526"/>
    <w:rsid w:val="54C0C889"/>
    <w:rsid w:val="54DE3142"/>
    <w:rsid w:val="54E61645"/>
    <w:rsid w:val="54E7094F"/>
    <w:rsid w:val="54F7A7F5"/>
    <w:rsid w:val="55032E10"/>
    <w:rsid w:val="5522FBF5"/>
    <w:rsid w:val="5529F68A"/>
    <w:rsid w:val="554FA974"/>
    <w:rsid w:val="55528ABA"/>
    <w:rsid w:val="5570A852"/>
    <w:rsid w:val="55891F96"/>
    <w:rsid w:val="55ADE1AE"/>
    <w:rsid w:val="55AFDD11"/>
    <w:rsid w:val="55BCE0FC"/>
    <w:rsid w:val="55D9360F"/>
    <w:rsid w:val="55DF750D"/>
    <w:rsid w:val="56360CC0"/>
    <w:rsid w:val="566D8399"/>
    <w:rsid w:val="566DEFE6"/>
    <w:rsid w:val="567489EC"/>
    <w:rsid w:val="5686E474"/>
    <w:rsid w:val="56A34837"/>
    <w:rsid w:val="56ACC22E"/>
    <w:rsid w:val="56C49D72"/>
    <w:rsid w:val="56C4A54F"/>
    <w:rsid w:val="56CCE4ED"/>
    <w:rsid w:val="56CE12E1"/>
    <w:rsid w:val="56D3A4E0"/>
    <w:rsid w:val="56DC0D1F"/>
    <w:rsid w:val="572D0634"/>
    <w:rsid w:val="57656E3D"/>
    <w:rsid w:val="576A4FDA"/>
    <w:rsid w:val="577DAF18"/>
    <w:rsid w:val="577F0062"/>
    <w:rsid w:val="5788FF9B"/>
    <w:rsid w:val="578A3E9A"/>
    <w:rsid w:val="578D0194"/>
    <w:rsid w:val="579953E2"/>
    <w:rsid w:val="57A84F5B"/>
    <w:rsid w:val="57C60478"/>
    <w:rsid w:val="57C8938A"/>
    <w:rsid w:val="57D76E3E"/>
    <w:rsid w:val="57F2DE94"/>
    <w:rsid w:val="57F398EE"/>
    <w:rsid w:val="580131EA"/>
    <w:rsid w:val="5805BEA4"/>
    <w:rsid w:val="58264429"/>
    <w:rsid w:val="58313518"/>
    <w:rsid w:val="5836233A"/>
    <w:rsid w:val="58434E4F"/>
    <w:rsid w:val="584CAA21"/>
    <w:rsid w:val="584D5761"/>
    <w:rsid w:val="58603C41"/>
    <w:rsid w:val="58622367"/>
    <w:rsid w:val="58684783"/>
    <w:rsid w:val="586A0C74"/>
    <w:rsid w:val="58934895"/>
    <w:rsid w:val="58AE7E44"/>
    <w:rsid w:val="58BBB7CD"/>
    <w:rsid w:val="58BD2E47"/>
    <w:rsid w:val="58CDB3FB"/>
    <w:rsid w:val="58EAA648"/>
    <w:rsid w:val="58F2DF7E"/>
    <w:rsid w:val="58F91E8C"/>
    <w:rsid w:val="5905CD8A"/>
    <w:rsid w:val="59248062"/>
    <w:rsid w:val="59271D6A"/>
    <w:rsid w:val="592CDACB"/>
    <w:rsid w:val="59356004"/>
    <w:rsid w:val="594C96A3"/>
    <w:rsid w:val="595473C0"/>
    <w:rsid w:val="595D187D"/>
    <w:rsid w:val="596CA3CA"/>
    <w:rsid w:val="597825F3"/>
    <w:rsid w:val="597EA635"/>
    <w:rsid w:val="599738E1"/>
    <w:rsid w:val="59A58556"/>
    <w:rsid w:val="59A6C01C"/>
    <w:rsid w:val="59B2FB04"/>
    <w:rsid w:val="59F09734"/>
    <w:rsid w:val="5A1285BC"/>
    <w:rsid w:val="5A1E67B7"/>
    <w:rsid w:val="5A213C23"/>
    <w:rsid w:val="5A3035F9"/>
    <w:rsid w:val="5A372E07"/>
    <w:rsid w:val="5A4273EE"/>
    <w:rsid w:val="5A4CF145"/>
    <w:rsid w:val="5A51F265"/>
    <w:rsid w:val="5A6A8F4A"/>
    <w:rsid w:val="5A7C42B6"/>
    <w:rsid w:val="5A8F82E6"/>
    <w:rsid w:val="5A9ECC86"/>
    <w:rsid w:val="5AA29C09"/>
    <w:rsid w:val="5AA63926"/>
    <w:rsid w:val="5AAD8CCD"/>
    <w:rsid w:val="5AB056D6"/>
    <w:rsid w:val="5ACE0F7A"/>
    <w:rsid w:val="5B1D0002"/>
    <w:rsid w:val="5B29BAF0"/>
    <w:rsid w:val="5B2B2E1D"/>
    <w:rsid w:val="5B335F2B"/>
    <w:rsid w:val="5B4286D9"/>
    <w:rsid w:val="5B451D2A"/>
    <w:rsid w:val="5B540E18"/>
    <w:rsid w:val="5B54C2BA"/>
    <w:rsid w:val="5B861EFE"/>
    <w:rsid w:val="5B8E01AF"/>
    <w:rsid w:val="5B905355"/>
    <w:rsid w:val="5BAA0F78"/>
    <w:rsid w:val="5BCFBF07"/>
    <w:rsid w:val="5BD8A4D5"/>
    <w:rsid w:val="5BE751DC"/>
    <w:rsid w:val="5BE9C327"/>
    <w:rsid w:val="5C12F435"/>
    <w:rsid w:val="5C1E5DB2"/>
    <w:rsid w:val="5C219A37"/>
    <w:rsid w:val="5C2B484F"/>
    <w:rsid w:val="5C2CE458"/>
    <w:rsid w:val="5C2FF5BC"/>
    <w:rsid w:val="5C35F2BF"/>
    <w:rsid w:val="5C4DBC17"/>
    <w:rsid w:val="5C60DA44"/>
    <w:rsid w:val="5C737ED6"/>
    <w:rsid w:val="5C7EE8FB"/>
    <w:rsid w:val="5CA6F4F9"/>
    <w:rsid w:val="5CC43680"/>
    <w:rsid w:val="5CCBE381"/>
    <w:rsid w:val="5CF27B6A"/>
    <w:rsid w:val="5CF310C9"/>
    <w:rsid w:val="5D02B306"/>
    <w:rsid w:val="5D10FD66"/>
    <w:rsid w:val="5D16FCB2"/>
    <w:rsid w:val="5D2D190D"/>
    <w:rsid w:val="5D45F4AC"/>
    <w:rsid w:val="5D4DF864"/>
    <w:rsid w:val="5D5E3957"/>
    <w:rsid w:val="5D616275"/>
    <w:rsid w:val="5D7D8AA7"/>
    <w:rsid w:val="5D92B83F"/>
    <w:rsid w:val="5D9F6A78"/>
    <w:rsid w:val="5DA699A0"/>
    <w:rsid w:val="5DC3D23E"/>
    <w:rsid w:val="5DD43825"/>
    <w:rsid w:val="5DD51995"/>
    <w:rsid w:val="5DDF8081"/>
    <w:rsid w:val="5DE907F5"/>
    <w:rsid w:val="5DE9ECE3"/>
    <w:rsid w:val="5DF37595"/>
    <w:rsid w:val="5DFF1C67"/>
    <w:rsid w:val="5E1798C1"/>
    <w:rsid w:val="5E3AA685"/>
    <w:rsid w:val="5E5534EB"/>
    <w:rsid w:val="5E56DC0E"/>
    <w:rsid w:val="5E7D1C91"/>
    <w:rsid w:val="5E814DC7"/>
    <w:rsid w:val="5E83B18E"/>
    <w:rsid w:val="5E848DDC"/>
    <w:rsid w:val="5E87313F"/>
    <w:rsid w:val="5EB8FDC1"/>
    <w:rsid w:val="5EC15818"/>
    <w:rsid w:val="5EC488DB"/>
    <w:rsid w:val="5EDEBAAA"/>
    <w:rsid w:val="5EEC0F7F"/>
    <w:rsid w:val="5EF17C0D"/>
    <w:rsid w:val="5EF2BF2F"/>
    <w:rsid w:val="5F0253E1"/>
    <w:rsid w:val="5F241004"/>
    <w:rsid w:val="5F330602"/>
    <w:rsid w:val="5F3D4E60"/>
    <w:rsid w:val="5F87A7C1"/>
    <w:rsid w:val="5FA7207F"/>
    <w:rsid w:val="5FA987DB"/>
    <w:rsid w:val="5FA9A625"/>
    <w:rsid w:val="5FB98D75"/>
    <w:rsid w:val="5FBAF810"/>
    <w:rsid w:val="5FBBEEAF"/>
    <w:rsid w:val="5FBCD225"/>
    <w:rsid w:val="5FCD717F"/>
    <w:rsid w:val="5FCD874E"/>
    <w:rsid w:val="5FCEC64F"/>
    <w:rsid w:val="5FD5AF56"/>
    <w:rsid w:val="5FF5588E"/>
    <w:rsid w:val="5FF5F66A"/>
    <w:rsid w:val="600E9E22"/>
    <w:rsid w:val="60114D50"/>
    <w:rsid w:val="605F3BC5"/>
    <w:rsid w:val="6064659F"/>
    <w:rsid w:val="60821A07"/>
    <w:rsid w:val="60881EF9"/>
    <w:rsid w:val="608FD0C1"/>
    <w:rsid w:val="609C99E5"/>
    <w:rsid w:val="60A73C79"/>
    <w:rsid w:val="60AD24C9"/>
    <w:rsid w:val="60BE00BC"/>
    <w:rsid w:val="60C3AE58"/>
    <w:rsid w:val="60C55144"/>
    <w:rsid w:val="60F7DA21"/>
    <w:rsid w:val="6131C426"/>
    <w:rsid w:val="61362DE9"/>
    <w:rsid w:val="613F1A0B"/>
    <w:rsid w:val="614D476A"/>
    <w:rsid w:val="616ED67E"/>
    <w:rsid w:val="6180B775"/>
    <w:rsid w:val="618850D9"/>
    <w:rsid w:val="6189D0E8"/>
    <w:rsid w:val="618C4D65"/>
    <w:rsid w:val="619AEC01"/>
    <w:rsid w:val="61AD8867"/>
    <w:rsid w:val="61BE4496"/>
    <w:rsid w:val="61D8AC84"/>
    <w:rsid w:val="61F83890"/>
    <w:rsid w:val="61FB5BAE"/>
    <w:rsid w:val="62037B09"/>
    <w:rsid w:val="6203CBEA"/>
    <w:rsid w:val="620ACE96"/>
    <w:rsid w:val="6210403B"/>
    <w:rsid w:val="62132628"/>
    <w:rsid w:val="621BF134"/>
    <w:rsid w:val="624C2A80"/>
    <w:rsid w:val="6256D651"/>
    <w:rsid w:val="6271C3F4"/>
    <w:rsid w:val="6287B037"/>
    <w:rsid w:val="62A101AD"/>
    <w:rsid w:val="62A7324D"/>
    <w:rsid w:val="62BFB7FB"/>
    <w:rsid w:val="62CCCFF8"/>
    <w:rsid w:val="62D939D0"/>
    <w:rsid w:val="62D9E303"/>
    <w:rsid w:val="62DF6B57"/>
    <w:rsid w:val="62E18F65"/>
    <w:rsid w:val="62EAC59C"/>
    <w:rsid w:val="62F5438E"/>
    <w:rsid w:val="630964A2"/>
    <w:rsid w:val="63215E67"/>
    <w:rsid w:val="632AF083"/>
    <w:rsid w:val="634BA80F"/>
    <w:rsid w:val="63597831"/>
    <w:rsid w:val="635CB259"/>
    <w:rsid w:val="635E906D"/>
    <w:rsid w:val="63600F0D"/>
    <w:rsid w:val="63617730"/>
    <w:rsid w:val="6374480B"/>
    <w:rsid w:val="638AD3B6"/>
    <w:rsid w:val="63956720"/>
    <w:rsid w:val="63A2BE7E"/>
    <w:rsid w:val="63ACA088"/>
    <w:rsid w:val="63B21EE7"/>
    <w:rsid w:val="63CA6467"/>
    <w:rsid w:val="63D31107"/>
    <w:rsid w:val="63F4D17F"/>
    <w:rsid w:val="640B79FE"/>
    <w:rsid w:val="642227F5"/>
    <w:rsid w:val="642743AE"/>
    <w:rsid w:val="642A4C10"/>
    <w:rsid w:val="6442F952"/>
    <w:rsid w:val="6455EFA1"/>
    <w:rsid w:val="64682672"/>
    <w:rsid w:val="64799124"/>
    <w:rsid w:val="6491EBBE"/>
    <w:rsid w:val="64AF8905"/>
    <w:rsid w:val="64AFDAF5"/>
    <w:rsid w:val="64BD3571"/>
    <w:rsid w:val="64CED591"/>
    <w:rsid w:val="64EBFC84"/>
    <w:rsid w:val="64F3B9AE"/>
    <w:rsid w:val="64F4FBDD"/>
    <w:rsid w:val="650F2736"/>
    <w:rsid w:val="6519DC1E"/>
    <w:rsid w:val="6527CBB5"/>
    <w:rsid w:val="6541B262"/>
    <w:rsid w:val="655C37E2"/>
    <w:rsid w:val="655E66CF"/>
    <w:rsid w:val="6565DF68"/>
    <w:rsid w:val="65A2A176"/>
    <w:rsid w:val="65A6B7A2"/>
    <w:rsid w:val="65ACA837"/>
    <w:rsid w:val="65ADD188"/>
    <w:rsid w:val="65BD2772"/>
    <w:rsid w:val="65BEFA36"/>
    <w:rsid w:val="65D9B7FA"/>
    <w:rsid w:val="65DAFDB4"/>
    <w:rsid w:val="65ED0C03"/>
    <w:rsid w:val="65F818CC"/>
    <w:rsid w:val="6626B34E"/>
    <w:rsid w:val="66397D87"/>
    <w:rsid w:val="6644FDCF"/>
    <w:rsid w:val="66453DE3"/>
    <w:rsid w:val="664D3355"/>
    <w:rsid w:val="6656C7EC"/>
    <w:rsid w:val="665708D7"/>
    <w:rsid w:val="665B04DA"/>
    <w:rsid w:val="66659C8D"/>
    <w:rsid w:val="666C3D42"/>
    <w:rsid w:val="66839C24"/>
    <w:rsid w:val="668CB6FD"/>
    <w:rsid w:val="668E0FFF"/>
    <w:rsid w:val="668F7C88"/>
    <w:rsid w:val="669E1337"/>
    <w:rsid w:val="66B2ECF1"/>
    <w:rsid w:val="66CE8120"/>
    <w:rsid w:val="66CE827F"/>
    <w:rsid w:val="66D973D0"/>
    <w:rsid w:val="66DE7039"/>
    <w:rsid w:val="66E20AB0"/>
    <w:rsid w:val="6702A122"/>
    <w:rsid w:val="67195934"/>
    <w:rsid w:val="672766FA"/>
    <w:rsid w:val="6727A339"/>
    <w:rsid w:val="6727CA0A"/>
    <w:rsid w:val="672966B9"/>
    <w:rsid w:val="6741DFDE"/>
    <w:rsid w:val="6744A406"/>
    <w:rsid w:val="6751E662"/>
    <w:rsid w:val="675302DE"/>
    <w:rsid w:val="675D5C3B"/>
    <w:rsid w:val="6772099C"/>
    <w:rsid w:val="67754E88"/>
    <w:rsid w:val="67827E9E"/>
    <w:rsid w:val="67991249"/>
    <w:rsid w:val="67A0BAE4"/>
    <w:rsid w:val="67A786AA"/>
    <w:rsid w:val="67A8E586"/>
    <w:rsid w:val="67E0D094"/>
    <w:rsid w:val="67E6F808"/>
    <w:rsid w:val="67EA5E1B"/>
    <w:rsid w:val="68261EEC"/>
    <w:rsid w:val="68367BC8"/>
    <w:rsid w:val="6838ECCC"/>
    <w:rsid w:val="6842B01B"/>
    <w:rsid w:val="684303A0"/>
    <w:rsid w:val="684873D6"/>
    <w:rsid w:val="68602A50"/>
    <w:rsid w:val="686A5FEC"/>
    <w:rsid w:val="686ABE5A"/>
    <w:rsid w:val="686E56A3"/>
    <w:rsid w:val="687CF973"/>
    <w:rsid w:val="6894DCAA"/>
    <w:rsid w:val="68963042"/>
    <w:rsid w:val="68998855"/>
    <w:rsid w:val="689C3973"/>
    <w:rsid w:val="689ED704"/>
    <w:rsid w:val="68A44AAD"/>
    <w:rsid w:val="68B29B61"/>
    <w:rsid w:val="68B2D4F7"/>
    <w:rsid w:val="68BEDC28"/>
    <w:rsid w:val="68CA51F3"/>
    <w:rsid w:val="68DA92F7"/>
    <w:rsid w:val="690536CD"/>
    <w:rsid w:val="691AAD26"/>
    <w:rsid w:val="69359E55"/>
    <w:rsid w:val="69366614"/>
    <w:rsid w:val="693E07A6"/>
    <w:rsid w:val="69560E70"/>
    <w:rsid w:val="695B9637"/>
    <w:rsid w:val="695C7F03"/>
    <w:rsid w:val="6984BB12"/>
    <w:rsid w:val="6987C0FB"/>
    <w:rsid w:val="698A6D98"/>
    <w:rsid w:val="69945440"/>
    <w:rsid w:val="699BD82A"/>
    <w:rsid w:val="69B75947"/>
    <w:rsid w:val="69BBD53D"/>
    <w:rsid w:val="69BE36F1"/>
    <w:rsid w:val="69E25CE6"/>
    <w:rsid w:val="6A00E54A"/>
    <w:rsid w:val="6A0589E1"/>
    <w:rsid w:val="6A232D91"/>
    <w:rsid w:val="6A294EA6"/>
    <w:rsid w:val="6A30A5DD"/>
    <w:rsid w:val="6A483F6C"/>
    <w:rsid w:val="6A78B213"/>
    <w:rsid w:val="6A79CF21"/>
    <w:rsid w:val="6A886789"/>
    <w:rsid w:val="6AA428BB"/>
    <w:rsid w:val="6ACC0523"/>
    <w:rsid w:val="6ADAB6CE"/>
    <w:rsid w:val="6ADD6CD8"/>
    <w:rsid w:val="6AE1EB9E"/>
    <w:rsid w:val="6AE5BB50"/>
    <w:rsid w:val="6B281DD8"/>
    <w:rsid w:val="6B2A4D2E"/>
    <w:rsid w:val="6B2DC206"/>
    <w:rsid w:val="6B3A778B"/>
    <w:rsid w:val="6B77EB30"/>
    <w:rsid w:val="6BAB2A28"/>
    <w:rsid w:val="6BBC8214"/>
    <w:rsid w:val="6BC13E3D"/>
    <w:rsid w:val="6BD4BC7A"/>
    <w:rsid w:val="6BDDF7E5"/>
    <w:rsid w:val="6BE42CAC"/>
    <w:rsid w:val="6C007269"/>
    <w:rsid w:val="6C03246C"/>
    <w:rsid w:val="6C16C062"/>
    <w:rsid w:val="6C2914DF"/>
    <w:rsid w:val="6C2A875A"/>
    <w:rsid w:val="6C39665E"/>
    <w:rsid w:val="6C45EE2A"/>
    <w:rsid w:val="6C4FBD15"/>
    <w:rsid w:val="6C5DAEA9"/>
    <w:rsid w:val="6C738395"/>
    <w:rsid w:val="6C73CE7A"/>
    <w:rsid w:val="6C74B9B6"/>
    <w:rsid w:val="6C79DB2C"/>
    <w:rsid w:val="6C7B78CE"/>
    <w:rsid w:val="6C891DB6"/>
    <w:rsid w:val="6C8FC951"/>
    <w:rsid w:val="6C915BB0"/>
    <w:rsid w:val="6C96954F"/>
    <w:rsid w:val="6CA44D23"/>
    <w:rsid w:val="6CA7F373"/>
    <w:rsid w:val="6CABE005"/>
    <w:rsid w:val="6CB68F0A"/>
    <w:rsid w:val="6CF639B6"/>
    <w:rsid w:val="6CFCCA97"/>
    <w:rsid w:val="6CFD3639"/>
    <w:rsid w:val="6D2B5F98"/>
    <w:rsid w:val="6D346765"/>
    <w:rsid w:val="6D35929B"/>
    <w:rsid w:val="6D3672E6"/>
    <w:rsid w:val="6D3870D1"/>
    <w:rsid w:val="6D3D7DD3"/>
    <w:rsid w:val="6D4E4E85"/>
    <w:rsid w:val="6D5E22AA"/>
    <w:rsid w:val="6D994E91"/>
    <w:rsid w:val="6DA4856B"/>
    <w:rsid w:val="6DB15CAE"/>
    <w:rsid w:val="6DBD943E"/>
    <w:rsid w:val="6DBE5996"/>
    <w:rsid w:val="6DC57586"/>
    <w:rsid w:val="6DD65887"/>
    <w:rsid w:val="6DE048B7"/>
    <w:rsid w:val="6DF79D47"/>
    <w:rsid w:val="6E1F20C4"/>
    <w:rsid w:val="6E45CE5A"/>
    <w:rsid w:val="6E84C56A"/>
    <w:rsid w:val="6E88345A"/>
    <w:rsid w:val="6EB2F19C"/>
    <w:rsid w:val="6ECE3F5C"/>
    <w:rsid w:val="6ED793E6"/>
    <w:rsid w:val="6EF48670"/>
    <w:rsid w:val="6EFE3EE7"/>
    <w:rsid w:val="6F3E919F"/>
    <w:rsid w:val="6F42DF3D"/>
    <w:rsid w:val="6F45485F"/>
    <w:rsid w:val="6F5F6BE3"/>
    <w:rsid w:val="6F674A6D"/>
    <w:rsid w:val="6F7672F2"/>
    <w:rsid w:val="6F7BFEC7"/>
    <w:rsid w:val="6F8997CB"/>
    <w:rsid w:val="6F8C2E30"/>
    <w:rsid w:val="6FAB9C3B"/>
    <w:rsid w:val="6FB1798E"/>
    <w:rsid w:val="6FB30FEF"/>
    <w:rsid w:val="6FC45930"/>
    <w:rsid w:val="6FCA8AC0"/>
    <w:rsid w:val="6FCEAEA4"/>
    <w:rsid w:val="6FD91E33"/>
    <w:rsid w:val="6FDA809C"/>
    <w:rsid w:val="6FE26F54"/>
    <w:rsid w:val="6FE70AED"/>
    <w:rsid w:val="6FECBE7C"/>
    <w:rsid w:val="700289CE"/>
    <w:rsid w:val="7013D066"/>
    <w:rsid w:val="702400B3"/>
    <w:rsid w:val="702797DC"/>
    <w:rsid w:val="7054986C"/>
    <w:rsid w:val="705DDDFC"/>
    <w:rsid w:val="70639E67"/>
    <w:rsid w:val="70678278"/>
    <w:rsid w:val="7077C473"/>
    <w:rsid w:val="7083219D"/>
    <w:rsid w:val="70A5FFD4"/>
    <w:rsid w:val="70B4808F"/>
    <w:rsid w:val="70F6D1F6"/>
    <w:rsid w:val="71009641"/>
    <w:rsid w:val="71267C4D"/>
    <w:rsid w:val="7138F69E"/>
    <w:rsid w:val="71533FD7"/>
    <w:rsid w:val="715AC7CB"/>
    <w:rsid w:val="7160C230"/>
    <w:rsid w:val="71943E91"/>
    <w:rsid w:val="71AA4309"/>
    <w:rsid w:val="71D4CA7B"/>
    <w:rsid w:val="71E6372C"/>
    <w:rsid w:val="71ED0865"/>
    <w:rsid w:val="72340183"/>
    <w:rsid w:val="7238CA30"/>
    <w:rsid w:val="725DDECB"/>
    <w:rsid w:val="72654AAF"/>
    <w:rsid w:val="72670AD2"/>
    <w:rsid w:val="72750490"/>
    <w:rsid w:val="727D9A60"/>
    <w:rsid w:val="72901F95"/>
    <w:rsid w:val="72A639D4"/>
    <w:rsid w:val="72BFD116"/>
    <w:rsid w:val="72CB7B7F"/>
    <w:rsid w:val="72CD3928"/>
    <w:rsid w:val="72D116AF"/>
    <w:rsid w:val="72D2BF80"/>
    <w:rsid w:val="72DBA42E"/>
    <w:rsid w:val="72DE3F42"/>
    <w:rsid w:val="72E738A0"/>
    <w:rsid w:val="72FD36A6"/>
    <w:rsid w:val="730E4378"/>
    <w:rsid w:val="732188E7"/>
    <w:rsid w:val="7323243B"/>
    <w:rsid w:val="73316C59"/>
    <w:rsid w:val="7336717B"/>
    <w:rsid w:val="73427C7F"/>
    <w:rsid w:val="734CE47B"/>
    <w:rsid w:val="736CC079"/>
    <w:rsid w:val="73999D94"/>
    <w:rsid w:val="73A12A2A"/>
    <w:rsid w:val="73B0557E"/>
    <w:rsid w:val="73B9C9FA"/>
    <w:rsid w:val="73C79E24"/>
    <w:rsid w:val="73E92546"/>
    <w:rsid w:val="7406B59F"/>
    <w:rsid w:val="740B01B3"/>
    <w:rsid w:val="740D2634"/>
    <w:rsid w:val="740E2633"/>
    <w:rsid w:val="74104F4E"/>
    <w:rsid w:val="7418D355"/>
    <w:rsid w:val="742B63DE"/>
    <w:rsid w:val="742CEFDD"/>
    <w:rsid w:val="7435FAC5"/>
    <w:rsid w:val="74376C27"/>
    <w:rsid w:val="743B2317"/>
    <w:rsid w:val="7459A8BE"/>
    <w:rsid w:val="74645631"/>
    <w:rsid w:val="74709492"/>
    <w:rsid w:val="749AA24C"/>
    <w:rsid w:val="74A1C863"/>
    <w:rsid w:val="74BB4577"/>
    <w:rsid w:val="74CB36B9"/>
    <w:rsid w:val="74CD799B"/>
    <w:rsid w:val="74D76087"/>
    <w:rsid w:val="75064C96"/>
    <w:rsid w:val="7507A93E"/>
    <w:rsid w:val="7525983F"/>
    <w:rsid w:val="752C98E8"/>
    <w:rsid w:val="752E5366"/>
    <w:rsid w:val="7548447D"/>
    <w:rsid w:val="75517D56"/>
    <w:rsid w:val="75525091"/>
    <w:rsid w:val="755E87E8"/>
    <w:rsid w:val="75799216"/>
    <w:rsid w:val="757D1C2A"/>
    <w:rsid w:val="7587F632"/>
    <w:rsid w:val="758E3C89"/>
    <w:rsid w:val="75901B5C"/>
    <w:rsid w:val="759CB896"/>
    <w:rsid w:val="759EC4E8"/>
    <w:rsid w:val="759F80B6"/>
    <w:rsid w:val="75AD815D"/>
    <w:rsid w:val="75C19E1B"/>
    <w:rsid w:val="75C94150"/>
    <w:rsid w:val="75CC28A5"/>
    <w:rsid w:val="75D926C3"/>
    <w:rsid w:val="75F18232"/>
    <w:rsid w:val="75FC33E5"/>
    <w:rsid w:val="76037448"/>
    <w:rsid w:val="76078456"/>
    <w:rsid w:val="761D179C"/>
    <w:rsid w:val="76468FE7"/>
    <w:rsid w:val="7647813A"/>
    <w:rsid w:val="764A1534"/>
    <w:rsid w:val="7658AA06"/>
    <w:rsid w:val="7661DBFA"/>
    <w:rsid w:val="76638C24"/>
    <w:rsid w:val="7666B50E"/>
    <w:rsid w:val="76B50557"/>
    <w:rsid w:val="76E9B86E"/>
    <w:rsid w:val="76F80239"/>
    <w:rsid w:val="76F929B1"/>
    <w:rsid w:val="771B4A78"/>
    <w:rsid w:val="772B77C6"/>
    <w:rsid w:val="775A0E7C"/>
    <w:rsid w:val="776A0802"/>
    <w:rsid w:val="77939752"/>
    <w:rsid w:val="77A20768"/>
    <w:rsid w:val="77A62679"/>
    <w:rsid w:val="77ADFDF3"/>
    <w:rsid w:val="77BFCCFD"/>
    <w:rsid w:val="77C18266"/>
    <w:rsid w:val="77D7B48C"/>
    <w:rsid w:val="77EEF07C"/>
    <w:rsid w:val="77F5D923"/>
    <w:rsid w:val="780B8C8E"/>
    <w:rsid w:val="781CA05A"/>
    <w:rsid w:val="78322B98"/>
    <w:rsid w:val="78353AEA"/>
    <w:rsid w:val="7838D063"/>
    <w:rsid w:val="78476B4E"/>
    <w:rsid w:val="7855E0CC"/>
    <w:rsid w:val="785BDDBF"/>
    <w:rsid w:val="7868862B"/>
    <w:rsid w:val="786A079D"/>
    <w:rsid w:val="78730247"/>
    <w:rsid w:val="788E0398"/>
    <w:rsid w:val="788FB9F8"/>
    <w:rsid w:val="78BDD276"/>
    <w:rsid w:val="78E9BD19"/>
    <w:rsid w:val="791F6922"/>
    <w:rsid w:val="79228C72"/>
    <w:rsid w:val="7929D21F"/>
    <w:rsid w:val="792F0165"/>
    <w:rsid w:val="792FA819"/>
    <w:rsid w:val="7932BF02"/>
    <w:rsid w:val="7950F208"/>
    <w:rsid w:val="7951218C"/>
    <w:rsid w:val="796C2BB6"/>
    <w:rsid w:val="7984A744"/>
    <w:rsid w:val="798CE726"/>
    <w:rsid w:val="79A1E267"/>
    <w:rsid w:val="79A43A92"/>
    <w:rsid w:val="79A5E2EC"/>
    <w:rsid w:val="79BA8550"/>
    <w:rsid w:val="79D6452B"/>
    <w:rsid w:val="79F3CB50"/>
    <w:rsid w:val="7A145A99"/>
    <w:rsid w:val="7A1B6DB8"/>
    <w:rsid w:val="7A1BB5E5"/>
    <w:rsid w:val="7A246D5F"/>
    <w:rsid w:val="7A32C71A"/>
    <w:rsid w:val="7A39F761"/>
    <w:rsid w:val="7A40BC89"/>
    <w:rsid w:val="7A666047"/>
    <w:rsid w:val="7A6BA980"/>
    <w:rsid w:val="7A76455B"/>
    <w:rsid w:val="7A7B7DA9"/>
    <w:rsid w:val="7A93BA61"/>
    <w:rsid w:val="7AA5B130"/>
    <w:rsid w:val="7ABA9DDE"/>
    <w:rsid w:val="7ABAE373"/>
    <w:rsid w:val="7AC1FB1B"/>
    <w:rsid w:val="7ACF2FA6"/>
    <w:rsid w:val="7ACFCB82"/>
    <w:rsid w:val="7AE0C996"/>
    <w:rsid w:val="7AE7BF35"/>
    <w:rsid w:val="7AEE9BDE"/>
    <w:rsid w:val="7AF10E4F"/>
    <w:rsid w:val="7AFD3630"/>
    <w:rsid w:val="7B07F654"/>
    <w:rsid w:val="7B08D35B"/>
    <w:rsid w:val="7B153D6D"/>
    <w:rsid w:val="7B159C3B"/>
    <w:rsid w:val="7B1FC19C"/>
    <w:rsid w:val="7B2761E8"/>
    <w:rsid w:val="7B30D198"/>
    <w:rsid w:val="7B79E0A7"/>
    <w:rsid w:val="7B7C6128"/>
    <w:rsid w:val="7B855768"/>
    <w:rsid w:val="7BBC55CA"/>
    <w:rsid w:val="7BC33A5B"/>
    <w:rsid w:val="7BC50640"/>
    <w:rsid w:val="7BF5898D"/>
    <w:rsid w:val="7C004402"/>
    <w:rsid w:val="7C0505CE"/>
    <w:rsid w:val="7C0932CB"/>
    <w:rsid w:val="7C0A1A40"/>
    <w:rsid w:val="7C32436C"/>
    <w:rsid w:val="7C40EB22"/>
    <w:rsid w:val="7C4DEC7B"/>
    <w:rsid w:val="7C5312B2"/>
    <w:rsid w:val="7C5E1A80"/>
    <w:rsid w:val="7C621A36"/>
    <w:rsid w:val="7C70ADFB"/>
    <w:rsid w:val="7C767527"/>
    <w:rsid w:val="7C91A087"/>
    <w:rsid w:val="7CCA5A79"/>
    <w:rsid w:val="7CE527C3"/>
    <w:rsid w:val="7CE7E840"/>
    <w:rsid w:val="7CEBBA4D"/>
    <w:rsid w:val="7CFA1F63"/>
    <w:rsid w:val="7D026E1D"/>
    <w:rsid w:val="7D157A95"/>
    <w:rsid w:val="7D27E2F3"/>
    <w:rsid w:val="7D3573CF"/>
    <w:rsid w:val="7D38A5A2"/>
    <w:rsid w:val="7D3DD883"/>
    <w:rsid w:val="7D56CED4"/>
    <w:rsid w:val="7D5757CA"/>
    <w:rsid w:val="7D5DED11"/>
    <w:rsid w:val="7D6FC06B"/>
    <w:rsid w:val="7D79CBB9"/>
    <w:rsid w:val="7D8F569D"/>
    <w:rsid w:val="7DBA60A9"/>
    <w:rsid w:val="7DE17E46"/>
    <w:rsid w:val="7DFD7FA2"/>
    <w:rsid w:val="7E0DD0D6"/>
    <w:rsid w:val="7E0DF63F"/>
    <w:rsid w:val="7E1BB402"/>
    <w:rsid w:val="7E1BFC29"/>
    <w:rsid w:val="7E2A516F"/>
    <w:rsid w:val="7E31566C"/>
    <w:rsid w:val="7E34D291"/>
    <w:rsid w:val="7E37CC40"/>
    <w:rsid w:val="7E3B9308"/>
    <w:rsid w:val="7E41AF90"/>
    <w:rsid w:val="7E4AA58E"/>
    <w:rsid w:val="7E77DE36"/>
    <w:rsid w:val="7E7C7704"/>
    <w:rsid w:val="7E852024"/>
    <w:rsid w:val="7E8F669F"/>
    <w:rsid w:val="7E93953A"/>
    <w:rsid w:val="7EA250A9"/>
    <w:rsid w:val="7EC1F732"/>
    <w:rsid w:val="7EC6EB75"/>
    <w:rsid w:val="7EC86B55"/>
    <w:rsid w:val="7ED0BF37"/>
    <w:rsid w:val="7F081F48"/>
    <w:rsid w:val="7F0AB1B6"/>
    <w:rsid w:val="7F120414"/>
    <w:rsid w:val="7F1B90DB"/>
    <w:rsid w:val="7F26C1AA"/>
    <w:rsid w:val="7F3699B8"/>
    <w:rsid w:val="7F65D399"/>
    <w:rsid w:val="7F68104E"/>
    <w:rsid w:val="7F7684F0"/>
    <w:rsid w:val="7F7DE251"/>
    <w:rsid w:val="7F882979"/>
    <w:rsid w:val="7F914BAC"/>
    <w:rsid w:val="7F9B150D"/>
    <w:rsid w:val="7FAD2306"/>
    <w:rsid w:val="7FB2071C"/>
    <w:rsid w:val="7FB55A75"/>
    <w:rsid w:val="7FB9CF1E"/>
    <w:rsid w:val="7FBBB5AE"/>
    <w:rsid w:val="7FBD90A2"/>
    <w:rsid w:val="7FC2B460"/>
    <w:rsid w:val="7FCC0E38"/>
    <w:rsid w:val="7FDA9F32"/>
    <w:rsid w:val="7FEE6FB8"/>
    <w:rsid w:val="7FF51D7E"/>
    <w:rsid w:val="7FFAC04B"/>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F29F78F"/>
  <w15:docId w15:val="{C36FEE17-FFB3-420B-BAD4-83A02311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82431A"/>
    <w:pPr>
      <w:spacing w:after="120" w:line="280" w:lineRule="atLeast"/>
    </w:pPr>
    <w:rPr>
      <w:rFonts w:ascii="Arial" w:hAnsi="Arial"/>
      <w:sz w:val="21"/>
      <w:lang w:eastAsia="en-US"/>
    </w:rPr>
  </w:style>
  <w:style w:type="paragraph" w:styleId="Heading1">
    <w:name w:val="heading 1"/>
    <w:next w:val="Body"/>
    <w:link w:val="Heading1Char"/>
    <w:uiPriority w:val="1"/>
    <w:qFormat/>
    <w:rsid w:val="00D128B6"/>
    <w:pPr>
      <w:keepNext/>
      <w:keepLines/>
      <w:pageBreakBefore/>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030CDD"/>
    <w:pPr>
      <w:keepNext/>
      <w:keepLines/>
      <w:spacing w:before="360" w:after="120" w:line="34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030CDD"/>
    <w:pPr>
      <w:keepNext/>
      <w:keepLines/>
      <w:spacing w:before="360" w:after="120" w:line="320" w:lineRule="atLeast"/>
      <w:outlineLvl w:val="2"/>
    </w:pPr>
    <w:rPr>
      <w:rFonts w:ascii="Arial" w:eastAsia="MS Gothic" w:hAnsi="Arial"/>
      <w:bCs/>
      <w:color w:val="53565A"/>
      <w:sz w:val="30"/>
      <w:szCs w:val="26"/>
      <w:lang w:eastAsia="en-US"/>
    </w:rPr>
  </w:style>
  <w:style w:type="paragraph" w:styleId="Heading4">
    <w:name w:val="heading 4"/>
    <w:next w:val="Body"/>
    <w:link w:val="Heading4Char"/>
    <w:uiPriority w:val="1"/>
    <w:qFormat/>
    <w:rsid w:val="008E7F78"/>
    <w:pPr>
      <w:keepNext/>
      <w:keepLines/>
      <w:spacing w:before="360" w:after="8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8"/>
    <w:qFormat/>
    <w:rsid w:val="00454A7D"/>
    <w:pPr>
      <w:keepNext/>
      <w:keepLines/>
      <w:spacing w:before="240" w:after="0"/>
      <w:outlineLvl w:val="4"/>
    </w:pPr>
    <w:rPr>
      <w:rFonts w:eastAsia="MS Mincho"/>
      <w:b/>
      <w:bCs/>
      <w:iC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CC3BB0"/>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030CDD"/>
    <w:rPr>
      <w:rFonts w:ascii="Arial" w:hAnsi="Arial"/>
      <w:b/>
      <w:color w:val="53565A"/>
      <w:sz w:val="32"/>
      <w:szCs w:val="28"/>
      <w:lang w:eastAsia="en-US"/>
    </w:rPr>
  </w:style>
  <w:style w:type="character" w:customStyle="1" w:styleId="Heading3Char">
    <w:name w:val="Heading 3 Char"/>
    <w:link w:val="Heading3"/>
    <w:uiPriority w:val="1"/>
    <w:rsid w:val="00030CDD"/>
    <w:rPr>
      <w:rFonts w:ascii="Arial" w:eastAsia="MS Gothic" w:hAnsi="Arial"/>
      <w:bCs/>
      <w:color w:val="53565A"/>
      <w:sz w:val="30"/>
      <w:szCs w:val="26"/>
      <w:lang w:eastAsia="en-US"/>
    </w:rPr>
  </w:style>
  <w:style w:type="character" w:customStyle="1" w:styleId="Heading4Char">
    <w:name w:val="Heading 4 Char"/>
    <w:link w:val="Heading4"/>
    <w:uiPriority w:val="1"/>
    <w:rsid w:val="008E7F78"/>
    <w:rPr>
      <w:rFonts w:ascii="Arial" w:eastAsia="MS Mincho" w:hAnsi="Arial"/>
      <w:b/>
      <w:bCs/>
      <w:color w:val="53565A"/>
      <w:sz w:val="24"/>
      <w:szCs w:val="22"/>
      <w:lang w:eastAsia="en-US"/>
    </w:rPr>
  </w:style>
  <w:style w:type="paragraph" w:styleId="Header">
    <w:name w:val="header"/>
    <w:link w:val="HeaderChar"/>
    <w:uiPriority w:val="10"/>
    <w:rsid w:val="00454A7D"/>
    <w:pPr>
      <w:spacing w:after="300"/>
    </w:pPr>
    <w:rPr>
      <w:rFonts w:ascii="Arial" w:hAnsi="Arial" w:cs="Arial"/>
      <w:b/>
      <w:color w:val="53565A"/>
      <w:sz w:val="18"/>
      <w:szCs w:val="18"/>
      <w:lang w:eastAsia="en-US"/>
    </w:rPr>
  </w:style>
  <w:style w:type="paragraph" w:styleId="Footer">
    <w:name w:val="footer"/>
    <w:uiPriority w:val="8"/>
    <w:rsid w:val="00A13B7A"/>
    <w:pPr>
      <w:spacing w:before="300"/>
      <w:jc w:val="right"/>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9"/>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54A7D"/>
    <w:rPr>
      <w:rFonts w:ascii="Arial" w:eastAsia="MS Mincho" w:hAnsi="Arial"/>
      <w:b/>
      <w:bCs/>
      <w:iCs/>
      <w:color w:val="000000" w:themeColor="text1"/>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800A7F"/>
    <w:pPr>
      <w:spacing w:before="80" w:after="8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C3BB0"/>
    <w:pPr>
      <w:spacing w:after="240" w:line="560" w:lineRule="atLeast"/>
    </w:pPr>
    <w:rPr>
      <w:rFonts w:ascii="Arial" w:hAnsi="Arial"/>
      <w:b/>
      <w:color w:val="201547"/>
      <w:sz w:val="48"/>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numId w:val="7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0B3782"/>
    <w:pPr>
      <w:numPr>
        <w:ilvl w:val="1"/>
        <w:numId w:val="10"/>
      </w:numPr>
      <w:spacing w:after="60"/>
    </w:pPr>
  </w:style>
  <w:style w:type="character" w:customStyle="1" w:styleId="SubtitleChar">
    <w:name w:val="Subtitle Char"/>
    <w:link w:val="Subtitle"/>
    <w:uiPriority w:val="11"/>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10"/>
      </w:numPr>
      <w:spacing w:after="60"/>
    </w:pPr>
  </w:style>
  <w:style w:type="numbering" w:customStyle="1" w:styleId="ZZTablebullets">
    <w:name w:val="ZZ Table bullets"/>
    <w:basedOn w:val="NoList"/>
    <w:rsid w:val="00C60411"/>
    <w:pPr>
      <w:numPr>
        <w:numId w:val="79"/>
      </w:numPr>
    </w:pPr>
  </w:style>
  <w:style w:type="paragraph" w:customStyle="1" w:styleId="Tablecolhead">
    <w:name w:val="Table col head"/>
    <w:uiPriority w:val="3"/>
    <w:qFormat/>
    <w:rsid w:val="00DF0E16"/>
    <w:pPr>
      <w:spacing w:before="80" w:after="60"/>
    </w:pPr>
    <w:rPr>
      <w:rFonts w:ascii="Arial" w:hAnsi="Arial"/>
      <w:b/>
      <w:color w:val="FFFFFF" w:themeColor="background1"/>
      <w:sz w:val="21"/>
      <w:lang w:eastAsia="en-US"/>
    </w:rPr>
  </w:style>
  <w:style w:type="paragraph" w:customStyle="1" w:styleId="Bulletafternumbers1">
    <w:name w:val="Bullet after numbers 1"/>
    <w:basedOn w:val="Body"/>
    <w:uiPriority w:val="4"/>
    <w:rsid w:val="00C60411"/>
    <w:pPr>
      <w:numPr>
        <w:ilvl w:val="2"/>
        <w:numId w:val="8"/>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030CDD"/>
    <w:pPr>
      <w:spacing w:after="120"/>
    </w:pPr>
    <w:rPr>
      <w:rFonts w:ascii="Arial" w:hAnsi="Arial"/>
      <w:color w:val="53565A"/>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9"/>
      </w:numPr>
    </w:pPr>
  </w:style>
  <w:style w:type="numbering" w:customStyle="1" w:styleId="ZZNumbersdigit">
    <w:name w:val="ZZ Numbers digit"/>
    <w:rsid w:val="00C60411"/>
    <w:pPr>
      <w:numPr>
        <w:numId w:val="7"/>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8"/>
      </w:numPr>
    </w:pPr>
  </w:style>
  <w:style w:type="paragraph" w:customStyle="1" w:styleId="Numberloweralphaindent">
    <w:name w:val="Number lower alpha indent"/>
    <w:basedOn w:val="Body"/>
    <w:uiPriority w:val="3"/>
    <w:rsid w:val="00C60411"/>
    <w:pPr>
      <w:numPr>
        <w:ilvl w:val="1"/>
        <w:numId w:val="14"/>
      </w:numPr>
    </w:pPr>
  </w:style>
  <w:style w:type="paragraph" w:customStyle="1" w:styleId="Numberdigitindent">
    <w:name w:val="Number digit indent"/>
    <w:basedOn w:val="Numberloweralphaindent"/>
    <w:uiPriority w:val="3"/>
    <w:rsid w:val="00C60411"/>
    <w:pPr>
      <w:numPr>
        <w:numId w:val="8"/>
      </w:numPr>
    </w:pPr>
  </w:style>
  <w:style w:type="paragraph" w:customStyle="1" w:styleId="Numberloweralpha">
    <w:name w:val="Number lower alpha"/>
    <w:basedOn w:val="Body"/>
    <w:uiPriority w:val="3"/>
    <w:rsid w:val="00C60411"/>
    <w:pPr>
      <w:numPr>
        <w:numId w:val="14"/>
      </w:numPr>
    </w:pPr>
  </w:style>
  <w:style w:type="paragraph" w:customStyle="1" w:styleId="Numberlowerroman">
    <w:name w:val="Number lower roman"/>
    <w:basedOn w:val="Body"/>
    <w:uiPriority w:val="3"/>
    <w:rsid w:val="00C60411"/>
    <w:pPr>
      <w:numPr>
        <w:numId w:val="12"/>
      </w:numPr>
    </w:pPr>
  </w:style>
  <w:style w:type="paragraph" w:customStyle="1" w:styleId="Numberlowerromanindent">
    <w:name w:val="Number lower roman indent"/>
    <w:basedOn w:val="Body"/>
    <w:uiPriority w:val="3"/>
    <w:rsid w:val="00C60411"/>
    <w:pPr>
      <w:numPr>
        <w:ilvl w:val="1"/>
        <w:numId w:val="12"/>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8"/>
      </w:numPr>
    </w:pPr>
  </w:style>
  <w:style w:type="numbering" w:customStyle="1" w:styleId="ZZNumberslowerroman">
    <w:name w:val="ZZ Numbers lower roman"/>
    <w:basedOn w:val="ZZQuotebullets"/>
    <w:rsid w:val="00C60411"/>
    <w:pPr>
      <w:numPr>
        <w:numId w:val="12"/>
      </w:numPr>
    </w:pPr>
  </w:style>
  <w:style w:type="numbering" w:customStyle="1" w:styleId="ZZNumbersloweralpha">
    <w:name w:val="ZZ Numbers lower alpha"/>
    <w:basedOn w:val="NoList"/>
    <w:rsid w:val="00C60411"/>
    <w:pPr>
      <w:numPr>
        <w:numId w:val="13"/>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unhideWhenUsed/>
    <w:rsid w:val="00EE29AD"/>
    <w:rPr>
      <w:b/>
      <w:bCs/>
    </w:rPr>
  </w:style>
  <w:style w:type="character" w:customStyle="1" w:styleId="CommentSubjectChar">
    <w:name w:val="Comment Subject Char"/>
    <w:basedOn w:val="CommentTextChar"/>
    <w:link w:val="CommentSubject"/>
    <w:uiPriority w:val="99"/>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BD6B9D"/>
    <w:pPr>
      <w:spacing w:line="320" w:lineRule="atLeast"/>
    </w:pPr>
    <w:rPr>
      <w:color w:val="201547"/>
      <w:sz w:val="24"/>
    </w:rPr>
  </w:style>
  <w:style w:type="character" w:customStyle="1" w:styleId="eop">
    <w:name w:val="eop"/>
    <w:basedOn w:val="DefaultParagraphFont"/>
    <w:rsid w:val="00BA375B"/>
  </w:style>
  <w:style w:type="paragraph" w:customStyle="1" w:styleId="paragraph">
    <w:name w:val="paragraph"/>
    <w:basedOn w:val="Normal"/>
    <w:rsid w:val="00196474"/>
    <w:pPr>
      <w:spacing w:before="100" w:beforeAutospacing="1" w:after="100" w:afterAutospacing="1" w:line="240" w:lineRule="auto"/>
    </w:pPr>
    <w:rPr>
      <w:rFonts w:ascii="Times New Roman" w:hAnsi="Times New Roman"/>
      <w:sz w:val="24"/>
      <w:szCs w:val="24"/>
      <w:lang w:eastAsia="en-AU"/>
    </w:rPr>
  </w:style>
  <w:style w:type="character" w:customStyle="1" w:styleId="superscript">
    <w:name w:val="superscript"/>
    <w:basedOn w:val="DefaultParagraphFont"/>
    <w:rsid w:val="00F76DCB"/>
  </w:style>
  <w:style w:type="character" w:styleId="Mention">
    <w:name w:val="Mention"/>
    <w:basedOn w:val="DefaultParagraphFont"/>
    <w:uiPriority w:val="99"/>
    <w:unhideWhenUsed/>
    <w:rsid w:val="00DD77D7"/>
    <w:rPr>
      <w:color w:val="2B579A"/>
      <w:shd w:val="clear" w:color="auto" w:fill="E1DFDD"/>
    </w:rPr>
  </w:style>
  <w:style w:type="paragraph" w:styleId="ListParagraph">
    <w:name w:val="List Paragraph"/>
    <w:aliases w:val="Body text indented,dot point 1,List Paragraph1,Recommendation"/>
    <w:basedOn w:val="Normal"/>
    <w:link w:val="ListParagraphChar"/>
    <w:uiPriority w:val="34"/>
    <w:qFormat/>
    <w:rsid w:val="009D124A"/>
    <w:pPr>
      <w:spacing w:after="160" w:line="279" w:lineRule="auto"/>
      <w:ind w:left="720"/>
      <w:contextualSpacing/>
    </w:pPr>
    <w:rPr>
      <w:rFonts w:asciiTheme="minorHAnsi" w:eastAsiaTheme="minorEastAsia" w:hAnsiTheme="minorHAnsi" w:cstheme="minorBidi"/>
      <w:sz w:val="24"/>
      <w:szCs w:val="24"/>
      <w:lang w:val="en-US" w:eastAsia="ja-JP"/>
    </w:rPr>
  </w:style>
  <w:style w:type="paragraph" w:customStyle="1" w:styleId="DHHSbody">
    <w:name w:val="DHHS body"/>
    <w:basedOn w:val="Normal"/>
    <w:link w:val="DHHSbodyChar"/>
    <w:uiPriority w:val="1"/>
    <w:qFormat/>
    <w:rsid w:val="291325BF"/>
    <w:rPr>
      <w:rFonts w:asciiTheme="minorHAnsi" w:eastAsiaTheme="minorEastAsia" w:hAnsiTheme="minorHAnsi" w:cstheme="minorBidi"/>
      <w:sz w:val="20"/>
    </w:rPr>
  </w:style>
  <w:style w:type="character" w:customStyle="1" w:styleId="DHHSbodyChar">
    <w:name w:val="DHHS body Char"/>
    <w:basedOn w:val="DefaultParagraphFont"/>
    <w:link w:val="DHHSbody"/>
    <w:uiPriority w:val="1"/>
    <w:rsid w:val="291325BF"/>
    <w:rPr>
      <w:rFonts w:asciiTheme="minorHAnsi" w:eastAsiaTheme="minorEastAsia" w:hAnsiTheme="minorHAnsi" w:cstheme="minorBidi"/>
      <w:sz w:val="20"/>
      <w:szCs w:val="20"/>
    </w:rPr>
  </w:style>
  <w:style w:type="character" w:customStyle="1" w:styleId="ListParagraphChar">
    <w:name w:val="List Paragraph Char"/>
    <w:aliases w:val="Body text indented Char,dot point 1 Char,List Paragraph1 Char,Recommendation Char"/>
    <w:basedOn w:val="DefaultParagraphFont"/>
    <w:link w:val="ListParagraph"/>
    <w:uiPriority w:val="34"/>
    <w:rsid w:val="00092240"/>
    <w:rPr>
      <w:rFonts w:asciiTheme="minorHAnsi" w:eastAsiaTheme="minorEastAsia" w:hAnsiTheme="minorHAnsi" w:cstheme="minorBidi"/>
      <w:sz w:val="24"/>
      <w:szCs w:val="24"/>
      <w:lang w:val="en-US" w:eastAsia="ja-JP"/>
    </w:rPr>
  </w:style>
  <w:style w:type="character" w:customStyle="1" w:styleId="scxw85155896">
    <w:name w:val="scxw85155896"/>
    <w:basedOn w:val="DefaultParagraphFont"/>
    <w:rsid w:val="00416460"/>
  </w:style>
  <w:style w:type="character" w:customStyle="1" w:styleId="HeaderChar">
    <w:name w:val="Header Char"/>
    <w:basedOn w:val="DefaultParagraphFont"/>
    <w:link w:val="Header"/>
    <w:uiPriority w:val="10"/>
    <w:rsid w:val="007B3539"/>
    <w:rPr>
      <w:rFonts w:ascii="Arial" w:hAnsi="Arial" w:cs="Arial"/>
      <w:b/>
      <w:color w:val="53565A"/>
      <w:sz w:val="18"/>
      <w:szCs w:val="18"/>
      <w:lang w:eastAsia="en-US"/>
    </w:rPr>
  </w:style>
  <w:style w:type="paragraph" w:customStyle="1" w:styleId="DHTablebullet2">
    <w:name w:val="DH Table bullet 2"/>
    <w:basedOn w:val="Tablebullet2"/>
    <w:uiPriority w:val="11"/>
    <w:rsid w:val="001F05DB"/>
  </w:style>
  <w:style w:type="paragraph" w:customStyle="1" w:styleId="Default">
    <w:name w:val="Default"/>
    <w:rsid w:val="008C057D"/>
    <w:pPr>
      <w:autoSpaceDE w:val="0"/>
      <w:autoSpaceDN w:val="0"/>
      <w:adjustRightInd w:val="0"/>
    </w:pPr>
    <w:rPr>
      <w:rFonts w:ascii="VIC" w:eastAsiaTheme="minorHAnsi" w:hAnsi="VIC" w:cs="VIC"/>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2232">
      <w:bodyDiv w:val="1"/>
      <w:marLeft w:val="0"/>
      <w:marRight w:val="0"/>
      <w:marTop w:val="0"/>
      <w:marBottom w:val="0"/>
      <w:divBdr>
        <w:top w:val="none" w:sz="0" w:space="0" w:color="auto"/>
        <w:left w:val="none" w:sz="0" w:space="0" w:color="auto"/>
        <w:bottom w:val="none" w:sz="0" w:space="0" w:color="auto"/>
        <w:right w:val="none" w:sz="0" w:space="0" w:color="auto"/>
      </w:divBdr>
      <w:divsChild>
        <w:div w:id="223882783">
          <w:marLeft w:val="0"/>
          <w:marRight w:val="0"/>
          <w:marTop w:val="0"/>
          <w:marBottom w:val="0"/>
          <w:divBdr>
            <w:top w:val="none" w:sz="0" w:space="0" w:color="auto"/>
            <w:left w:val="none" w:sz="0" w:space="0" w:color="auto"/>
            <w:bottom w:val="none" w:sz="0" w:space="0" w:color="auto"/>
            <w:right w:val="none" w:sz="0" w:space="0" w:color="auto"/>
          </w:divBdr>
          <w:divsChild>
            <w:div w:id="1694919191">
              <w:marLeft w:val="0"/>
              <w:marRight w:val="0"/>
              <w:marTop w:val="30"/>
              <w:marBottom w:val="30"/>
              <w:divBdr>
                <w:top w:val="none" w:sz="0" w:space="0" w:color="auto"/>
                <w:left w:val="none" w:sz="0" w:space="0" w:color="auto"/>
                <w:bottom w:val="none" w:sz="0" w:space="0" w:color="auto"/>
                <w:right w:val="none" w:sz="0" w:space="0" w:color="auto"/>
              </w:divBdr>
              <w:divsChild>
                <w:div w:id="115686979">
                  <w:marLeft w:val="0"/>
                  <w:marRight w:val="0"/>
                  <w:marTop w:val="0"/>
                  <w:marBottom w:val="0"/>
                  <w:divBdr>
                    <w:top w:val="none" w:sz="0" w:space="0" w:color="auto"/>
                    <w:left w:val="none" w:sz="0" w:space="0" w:color="auto"/>
                    <w:bottom w:val="none" w:sz="0" w:space="0" w:color="auto"/>
                    <w:right w:val="none" w:sz="0" w:space="0" w:color="auto"/>
                  </w:divBdr>
                  <w:divsChild>
                    <w:div w:id="695430068">
                      <w:marLeft w:val="0"/>
                      <w:marRight w:val="0"/>
                      <w:marTop w:val="0"/>
                      <w:marBottom w:val="0"/>
                      <w:divBdr>
                        <w:top w:val="none" w:sz="0" w:space="0" w:color="auto"/>
                        <w:left w:val="none" w:sz="0" w:space="0" w:color="auto"/>
                        <w:bottom w:val="none" w:sz="0" w:space="0" w:color="auto"/>
                        <w:right w:val="none" w:sz="0" w:space="0" w:color="auto"/>
                      </w:divBdr>
                    </w:div>
                  </w:divsChild>
                </w:div>
                <w:div w:id="209418246">
                  <w:marLeft w:val="0"/>
                  <w:marRight w:val="0"/>
                  <w:marTop w:val="0"/>
                  <w:marBottom w:val="0"/>
                  <w:divBdr>
                    <w:top w:val="none" w:sz="0" w:space="0" w:color="auto"/>
                    <w:left w:val="none" w:sz="0" w:space="0" w:color="auto"/>
                    <w:bottom w:val="none" w:sz="0" w:space="0" w:color="auto"/>
                    <w:right w:val="none" w:sz="0" w:space="0" w:color="auto"/>
                  </w:divBdr>
                  <w:divsChild>
                    <w:div w:id="1212687079">
                      <w:marLeft w:val="0"/>
                      <w:marRight w:val="0"/>
                      <w:marTop w:val="0"/>
                      <w:marBottom w:val="0"/>
                      <w:divBdr>
                        <w:top w:val="none" w:sz="0" w:space="0" w:color="auto"/>
                        <w:left w:val="none" w:sz="0" w:space="0" w:color="auto"/>
                        <w:bottom w:val="none" w:sz="0" w:space="0" w:color="auto"/>
                        <w:right w:val="none" w:sz="0" w:space="0" w:color="auto"/>
                      </w:divBdr>
                    </w:div>
                  </w:divsChild>
                </w:div>
                <w:div w:id="224415441">
                  <w:marLeft w:val="0"/>
                  <w:marRight w:val="0"/>
                  <w:marTop w:val="0"/>
                  <w:marBottom w:val="0"/>
                  <w:divBdr>
                    <w:top w:val="none" w:sz="0" w:space="0" w:color="auto"/>
                    <w:left w:val="none" w:sz="0" w:space="0" w:color="auto"/>
                    <w:bottom w:val="none" w:sz="0" w:space="0" w:color="auto"/>
                    <w:right w:val="none" w:sz="0" w:space="0" w:color="auto"/>
                  </w:divBdr>
                  <w:divsChild>
                    <w:div w:id="451097887">
                      <w:marLeft w:val="0"/>
                      <w:marRight w:val="0"/>
                      <w:marTop w:val="0"/>
                      <w:marBottom w:val="0"/>
                      <w:divBdr>
                        <w:top w:val="none" w:sz="0" w:space="0" w:color="auto"/>
                        <w:left w:val="none" w:sz="0" w:space="0" w:color="auto"/>
                        <w:bottom w:val="none" w:sz="0" w:space="0" w:color="auto"/>
                        <w:right w:val="none" w:sz="0" w:space="0" w:color="auto"/>
                      </w:divBdr>
                    </w:div>
                  </w:divsChild>
                </w:div>
                <w:div w:id="412431346">
                  <w:marLeft w:val="0"/>
                  <w:marRight w:val="0"/>
                  <w:marTop w:val="0"/>
                  <w:marBottom w:val="0"/>
                  <w:divBdr>
                    <w:top w:val="none" w:sz="0" w:space="0" w:color="auto"/>
                    <w:left w:val="none" w:sz="0" w:space="0" w:color="auto"/>
                    <w:bottom w:val="none" w:sz="0" w:space="0" w:color="auto"/>
                    <w:right w:val="none" w:sz="0" w:space="0" w:color="auto"/>
                  </w:divBdr>
                  <w:divsChild>
                    <w:div w:id="430051126">
                      <w:marLeft w:val="0"/>
                      <w:marRight w:val="0"/>
                      <w:marTop w:val="0"/>
                      <w:marBottom w:val="0"/>
                      <w:divBdr>
                        <w:top w:val="none" w:sz="0" w:space="0" w:color="auto"/>
                        <w:left w:val="none" w:sz="0" w:space="0" w:color="auto"/>
                        <w:bottom w:val="none" w:sz="0" w:space="0" w:color="auto"/>
                        <w:right w:val="none" w:sz="0" w:space="0" w:color="auto"/>
                      </w:divBdr>
                    </w:div>
                  </w:divsChild>
                </w:div>
                <w:div w:id="595288885">
                  <w:marLeft w:val="0"/>
                  <w:marRight w:val="0"/>
                  <w:marTop w:val="0"/>
                  <w:marBottom w:val="0"/>
                  <w:divBdr>
                    <w:top w:val="none" w:sz="0" w:space="0" w:color="auto"/>
                    <w:left w:val="none" w:sz="0" w:space="0" w:color="auto"/>
                    <w:bottom w:val="none" w:sz="0" w:space="0" w:color="auto"/>
                    <w:right w:val="none" w:sz="0" w:space="0" w:color="auto"/>
                  </w:divBdr>
                  <w:divsChild>
                    <w:div w:id="1754088697">
                      <w:marLeft w:val="0"/>
                      <w:marRight w:val="0"/>
                      <w:marTop w:val="0"/>
                      <w:marBottom w:val="0"/>
                      <w:divBdr>
                        <w:top w:val="none" w:sz="0" w:space="0" w:color="auto"/>
                        <w:left w:val="none" w:sz="0" w:space="0" w:color="auto"/>
                        <w:bottom w:val="none" w:sz="0" w:space="0" w:color="auto"/>
                        <w:right w:val="none" w:sz="0" w:space="0" w:color="auto"/>
                      </w:divBdr>
                    </w:div>
                  </w:divsChild>
                </w:div>
                <w:div w:id="715008178">
                  <w:marLeft w:val="0"/>
                  <w:marRight w:val="0"/>
                  <w:marTop w:val="0"/>
                  <w:marBottom w:val="0"/>
                  <w:divBdr>
                    <w:top w:val="none" w:sz="0" w:space="0" w:color="auto"/>
                    <w:left w:val="none" w:sz="0" w:space="0" w:color="auto"/>
                    <w:bottom w:val="none" w:sz="0" w:space="0" w:color="auto"/>
                    <w:right w:val="none" w:sz="0" w:space="0" w:color="auto"/>
                  </w:divBdr>
                  <w:divsChild>
                    <w:div w:id="39135699">
                      <w:marLeft w:val="0"/>
                      <w:marRight w:val="0"/>
                      <w:marTop w:val="0"/>
                      <w:marBottom w:val="0"/>
                      <w:divBdr>
                        <w:top w:val="none" w:sz="0" w:space="0" w:color="auto"/>
                        <w:left w:val="none" w:sz="0" w:space="0" w:color="auto"/>
                        <w:bottom w:val="none" w:sz="0" w:space="0" w:color="auto"/>
                        <w:right w:val="none" w:sz="0" w:space="0" w:color="auto"/>
                      </w:divBdr>
                    </w:div>
                  </w:divsChild>
                </w:div>
                <w:div w:id="724371083">
                  <w:marLeft w:val="0"/>
                  <w:marRight w:val="0"/>
                  <w:marTop w:val="0"/>
                  <w:marBottom w:val="0"/>
                  <w:divBdr>
                    <w:top w:val="none" w:sz="0" w:space="0" w:color="auto"/>
                    <w:left w:val="none" w:sz="0" w:space="0" w:color="auto"/>
                    <w:bottom w:val="none" w:sz="0" w:space="0" w:color="auto"/>
                    <w:right w:val="none" w:sz="0" w:space="0" w:color="auto"/>
                  </w:divBdr>
                  <w:divsChild>
                    <w:div w:id="1240362777">
                      <w:marLeft w:val="0"/>
                      <w:marRight w:val="0"/>
                      <w:marTop w:val="0"/>
                      <w:marBottom w:val="0"/>
                      <w:divBdr>
                        <w:top w:val="none" w:sz="0" w:space="0" w:color="auto"/>
                        <w:left w:val="none" w:sz="0" w:space="0" w:color="auto"/>
                        <w:bottom w:val="none" w:sz="0" w:space="0" w:color="auto"/>
                        <w:right w:val="none" w:sz="0" w:space="0" w:color="auto"/>
                      </w:divBdr>
                    </w:div>
                  </w:divsChild>
                </w:div>
                <w:div w:id="940769712">
                  <w:marLeft w:val="0"/>
                  <w:marRight w:val="0"/>
                  <w:marTop w:val="0"/>
                  <w:marBottom w:val="0"/>
                  <w:divBdr>
                    <w:top w:val="none" w:sz="0" w:space="0" w:color="auto"/>
                    <w:left w:val="none" w:sz="0" w:space="0" w:color="auto"/>
                    <w:bottom w:val="none" w:sz="0" w:space="0" w:color="auto"/>
                    <w:right w:val="none" w:sz="0" w:space="0" w:color="auto"/>
                  </w:divBdr>
                  <w:divsChild>
                    <w:div w:id="392392631">
                      <w:marLeft w:val="0"/>
                      <w:marRight w:val="0"/>
                      <w:marTop w:val="0"/>
                      <w:marBottom w:val="0"/>
                      <w:divBdr>
                        <w:top w:val="none" w:sz="0" w:space="0" w:color="auto"/>
                        <w:left w:val="none" w:sz="0" w:space="0" w:color="auto"/>
                        <w:bottom w:val="none" w:sz="0" w:space="0" w:color="auto"/>
                        <w:right w:val="none" w:sz="0" w:space="0" w:color="auto"/>
                      </w:divBdr>
                    </w:div>
                    <w:div w:id="392578910">
                      <w:marLeft w:val="0"/>
                      <w:marRight w:val="0"/>
                      <w:marTop w:val="0"/>
                      <w:marBottom w:val="0"/>
                      <w:divBdr>
                        <w:top w:val="none" w:sz="0" w:space="0" w:color="auto"/>
                        <w:left w:val="none" w:sz="0" w:space="0" w:color="auto"/>
                        <w:bottom w:val="none" w:sz="0" w:space="0" w:color="auto"/>
                        <w:right w:val="none" w:sz="0" w:space="0" w:color="auto"/>
                      </w:divBdr>
                    </w:div>
                    <w:div w:id="835537449">
                      <w:marLeft w:val="0"/>
                      <w:marRight w:val="0"/>
                      <w:marTop w:val="0"/>
                      <w:marBottom w:val="0"/>
                      <w:divBdr>
                        <w:top w:val="none" w:sz="0" w:space="0" w:color="auto"/>
                        <w:left w:val="none" w:sz="0" w:space="0" w:color="auto"/>
                        <w:bottom w:val="none" w:sz="0" w:space="0" w:color="auto"/>
                        <w:right w:val="none" w:sz="0" w:space="0" w:color="auto"/>
                      </w:divBdr>
                    </w:div>
                    <w:div w:id="1653487204">
                      <w:marLeft w:val="0"/>
                      <w:marRight w:val="0"/>
                      <w:marTop w:val="0"/>
                      <w:marBottom w:val="0"/>
                      <w:divBdr>
                        <w:top w:val="none" w:sz="0" w:space="0" w:color="auto"/>
                        <w:left w:val="none" w:sz="0" w:space="0" w:color="auto"/>
                        <w:bottom w:val="none" w:sz="0" w:space="0" w:color="auto"/>
                        <w:right w:val="none" w:sz="0" w:space="0" w:color="auto"/>
                      </w:divBdr>
                    </w:div>
                    <w:div w:id="1799882767">
                      <w:marLeft w:val="0"/>
                      <w:marRight w:val="0"/>
                      <w:marTop w:val="0"/>
                      <w:marBottom w:val="0"/>
                      <w:divBdr>
                        <w:top w:val="none" w:sz="0" w:space="0" w:color="auto"/>
                        <w:left w:val="none" w:sz="0" w:space="0" w:color="auto"/>
                        <w:bottom w:val="none" w:sz="0" w:space="0" w:color="auto"/>
                        <w:right w:val="none" w:sz="0" w:space="0" w:color="auto"/>
                      </w:divBdr>
                    </w:div>
                    <w:div w:id="2013558754">
                      <w:marLeft w:val="0"/>
                      <w:marRight w:val="0"/>
                      <w:marTop w:val="0"/>
                      <w:marBottom w:val="0"/>
                      <w:divBdr>
                        <w:top w:val="none" w:sz="0" w:space="0" w:color="auto"/>
                        <w:left w:val="none" w:sz="0" w:space="0" w:color="auto"/>
                        <w:bottom w:val="none" w:sz="0" w:space="0" w:color="auto"/>
                        <w:right w:val="none" w:sz="0" w:space="0" w:color="auto"/>
                      </w:divBdr>
                    </w:div>
                  </w:divsChild>
                </w:div>
                <w:div w:id="952055696">
                  <w:marLeft w:val="0"/>
                  <w:marRight w:val="0"/>
                  <w:marTop w:val="0"/>
                  <w:marBottom w:val="0"/>
                  <w:divBdr>
                    <w:top w:val="none" w:sz="0" w:space="0" w:color="auto"/>
                    <w:left w:val="none" w:sz="0" w:space="0" w:color="auto"/>
                    <w:bottom w:val="none" w:sz="0" w:space="0" w:color="auto"/>
                    <w:right w:val="none" w:sz="0" w:space="0" w:color="auto"/>
                  </w:divBdr>
                  <w:divsChild>
                    <w:div w:id="1548373429">
                      <w:marLeft w:val="0"/>
                      <w:marRight w:val="0"/>
                      <w:marTop w:val="0"/>
                      <w:marBottom w:val="0"/>
                      <w:divBdr>
                        <w:top w:val="none" w:sz="0" w:space="0" w:color="auto"/>
                        <w:left w:val="none" w:sz="0" w:space="0" w:color="auto"/>
                        <w:bottom w:val="none" w:sz="0" w:space="0" w:color="auto"/>
                        <w:right w:val="none" w:sz="0" w:space="0" w:color="auto"/>
                      </w:divBdr>
                    </w:div>
                  </w:divsChild>
                </w:div>
                <w:div w:id="1011493466">
                  <w:marLeft w:val="0"/>
                  <w:marRight w:val="0"/>
                  <w:marTop w:val="0"/>
                  <w:marBottom w:val="0"/>
                  <w:divBdr>
                    <w:top w:val="none" w:sz="0" w:space="0" w:color="auto"/>
                    <w:left w:val="none" w:sz="0" w:space="0" w:color="auto"/>
                    <w:bottom w:val="none" w:sz="0" w:space="0" w:color="auto"/>
                    <w:right w:val="none" w:sz="0" w:space="0" w:color="auto"/>
                  </w:divBdr>
                  <w:divsChild>
                    <w:div w:id="1501308145">
                      <w:marLeft w:val="0"/>
                      <w:marRight w:val="0"/>
                      <w:marTop w:val="0"/>
                      <w:marBottom w:val="0"/>
                      <w:divBdr>
                        <w:top w:val="none" w:sz="0" w:space="0" w:color="auto"/>
                        <w:left w:val="none" w:sz="0" w:space="0" w:color="auto"/>
                        <w:bottom w:val="none" w:sz="0" w:space="0" w:color="auto"/>
                        <w:right w:val="none" w:sz="0" w:space="0" w:color="auto"/>
                      </w:divBdr>
                    </w:div>
                  </w:divsChild>
                </w:div>
                <w:div w:id="1026753011">
                  <w:marLeft w:val="0"/>
                  <w:marRight w:val="0"/>
                  <w:marTop w:val="0"/>
                  <w:marBottom w:val="0"/>
                  <w:divBdr>
                    <w:top w:val="none" w:sz="0" w:space="0" w:color="auto"/>
                    <w:left w:val="none" w:sz="0" w:space="0" w:color="auto"/>
                    <w:bottom w:val="none" w:sz="0" w:space="0" w:color="auto"/>
                    <w:right w:val="none" w:sz="0" w:space="0" w:color="auto"/>
                  </w:divBdr>
                  <w:divsChild>
                    <w:div w:id="21253740">
                      <w:marLeft w:val="0"/>
                      <w:marRight w:val="0"/>
                      <w:marTop w:val="0"/>
                      <w:marBottom w:val="0"/>
                      <w:divBdr>
                        <w:top w:val="none" w:sz="0" w:space="0" w:color="auto"/>
                        <w:left w:val="none" w:sz="0" w:space="0" w:color="auto"/>
                        <w:bottom w:val="none" w:sz="0" w:space="0" w:color="auto"/>
                        <w:right w:val="none" w:sz="0" w:space="0" w:color="auto"/>
                      </w:divBdr>
                    </w:div>
                    <w:div w:id="81680653">
                      <w:marLeft w:val="0"/>
                      <w:marRight w:val="0"/>
                      <w:marTop w:val="0"/>
                      <w:marBottom w:val="0"/>
                      <w:divBdr>
                        <w:top w:val="none" w:sz="0" w:space="0" w:color="auto"/>
                        <w:left w:val="none" w:sz="0" w:space="0" w:color="auto"/>
                        <w:bottom w:val="none" w:sz="0" w:space="0" w:color="auto"/>
                        <w:right w:val="none" w:sz="0" w:space="0" w:color="auto"/>
                      </w:divBdr>
                    </w:div>
                    <w:div w:id="1035345594">
                      <w:marLeft w:val="0"/>
                      <w:marRight w:val="0"/>
                      <w:marTop w:val="0"/>
                      <w:marBottom w:val="0"/>
                      <w:divBdr>
                        <w:top w:val="none" w:sz="0" w:space="0" w:color="auto"/>
                        <w:left w:val="none" w:sz="0" w:space="0" w:color="auto"/>
                        <w:bottom w:val="none" w:sz="0" w:space="0" w:color="auto"/>
                        <w:right w:val="none" w:sz="0" w:space="0" w:color="auto"/>
                      </w:divBdr>
                    </w:div>
                    <w:div w:id="1355301377">
                      <w:marLeft w:val="0"/>
                      <w:marRight w:val="0"/>
                      <w:marTop w:val="0"/>
                      <w:marBottom w:val="0"/>
                      <w:divBdr>
                        <w:top w:val="none" w:sz="0" w:space="0" w:color="auto"/>
                        <w:left w:val="none" w:sz="0" w:space="0" w:color="auto"/>
                        <w:bottom w:val="none" w:sz="0" w:space="0" w:color="auto"/>
                        <w:right w:val="none" w:sz="0" w:space="0" w:color="auto"/>
                      </w:divBdr>
                    </w:div>
                    <w:div w:id="1386031278">
                      <w:marLeft w:val="0"/>
                      <w:marRight w:val="0"/>
                      <w:marTop w:val="0"/>
                      <w:marBottom w:val="0"/>
                      <w:divBdr>
                        <w:top w:val="none" w:sz="0" w:space="0" w:color="auto"/>
                        <w:left w:val="none" w:sz="0" w:space="0" w:color="auto"/>
                        <w:bottom w:val="none" w:sz="0" w:space="0" w:color="auto"/>
                        <w:right w:val="none" w:sz="0" w:space="0" w:color="auto"/>
                      </w:divBdr>
                    </w:div>
                    <w:div w:id="1542015055">
                      <w:marLeft w:val="0"/>
                      <w:marRight w:val="0"/>
                      <w:marTop w:val="0"/>
                      <w:marBottom w:val="0"/>
                      <w:divBdr>
                        <w:top w:val="none" w:sz="0" w:space="0" w:color="auto"/>
                        <w:left w:val="none" w:sz="0" w:space="0" w:color="auto"/>
                        <w:bottom w:val="none" w:sz="0" w:space="0" w:color="auto"/>
                        <w:right w:val="none" w:sz="0" w:space="0" w:color="auto"/>
                      </w:divBdr>
                    </w:div>
                    <w:div w:id="1704480745">
                      <w:marLeft w:val="0"/>
                      <w:marRight w:val="0"/>
                      <w:marTop w:val="0"/>
                      <w:marBottom w:val="0"/>
                      <w:divBdr>
                        <w:top w:val="none" w:sz="0" w:space="0" w:color="auto"/>
                        <w:left w:val="none" w:sz="0" w:space="0" w:color="auto"/>
                        <w:bottom w:val="none" w:sz="0" w:space="0" w:color="auto"/>
                        <w:right w:val="none" w:sz="0" w:space="0" w:color="auto"/>
                      </w:divBdr>
                    </w:div>
                    <w:div w:id="1723485022">
                      <w:marLeft w:val="0"/>
                      <w:marRight w:val="0"/>
                      <w:marTop w:val="0"/>
                      <w:marBottom w:val="0"/>
                      <w:divBdr>
                        <w:top w:val="none" w:sz="0" w:space="0" w:color="auto"/>
                        <w:left w:val="none" w:sz="0" w:space="0" w:color="auto"/>
                        <w:bottom w:val="none" w:sz="0" w:space="0" w:color="auto"/>
                        <w:right w:val="none" w:sz="0" w:space="0" w:color="auto"/>
                      </w:divBdr>
                    </w:div>
                    <w:div w:id="2011517460">
                      <w:marLeft w:val="0"/>
                      <w:marRight w:val="0"/>
                      <w:marTop w:val="0"/>
                      <w:marBottom w:val="0"/>
                      <w:divBdr>
                        <w:top w:val="none" w:sz="0" w:space="0" w:color="auto"/>
                        <w:left w:val="none" w:sz="0" w:space="0" w:color="auto"/>
                        <w:bottom w:val="none" w:sz="0" w:space="0" w:color="auto"/>
                        <w:right w:val="none" w:sz="0" w:space="0" w:color="auto"/>
                      </w:divBdr>
                    </w:div>
                    <w:div w:id="2128617233">
                      <w:marLeft w:val="0"/>
                      <w:marRight w:val="0"/>
                      <w:marTop w:val="0"/>
                      <w:marBottom w:val="0"/>
                      <w:divBdr>
                        <w:top w:val="none" w:sz="0" w:space="0" w:color="auto"/>
                        <w:left w:val="none" w:sz="0" w:space="0" w:color="auto"/>
                        <w:bottom w:val="none" w:sz="0" w:space="0" w:color="auto"/>
                        <w:right w:val="none" w:sz="0" w:space="0" w:color="auto"/>
                      </w:divBdr>
                    </w:div>
                  </w:divsChild>
                </w:div>
                <w:div w:id="1103720581">
                  <w:marLeft w:val="0"/>
                  <w:marRight w:val="0"/>
                  <w:marTop w:val="0"/>
                  <w:marBottom w:val="0"/>
                  <w:divBdr>
                    <w:top w:val="none" w:sz="0" w:space="0" w:color="auto"/>
                    <w:left w:val="none" w:sz="0" w:space="0" w:color="auto"/>
                    <w:bottom w:val="none" w:sz="0" w:space="0" w:color="auto"/>
                    <w:right w:val="none" w:sz="0" w:space="0" w:color="auto"/>
                  </w:divBdr>
                  <w:divsChild>
                    <w:div w:id="1261716870">
                      <w:marLeft w:val="0"/>
                      <w:marRight w:val="0"/>
                      <w:marTop w:val="0"/>
                      <w:marBottom w:val="0"/>
                      <w:divBdr>
                        <w:top w:val="none" w:sz="0" w:space="0" w:color="auto"/>
                        <w:left w:val="none" w:sz="0" w:space="0" w:color="auto"/>
                        <w:bottom w:val="none" w:sz="0" w:space="0" w:color="auto"/>
                        <w:right w:val="none" w:sz="0" w:space="0" w:color="auto"/>
                      </w:divBdr>
                    </w:div>
                  </w:divsChild>
                </w:div>
                <w:div w:id="1280454905">
                  <w:marLeft w:val="0"/>
                  <w:marRight w:val="0"/>
                  <w:marTop w:val="0"/>
                  <w:marBottom w:val="0"/>
                  <w:divBdr>
                    <w:top w:val="none" w:sz="0" w:space="0" w:color="auto"/>
                    <w:left w:val="none" w:sz="0" w:space="0" w:color="auto"/>
                    <w:bottom w:val="none" w:sz="0" w:space="0" w:color="auto"/>
                    <w:right w:val="none" w:sz="0" w:space="0" w:color="auto"/>
                  </w:divBdr>
                  <w:divsChild>
                    <w:div w:id="1472400870">
                      <w:marLeft w:val="0"/>
                      <w:marRight w:val="0"/>
                      <w:marTop w:val="0"/>
                      <w:marBottom w:val="0"/>
                      <w:divBdr>
                        <w:top w:val="none" w:sz="0" w:space="0" w:color="auto"/>
                        <w:left w:val="none" w:sz="0" w:space="0" w:color="auto"/>
                        <w:bottom w:val="none" w:sz="0" w:space="0" w:color="auto"/>
                        <w:right w:val="none" w:sz="0" w:space="0" w:color="auto"/>
                      </w:divBdr>
                    </w:div>
                  </w:divsChild>
                </w:div>
                <w:div w:id="1358390024">
                  <w:marLeft w:val="0"/>
                  <w:marRight w:val="0"/>
                  <w:marTop w:val="0"/>
                  <w:marBottom w:val="0"/>
                  <w:divBdr>
                    <w:top w:val="none" w:sz="0" w:space="0" w:color="auto"/>
                    <w:left w:val="none" w:sz="0" w:space="0" w:color="auto"/>
                    <w:bottom w:val="none" w:sz="0" w:space="0" w:color="auto"/>
                    <w:right w:val="none" w:sz="0" w:space="0" w:color="auto"/>
                  </w:divBdr>
                  <w:divsChild>
                    <w:div w:id="831717381">
                      <w:marLeft w:val="0"/>
                      <w:marRight w:val="0"/>
                      <w:marTop w:val="0"/>
                      <w:marBottom w:val="0"/>
                      <w:divBdr>
                        <w:top w:val="none" w:sz="0" w:space="0" w:color="auto"/>
                        <w:left w:val="none" w:sz="0" w:space="0" w:color="auto"/>
                        <w:bottom w:val="none" w:sz="0" w:space="0" w:color="auto"/>
                        <w:right w:val="none" w:sz="0" w:space="0" w:color="auto"/>
                      </w:divBdr>
                    </w:div>
                  </w:divsChild>
                </w:div>
                <w:div w:id="1570308201">
                  <w:marLeft w:val="0"/>
                  <w:marRight w:val="0"/>
                  <w:marTop w:val="0"/>
                  <w:marBottom w:val="0"/>
                  <w:divBdr>
                    <w:top w:val="none" w:sz="0" w:space="0" w:color="auto"/>
                    <w:left w:val="none" w:sz="0" w:space="0" w:color="auto"/>
                    <w:bottom w:val="none" w:sz="0" w:space="0" w:color="auto"/>
                    <w:right w:val="none" w:sz="0" w:space="0" w:color="auto"/>
                  </w:divBdr>
                  <w:divsChild>
                    <w:div w:id="1475028643">
                      <w:marLeft w:val="0"/>
                      <w:marRight w:val="0"/>
                      <w:marTop w:val="0"/>
                      <w:marBottom w:val="0"/>
                      <w:divBdr>
                        <w:top w:val="none" w:sz="0" w:space="0" w:color="auto"/>
                        <w:left w:val="none" w:sz="0" w:space="0" w:color="auto"/>
                        <w:bottom w:val="none" w:sz="0" w:space="0" w:color="auto"/>
                        <w:right w:val="none" w:sz="0" w:space="0" w:color="auto"/>
                      </w:divBdr>
                    </w:div>
                  </w:divsChild>
                </w:div>
                <w:div w:id="1649630268">
                  <w:marLeft w:val="0"/>
                  <w:marRight w:val="0"/>
                  <w:marTop w:val="0"/>
                  <w:marBottom w:val="0"/>
                  <w:divBdr>
                    <w:top w:val="none" w:sz="0" w:space="0" w:color="auto"/>
                    <w:left w:val="none" w:sz="0" w:space="0" w:color="auto"/>
                    <w:bottom w:val="none" w:sz="0" w:space="0" w:color="auto"/>
                    <w:right w:val="none" w:sz="0" w:space="0" w:color="auto"/>
                  </w:divBdr>
                  <w:divsChild>
                    <w:div w:id="1119837069">
                      <w:marLeft w:val="0"/>
                      <w:marRight w:val="0"/>
                      <w:marTop w:val="0"/>
                      <w:marBottom w:val="0"/>
                      <w:divBdr>
                        <w:top w:val="none" w:sz="0" w:space="0" w:color="auto"/>
                        <w:left w:val="none" w:sz="0" w:space="0" w:color="auto"/>
                        <w:bottom w:val="none" w:sz="0" w:space="0" w:color="auto"/>
                        <w:right w:val="none" w:sz="0" w:space="0" w:color="auto"/>
                      </w:divBdr>
                    </w:div>
                    <w:div w:id="1309936192">
                      <w:marLeft w:val="0"/>
                      <w:marRight w:val="0"/>
                      <w:marTop w:val="0"/>
                      <w:marBottom w:val="0"/>
                      <w:divBdr>
                        <w:top w:val="none" w:sz="0" w:space="0" w:color="auto"/>
                        <w:left w:val="none" w:sz="0" w:space="0" w:color="auto"/>
                        <w:bottom w:val="none" w:sz="0" w:space="0" w:color="auto"/>
                        <w:right w:val="none" w:sz="0" w:space="0" w:color="auto"/>
                      </w:divBdr>
                    </w:div>
                  </w:divsChild>
                </w:div>
                <w:div w:id="1678917970">
                  <w:marLeft w:val="0"/>
                  <w:marRight w:val="0"/>
                  <w:marTop w:val="0"/>
                  <w:marBottom w:val="0"/>
                  <w:divBdr>
                    <w:top w:val="none" w:sz="0" w:space="0" w:color="auto"/>
                    <w:left w:val="none" w:sz="0" w:space="0" w:color="auto"/>
                    <w:bottom w:val="none" w:sz="0" w:space="0" w:color="auto"/>
                    <w:right w:val="none" w:sz="0" w:space="0" w:color="auto"/>
                  </w:divBdr>
                  <w:divsChild>
                    <w:div w:id="1183010527">
                      <w:marLeft w:val="0"/>
                      <w:marRight w:val="0"/>
                      <w:marTop w:val="0"/>
                      <w:marBottom w:val="0"/>
                      <w:divBdr>
                        <w:top w:val="none" w:sz="0" w:space="0" w:color="auto"/>
                        <w:left w:val="none" w:sz="0" w:space="0" w:color="auto"/>
                        <w:bottom w:val="none" w:sz="0" w:space="0" w:color="auto"/>
                        <w:right w:val="none" w:sz="0" w:space="0" w:color="auto"/>
                      </w:divBdr>
                    </w:div>
                  </w:divsChild>
                </w:div>
                <w:div w:id="1679966831">
                  <w:marLeft w:val="0"/>
                  <w:marRight w:val="0"/>
                  <w:marTop w:val="0"/>
                  <w:marBottom w:val="0"/>
                  <w:divBdr>
                    <w:top w:val="none" w:sz="0" w:space="0" w:color="auto"/>
                    <w:left w:val="none" w:sz="0" w:space="0" w:color="auto"/>
                    <w:bottom w:val="none" w:sz="0" w:space="0" w:color="auto"/>
                    <w:right w:val="none" w:sz="0" w:space="0" w:color="auto"/>
                  </w:divBdr>
                  <w:divsChild>
                    <w:div w:id="124087873">
                      <w:marLeft w:val="0"/>
                      <w:marRight w:val="0"/>
                      <w:marTop w:val="0"/>
                      <w:marBottom w:val="0"/>
                      <w:divBdr>
                        <w:top w:val="none" w:sz="0" w:space="0" w:color="auto"/>
                        <w:left w:val="none" w:sz="0" w:space="0" w:color="auto"/>
                        <w:bottom w:val="none" w:sz="0" w:space="0" w:color="auto"/>
                        <w:right w:val="none" w:sz="0" w:space="0" w:color="auto"/>
                      </w:divBdr>
                    </w:div>
                  </w:divsChild>
                </w:div>
                <w:div w:id="1888685371">
                  <w:marLeft w:val="0"/>
                  <w:marRight w:val="0"/>
                  <w:marTop w:val="0"/>
                  <w:marBottom w:val="0"/>
                  <w:divBdr>
                    <w:top w:val="none" w:sz="0" w:space="0" w:color="auto"/>
                    <w:left w:val="none" w:sz="0" w:space="0" w:color="auto"/>
                    <w:bottom w:val="none" w:sz="0" w:space="0" w:color="auto"/>
                    <w:right w:val="none" w:sz="0" w:space="0" w:color="auto"/>
                  </w:divBdr>
                  <w:divsChild>
                    <w:div w:id="507060439">
                      <w:marLeft w:val="0"/>
                      <w:marRight w:val="0"/>
                      <w:marTop w:val="0"/>
                      <w:marBottom w:val="0"/>
                      <w:divBdr>
                        <w:top w:val="none" w:sz="0" w:space="0" w:color="auto"/>
                        <w:left w:val="none" w:sz="0" w:space="0" w:color="auto"/>
                        <w:bottom w:val="none" w:sz="0" w:space="0" w:color="auto"/>
                        <w:right w:val="none" w:sz="0" w:space="0" w:color="auto"/>
                      </w:divBdr>
                    </w:div>
                  </w:divsChild>
                </w:div>
                <w:div w:id="2144152017">
                  <w:marLeft w:val="0"/>
                  <w:marRight w:val="0"/>
                  <w:marTop w:val="0"/>
                  <w:marBottom w:val="0"/>
                  <w:divBdr>
                    <w:top w:val="none" w:sz="0" w:space="0" w:color="auto"/>
                    <w:left w:val="none" w:sz="0" w:space="0" w:color="auto"/>
                    <w:bottom w:val="none" w:sz="0" w:space="0" w:color="auto"/>
                    <w:right w:val="none" w:sz="0" w:space="0" w:color="auto"/>
                  </w:divBdr>
                  <w:divsChild>
                    <w:div w:id="1090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581801">
          <w:marLeft w:val="0"/>
          <w:marRight w:val="0"/>
          <w:marTop w:val="0"/>
          <w:marBottom w:val="0"/>
          <w:divBdr>
            <w:top w:val="none" w:sz="0" w:space="0" w:color="auto"/>
            <w:left w:val="none" w:sz="0" w:space="0" w:color="auto"/>
            <w:bottom w:val="none" w:sz="0" w:space="0" w:color="auto"/>
            <w:right w:val="none" w:sz="0" w:space="0" w:color="auto"/>
          </w:divBdr>
        </w:div>
      </w:divsChild>
    </w:div>
    <w:div w:id="129904924">
      <w:bodyDiv w:val="1"/>
      <w:marLeft w:val="0"/>
      <w:marRight w:val="0"/>
      <w:marTop w:val="0"/>
      <w:marBottom w:val="0"/>
      <w:divBdr>
        <w:top w:val="none" w:sz="0" w:space="0" w:color="auto"/>
        <w:left w:val="none" w:sz="0" w:space="0" w:color="auto"/>
        <w:bottom w:val="none" w:sz="0" w:space="0" w:color="auto"/>
        <w:right w:val="none" w:sz="0" w:space="0" w:color="auto"/>
      </w:divBdr>
      <w:divsChild>
        <w:div w:id="104422862">
          <w:marLeft w:val="0"/>
          <w:marRight w:val="0"/>
          <w:marTop w:val="0"/>
          <w:marBottom w:val="0"/>
          <w:divBdr>
            <w:top w:val="none" w:sz="0" w:space="0" w:color="auto"/>
            <w:left w:val="none" w:sz="0" w:space="0" w:color="auto"/>
            <w:bottom w:val="none" w:sz="0" w:space="0" w:color="auto"/>
            <w:right w:val="none" w:sz="0" w:space="0" w:color="auto"/>
          </w:divBdr>
          <w:divsChild>
            <w:div w:id="5471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8518000">
      <w:bodyDiv w:val="1"/>
      <w:marLeft w:val="0"/>
      <w:marRight w:val="0"/>
      <w:marTop w:val="0"/>
      <w:marBottom w:val="0"/>
      <w:divBdr>
        <w:top w:val="none" w:sz="0" w:space="0" w:color="auto"/>
        <w:left w:val="none" w:sz="0" w:space="0" w:color="auto"/>
        <w:bottom w:val="none" w:sz="0" w:space="0" w:color="auto"/>
        <w:right w:val="none" w:sz="0" w:space="0" w:color="auto"/>
      </w:divBdr>
    </w:div>
    <w:div w:id="148863964">
      <w:bodyDiv w:val="1"/>
      <w:marLeft w:val="0"/>
      <w:marRight w:val="0"/>
      <w:marTop w:val="0"/>
      <w:marBottom w:val="0"/>
      <w:divBdr>
        <w:top w:val="none" w:sz="0" w:space="0" w:color="auto"/>
        <w:left w:val="none" w:sz="0" w:space="0" w:color="auto"/>
        <w:bottom w:val="none" w:sz="0" w:space="0" w:color="auto"/>
        <w:right w:val="none" w:sz="0" w:space="0" w:color="auto"/>
      </w:divBdr>
      <w:divsChild>
        <w:div w:id="218829633">
          <w:marLeft w:val="0"/>
          <w:marRight w:val="0"/>
          <w:marTop w:val="0"/>
          <w:marBottom w:val="0"/>
          <w:divBdr>
            <w:top w:val="none" w:sz="0" w:space="0" w:color="auto"/>
            <w:left w:val="none" w:sz="0" w:space="0" w:color="auto"/>
            <w:bottom w:val="none" w:sz="0" w:space="0" w:color="auto"/>
            <w:right w:val="none" w:sz="0" w:space="0" w:color="auto"/>
          </w:divBdr>
        </w:div>
        <w:div w:id="934050092">
          <w:marLeft w:val="0"/>
          <w:marRight w:val="0"/>
          <w:marTop w:val="0"/>
          <w:marBottom w:val="0"/>
          <w:divBdr>
            <w:top w:val="none" w:sz="0" w:space="0" w:color="auto"/>
            <w:left w:val="none" w:sz="0" w:space="0" w:color="auto"/>
            <w:bottom w:val="none" w:sz="0" w:space="0" w:color="auto"/>
            <w:right w:val="none" w:sz="0" w:space="0" w:color="auto"/>
          </w:divBdr>
        </w:div>
        <w:div w:id="1455514380">
          <w:marLeft w:val="0"/>
          <w:marRight w:val="0"/>
          <w:marTop w:val="0"/>
          <w:marBottom w:val="0"/>
          <w:divBdr>
            <w:top w:val="none" w:sz="0" w:space="0" w:color="auto"/>
            <w:left w:val="none" w:sz="0" w:space="0" w:color="auto"/>
            <w:bottom w:val="none" w:sz="0" w:space="0" w:color="auto"/>
            <w:right w:val="none" w:sz="0" w:space="0" w:color="auto"/>
          </w:divBdr>
        </w:div>
        <w:div w:id="1516647668">
          <w:marLeft w:val="0"/>
          <w:marRight w:val="0"/>
          <w:marTop w:val="0"/>
          <w:marBottom w:val="0"/>
          <w:divBdr>
            <w:top w:val="none" w:sz="0" w:space="0" w:color="auto"/>
            <w:left w:val="none" w:sz="0" w:space="0" w:color="auto"/>
            <w:bottom w:val="none" w:sz="0" w:space="0" w:color="auto"/>
            <w:right w:val="none" w:sz="0" w:space="0" w:color="auto"/>
          </w:divBdr>
        </w:div>
        <w:div w:id="1896354891">
          <w:marLeft w:val="0"/>
          <w:marRight w:val="0"/>
          <w:marTop w:val="0"/>
          <w:marBottom w:val="0"/>
          <w:divBdr>
            <w:top w:val="none" w:sz="0" w:space="0" w:color="auto"/>
            <w:left w:val="none" w:sz="0" w:space="0" w:color="auto"/>
            <w:bottom w:val="none" w:sz="0" w:space="0" w:color="auto"/>
            <w:right w:val="none" w:sz="0" w:space="0" w:color="auto"/>
          </w:divBdr>
        </w:div>
        <w:div w:id="1899515295">
          <w:marLeft w:val="0"/>
          <w:marRight w:val="0"/>
          <w:marTop w:val="0"/>
          <w:marBottom w:val="0"/>
          <w:divBdr>
            <w:top w:val="none" w:sz="0" w:space="0" w:color="auto"/>
            <w:left w:val="none" w:sz="0" w:space="0" w:color="auto"/>
            <w:bottom w:val="none" w:sz="0" w:space="0" w:color="auto"/>
            <w:right w:val="none" w:sz="0" w:space="0" w:color="auto"/>
          </w:divBdr>
        </w:div>
        <w:div w:id="2042510882">
          <w:marLeft w:val="0"/>
          <w:marRight w:val="0"/>
          <w:marTop w:val="0"/>
          <w:marBottom w:val="0"/>
          <w:divBdr>
            <w:top w:val="none" w:sz="0" w:space="0" w:color="auto"/>
            <w:left w:val="none" w:sz="0" w:space="0" w:color="auto"/>
            <w:bottom w:val="none" w:sz="0" w:space="0" w:color="auto"/>
            <w:right w:val="none" w:sz="0" w:space="0" w:color="auto"/>
          </w:divBdr>
        </w:div>
        <w:div w:id="2143688133">
          <w:marLeft w:val="0"/>
          <w:marRight w:val="0"/>
          <w:marTop w:val="0"/>
          <w:marBottom w:val="0"/>
          <w:divBdr>
            <w:top w:val="none" w:sz="0" w:space="0" w:color="auto"/>
            <w:left w:val="none" w:sz="0" w:space="0" w:color="auto"/>
            <w:bottom w:val="none" w:sz="0" w:space="0" w:color="auto"/>
            <w:right w:val="none" w:sz="0" w:space="0" w:color="auto"/>
          </w:divBdr>
        </w:div>
      </w:divsChild>
    </w:div>
    <w:div w:id="178860013">
      <w:bodyDiv w:val="1"/>
      <w:marLeft w:val="0"/>
      <w:marRight w:val="0"/>
      <w:marTop w:val="0"/>
      <w:marBottom w:val="0"/>
      <w:divBdr>
        <w:top w:val="none" w:sz="0" w:space="0" w:color="auto"/>
        <w:left w:val="none" w:sz="0" w:space="0" w:color="auto"/>
        <w:bottom w:val="none" w:sz="0" w:space="0" w:color="auto"/>
        <w:right w:val="none" w:sz="0" w:space="0" w:color="auto"/>
      </w:divBdr>
      <w:divsChild>
        <w:div w:id="745494038">
          <w:marLeft w:val="0"/>
          <w:marRight w:val="0"/>
          <w:marTop w:val="0"/>
          <w:marBottom w:val="0"/>
          <w:divBdr>
            <w:top w:val="none" w:sz="0" w:space="0" w:color="auto"/>
            <w:left w:val="none" w:sz="0" w:space="0" w:color="auto"/>
            <w:bottom w:val="none" w:sz="0" w:space="0" w:color="auto"/>
            <w:right w:val="none" w:sz="0" w:space="0" w:color="auto"/>
          </w:divBdr>
        </w:div>
        <w:div w:id="1147479710">
          <w:marLeft w:val="0"/>
          <w:marRight w:val="0"/>
          <w:marTop w:val="0"/>
          <w:marBottom w:val="0"/>
          <w:divBdr>
            <w:top w:val="none" w:sz="0" w:space="0" w:color="auto"/>
            <w:left w:val="none" w:sz="0" w:space="0" w:color="auto"/>
            <w:bottom w:val="none" w:sz="0" w:space="0" w:color="auto"/>
            <w:right w:val="none" w:sz="0" w:space="0" w:color="auto"/>
          </w:divBdr>
          <w:divsChild>
            <w:div w:id="1601836252">
              <w:marLeft w:val="0"/>
              <w:marRight w:val="0"/>
              <w:marTop w:val="30"/>
              <w:marBottom w:val="30"/>
              <w:divBdr>
                <w:top w:val="none" w:sz="0" w:space="0" w:color="auto"/>
                <w:left w:val="none" w:sz="0" w:space="0" w:color="auto"/>
                <w:bottom w:val="none" w:sz="0" w:space="0" w:color="auto"/>
                <w:right w:val="none" w:sz="0" w:space="0" w:color="auto"/>
              </w:divBdr>
              <w:divsChild>
                <w:div w:id="7414786">
                  <w:marLeft w:val="0"/>
                  <w:marRight w:val="0"/>
                  <w:marTop w:val="0"/>
                  <w:marBottom w:val="0"/>
                  <w:divBdr>
                    <w:top w:val="none" w:sz="0" w:space="0" w:color="auto"/>
                    <w:left w:val="none" w:sz="0" w:space="0" w:color="auto"/>
                    <w:bottom w:val="none" w:sz="0" w:space="0" w:color="auto"/>
                    <w:right w:val="none" w:sz="0" w:space="0" w:color="auto"/>
                  </w:divBdr>
                  <w:divsChild>
                    <w:div w:id="811361781">
                      <w:marLeft w:val="0"/>
                      <w:marRight w:val="0"/>
                      <w:marTop w:val="0"/>
                      <w:marBottom w:val="0"/>
                      <w:divBdr>
                        <w:top w:val="none" w:sz="0" w:space="0" w:color="auto"/>
                        <w:left w:val="none" w:sz="0" w:space="0" w:color="auto"/>
                        <w:bottom w:val="none" w:sz="0" w:space="0" w:color="auto"/>
                        <w:right w:val="none" w:sz="0" w:space="0" w:color="auto"/>
                      </w:divBdr>
                    </w:div>
                    <w:div w:id="842937169">
                      <w:marLeft w:val="0"/>
                      <w:marRight w:val="0"/>
                      <w:marTop w:val="0"/>
                      <w:marBottom w:val="0"/>
                      <w:divBdr>
                        <w:top w:val="none" w:sz="0" w:space="0" w:color="auto"/>
                        <w:left w:val="none" w:sz="0" w:space="0" w:color="auto"/>
                        <w:bottom w:val="none" w:sz="0" w:space="0" w:color="auto"/>
                        <w:right w:val="none" w:sz="0" w:space="0" w:color="auto"/>
                      </w:divBdr>
                    </w:div>
                    <w:div w:id="976761600">
                      <w:marLeft w:val="0"/>
                      <w:marRight w:val="0"/>
                      <w:marTop w:val="0"/>
                      <w:marBottom w:val="0"/>
                      <w:divBdr>
                        <w:top w:val="none" w:sz="0" w:space="0" w:color="auto"/>
                        <w:left w:val="none" w:sz="0" w:space="0" w:color="auto"/>
                        <w:bottom w:val="none" w:sz="0" w:space="0" w:color="auto"/>
                        <w:right w:val="none" w:sz="0" w:space="0" w:color="auto"/>
                      </w:divBdr>
                    </w:div>
                    <w:div w:id="1155143270">
                      <w:marLeft w:val="0"/>
                      <w:marRight w:val="0"/>
                      <w:marTop w:val="0"/>
                      <w:marBottom w:val="0"/>
                      <w:divBdr>
                        <w:top w:val="none" w:sz="0" w:space="0" w:color="auto"/>
                        <w:left w:val="none" w:sz="0" w:space="0" w:color="auto"/>
                        <w:bottom w:val="none" w:sz="0" w:space="0" w:color="auto"/>
                        <w:right w:val="none" w:sz="0" w:space="0" w:color="auto"/>
                      </w:divBdr>
                    </w:div>
                    <w:div w:id="1414740873">
                      <w:marLeft w:val="0"/>
                      <w:marRight w:val="0"/>
                      <w:marTop w:val="0"/>
                      <w:marBottom w:val="0"/>
                      <w:divBdr>
                        <w:top w:val="none" w:sz="0" w:space="0" w:color="auto"/>
                        <w:left w:val="none" w:sz="0" w:space="0" w:color="auto"/>
                        <w:bottom w:val="none" w:sz="0" w:space="0" w:color="auto"/>
                        <w:right w:val="none" w:sz="0" w:space="0" w:color="auto"/>
                      </w:divBdr>
                    </w:div>
                    <w:div w:id="1524786408">
                      <w:marLeft w:val="0"/>
                      <w:marRight w:val="0"/>
                      <w:marTop w:val="0"/>
                      <w:marBottom w:val="0"/>
                      <w:divBdr>
                        <w:top w:val="none" w:sz="0" w:space="0" w:color="auto"/>
                        <w:left w:val="none" w:sz="0" w:space="0" w:color="auto"/>
                        <w:bottom w:val="none" w:sz="0" w:space="0" w:color="auto"/>
                        <w:right w:val="none" w:sz="0" w:space="0" w:color="auto"/>
                      </w:divBdr>
                    </w:div>
                  </w:divsChild>
                </w:div>
                <w:div w:id="46029001">
                  <w:marLeft w:val="0"/>
                  <w:marRight w:val="0"/>
                  <w:marTop w:val="0"/>
                  <w:marBottom w:val="0"/>
                  <w:divBdr>
                    <w:top w:val="none" w:sz="0" w:space="0" w:color="auto"/>
                    <w:left w:val="none" w:sz="0" w:space="0" w:color="auto"/>
                    <w:bottom w:val="none" w:sz="0" w:space="0" w:color="auto"/>
                    <w:right w:val="none" w:sz="0" w:space="0" w:color="auto"/>
                  </w:divBdr>
                  <w:divsChild>
                    <w:div w:id="1794323810">
                      <w:marLeft w:val="0"/>
                      <w:marRight w:val="0"/>
                      <w:marTop w:val="0"/>
                      <w:marBottom w:val="0"/>
                      <w:divBdr>
                        <w:top w:val="none" w:sz="0" w:space="0" w:color="auto"/>
                        <w:left w:val="none" w:sz="0" w:space="0" w:color="auto"/>
                        <w:bottom w:val="none" w:sz="0" w:space="0" w:color="auto"/>
                        <w:right w:val="none" w:sz="0" w:space="0" w:color="auto"/>
                      </w:divBdr>
                    </w:div>
                  </w:divsChild>
                </w:div>
                <w:div w:id="126970956">
                  <w:marLeft w:val="0"/>
                  <w:marRight w:val="0"/>
                  <w:marTop w:val="0"/>
                  <w:marBottom w:val="0"/>
                  <w:divBdr>
                    <w:top w:val="none" w:sz="0" w:space="0" w:color="auto"/>
                    <w:left w:val="none" w:sz="0" w:space="0" w:color="auto"/>
                    <w:bottom w:val="none" w:sz="0" w:space="0" w:color="auto"/>
                    <w:right w:val="none" w:sz="0" w:space="0" w:color="auto"/>
                  </w:divBdr>
                  <w:divsChild>
                    <w:div w:id="98528864">
                      <w:marLeft w:val="0"/>
                      <w:marRight w:val="0"/>
                      <w:marTop w:val="0"/>
                      <w:marBottom w:val="0"/>
                      <w:divBdr>
                        <w:top w:val="none" w:sz="0" w:space="0" w:color="auto"/>
                        <w:left w:val="none" w:sz="0" w:space="0" w:color="auto"/>
                        <w:bottom w:val="none" w:sz="0" w:space="0" w:color="auto"/>
                        <w:right w:val="none" w:sz="0" w:space="0" w:color="auto"/>
                      </w:divBdr>
                    </w:div>
                  </w:divsChild>
                </w:div>
                <w:div w:id="138618279">
                  <w:marLeft w:val="0"/>
                  <w:marRight w:val="0"/>
                  <w:marTop w:val="0"/>
                  <w:marBottom w:val="0"/>
                  <w:divBdr>
                    <w:top w:val="none" w:sz="0" w:space="0" w:color="auto"/>
                    <w:left w:val="none" w:sz="0" w:space="0" w:color="auto"/>
                    <w:bottom w:val="none" w:sz="0" w:space="0" w:color="auto"/>
                    <w:right w:val="none" w:sz="0" w:space="0" w:color="auto"/>
                  </w:divBdr>
                  <w:divsChild>
                    <w:div w:id="994994407">
                      <w:marLeft w:val="0"/>
                      <w:marRight w:val="0"/>
                      <w:marTop w:val="0"/>
                      <w:marBottom w:val="0"/>
                      <w:divBdr>
                        <w:top w:val="none" w:sz="0" w:space="0" w:color="auto"/>
                        <w:left w:val="none" w:sz="0" w:space="0" w:color="auto"/>
                        <w:bottom w:val="none" w:sz="0" w:space="0" w:color="auto"/>
                        <w:right w:val="none" w:sz="0" w:space="0" w:color="auto"/>
                      </w:divBdr>
                    </w:div>
                  </w:divsChild>
                </w:div>
                <w:div w:id="430586649">
                  <w:marLeft w:val="0"/>
                  <w:marRight w:val="0"/>
                  <w:marTop w:val="0"/>
                  <w:marBottom w:val="0"/>
                  <w:divBdr>
                    <w:top w:val="none" w:sz="0" w:space="0" w:color="auto"/>
                    <w:left w:val="none" w:sz="0" w:space="0" w:color="auto"/>
                    <w:bottom w:val="none" w:sz="0" w:space="0" w:color="auto"/>
                    <w:right w:val="none" w:sz="0" w:space="0" w:color="auto"/>
                  </w:divBdr>
                  <w:divsChild>
                    <w:div w:id="697780863">
                      <w:marLeft w:val="0"/>
                      <w:marRight w:val="0"/>
                      <w:marTop w:val="0"/>
                      <w:marBottom w:val="0"/>
                      <w:divBdr>
                        <w:top w:val="none" w:sz="0" w:space="0" w:color="auto"/>
                        <w:left w:val="none" w:sz="0" w:space="0" w:color="auto"/>
                        <w:bottom w:val="none" w:sz="0" w:space="0" w:color="auto"/>
                        <w:right w:val="none" w:sz="0" w:space="0" w:color="auto"/>
                      </w:divBdr>
                    </w:div>
                  </w:divsChild>
                </w:div>
                <w:div w:id="571695492">
                  <w:marLeft w:val="0"/>
                  <w:marRight w:val="0"/>
                  <w:marTop w:val="0"/>
                  <w:marBottom w:val="0"/>
                  <w:divBdr>
                    <w:top w:val="none" w:sz="0" w:space="0" w:color="auto"/>
                    <w:left w:val="none" w:sz="0" w:space="0" w:color="auto"/>
                    <w:bottom w:val="none" w:sz="0" w:space="0" w:color="auto"/>
                    <w:right w:val="none" w:sz="0" w:space="0" w:color="auto"/>
                  </w:divBdr>
                  <w:divsChild>
                    <w:div w:id="1313098575">
                      <w:marLeft w:val="0"/>
                      <w:marRight w:val="0"/>
                      <w:marTop w:val="0"/>
                      <w:marBottom w:val="0"/>
                      <w:divBdr>
                        <w:top w:val="none" w:sz="0" w:space="0" w:color="auto"/>
                        <w:left w:val="none" w:sz="0" w:space="0" w:color="auto"/>
                        <w:bottom w:val="none" w:sz="0" w:space="0" w:color="auto"/>
                        <w:right w:val="none" w:sz="0" w:space="0" w:color="auto"/>
                      </w:divBdr>
                    </w:div>
                  </w:divsChild>
                </w:div>
                <w:div w:id="625503998">
                  <w:marLeft w:val="0"/>
                  <w:marRight w:val="0"/>
                  <w:marTop w:val="0"/>
                  <w:marBottom w:val="0"/>
                  <w:divBdr>
                    <w:top w:val="none" w:sz="0" w:space="0" w:color="auto"/>
                    <w:left w:val="none" w:sz="0" w:space="0" w:color="auto"/>
                    <w:bottom w:val="none" w:sz="0" w:space="0" w:color="auto"/>
                    <w:right w:val="none" w:sz="0" w:space="0" w:color="auto"/>
                  </w:divBdr>
                  <w:divsChild>
                    <w:div w:id="451167451">
                      <w:marLeft w:val="0"/>
                      <w:marRight w:val="0"/>
                      <w:marTop w:val="0"/>
                      <w:marBottom w:val="0"/>
                      <w:divBdr>
                        <w:top w:val="none" w:sz="0" w:space="0" w:color="auto"/>
                        <w:left w:val="none" w:sz="0" w:space="0" w:color="auto"/>
                        <w:bottom w:val="none" w:sz="0" w:space="0" w:color="auto"/>
                        <w:right w:val="none" w:sz="0" w:space="0" w:color="auto"/>
                      </w:divBdr>
                    </w:div>
                  </w:divsChild>
                </w:div>
                <w:div w:id="831802085">
                  <w:marLeft w:val="0"/>
                  <w:marRight w:val="0"/>
                  <w:marTop w:val="0"/>
                  <w:marBottom w:val="0"/>
                  <w:divBdr>
                    <w:top w:val="none" w:sz="0" w:space="0" w:color="auto"/>
                    <w:left w:val="none" w:sz="0" w:space="0" w:color="auto"/>
                    <w:bottom w:val="none" w:sz="0" w:space="0" w:color="auto"/>
                    <w:right w:val="none" w:sz="0" w:space="0" w:color="auto"/>
                  </w:divBdr>
                  <w:divsChild>
                    <w:div w:id="480271514">
                      <w:marLeft w:val="0"/>
                      <w:marRight w:val="0"/>
                      <w:marTop w:val="0"/>
                      <w:marBottom w:val="0"/>
                      <w:divBdr>
                        <w:top w:val="none" w:sz="0" w:space="0" w:color="auto"/>
                        <w:left w:val="none" w:sz="0" w:space="0" w:color="auto"/>
                        <w:bottom w:val="none" w:sz="0" w:space="0" w:color="auto"/>
                        <w:right w:val="none" w:sz="0" w:space="0" w:color="auto"/>
                      </w:divBdr>
                    </w:div>
                  </w:divsChild>
                </w:div>
                <w:div w:id="906064822">
                  <w:marLeft w:val="0"/>
                  <w:marRight w:val="0"/>
                  <w:marTop w:val="0"/>
                  <w:marBottom w:val="0"/>
                  <w:divBdr>
                    <w:top w:val="none" w:sz="0" w:space="0" w:color="auto"/>
                    <w:left w:val="none" w:sz="0" w:space="0" w:color="auto"/>
                    <w:bottom w:val="none" w:sz="0" w:space="0" w:color="auto"/>
                    <w:right w:val="none" w:sz="0" w:space="0" w:color="auto"/>
                  </w:divBdr>
                  <w:divsChild>
                    <w:div w:id="32122886">
                      <w:marLeft w:val="0"/>
                      <w:marRight w:val="0"/>
                      <w:marTop w:val="0"/>
                      <w:marBottom w:val="0"/>
                      <w:divBdr>
                        <w:top w:val="none" w:sz="0" w:space="0" w:color="auto"/>
                        <w:left w:val="none" w:sz="0" w:space="0" w:color="auto"/>
                        <w:bottom w:val="none" w:sz="0" w:space="0" w:color="auto"/>
                        <w:right w:val="none" w:sz="0" w:space="0" w:color="auto"/>
                      </w:divBdr>
                    </w:div>
                    <w:div w:id="149641207">
                      <w:marLeft w:val="0"/>
                      <w:marRight w:val="0"/>
                      <w:marTop w:val="0"/>
                      <w:marBottom w:val="0"/>
                      <w:divBdr>
                        <w:top w:val="none" w:sz="0" w:space="0" w:color="auto"/>
                        <w:left w:val="none" w:sz="0" w:space="0" w:color="auto"/>
                        <w:bottom w:val="none" w:sz="0" w:space="0" w:color="auto"/>
                        <w:right w:val="none" w:sz="0" w:space="0" w:color="auto"/>
                      </w:divBdr>
                    </w:div>
                    <w:div w:id="642580967">
                      <w:marLeft w:val="0"/>
                      <w:marRight w:val="0"/>
                      <w:marTop w:val="0"/>
                      <w:marBottom w:val="0"/>
                      <w:divBdr>
                        <w:top w:val="none" w:sz="0" w:space="0" w:color="auto"/>
                        <w:left w:val="none" w:sz="0" w:space="0" w:color="auto"/>
                        <w:bottom w:val="none" w:sz="0" w:space="0" w:color="auto"/>
                        <w:right w:val="none" w:sz="0" w:space="0" w:color="auto"/>
                      </w:divBdr>
                    </w:div>
                    <w:div w:id="1011879607">
                      <w:marLeft w:val="0"/>
                      <w:marRight w:val="0"/>
                      <w:marTop w:val="0"/>
                      <w:marBottom w:val="0"/>
                      <w:divBdr>
                        <w:top w:val="none" w:sz="0" w:space="0" w:color="auto"/>
                        <w:left w:val="none" w:sz="0" w:space="0" w:color="auto"/>
                        <w:bottom w:val="none" w:sz="0" w:space="0" w:color="auto"/>
                        <w:right w:val="none" w:sz="0" w:space="0" w:color="auto"/>
                      </w:divBdr>
                    </w:div>
                    <w:div w:id="1086344657">
                      <w:marLeft w:val="0"/>
                      <w:marRight w:val="0"/>
                      <w:marTop w:val="0"/>
                      <w:marBottom w:val="0"/>
                      <w:divBdr>
                        <w:top w:val="none" w:sz="0" w:space="0" w:color="auto"/>
                        <w:left w:val="none" w:sz="0" w:space="0" w:color="auto"/>
                        <w:bottom w:val="none" w:sz="0" w:space="0" w:color="auto"/>
                        <w:right w:val="none" w:sz="0" w:space="0" w:color="auto"/>
                      </w:divBdr>
                    </w:div>
                    <w:div w:id="1290091962">
                      <w:marLeft w:val="0"/>
                      <w:marRight w:val="0"/>
                      <w:marTop w:val="0"/>
                      <w:marBottom w:val="0"/>
                      <w:divBdr>
                        <w:top w:val="none" w:sz="0" w:space="0" w:color="auto"/>
                        <w:left w:val="none" w:sz="0" w:space="0" w:color="auto"/>
                        <w:bottom w:val="none" w:sz="0" w:space="0" w:color="auto"/>
                        <w:right w:val="none" w:sz="0" w:space="0" w:color="auto"/>
                      </w:divBdr>
                    </w:div>
                    <w:div w:id="1514763016">
                      <w:marLeft w:val="0"/>
                      <w:marRight w:val="0"/>
                      <w:marTop w:val="0"/>
                      <w:marBottom w:val="0"/>
                      <w:divBdr>
                        <w:top w:val="none" w:sz="0" w:space="0" w:color="auto"/>
                        <w:left w:val="none" w:sz="0" w:space="0" w:color="auto"/>
                        <w:bottom w:val="none" w:sz="0" w:space="0" w:color="auto"/>
                        <w:right w:val="none" w:sz="0" w:space="0" w:color="auto"/>
                      </w:divBdr>
                    </w:div>
                    <w:div w:id="1639846231">
                      <w:marLeft w:val="0"/>
                      <w:marRight w:val="0"/>
                      <w:marTop w:val="0"/>
                      <w:marBottom w:val="0"/>
                      <w:divBdr>
                        <w:top w:val="none" w:sz="0" w:space="0" w:color="auto"/>
                        <w:left w:val="none" w:sz="0" w:space="0" w:color="auto"/>
                        <w:bottom w:val="none" w:sz="0" w:space="0" w:color="auto"/>
                        <w:right w:val="none" w:sz="0" w:space="0" w:color="auto"/>
                      </w:divBdr>
                    </w:div>
                    <w:div w:id="1760827457">
                      <w:marLeft w:val="0"/>
                      <w:marRight w:val="0"/>
                      <w:marTop w:val="0"/>
                      <w:marBottom w:val="0"/>
                      <w:divBdr>
                        <w:top w:val="none" w:sz="0" w:space="0" w:color="auto"/>
                        <w:left w:val="none" w:sz="0" w:space="0" w:color="auto"/>
                        <w:bottom w:val="none" w:sz="0" w:space="0" w:color="auto"/>
                        <w:right w:val="none" w:sz="0" w:space="0" w:color="auto"/>
                      </w:divBdr>
                    </w:div>
                    <w:div w:id="2132361473">
                      <w:marLeft w:val="0"/>
                      <w:marRight w:val="0"/>
                      <w:marTop w:val="0"/>
                      <w:marBottom w:val="0"/>
                      <w:divBdr>
                        <w:top w:val="none" w:sz="0" w:space="0" w:color="auto"/>
                        <w:left w:val="none" w:sz="0" w:space="0" w:color="auto"/>
                        <w:bottom w:val="none" w:sz="0" w:space="0" w:color="auto"/>
                        <w:right w:val="none" w:sz="0" w:space="0" w:color="auto"/>
                      </w:divBdr>
                    </w:div>
                  </w:divsChild>
                </w:div>
                <w:div w:id="1044141190">
                  <w:marLeft w:val="0"/>
                  <w:marRight w:val="0"/>
                  <w:marTop w:val="0"/>
                  <w:marBottom w:val="0"/>
                  <w:divBdr>
                    <w:top w:val="none" w:sz="0" w:space="0" w:color="auto"/>
                    <w:left w:val="none" w:sz="0" w:space="0" w:color="auto"/>
                    <w:bottom w:val="none" w:sz="0" w:space="0" w:color="auto"/>
                    <w:right w:val="none" w:sz="0" w:space="0" w:color="auto"/>
                  </w:divBdr>
                  <w:divsChild>
                    <w:div w:id="619993503">
                      <w:marLeft w:val="0"/>
                      <w:marRight w:val="0"/>
                      <w:marTop w:val="0"/>
                      <w:marBottom w:val="0"/>
                      <w:divBdr>
                        <w:top w:val="none" w:sz="0" w:space="0" w:color="auto"/>
                        <w:left w:val="none" w:sz="0" w:space="0" w:color="auto"/>
                        <w:bottom w:val="none" w:sz="0" w:space="0" w:color="auto"/>
                        <w:right w:val="none" w:sz="0" w:space="0" w:color="auto"/>
                      </w:divBdr>
                    </w:div>
                    <w:div w:id="1374380984">
                      <w:marLeft w:val="0"/>
                      <w:marRight w:val="0"/>
                      <w:marTop w:val="0"/>
                      <w:marBottom w:val="0"/>
                      <w:divBdr>
                        <w:top w:val="none" w:sz="0" w:space="0" w:color="auto"/>
                        <w:left w:val="none" w:sz="0" w:space="0" w:color="auto"/>
                        <w:bottom w:val="none" w:sz="0" w:space="0" w:color="auto"/>
                        <w:right w:val="none" w:sz="0" w:space="0" w:color="auto"/>
                      </w:divBdr>
                    </w:div>
                  </w:divsChild>
                </w:div>
                <w:div w:id="1087115144">
                  <w:marLeft w:val="0"/>
                  <w:marRight w:val="0"/>
                  <w:marTop w:val="0"/>
                  <w:marBottom w:val="0"/>
                  <w:divBdr>
                    <w:top w:val="none" w:sz="0" w:space="0" w:color="auto"/>
                    <w:left w:val="none" w:sz="0" w:space="0" w:color="auto"/>
                    <w:bottom w:val="none" w:sz="0" w:space="0" w:color="auto"/>
                    <w:right w:val="none" w:sz="0" w:space="0" w:color="auto"/>
                  </w:divBdr>
                  <w:divsChild>
                    <w:div w:id="1082144263">
                      <w:marLeft w:val="0"/>
                      <w:marRight w:val="0"/>
                      <w:marTop w:val="0"/>
                      <w:marBottom w:val="0"/>
                      <w:divBdr>
                        <w:top w:val="none" w:sz="0" w:space="0" w:color="auto"/>
                        <w:left w:val="none" w:sz="0" w:space="0" w:color="auto"/>
                        <w:bottom w:val="none" w:sz="0" w:space="0" w:color="auto"/>
                        <w:right w:val="none" w:sz="0" w:space="0" w:color="auto"/>
                      </w:divBdr>
                    </w:div>
                  </w:divsChild>
                </w:div>
                <w:div w:id="1300955184">
                  <w:marLeft w:val="0"/>
                  <w:marRight w:val="0"/>
                  <w:marTop w:val="0"/>
                  <w:marBottom w:val="0"/>
                  <w:divBdr>
                    <w:top w:val="none" w:sz="0" w:space="0" w:color="auto"/>
                    <w:left w:val="none" w:sz="0" w:space="0" w:color="auto"/>
                    <w:bottom w:val="none" w:sz="0" w:space="0" w:color="auto"/>
                    <w:right w:val="none" w:sz="0" w:space="0" w:color="auto"/>
                  </w:divBdr>
                  <w:divsChild>
                    <w:div w:id="155998486">
                      <w:marLeft w:val="0"/>
                      <w:marRight w:val="0"/>
                      <w:marTop w:val="0"/>
                      <w:marBottom w:val="0"/>
                      <w:divBdr>
                        <w:top w:val="none" w:sz="0" w:space="0" w:color="auto"/>
                        <w:left w:val="none" w:sz="0" w:space="0" w:color="auto"/>
                        <w:bottom w:val="none" w:sz="0" w:space="0" w:color="auto"/>
                        <w:right w:val="none" w:sz="0" w:space="0" w:color="auto"/>
                      </w:divBdr>
                    </w:div>
                  </w:divsChild>
                </w:div>
                <w:div w:id="1431849317">
                  <w:marLeft w:val="0"/>
                  <w:marRight w:val="0"/>
                  <w:marTop w:val="0"/>
                  <w:marBottom w:val="0"/>
                  <w:divBdr>
                    <w:top w:val="none" w:sz="0" w:space="0" w:color="auto"/>
                    <w:left w:val="none" w:sz="0" w:space="0" w:color="auto"/>
                    <w:bottom w:val="none" w:sz="0" w:space="0" w:color="auto"/>
                    <w:right w:val="none" w:sz="0" w:space="0" w:color="auto"/>
                  </w:divBdr>
                  <w:divsChild>
                    <w:div w:id="1027565758">
                      <w:marLeft w:val="0"/>
                      <w:marRight w:val="0"/>
                      <w:marTop w:val="0"/>
                      <w:marBottom w:val="0"/>
                      <w:divBdr>
                        <w:top w:val="none" w:sz="0" w:space="0" w:color="auto"/>
                        <w:left w:val="none" w:sz="0" w:space="0" w:color="auto"/>
                        <w:bottom w:val="none" w:sz="0" w:space="0" w:color="auto"/>
                        <w:right w:val="none" w:sz="0" w:space="0" w:color="auto"/>
                      </w:divBdr>
                    </w:div>
                  </w:divsChild>
                </w:div>
                <w:div w:id="1491869341">
                  <w:marLeft w:val="0"/>
                  <w:marRight w:val="0"/>
                  <w:marTop w:val="0"/>
                  <w:marBottom w:val="0"/>
                  <w:divBdr>
                    <w:top w:val="none" w:sz="0" w:space="0" w:color="auto"/>
                    <w:left w:val="none" w:sz="0" w:space="0" w:color="auto"/>
                    <w:bottom w:val="none" w:sz="0" w:space="0" w:color="auto"/>
                    <w:right w:val="none" w:sz="0" w:space="0" w:color="auto"/>
                  </w:divBdr>
                  <w:divsChild>
                    <w:div w:id="1094672883">
                      <w:marLeft w:val="0"/>
                      <w:marRight w:val="0"/>
                      <w:marTop w:val="0"/>
                      <w:marBottom w:val="0"/>
                      <w:divBdr>
                        <w:top w:val="none" w:sz="0" w:space="0" w:color="auto"/>
                        <w:left w:val="none" w:sz="0" w:space="0" w:color="auto"/>
                        <w:bottom w:val="none" w:sz="0" w:space="0" w:color="auto"/>
                        <w:right w:val="none" w:sz="0" w:space="0" w:color="auto"/>
                      </w:divBdr>
                    </w:div>
                  </w:divsChild>
                </w:div>
                <w:div w:id="1601791271">
                  <w:marLeft w:val="0"/>
                  <w:marRight w:val="0"/>
                  <w:marTop w:val="0"/>
                  <w:marBottom w:val="0"/>
                  <w:divBdr>
                    <w:top w:val="none" w:sz="0" w:space="0" w:color="auto"/>
                    <w:left w:val="none" w:sz="0" w:space="0" w:color="auto"/>
                    <w:bottom w:val="none" w:sz="0" w:space="0" w:color="auto"/>
                    <w:right w:val="none" w:sz="0" w:space="0" w:color="auto"/>
                  </w:divBdr>
                  <w:divsChild>
                    <w:div w:id="853807314">
                      <w:marLeft w:val="0"/>
                      <w:marRight w:val="0"/>
                      <w:marTop w:val="0"/>
                      <w:marBottom w:val="0"/>
                      <w:divBdr>
                        <w:top w:val="none" w:sz="0" w:space="0" w:color="auto"/>
                        <w:left w:val="none" w:sz="0" w:space="0" w:color="auto"/>
                        <w:bottom w:val="none" w:sz="0" w:space="0" w:color="auto"/>
                        <w:right w:val="none" w:sz="0" w:space="0" w:color="auto"/>
                      </w:divBdr>
                    </w:div>
                  </w:divsChild>
                </w:div>
                <w:div w:id="1615206849">
                  <w:marLeft w:val="0"/>
                  <w:marRight w:val="0"/>
                  <w:marTop w:val="0"/>
                  <w:marBottom w:val="0"/>
                  <w:divBdr>
                    <w:top w:val="none" w:sz="0" w:space="0" w:color="auto"/>
                    <w:left w:val="none" w:sz="0" w:space="0" w:color="auto"/>
                    <w:bottom w:val="none" w:sz="0" w:space="0" w:color="auto"/>
                    <w:right w:val="none" w:sz="0" w:space="0" w:color="auto"/>
                  </w:divBdr>
                  <w:divsChild>
                    <w:div w:id="1973631933">
                      <w:marLeft w:val="0"/>
                      <w:marRight w:val="0"/>
                      <w:marTop w:val="0"/>
                      <w:marBottom w:val="0"/>
                      <w:divBdr>
                        <w:top w:val="none" w:sz="0" w:space="0" w:color="auto"/>
                        <w:left w:val="none" w:sz="0" w:space="0" w:color="auto"/>
                        <w:bottom w:val="none" w:sz="0" w:space="0" w:color="auto"/>
                        <w:right w:val="none" w:sz="0" w:space="0" w:color="auto"/>
                      </w:divBdr>
                    </w:div>
                  </w:divsChild>
                </w:div>
                <w:div w:id="1724983207">
                  <w:marLeft w:val="0"/>
                  <w:marRight w:val="0"/>
                  <w:marTop w:val="0"/>
                  <w:marBottom w:val="0"/>
                  <w:divBdr>
                    <w:top w:val="none" w:sz="0" w:space="0" w:color="auto"/>
                    <w:left w:val="none" w:sz="0" w:space="0" w:color="auto"/>
                    <w:bottom w:val="none" w:sz="0" w:space="0" w:color="auto"/>
                    <w:right w:val="none" w:sz="0" w:space="0" w:color="auto"/>
                  </w:divBdr>
                  <w:divsChild>
                    <w:div w:id="1229607971">
                      <w:marLeft w:val="0"/>
                      <w:marRight w:val="0"/>
                      <w:marTop w:val="0"/>
                      <w:marBottom w:val="0"/>
                      <w:divBdr>
                        <w:top w:val="none" w:sz="0" w:space="0" w:color="auto"/>
                        <w:left w:val="none" w:sz="0" w:space="0" w:color="auto"/>
                        <w:bottom w:val="none" w:sz="0" w:space="0" w:color="auto"/>
                        <w:right w:val="none" w:sz="0" w:space="0" w:color="auto"/>
                      </w:divBdr>
                    </w:div>
                  </w:divsChild>
                </w:div>
                <w:div w:id="1747336218">
                  <w:marLeft w:val="0"/>
                  <w:marRight w:val="0"/>
                  <w:marTop w:val="0"/>
                  <w:marBottom w:val="0"/>
                  <w:divBdr>
                    <w:top w:val="none" w:sz="0" w:space="0" w:color="auto"/>
                    <w:left w:val="none" w:sz="0" w:space="0" w:color="auto"/>
                    <w:bottom w:val="none" w:sz="0" w:space="0" w:color="auto"/>
                    <w:right w:val="none" w:sz="0" w:space="0" w:color="auto"/>
                  </w:divBdr>
                  <w:divsChild>
                    <w:div w:id="1012996304">
                      <w:marLeft w:val="0"/>
                      <w:marRight w:val="0"/>
                      <w:marTop w:val="0"/>
                      <w:marBottom w:val="0"/>
                      <w:divBdr>
                        <w:top w:val="none" w:sz="0" w:space="0" w:color="auto"/>
                        <w:left w:val="none" w:sz="0" w:space="0" w:color="auto"/>
                        <w:bottom w:val="none" w:sz="0" w:space="0" w:color="auto"/>
                        <w:right w:val="none" w:sz="0" w:space="0" w:color="auto"/>
                      </w:divBdr>
                    </w:div>
                  </w:divsChild>
                </w:div>
                <w:div w:id="1775056462">
                  <w:marLeft w:val="0"/>
                  <w:marRight w:val="0"/>
                  <w:marTop w:val="0"/>
                  <w:marBottom w:val="0"/>
                  <w:divBdr>
                    <w:top w:val="none" w:sz="0" w:space="0" w:color="auto"/>
                    <w:left w:val="none" w:sz="0" w:space="0" w:color="auto"/>
                    <w:bottom w:val="none" w:sz="0" w:space="0" w:color="auto"/>
                    <w:right w:val="none" w:sz="0" w:space="0" w:color="auto"/>
                  </w:divBdr>
                  <w:divsChild>
                    <w:div w:id="995765614">
                      <w:marLeft w:val="0"/>
                      <w:marRight w:val="0"/>
                      <w:marTop w:val="0"/>
                      <w:marBottom w:val="0"/>
                      <w:divBdr>
                        <w:top w:val="none" w:sz="0" w:space="0" w:color="auto"/>
                        <w:left w:val="none" w:sz="0" w:space="0" w:color="auto"/>
                        <w:bottom w:val="none" w:sz="0" w:space="0" w:color="auto"/>
                        <w:right w:val="none" w:sz="0" w:space="0" w:color="auto"/>
                      </w:divBdr>
                    </w:div>
                  </w:divsChild>
                </w:div>
                <w:div w:id="1992446562">
                  <w:marLeft w:val="0"/>
                  <w:marRight w:val="0"/>
                  <w:marTop w:val="0"/>
                  <w:marBottom w:val="0"/>
                  <w:divBdr>
                    <w:top w:val="none" w:sz="0" w:space="0" w:color="auto"/>
                    <w:left w:val="none" w:sz="0" w:space="0" w:color="auto"/>
                    <w:bottom w:val="none" w:sz="0" w:space="0" w:color="auto"/>
                    <w:right w:val="none" w:sz="0" w:space="0" w:color="auto"/>
                  </w:divBdr>
                  <w:divsChild>
                    <w:div w:id="40641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93315">
      <w:bodyDiv w:val="1"/>
      <w:marLeft w:val="0"/>
      <w:marRight w:val="0"/>
      <w:marTop w:val="0"/>
      <w:marBottom w:val="0"/>
      <w:divBdr>
        <w:top w:val="none" w:sz="0" w:space="0" w:color="auto"/>
        <w:left w:val="none" w:sz="0" w:space="0" w:color="auto"/>
        <w:bottom w:val="none" w:sz="0" w:space="0" w:color="auto"/>
        <w:right w:val="none" w:sz="0" w:space="0" w:color="auto"/>
      </w:divBdr>
      <w:divsChild>
        <w:div w:id="1449203041">
          <w:marLeft w:val="0"/>
          <w:marRight w:val="0"/>
          <w:marTop w:val="0"/>
          <w:marBottom w:val="0"/>
          <w:divBdr>
            <w:top w:val="none" w:sz="0" w:space="0" w:color="auto"/>
            <w:left w:val="none" w:sz="0" w:space="0" w:color="auto"/>
            <w:bottom w:val="none" w:sz="0" w:space="0" w:color="auto"/>
            <w:right w:val="none" w:sz="0" w:space="0" w:color="auto"/>
          </w:divBdr>
          <w:divsChild>
            <w:div w:id="1469082714">
              <w:marLeft w:val="0"/>
              <w:marRight w:val="0"/>
              <w:marTop w:val="0"/>
              <w:marBottom w:val="0"/>
              <w:divBdr>
                <w:top w:val="none" w:sz="0" w:space="0" w:color="auto"/>
                <w:left w:val="none" w:sz="0" w:space="0" w:color="auto"/>
                <w:bottom w:val="none" w:sz="0" w:space="0" w:color="auto"/>
                <w:right w:val="none" w:sz="0" w:space="0" w:color="auto"/>
              </w:divBdr>
            </w:div>
            <w:div w:id="1854875770">
              <w:marLeft w:val="0"/>
              <w:marRight w:val="0"/>
              <w:marTop w:val="0"/>
              <w:marBottom w:val="0"/>
              <w:divBdr>
                <w:top w:val="none" w:sz="0" w:space="0" w:color="auto"/>
                <w:left w:val="none" w:sz="0" w:space="0" w:color="auto"/>
                <w:bottom w:val="none" w:sz="0" w:space="0" w:color="auto"/>
                <w:right w:val="none" w:sz="0" w:space="0" w:color="auto"/>
              </w:divBdr>
            </w:div>
          </w:divsChild>
        </w:div>
        <w:div w:id="1991445385">
          <w:marLeft w:val="0"/>
          <w:marRight w:val="0"/>
          <w:marTop w:val="0"/>
          <w:marBottom w:val="0"/>
          <w:divBdr>
            <w:top w:val="none" w:sz="0" w:space="0" w:color="auto"/>
            <w:left w:val="none" w:sz="0" w:space="0" w:color="auto"/>
            <w:bottom w:val="none" w:sz="0" w:space="0" w:color="auto"/>
            <w:right w:val="none" w:sz="0" w:space="0" w:color="auto"/>
          </w:divBdr>
          <w:divsChild>
            <w:div w:id="218328588">
              <w:marLeft w:val="0"/>
              <w:marRight w:val="0"/>
              <w:marTop w:val="0"/>
              <w:marBottom w:val="0"/>
              <w:divBdr>
                <w:top w:val="none" w:sz="0" w:space="0" w:color="auto"/>
                <w:left w:val="none" w:sz="0" w:space="0" w:color="auto"/>
                <w:bottom w:val="none" w:sz="0" w:space="0" w:color="auto"/>
                <w:right w:val="none" w:sz="0" w:space="0" w:color="auto"/>
              </w:divBdr>
            </w:div>
            <w:div w:id="1032879487">
              <w:marLeft w:val="0"/>
              <w:marRight w:val="0"/>
              <w:marTop w:val="0"/>
              <w:marBottom w:val="0"/>
              <w:divBdr>
                <w:top w:val="none" w:sz="0" w:space="0" w:color="auto"/>
                <w:left w:val="none" w:sz="0" w:space="0" w:color="auto"/>
                <w:bottom w:val="none" w:sz="0" w:space="0" w:color="auto"/>
                <w:right w:val="none" w:sz="0" w:space="0" w:color="auto"/>
              </w:divBdr>
            </w:div>
            <w:div w:id="1063484840">
              <w:marLeft w:val="0"/>
              <w:marRight w:val="0"/>
              <w:marTop w:val="0"/>
              <w:marBottom w:val="0"/>
              <w:divBdr>
                <w:top w:val="none" w:sz="0" w:space="0" w:color="auto"/>
                <w:left w:val="none" w:sz="0" w:space="0" w:color="auto"/>
                <w:bottom w:val="none" w:sz="0" w:space="0" w:color="auto"/>
                <w:right w:val="none" w:sz="0" w:space="0" w:color="auto"/>
              </w:divBdr>
            </w:div>
            <w:div w:id="136610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28546188">
      <w:bodyDiv w:val="1"/>
      <w:marLeft w:val="0"/>
      <w:marRight w:val="0"/>
      <w:marTop w:val="0"/>
      <w:marBottom w:val="0"/>
      <w:divBdr>
        <w:top w:val="none" w:sz="0" w:space="0" w:color="auto"/>
        <w:left w:val="none" w:sz="0" w:space="0" w:color="auto"/>
        <w:bottom w:val="none" w:sz="0" w:space="0" w:color="auto"/>
        <w:right w:val="none" w:sz="0" w:space="0" w:color="auto"/>
      </w:divBdr>
      <w:divsChild>
        <w:div w:id="38363377">
          <w:marLeft w:val="0"/>
          <w:marRight w:val="0"/>
          <w:marTop w:val="0"/>
          <w:marBottom w:val="0"/>
          <w:divBdr>
            <w:top w:val="none" w:sz="0" w:space="0" w:color="auto"/>
            <w:left w:val="none" w:sz="0" w:space="0" w:color="auto"/>
            <w:bottom w:val="none" w:sz="0" w:space="0" w:color="auto"/>
            <w:right w:val="none" w:sz="0" w:space="0" w:color="auto"/>
          </w:divBdr>
          <w:divsChild>
            <w:div w:id="158234986">
              <w:marLeft w:val="0"/>
              <w:marRight w:val="0"/>
              <w:marTop w:val="30"/>
              <w:marBottom w:val="30"/>
              <w:divBdr>
                <w:top w:val="none" w:sz="0" w:space="0" w:color="auto"/>
                <w:left w:val="none" w:sz="0" w:space="0" w:color="auto"/>
                <w:bottom w:val="none" w:sz="0" w:space="0" w:color="auto"/>
                <w:right w:val="none" w:sz="0" w:space="0" w:color="auto"/>
              </w:divBdr>
              <w:divsChild>
                <w:div w:id="130174950">
                  <w:marLeft w:val="0"/>
                  <w:marRight w:val="0"/>
                  <w:marTop w:val="0"/>
                  <w:marBottom w:val="0"/>
                  <w:divBdr>
                    <w:top w:val="none" w:sz="0" w:space="0" w:color="auto"/>
                    <w:left w:val="none" w:sz="0" w:space="0" w:color="auto"/>
                    <w:bottom w:val="none" w:sz="0" w:space="0" w:color="auto"/>
                    <w:right w:val="none" w:sz="0" w:space="0" w:color="auto"/>
                  </w:divBdr>
                  <w:divsChild>
                    <w:div w:id="1592424393">
                      <w:marLeft w:val="0"/>
                      <w:marRight w:val="0"/>
                      <w:marTop w:val="0"/>
                      <w:marBottom w:val="0"/>
                      <w:divBdr>
                        <w:top w:val="none" w:sz="0" w:space="0" w:color="auto"/>
                        <w:left w:val="none" w:sz="0" w:space="0" w:color="auto"/>
                        <w:bottom w:val="none" w:sz="0" w:space="0" w:color="auto"/>
                        <w:right w:val="none" w:sz="0" w:space="0" w:color="auto"/>
                      </w:divBdr>
                    </w:div>
                  </w:divsChild>
                </w:div>
                <w:div w:id="294726108">
                  <w:marLeft w:val="0"/>
                  <w:marRight w:val="0"/>
                  <w:marTop w:val="0"/>
                  <w:marBottom w:val="0"/>
                  <w:divBdr>
                    <w:top w:val="none" w:sz="0" w:space="0" w:color="auto"/>
                    <w:left w:val="none" w:sz="0" w:space="0" w:color="auto"/>
                    <w:bottom w:val="none" w:sz="0" w:space="0" w:color="auto"/>
                    <w:right w:val="none" w:sz="0" w:space="0" w:color="auto"/>
                  </w:divBdr>
                  <w:divsChild>
                    <w:div w:id="342827431">
                      <w:marLeft w:val="0"/>
                      <w:marRight w:val="0"/>
                      <w:marTop w:val="0"/>
                      <w:marBottom w:val="0"/>
                      <w:divBdr>
                        <w:top w:val="none" w:sz="0" w:space="0" w:color="auto"/>
                        <w:left w:val="none" w:sz="0" w:space="0" w:color="auto"/>
                        <w:bottom w:val="none" w:sz="0" w:space="0" w:color="auto"/>
                        <w:right w:val="none" w:sz="0" w:space="0" w:color="auto"/>
                      </w:divBdr>
                    </w:div>
                  </w:divsChild>
                </w:div>
                <w:div w:id="344019266">
                  <w:marLeft w:val="0"/>
                  <w:marRight w:val="0"/>
                  <w:marTop w:val="0"/>
                  <w:marBottom w:val="0"/>
                  <w:divBdr>
                    <w:top w:val="none" w:sz="0" w:space="0" w:color="auto"/>
                    <w:left w:val="none" w:sz="0" w:space="0" w:color="auto"/>
                    <w:bottom w:val="none" w:sz="0" w:space="0" w:color="auto"/>
                    <w:right w:val="none" w:sz="0" w:space="0" w:color="auto"/>
                  </w:divBdr>
                  <w:divsChild>
                    <w:div w:id="554387778">
                      <w:marLeft w:val="0"/>
                      <w:marRight w:val="0"/>
                      <w:marTop w:val="0"/>
                      <w:marBottom w:val="0"/>
                      <w:divBdr>
                        <w:top w:val="none" w:sz="0" w:space="0" w:color="auto"/>
                        <w:left w:val="none" w:sz="0" w:space="0" w:color="auto"/>
                        <w:bottom w:val="none" w:sz="0" w:space="0" w:color="auto"/>
                        <w:right w:val="none" w:sz="0" w:space="0" w:color="auto"/>
                      </w:divBdr>
                    </w:div>
                  </w:divsChild>
                </w:div>
                <w:div w:id="386152382">
                  <w:marLeft w:val="0"/>
                  <w:marRight w:val="0"/>
                  <w:marTop w:val="0"/>
                  <w:marBottom w:val="0"/>
                  <w:divBdr>
                    <w:top w:val="none" w:sz="0" w:space="0" w:color="auto"/>
                    <w:left w:val="none" w:sz="0" w:space="0" w:color="auto"/>
                    <w:bottom w:val="none" w:sz="0" w:space="0" w:color="auto"/>
                    <w:right w:val="none" w:sz="0" w:space="0" w:color="auto"/>
                  </w:divBdr>
                  <w:divsChild>
                    <w:div w:id="1095710507">
                      <w:marLeft w:val="0"/>
                      <w:marRight w:val="0"/>
                      <w:marTop w:val="0"/>
                      <w:marBottom w:val="0"/>
                      <w:divBdr>
                        <w:top w:val="none" w:sz="0" w:space="0" w:color="auto"/>
                        <w:left w:val="none" w:sz="0" w:space="0" w:color="auto"/>
                        <w:bottom w:val="none" w:sz="0" w:space="0" w:color="auto"/>
                        <w:right w:val="none" w:sz="0" w:space="0" w:color="auto"/>
                      </w:divBdr>
                    </w:div>
                  </w:divsChild>
                </w:div>
                <w:div w:id="615018962">
                  <w:marLeft w:val="0"/>
                  <w:marRight w:val="0"/>
                  <w:marTop w:val="0"/>
                  <w:marBottom w:val="0"/>
                  <w:divBdr>
                    <w:top w:val="none" w:sz="0" w:space="0" w:color="auto"/>
                    <w:left w:val="none" w:sz="0" w:space="0" w:color="auto"/>
                    <w:bottom w:val="none" w:sz="0" w:space="0" w:color="auto"/>
                    <w:right w:val="none" w:sz="0" w:space="0" w:color="auto"/>
                  </w:divBdr>
                  <w:divsChild>
                    <w:div w:id="1275868094">
                      <w:marLeft w:val="0"/>
                      <w:marRight w:val="0"/>
                      <w:marTop w:val="0"/>
                      <w:marBottom w:val="0"/>
                      <w:divBdr>
                        <w:top w:val="none" w:sz="0" w:space="0" w:color="auto"/>
                        <w:left w:val="none" w:sz="0" w:space="0" w:color="auto"/>
                        <w:bottom w:val="none" w:sz="0" w:space="0" w:color="auto"/>
                        <w:right w:val="none" w:sz="0" w:space="0" w:color="auto"/>
                      </w:divBdr>
                    </w:div>
                  </w:divsChild>
                </w:div>
                <w:div w:id="800996403">
                  <w:marLeft w:val="0"/>
                  <w:marRight w:val="0"/>
                  <w:marTop w:val="0"/>
                  <w:marBottom w:val="0"/>
                  <w:divBdr>
                    <w:top w:val="none" w:sz="0" w:space="0" w:color="auto"/>
                    <w:left w:val="none" w:sz="0" w:space="0" w:color="auto"/>
                    <w:bottom w:val="none" w:sz="0" w:space="0" w:color="auto"/>
                    <w:right w:val="none" w:sz="0" w:space="0" w:color="auto"/>
                  </w:divBdr>
                  <w:divsChild>
                    <w:div w:id="71391982">
                      <w:marLeft w:val="0"/>
                      <w:marRight w:val="0"/>
                      <w:marTop w:val="0"/>
                      <w:marBottom w:val="0"/>
                      <w:divBdr>
                        <w:top w:val="none" w:sz="0" w:space="0" w:color="auto"/>
                        <w:left w:val="none" w:sz="0" w:space="0" w:color="auto"/>
                        <w:bottom w:val="none" w:sz="0" w:space="0" w:color="auto"/>
                        <w:right w:val="none" w:sz="0" w:space="0" w:color="auto"/>
                      </w:divBdr>
                    </w:div>
                    <w:div w:id="84806556">
                      <w:marLeft w:val="0"/>
                      <w:marRight w:val="0"/>
                      <w:marTop w:val="0"/>
                      <w:marBottom w:val="0"/>
                      <w:divBdr>
                        <w:top w:val="none" w:sz="0" w:space="0" w:color="auto"/>
                        <w:left w:val="none" w:sz="0" w:space="0" w:color="auto"/>
                        <w:bottom w:val="none" w:sz="0" w:space="0" w:color="auto"/>
                        <w:right w:val="none" w:sz="0" w:space="0" w:color="auto"/>
                      </w:divBdr>
                    </w:div>
                    <w:div w:id="232279030">
                      <w:marLeft w:val="0"/>
                      <w:marRight w:val="0"/>
                      <w:marTop w:val="0"/>
                      <w:marBottom w:val="0"/>
                      <w:divBdr>
                        <w:top w:val="none" w:sz="0" w:space="0" w:color="auto"/>
                        <w:left w:val="none" w:sz="0" w:space="0" w:color="auto"/>
                        <w:bottom w:val="none" w:sz="0" w:space="0" w:color="auto"/>
                        <w:right w:val="none" w:sz="0" w:space="0" w:color="auto"/>
                      </w:divBdr>
                    </w:div>
                    <w:div w:id="1347898830">
                      <w:marLeft w:val="0"/>
                      <w:marRight w:val="0"/>
                      <w:marTop w:val="0"/>
                      <w:marBottom w:val="0"/>
                      <w:divBdr>
                        <w:top w:val="none" w:sz="0" w:space="0" w:color="auto"/>
                        <w:left w:val="none" w:sz="0" w:space="0" w:color="auto"/>
                        <w:bottom w:val="none" w:sz="0" w:space="0" w:color="auto"/>
                        <w:right w:val="none" w:sz="0" w:space="0" w:color="auto"/>
                      </w:divBdr>
                    </w:div>
                    <w:div w:id="1353678759">
                      <w:marLeft w:val="0"/>
                      <w:marRight w:val="0"/>
                      <w:marTop w:val="0"/>
                      <w:marBottom w:val="0"/>
                      <w:divBdr>
                        <w:top w:val="none" w:sz="0" w:space="0" w:color="auto"/>
                        <w:left w:val="none" w:sz="0" w:space="0" w:color="auto"/>
                        <w:bottom w:val="none" w:sz="0" w:space="0" w:color="auto"/>
                        <w:right w:val="none" w:sz="0" w:space="0" w:color="auto"/>
                      </w:divBdr>
                    </w:div>
                    <w:div w:id="1797026247">
                      <w:marLeft w:val="0"/>
                      <w:marRight w:val="0"/>
                      <w:marTop w:val="0"/>
                      <w:marBottom w:val="0"/>
                      <w:divBdr>
                        <w:top w:val="none" w:sz="0" w:space="0" w:color="auto"/>
                        <w:left w:val="none" w:sz="0" w:space="0" w:color="auto"/>
                        <w:bottom w:val="none" w:sz="0" w:space="0" w:color="auto"/>
                        <w:right w:val="none" w:sz="0" w:space="0" w:color="auto"/>
                      </w:divBdr>
                    </w:div>
                  </w:divsChild>
                </w:div>
                <w:div w:id="852036153">
                  <w:marLeft w:val="0"/>
                  <w:marRight w:val="0"/>
                  <w:marTop w:val="0"/>
                  <w:marBottom w:val="0"/>
                  <w:divBdr>
                    <w:top w:val="none" w:sz="0" w:space="0" w:color="auto"/>
                    <w:left w:val="none" w:sz="0" w:space="0" w:color="auto"/>
                    <w:bottom w:val="none" w:sz="0" w:space="0" w:color="auto"/>
                    <w:right w:val="none" w:sz="0" w:space="0" w:color="auto"/>
                  </w:divBdr>
                  <w:divsChild>
                    <w:div w:id="850028843">
                      <w:marLeft w:val="0"/>
                      <w:marRight w:val="0"/>
                      <w:marTop w:val="0"/>
                      <w:marBottom w:val="0"/>
                      <w:divBdr>
                        <w:top w:val="none" w:sz="0" w:space="0" w:color="auto"/>
                        <w:left w:val="none" w:sz="0" w:space="0" w:color="auto"/>
                        <w:bottom w:val="none" w:sz="0" w:space="0" w:color="auto"/>
                        <w:right w:val="none" w:sz="0" w:space="0" w:color="auto"/>
                      </w:divBdr>
                    </w:div>
                  </w:divsChild>
                </w:div>
                <w:div w:id="910775363">
                  <w:marLeft w:val="0"/>
                  <w:marRight w:val="0"/>
                  <w:marTop w:val="0"/>
                  <w:marBottom w:val="0"/>
                  <w:divBdr>
                    <w:top w:val="none" w:sz="0" w:space="0" w:color="auto"/>
                    <w:left w:val="none" w:sz="0" w:space="0" w:color="auto"/>
                    <w:bottom w:val="none" w:sz="0" w:space="0" w:color="auto"/>
                    <w:right w:val="none" w:sz="0" w:space="0" w:color="auto"/>
                  </w:divBdr>
                  <w:divsChild>
                    <w:div w:id="284164207">
                      <w:marLeft w:val="0"/>
                      <w:marRight w:val="0"/>
                      <w:marTop w:val="0"/>
                      <w:marBottom w:val="0"/>
                      <w:divBdr>
                        <w:top w:val="none" w:sz="0" w:space="0" w:color="auto"/>
                        <w:left w:val="none" w:sz="0" w:space="0" w:color="auto"/>
                        <w:bottom w:val="none" w:sz="0" w:space="0" w:color="auto"/>
                        <w:right w:val="none" w:sz="0" w:space="0" w:color="auto"/>
                      </w:divBdr>
                    </w:div>
                  </w:divsChild>
                </w:div>
                <w:div w:id="1066076548">
                  <w:marLeft w:val="0"/>
                  <w:marRight w:val="0"/>
                  <w:marTop w:val="0"/>
                  <w:marBottom w:val="0"/>
                  <w:divBdr>
                    <w:top w:val="none" w:sz="0" w:space="0" w:color="auto"/>
                    <w:left w:val="none" w:sz="0" w:space="0" w:color="auto"/>
                    <w:bottom w:val="none" w:sz="0" w:space="0" w:color="auto"/>
                    <w:right w:val="none" w:sz="0" w:space="0" w:color="auto"/>
                  </w:divBdr>
                  <w:divsChild>
                    <w:div w:id="109473117">
                      <w:marLeft w:val="0"/>
                      <w:marRight w:val="0"/>
                      <w:marTop w:val="0"/>
                      <w:marBottom w:val="0"/>
                      <w:divBdr>
                        <w:top w:val="none" w:sz="0" w:space="0" w:color="auto"/>
                        <w:left w:val="none" w:sz="0" w:space="0" w:color="auto"/>
                        <w:bottom w:val="none" w:sz="0" w:space="0" w:color="auto"/>
                        <w:right w:val="none" w:sz="0" w:space="0" w:color="auto"/>
                      </w:divBdr>
                    </w:div>
                  </w:divsChild>
                </w:div>
                <w:div w:id="1116410975">
                  <w:marLeft w:val="0"/>
                  <w:marRight w:val="0"/>
                  <w:marTop w:val="0"/>
                  <w:marBottom w:val="0"/>
                  <w:divBdr>
                    <w:top w:val="none" w:sz="0" w:space="0" w:color="auto"/>
                    <w:left w:val="none" w:sz="0" w:space="0" w:color="auto"/>
                    <w:bottom w:val="none" w:sz="0" w:space="0" w:color="auto"/>
                    <w:right w:val="none" w:sz="0" w:space="0" w:color="auto"/>
                  </w:divBdr>
                  <w:divsChild>
                    <w:div w:id="1505822068">
                      <w:marLeft w:val="0"/>
                      <w:marRight w:val="0"/>
                      <w:marTop w:val="0"/>
                      <w:marBottom w:val="0"/>
                      <w:divBdr>
                        <w:top w:val="none" w:sz="0" w:space="0" w:color="auto"/>
                        <w:left w:val="none" w:sz="0" w:space="0" w:color="auto"/>
                        <w:bottom w:val="none" w:sz="0" w:space="0" w:color="auto"/>
                        <w:right w:val="none" w:sz="0" w:space="0" w:color="auto"/>
                      </w:divBdr>
                    </w:div>
                  </w:divsChild>
                </w:div>
                <w:div w:id="1314481125">
                  <w:marLeft w:val="0"/>
                  <w:marRight w:val="0"/>
                  <w:marTop w:val="0"/>
                  <w:marBottom w:val="0"/>
                  <w:divBdr>
                    <w:top w:val="none" w:sz="0" w:space="0" w:color="auto"/>
                    <w:left w:val="none" w:sz="0" w:space="0" w:color="auto"/>
                    <w:bottom w:val="none" w:sz="0" w:space="0" w:color="auto"/>
                    <w:right w:val="none" w:sz="0" w:space="0" w:color="auto"/>
                  </w:divBdr>
                  <w:divsChild>
                    <w:div w:id="901646549">
                      <w:marLeft w:val="0"/>
                      <w:marRight w:val="0"/>
                      <w:marTop w:val="0"/>
                      <w:marBottom w:val="0"/>
                      <w:divBdr>
                        <w:top w:val="none" w:sz="0" w:space="0" w:color="auto"/>
                        <w:left w:val="none" w:sz="0" w:space="0" w:color="auto"/>
                        <w:bottom w:val="none" w:sz="0" w:space="0" w:color="auto"/>
                        <w:right w:val="none" w:sz="0" w:space="0" w:color="auto"/>
                      </w:divBdr>
                    </w:div>
                  </w:divsChild>
                </w:div>
                <w:div w:id="1473215212">
                  <w:marLeft w:val="0"/>
                  <w:marRight w:val="0"/>
                  <w:marTop w:val="0"/>
                  <w:marBottom w:val="0"/>
                  <w:divBdr>
                    <w:top w:val="none" w:sz="0" w:space="0" w:color="auto"/>
                    <w:left w:val="none" w:sz="0" w:space="0" w:color="auto"/>
                    <w:bottom w:val="none" w:sz="0" w:space="0" w:color="auto"/>
                    <w:right w:val="none" w:sz="0" w:space="0" w:color="auto"/>
                  </w:divBdr>
                  <w:divsChild>
                    <w:div w:id="240337141">
                      <w:marLeft w:val="0"/>
                      <w:marRight w:val="0"/>
                      <w:marTop w:val="0"/>
                      <w:marBottom w:val="0"/>
                      <w:divBdr>
                        <w:top w:val="none" w:sz="0" w:space="0" w:color="auto"/>
                        <w:left w:val="none" w:sz="0" w:space="0" w:color="auto"/>
                        <w:bottom w:val="none" w:sz="0" w:space="0" w:color="auto"/>
                        <w:right w:val="none" w:sz="0" w:space="0" w:color="auto"/>
                      </w:divBdr>
                    </w:div>
                    <w:div w:id="529954476">
                      <w:marLeft w:val="0"/>
                      <w:marRight w:val="0"/>
                      <w:marTop w:val="0"/>
                      <w:marBottom w:val="0"/>
                      <w:divBdr>
                        <w:top w:val="none" w:sz="0" w:space="0" w:color="auto"/>
                        <w:left w:val="none" w:sz="0" w:space="0" w:color="auto"/>
                        <w:bottom w:val="none" w:sz="0" w:space="0" w:color="auto"/>
                        <w:right w:val="none" w:sz="0" w:space="0" w:color="auto"/>
                      </w:divBdr>
                    </w:div>
                    <w:div w:id="577053907">
                      <w:marLeft w:val="0"/>
                      <w:marRight w:val="0"/>
                      <w:marTop w:val="0"/>
                      <w:marBottom w:val="0"/>
                      <w:divBdr>
                        <w:top w:val="none" w:sz="0" w:space="0" w:color="auto"/>
                        <w:left w:val="none" w:sz="0" w:space="0" w:color="auto"/>
                        <w:bottom w:val="none" w:sz="0" w:space="0" w:color="auto"/>
                        <w:right w:val="none" w:sz="0" w:space="0" w:color="auto"/>
                      </w:divBdr>
                    </w:div>
                    <w:div w:id="772558812">
                      <w:marLeft w:val="0"/>
                      <w:marRight w:val="0"/>
                      <w:marTop w:val="0"/>
                      <w:marBottom w:val="0"/>
                      <w:divBdr>
                        <w:top w:val="none" w:sz="0" w:space="0" w:color="auto"/>
                        <w:left w:val="none" w:sz="0" w:space="0" w:color="auto"/>
                        <w:bottom w:val="none" w:sz="0" w:space="0" w:color="auto"/>
                        <w:right w:val="none" w:sz="0" w:space="0" w:color="auto"/>
                      </w:divBdr>
                    </w:div>
                    <w:div w:id="1140423956">
                      <w:marLeft w:val="0"/>
                      <w:marRight w:val="0"/>
                      <w:marTop w:val="0"/>
                      <w:marBottom w:val="0"/>
                      <w:divBdr>
                        <w:top w:val="none" w:sz="0" w:space="0" w:color="auto"/>
                        <w:left w:val="none" w:sz="0" w:space="0" w:color="auto"/>
                        <w:bottom w:val="none" w:sz="0" w:space="0" w:color="auto"/>
                        <w:right w:val="none" w:sz="0" w:space="0" w:color="auto"/>
                      </w:divBdr>
                    </w:div>
                    <w:div w:id="1181776682">
                      <w:marLeft w:val="0"/>
                      <w:marRight w:val="0"/>
                      <w:marTop w:val="0"/>
                      <w:marBottom w:val="0"/>
                      <w:divBdr>
                        <w:top w:val="none" w:sz="0" w:space="0" w:color="auto"/>
                        <w:left w:val="none" w:sz="0" w:space="0" w:color="auto"/>
                        <w:bottom w:val="none" w:sz="0" w:space="0" w:color="auto"/>
                        <w:right w:val="none" w:sz="0" w:space="0" w:color="auto"/>
                      </w:divBdr>
                    </w:div>
                    <w:div w:id="1244949884">
                      <w:marLeft w:val="0"/>
                      <w:marRight w:val="0"/>
                      <w:marTop w:val="0"/>
                      <w:marBottom w:val="0"/>
                      <w:divBdr>
                        <w:top w:val="none" w:sz="0" w:space="0" w:color="auto"/>
                        <w:left w:val="none" w:sz="0" w:space="0" w:color="auto"/>
                        <w:bottom w:val="none" w:sz="0" w:space="0" w:color="auto"/>
                        <w:right w:val="none" w:sz="0" w:space="0" w:color="auto"/>
                      </w:divBdr>
                    </w:div>
                    <w:div w:id="1452899756">
                      <w:marLeft w:val="0"/>
                      <w:marRight w:val="0"/>
                      <w:marTop w:val="0"/>
                      <w:marBottom w:val="0"/>
                      <w:divBdr>
                        <w:top w:val="none" w:sz="0" w:space="0" w:color="auto"/>
                        <w:left w:val="none" w:sz="0" w:space="0" w:color="auto"/>
                        <w:bottom w:val="none" w:sz="0" w:space="0" w:color="auto"/>
                        <w:right w:val="none" w:sz="0" w:space="0" w:color="auto"/>
                      </w:divBdr>
                    </w:div>
                    <w:div w:id="1754930600">
                      <w:marLeft w:val="0"/>
                      <w:marRight w:val="0"/>
                      <w:marTop w:val="0"/>
                      <w:marBottom w:val="0"/>
                      <w:divBdr>
                        <w:top w:val="none" w:sz="0" w:space="0" w:color="auto"/>
                        <w:left w:val="none" w:sz="0" w:space="0" w:color="auto"/>
                        <w:bottom w:val="none" w:sz="0" w:space="0" w:color="auto"/>
                        <w:right w:val="none" w:sz="0" w:space="0" w:color="auto"/>
                      </w:divBdr>
                    </w:div>
                    <w:div w:id="1833905304">
                      <w:marLeft w:val="0"/>
                      <w:marRight w:val="0"/>
                      <w:marTop w:val="0"/>
                      <w:marBottom w:val="0"/>
                      <w:divBdr>
                        <w:top w:val="none" w:sz="0" w:space="0" w:color="auto"/>
                        <w:left w:val="none" w:sz="0" w:space="0" w:color="auto"/>
                        <w:bottom w:val="none" w:sz="0" w:space="0" w:color="auto"/>
                        <w:right w:val="none" w:sz="0" w:space="0" w:color="auto"/>
                      </w:divBdr>
                    </w:div>
                  </w:divsChild>
                </w:div>
                <w:div w:id="1630429769">
                  <w:marLeft w:val="0"/>
                  <w:marRight w:val="0"/>
                  <w:marTop w:val="0"/>
                  <w:marBottom w:val="0"/>
                  <w:divBdr>
                    <w:top w:val="none" w:sz="0" w:space="0" w:color="auto"/>
                    <w:left w:val="none" w:sz="0" w:space="0" w:color="auto"/>
                    <w:bottom w:val="none" w:sz="0" w:space="0" w:color="auto"/>
                    <w:right w:val="none" w:sz="0" w:space="0" w:color="auto"/>
                  </w:divBdr>
                  <w:divsChild>
                    <w:div w:id="713313188">
                      <w:marLeft w:val="0"/>
                      <w:marRight w:val="0"/>
                      <w:marTop w:val="0"/>
                      <w:marBottom w:val="0"/>
                      <w:divBdr>
                        <w:top w:val="none" w:sz="0" w:space="0" w:color="auto"/>
                        <w:left w:val="none" w:sz="0" w:space="0" w:color="auto"/>
                        <w:bottom w:val="none" w:sz="0" w:space="0" w:color="auto"/>
                        <w:right w:val="none" w:sz="0" w:space="0" w:color="auto"/>
                      </w:divBdr>
                    </w:div>
                  </w:divsChild>
                </w:div>
                <w:div w:id="1759210286">
                  <w:marLeft w:val="0"/>
                  <w:marRight w:val="0"/>
                  <w:marTop w:val="0"/>
                  <w:marBottom w:val="0"/>
                  <w:divBdr>
                    <w:top w:val="none" w:sz="0" w:space="0" w:color="auto"/>
                    <w:left w:val="none" w:sz="0" w:space="0" w:color="auto"/>
                    <w:bottom w:val="none" w:sz="0" w:space="0" w:color="auto"/>
                    <w:right w:val="none" w:sz="0" w:space="0" w:color="auto"/>
                  </w:divBdr>
                  <w:divsChild>
                    <w:div w:id="980692271">
                      <w:marLeft w:val="0"/>
                      <w:marRight w:val="0"/>
                      <w:marTop w:val="0"/>
                      <w:marBottom w:val="0"/>
                      <w:divBdr>
                        <w:top w:val="none" w:sz="0" w:space="0" w:color="auto"/>
                        <w:left w:val="none" w:sz="0" w:space="0" w:color="auto"/>
                        <w:bottom w:val="none" w:sz="0" w:space="0" w:color="auto"/>
                        <w:right w:val="none" w:sz="0" w:space="0" w:color="auto"/>
                      </w:divBdr>
                    </w:div>
                    <w:div w:id="1789741753">
                      <w:marLeft w:val="0"/>
                      <w:marRight w:val="0"/>
                      <w:marTop w:val="0"/>
                      <w:marBottom w:val="0"/>
                      <w:divBdr>
                        <w:top w:val="none" w:sz="0" w:space="0" w:color="auto"/>
                        <w:left w:val="none" w:sz="0" w:space="0" w:color="auto"/>
                        <w:bottom w:val="none" w:sz="0" w:space="0" w:color="auto"/>
                        <w:right w:val="none" w:sz="0" w:space="0" w:color="auto"/>
                      </w:divBdr>
                    </w:div>
                  </w:divsChild>
                </w:div>
                <w:div w:id="1809080547">
                  <w:marLeft w:val="0"/>
                  <w:marRight w:val="0"/>
                  <w:marTop w:val="0"/>
                  <w:marBottom w:val="0"/>
                  <w:divBdr>
                    <w:top w:val="none" w:sz="0" w:space="0" w:color="auto"/>
                    <w:left w:val="none" w:sz="0" w:space="0" w:color="auto"/>
                    <w:bottom w:val="none" w:sz="0" w:space="0" w:color="auto"/>
                    <w:right w:val="none" w:sz="0" w:space="0" w:color="auto"/>
                  </w:divBdr>
                  <w:divsChild>
                    <w:div w:id="1495026486">
                      <w:marLeft w:val="0"/>
                      <w:marRight w:val="0"/>
                      <w:marTop w:val="0"/>
                      <w:marBottom w:val="0"/>
                      <w:divBdr>
                        <w:top w:val="none" w:sz="0" w:space="0" w:color="auto"/>
                        <w:left w:val="none" w:sz="0" w:space="0" w:color="auto"/>
                        <w:bottom w:val="none" w:sz="0" w:space="0" w:color="auto"/>
                        <w:right w:val="none" w:sz="0" w:space="0" w:color="auto"/>
                      </w:divBdr>
                    </w:div>
                  </w:divsChild>
                </w:div>
                <w:div w:id="1908222304">
                  <w:marLeft w:val="0"/>
                  <w:marRight w:val="0"/>
                  <w:marTop w:val="0"/>
                  <w:marBottom w:val="0"/>
                  <w:divBdr>
                    <w:top w:val="none" w:sz="0" w:space="0" w:color="auto"/>
                    <w:left w:val="none" w:sz="0" w:space="0" w:color="auto"/>
                    <w:bottom w:val="none" w:sz="0" w:space="0" w:color="auto"/>
                    <w:right w:val="none" w:sz="0" w:space="0" w:color="auto"/>
                  </w:divBdr>
                  <w:divsChild>
                    <w:div w:id="1921334276">
                      <w:marLeft w:val="0"/>
                      <w:marRight w:val="0"/>
                      <w:marTop w:val="0"/>
                      <w:marBottom w:val="0"/>
                      <w:divBdr>
                        <w:top w:val="none" w:sz="0" w:space="0" w:color="auto"/>
                        <w:left w:val="none" w:sz="0" w:space="0" w:color="auto"/>
                        <w:bottom w:val="none" w:sz="0" w:space="0" w:color="auto"/>
                        <w:right w:val="none" w:sz="0" w:space="0" w:color="auto"/>
                      </w:divBdr>
                    </w:div>
                  </w:divsChild>
                </w:div>
                <w:div w:id="1946960799">
                  <w:marLeft w:val="0"/>
                  <w:marRight w:val="0"/>
                  <w:marTop w:val="0"/>
                  <w:marBottom w:val="0"/>
                  <w:divBdr>
                    <w:top w:val="none" w:sz="0" w:space="0" w:color="auto"/>
                    <w:left w:val="none" w:sz="0" w:space="0" w:color="auto"/>
                    <w:bottom w:val="none" w:sz="0" w:space="0" w:color="auto"/>
                    <w:right w:val="none" w:sz="0" w:space="0" w:color="auto"/>
                  </w:divBdr>
                  <w:divsChild>
                    <w:div w:id="449015458">
                      <w:marLeft w:val="0"/>
                      <w:marRight w:val="0"/>
                      <w:marTop w:val="0"/>
                      <w:marBottom w:val="0"/>
                      <w:divBdr>
                        <w:top w:val="none" w:sz="0" w:space="0" w:color="auto"/>
                        <w:left w:val="none" w:sz="0" w:space="0" w:color="auto"/>
                        <w:bottom w:val="none" w:sz="0" w:space="0" w:color="auto"/>
                        <w:right w:val="none" w:sz="0" w:space="0" w:color="auto"/>
                      </w:divBdr>
                    </w:div>
                  </w:divsChild>
                </w:div>
                <w:div w:id="1967809481">
                  <w:marLeft w:val="0"/>
                  <w:marRight w:val="0"/>
                  <w:marTop w:val="0"/>
                  <w:marBottom w:val="0"/>
                  <w:divBdr>
                    <w:top w:val="none" w:sz="0" w:space="0" w:color="auto"/>
                    <w:left w:val="none" w:sz="0" w:space="0" w:color="auto"/>
                    <w:bottom w:val="none" w:sz="0" w:space="0" w:color="auto"/>
                    <w:right w:val="none" w:sz="0" w:space="0" w:color="auto"/>
                  </w:divBdr>
                  <w:divsChild>
                    <w:div w:id="1780562611">
                      <w:marLeft w:val="0"/>
                      <w:marRight w:val="0"/>
                      <w:marTop w:val="0"/>
                      <w:marBottom w:val="0"/>
                      <w:divBdr>
                        <w:top w:val="none" w:sz="0" w:space="0" w:color="auto"/>
                        <w:left w:val="none" w:sz="0" w:space="0" w:color="auto"/>
                        <w:bottom w:val="none" w:sz="0" w:space="0" w:color="auto"/>
                        <w:right w:val="none" w:sz="0" w:space="0" w:color="auto"/>
                      </w:divBdr>
                    </w:div>
                  </w:divsChild>
                </w:div>
                <w:div w:id="2006012091">
                  <w:marLeft w:val="0"/>
                  <w:marRight w:val="0"/>
                  <w:marTop w:val="0"/>
                  <w:marBottom w:val="0"/>
                  <w:divBdr>
                    <w:top w:val="none" w:sz="0" w:space="0" w:color="auto"/>
                    <w:left w:val="none" w:sz="0" w:space="0" w:color="auto"/>
                    <w:bottom w:val="none" w:sz="0" w:space="0" w:color="auto"/>
                    <w:right w:val="none" w:sz="0" w:space="0" w:color="auto"/>
                  </w:divBdr>
                  <w:divsChild>
                    <w:div w:id="1837069977">
                      <w:marLeft w:val="0"/>
                      <w:marRight w:val="0"/>
                      <w:marTop w:val="0"/>
                      <w:marBottom w:val="0"/>
                      <w:divBdr>
                        <w:top w:val="none" w:sz="0" w:space="0" w:color="auto"/>
                        <w:left w:val="none" w:sz="0" w:space="0" w:color="auto"/>
                        <w:bottom w:val="none" w:sz="0" w:space="0" w:color="auto"/>
                        <w:right w:val="none" w:sz="0" w:space="0" w:color="auto"/>
                      </w:divBdr>
                    </w:div>
                  </w:divsChild>
                </w:div>
                <w:div w:id="2137260800">
                  <w:marLeft w:val="0"/>
                  <w:marRight w:val="0"/>
                  <w:marTop w:val="0"/>
                  <w:marBottom w:val="0"/>
                  <w:divBdr>
                    <w:top w:val="none" w:sz="0" w:space="0" w:color="auto"/>
                    <w:left w:val="none" w:sz="0" w:space="0" w:color="auto"/>
                    <w:bottom w:val="none" w:sz="0" w:space="0" w:color="auto"/>
                    <w:right w:val="none" w:sz="0" w:space="0" w:color="auto"/>
                  </w:divBdr>
                  <w:divsChild>
                    <w:div w:id="10575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02512">
          <w:marLeft w:val="0"/>
          <w:marRight w:val="0"/>
          <w:marTop w:val="0"/>
          <w:marBottom w:val="0"/>
          <w:divBdr>
            <w:top w:val="none" w:sz="0" w:space="0" w:color="auto"/>
            <w:left w:val="none" w:sz="0" w:space="0" w:color="auto"/>
            <w:bottom w:val="none" w:sz="0" w:space="0" w:color="auto"/>
            <w:right w:val="none" w:sz="0" w:space="0" w:color="auto"/>
          </w:divBdr>
        </w:div>
      </w:divsChild>
    </w:div>
    <w:div w:id="456458614">
      <w:bodyDiv w:val="1"/>
      <w:marLeft w:val="0"/>
      <w:marRight w:val="0"/>
      <w:marTop w:val="0"/>
      <w:marBottom w:val="0"/>
      <w:divBdr>
        <w:top w:val="none" w:sz="0" w:space="0" w:color="auto"/>
        <w:left w:val="none" w:sz="0" w:space="0" w:color="auto"/>
        <w:bottom w:val="none" w:sz="0" w:space="0" w:color="auto"/>
        <w:right w:val="none" w:sz="0" w:space="0" w:color="auto"/>
      </w:divBdr>
      <w:divsChild>
        <w:div w:id="365981244">
          <w:marLeft w:val="0"/>
          <w:marRight w:val="0"/>
          <w:marTop w:val="0"/>
          <w:marBottom w:val="0"/>
          <w:divBdr>
            <w:top w:val="none" w:sz="0" w:space="0" w:color="auto"/>
            <w:left w:val="none" w:sz="0" w:space="0" w:color="auto"/>
            <w:bottom w:val="none" w:sz="0" w:space="0" w:color="auto"/>
            <w:right w:val="none" w:sz="0" w:space="0" w:color="auto"/>
          </w:divBdr>
        </w:div>
        <w:div w:id="398983473">
          <w:marLeft w:val="0"/>
          <w:marRight w:val="0"/>
          <w:marTop w:val="0"/>
          <w:marBottom w:val="0"/>
          <w:divBdr>
            <w:top w:val="none" w:sz="0" w:space="0" w:color="auto"/>
            <w:left w:val="none" w:sz="0" w:space="0" w:color="auto"/>
            <w:bottom w:val="none" w:sz="0" w:space="0" w:color="auto"/>
            <w:right w:val="none" w:sz="0" w:space="0" w:color="auto"/>
          </w:divBdr>
        </w:div>
        <w:div w:id="1221095746">
          <w:marLeft w:val="0"/>
          <w:marRight w:val="0"/>
          <w:marTop w:val="0"/>
          <w:marBottom w:val="0"/>
          <w:divBdr>
            <w:top w:val="none" w:sz="0" w:space="0" w:color="auto"/>
            <w:left w:val="none" w:sz="0" w:space="0" w:color="auto"/>
            <w:bottom w:val="none" w:sz="0" w:space="0" w:color="auto"/>
            <w:right w:val="none" w:sz="0" w:space="0" w:color="auto"/>
          </w:divBdr>
        </w:div>
      </w:divsChild>
    </w:div>
    <w:div w:id="463960582">
      <w:bodyDiv w:val="1"/>
      <w:marLeft w:val="0"/>
      <w:marRight w:val="0"/>
      <w:marTop w:val="0"/>
      <w:marBottom w:val="0"/>
      <w:divBdr>
        <w:top w:val="none" w:sz="0" w:space="0" w:color="auto"/>
        <w:left w:val="none" w:sz="0" w:space="0" w:color="auto"/>
        <w:bottom w:val="none" w:sz="0" w:space="0" w:color="auto"/>
        <w:right w:val="none" w:sz="0" w:space="0" w:color="auto"/>
      </w:divBdr>
      <w:divsChild>
        <w:div w:id="1182889751">
          <w:marLeft w:val="0"/>
          <w:marRight w:val="0"/>
          <w:marTop w:val="0"/>
          <w:marBottom w:val="0"/>
          <w:divBdr>
            <w:top w:val="none" w:sz="0" w:space="0" w:color="auto"/>
            <w:left w:val="none" w:sz="0" w:space="0" w:color="auto"/>
            <w:bottom w:val="none" w:sz="0" w:space="0" w:color="auto"/>
            <w:right w:val="none" w:sz="0" w:space="0" w:color="auto"/>
          </w:divBdr>
        </w:div>
        <w:div w:id="1455977357">
          <w:marLeft w:val="0"/>
          <w:marRight w:val="0"/>
          <w:marTop w:val="0"/>
          <w:marBottom w:val="0"/>
          <w:divBdr>
            <w:top w:val="none" w:sz="0" w:space="0" w:color="auto"/>
            <w:left w:val="none" w:sz="0" w:space="0" w:color="auto"/>
            <w:bottom w:val="none" w:sz="0" w:space="0" w:color="auto"/>
            <w:right w:val="none" w:sz="0" w:space="0" w:color="auto"/>
          </w:divBdr>
          <w:divsChild>
            <w:div w:id="1394813877">
              <w:marLeft w:val="0"/>
              <w:marRight w:val="0"/>
              <w:marTop w:val="30"/>
              <w:marBottom w:val="30"/>
              <w:divBdr>
                <w:top w:val="none" w:sz="0" w:space="0" w:color="auto"/>
                <w:left w:val="none" w:sz="0" w:space="0" w:color="auto"/>
                <w:bottom w:val="none" w:sz="0" w:space="0" w:color="auto"/>
                <w:right w:val="none" w:sz="0" w:space="0" w:color="auto"/>
              </w:divBdr>
              <w:divsChild>
                <w:div w:id="17902099">
                  <w:marLeft w:val="0"/>
                  <w:marRight w:val="0"/>
                  <w:marTop w:val="0"/>
                  <w:marBottom w:val="0"/>
                  <w:divBdr>
                    <w:top w:val="none" w:sz="0" w:space="0" w:color="auto"/>
                    <w:left w:val="none" w:sz="0" w:space="0" w:color="auto"/>
                    <w:bottom w:val="none" w:sz="0" w:space="0" w:color="auto"/>
                    <w:right w:val="none" w:sz="0" w:space="0" w:color="auto"/>
                  </w:divBdr>
                  <w:divsChild>
                    <w:div w:id="1097676660">
                      <w:marLeft w:val="0"/>
                      <w:marRight w:val="0"/>
                      <w:marTop w:val="0"/>
                      <w:marBottom w:val="0"/>
                      <w:divBdr>
                        <w:top w:val="none" w:sz="0" w:space="0" w:color="auto"/>
                        <w:left w:val="none" w:sz="0" w:space="0" w:color="auto"/>
                        <w:bottom w:val="none" w:sz="0" w:space="0" w:color="auto"/>
                        <w:right w:val="none" w:sz="0" w:space="0" w:color="auto"/>
                      </w:divBdr>
                    </w:div>
                  </w:divsChild>
                </w:div>
                <w:div w:id="54207502">
                  <w:marLeft w:val="0"/>
                  <w:marRight w:val="0"/>
                  <w:marTop w:val="0"/>
                  <w:marBottom w:val="0"/>
                  <w:divBdr>
                    <w:top w:val="none" w:sz="0" w:space="0" w:color="auto"/>
                    <w:left w:val="none" w:sz="0" w:space="0" w:color="auto"/>
                    <w:bottom w:val="none" w:sz="0" w:space="0" w:color="auto"/>
                    <w:right w:val="none" w:sz="0" w:space="0" w:color="auto"/>
                  </w:divBdr>
                  <w:divsChild>
                    <w:div w:id="1592346993">
                      <w:marLeft w:val="0"/>
                      <w:marRight w:val="0"/>
                      <w:marTop w:val="0"/>
                      <w:marBottom w:val="0"/>
                      <w:divBdr>
                        <w:top w:val="none" w:sz="0" w:space="0" w:color="auto"/>
                        <w:left w:val="none" w:sz="0" w:space="0" w:color="auto"/>
                        <w:bottom w:val="none" w:sz="0" w:space="0" w:color="auto"/>
                        <w:right w:val="none" w:sz="0" w:space="0" w:color="auto"/>
                      </w:divBdr>
                    </w:div>
                  </w:divsChild>
                </w:div>
                <w:div w:id="232012064">
                  <w:marLeft w:val="0"/>
                  <w:marRight w:val="0"/>
                  <w:marTop w:val="0"/>
                  <w:marBottom w:val="0"/>
                  <w:divBdr>
                    <w:top w:val="none" w:sz="0" w:space="0" w:color="auto"/>
                    <w:left w:val="none" w:sz="0" w:space="0" w:color="auto"/>
                    <w:bottom w:val="none" w:sz="0" w:space="0" w:color="auto"/>
                    <w:right w:val="none" w:sz="0" w:space="0" w:color="auto"/>
                  </w:divBdr>
                  <w:divsChild>
                    <w:div w:id="273942322">
                      <w:marLeft w:val="0"/>
                      <w:marRight w:val="0"/>
                      <w:marTop w:val="0"/>
                      <w:marBottom w:val="0"/>
                      <w:divBdr>
                        <w:top w:val="none" w:sz="0" w:space="0" w:color="auto"/>
                        <w:left w:val="none" w:sz="0" w:space="0" w:color="auto"/>
                        <w:bottom w:val="none" w:sz="0" w:space="0" w:color="auto"/>
                        <w:right w:val="none" w:sz="0" w:space="0" w:color="auto"/>
                      </w:divBdr>
                    </w:div>
                  </w:divsChild>
                </w:div>
                <w:div w:id="279651921">
                  <w:marLeft w:val="0"/>
                  <w:marRight w:val="0"/>
                  <w:marTop w:val="0"/>
                  <w:marBottom w:val="0"/>
                  <w:divBdr>
                    <w:top w:val="none" w:sz="0" w:space="0" w:color="auto"/>
                    <w:left w:val="none" w:sz="0" w:space="0" w:color="auto"/>
                    <w:bottom w:val="none" w:sz="0" w:space="0" w:color="auto"/>
                    <w:right w:val="none" w:sz="0" w:space="0" w:color="auto"/>
                  </w:divBdr>
                  <w:divsChild>
                    <w:div w:id="85538777">
                      <w:marLeft w:val="0"/>
                      <w:marRight w:val="0"/>
                      <w:marTop w:val="0"/>
                      <w:marBottom w:val="0"/>
                      <w:divBdr>
                        <w:top w:val="none" w:sz="0" w:space="0" w:color="auto"/>
                        <w:left w:val="none" w:sz="0" w:space="0" w:color="auto"/>
                        <w:bottom w:val="none" w:sz="0" w:space="0" w:color="auto"/>
                        <w:right w:val="none" w:sz="0" w:space="0" w:color="auto"/>
                      </w:divBdr>
                    </w:div>
                    <w:div w:id="150755554">
                      <w:marLeft w:val="0"/>
                      <w:marRight w:val="0"/>
                      <w:marTop w:val="0"/>
                      <w:marBottom w:val="0"/>
                      <w:divBdr>
                        <w:top w:val="none" w:sz="0" w:space="0" w:color="auto"/>
                        <w:left w:val="none" w:sz="0" w:space="0" w:color="auto"/>
                        <w:bottom w:val="none" w:sz="0" w:space="0" w:color="auto"/>
                        <w:right w:val="none" w:sz="0" w:space="0" w:color="auto"/>
                      </w:divBdr>
                    </w:div>
                  </w:divsChild>
                </w:div>
                <w:div w:id="308048921">
                  <w:marLeft w:val="0"/>
                  <w:marRight w:val="0"/>
                  <w:marTop w:val="0"/>
                  <w:marBottom w:val="0"/>
                  <w:divBdr>
                    <w:top w:val="none" w:sz="0" w:space="0" w:color="auto"/>
                    <w:left w:val="none" w:sz="0" w:space="0" w:color="auto"/>
                    <w:bottom w:val="none" w:sz="0" w:space="0" w:color="auto"/>
                    <w:right w:val="none" w:sz="0" w:space="0" w:color="auto"/>
                  </w:divBdr>
                  <w:divsChild>
                    <w:div w:id="925845569">
                      <w:marLeft w:val="0"/>
                      <w:marRight w:val="0"/>
                      <w:marTop w:val="0"/>
                      <w:marBottom w:val="0"/>
                      <w:divBdr>
                        <w:top w:val="none" w:sz="0" w:space="0" w:color="auto"/>
                        <w:left w:val="none" w:sz="0" w:space="0" w:color="auto"/>
                        <w:bottom w:val="none" w:sz="0" w:space="0" w:color="auto"/>
                        <w:right w:val="none" w:sz="0" w:space="0" w:color="auto"/>
                      </w:divBdr>
                    </w:div>
                  </w:divsChild>
                </w:div>
                <w:div w:id="308101199">
                  <w:marLeft w:val="0"/>
                  <w:marRight w:val="0"/>
                  <w:marTop w:val="0"/>
                  <w:marBottom w:val="0"/>
                  <w:divBdr>
                    <w:top w:val="none" w:sz="0" w:space="0" w:color="auto"/>
                    <w:left w:val="none" w:sz="0" w:space="0" w:color="auto"/>
                    <w:bottom w:val="none" w:sz="0" w:space="0" w:color="auto"/>
                    <w:right w:val="none" w:sz="0" w:space="0" w:color="auto"/>
                  </w:divBdr>
                  <w:divsChild>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 w:id="337001969">
                  <w:marLeft w:val="0"/>
                  <w:marRight w:val="0"/>
                  <w:marTop w:val="0"/>
                  <w:marBottom w:val="0"/>
                  <w:divBdr>
                    <w:top w:val="none" w:sz="0" w:space="0" w:color="auto"/>
                    <w:left w:val="none" w:sz="0" w:space="0" w:color="auto"/>
                    <w:bottom w:val="none" w:sz="0" w:space="0" w:color="auto"/>
                    <w:right w:val="none" w:sz="0" w:space="0" w:color="auto"/>
                  </w:divBdr>
                  <w:divsChild>
                    <w:div w:id="2026707140">
                      <w:marLeft w:val="0"/>
                      <w:marRight w:val="0"/>
                      <w:marTop w:val="0"/>
                      <w:marBottom w:val="0"/>
                      <w:divBdr>
                        <w:top w:val="none" w:sz="0" w:space="0" w:color="auto"/>
                        <w:left w:val="none" w:sz="0" w:space="0" w:color="auto"/>
                        <w:bottom w:val="none" w:sz="0" w:space="0" w:color="auto"/>
                        <w:right w:val="none" w:sz="0" w:space="0" w:color="auto"/>
                      </w:divBdr>
                    </w:div>
                  </w:divsChild>
                </w:div>
                <w:div w:id="495807299">
                  <w:marLeft w:val="0"/>
                  <w:marRight w:val="0"/>
                  <w:marTop w:val="0"/>
                  <w:marBottom w:val="0"/>
                  <w:divBdr>
                    <w:top w:val="none" w:sz="0" w:space="0" w:color="auto"/>
                    <w:left w:val="none" w:sz="0" w:space="0" w:color="auto"/>
                    <w:bottom w:val="none" w:sz="0" w:space="0" w:color="auto"/>
                    <w:right w:val="none" w:sz="0" w:space="0" w:color="auto"/>
                  </w:divBdr>
                  <w:divsChild>
                    <w:div w:id="1863980771">
                      <w:marLeft w:val="0"/>
                      <w:marRight w:val="0"/>
                      <w:marTop w:val="0"/>
                      <w:marBottom w:val="0"/>
                      <w:divBdr>
                        <w:top w:val="none" w:sz="0" w:space="0" w:color="auto"/>
                        <w:left w:val="none" w:sz="0" w:space="0" w:color="auto"/>
                        <w:bottom w:val="none" w:sz="0" w:space="0" w:color="auto"/>
                        <w:right w:val="none" w:sz="0" w:space="0" w:color="auto"/>
                      </w:divBdr>
                    </w:div>
                  </w:divsChild>
                </w:div>
                <w:div w:id="651907370">
                  <w:marLeft w:val="0"/>
                  <w:marRight w:val="0"/>
                  <w:marTop w:val="0"/>
                  <w:marBottom w:val="0"/>
                  <w:divBdr>
                    <w:top w:val="none" w:sz="0" w:space="0" w:color="auto"/>
                    <w:left w:val="none" w:sz="0" w:space="0" w:color="auto"/>
                    <w:bottom w:val="none" w:sz="0" w:space="0" w:color="auto"/>
                    <w:right w:val="none" w:sz="0" w:space="0" w:color="auto"/>
                  </w:divBdr>
                  <w:divsChild>
                    <w:div w:id="194512300">
                      <w:marLeft w:val="0"/>
                      <w:marRight w:val="0"/>
                      <w:marTop w:val="0"/>
                      <w:marBottom w:val="0"/>
                      <w:divBdr>
                        <w:top w:val="none" w:sz="0" w:space="0" w:color="auto"/>
                        <w:left w:val="none" w:sz="0" w:space="0" w:color="auto"/>
                        <w:bottom w:val="none" w:sz="0" w:space="0" w:color="auto"/>
                        <w:right w:val="none" w:sz="0" w:space="0" w:color="auto"/>
                      </w:divBdr>
                    </w:div>
                  </w:divsChild>
                </w:div>
                <w:div w:id="677653927">
                  <w:marLeft w:val="0"/>
                  <w:marRight w:val="0"/>
                  <w:marTop w:val="0"/>
                  <w:marBottom w:val="0"/>
                  <w:divBdr>
                    <w:top w:val="none" w:sz="0" w:space="0" w:color="auto"/>
                    <w:left w:val="none" w:sz="0" w:space="0" w:color="auto"/>
                    <w:bottom w:val="none" w:sz="0" w:space="0" w:color="auto"/>
                    <w:right w:val="none" w:sz="0" w:space="0" w:color="auto"/>
                  </w:divBdr>
                  <w:divsChild>
                    <w:div w:id="845823311">
                      <w:marLeft w:val="0"/>
                      <w:marRight w:val="0"/>
                      <w:marTop w:val="0"/>
                      <w:marBottom w:val="0"/>
                      <w:divBdr>
                        <w:top w:val="none" w:sz="0" w:space="0" w:color="auto"/>
                        <w:left w:val="none" w:sz="0" w:space="0" w:color="auto"/>
                        <w:bottom w:val="none" w:sz="0" w:space="0" w:color="auto"/>
                        <w:right w:val="none" w:sz="0" w:space="0" w:color="auto"/>
                      </w:divBdr>
                    </w:div>
                  </w:divsChild>
                </w:div>
                <w:div w:id="948122444">
                  <w:marLeft w:val="0"/>
                  <w:marRight w:val="0"/>
                  <w:marTop w:val="0"/>
                  <w:marBottom w:val="0"/>
                  <w:divBdr>
                    <w:top w:val="none" w:sz="0" w:space="0" w:color="auto"/>
                    <w:left w:val="none" w:sz="0" w:space="0" w:color="auto"/>
                    <w:bottom w:val="none" w:sz="0" w:space="0" w:color="auto"/>
                    <w:right w:val="none" w:sz="0" w:space="0" w:color="auto"/>
                  </w:divBdr>
                  <w:divsChild>
                    <w:div w:id="2041198894">
                      <w:marLeft w:val="0"/>
                      <w:marRight w:val="0"/>
                      <w:marTop w:val="0"/>
                      <w:marBottom w:val="0"/>
                      <w:divBdr>
                        <w:top w:val="none" w:sz="0" w:space="0" w:color="auto"/>
                        <w:left w:val="none" w:sz="0" w:space="0" w:color="auto"/>
                        <w:bottom w:val="none" w:sz="0" w:space="0" w:color="auto"/>
                        <w:right w:val="none" w:sz="0" w:space="0" w:color="auto"/>
                      </w:divBdr>
                    </w:div>
                  </w:divsChild>
                </w:div>
                <w:div w:id="991176455">
                  <w:marLeft w:val="0"/>
                  <w:marRight w:val="0"/>
                  <w:marTop w:val="0"/>
                  <w:marBottom w:val="0"/>
                  <w:divBdr>
                    <w:top w:val="none" w:sz="0" w:space="0" w:color="auto"/>
                    <w:left w:val="none" w:sz="0" w:space="0" w:color="auto"/>
                    <w:bottom w:val="none" w:sz="0" w:space="0" w:color="auto"/>
                    <w:right w:val="none" w:sz="0" w:space="0" w:color="auto"/>
                  </w:divBdr>
                  <w:divsChild>
                    <w:div w:id="232128793">
                      <w:marLeft w:val="0"/>
                      <w:marRight w:val="0"/>
                      <w:marTop w:val="0"/>
                      <w:marBottom w:val="0"/>
                      <w:divBdr>
                        <w:top w:val="none" w:sz="0" w:space="0" w:color="auto"/>
                        <w:left w:val="none" w:sz="0" w:space="0" w:color="auto"/>
                        <w:bottom w:val="none" w:sz="0" w:space="0" w:color="auto"/>
                        <w:right w:val="none" w:sz="0" w:space="0" w:color="auto"/>
                      </w:divBdr>
                    </w:div>
                    <w:div w:id="412707604">
                      <w:marLeft w:val="0"/>
                      <w:marRight w:val="0"/>
                      <w:marTop w:val="0"/>
                      <w:marBottom w:val="0"/>
                      <w:divBdr>
                        <w:top w:val="none" w:sz="0" w:space="0" w:color="auto"/>
                        <w:left w:val="none" w:sz="0" w:space="0" w:color="auto"/>
                        <w:bottom w:val="none" w:sz="0" w:space="0" w:color="auto"/>
                        <w:right w:val="none" w:sz="0" w:space="0" w:color="auto"/>
                      </w:divBdr>
                    </w:div>
                    <w:div w:id="600651414">
                      <w:marLeft w:val="0"/>
                      <w:marRight w:val="0"/>
                      <w:marTop w:val="0"/>
                      <w:marBottom w:val="0"/>
                      <w:divBdr>
                        <w:top w:val="none" w:sz="0" w:space="0" w:color="auto"/>
                        <w:left w:val="none" w:sz="0" w:space="0" w:color="auto"/>
                        <w:bottom w:val="none" w:sz="0" w:space="0" w:color="auto"/>
                        <w:right w:val="none" w:sz="0" w:space="0" w:color="auto"/>
                      </w:divBdr>
                    </w:div>
                    <w:div w:id="763645929">
                      <w:marLeft w:val="0"/>
                      <w:marRight w:val="0"/>
                      <w:marTop w:val="0"/>
                      <w:marBottom w:val="0"/>
                      <w:divBdr>
                        <w:top w:val="none" w:sz="0" w:space="0" w:color="auto"/>
                        <w:left w:val="none" w:sz="0" w:space="0" w:color="auto"/>
                        <w:bottom w:val="none" w:sz="0" w:space="0" w:color="auto"/>
                        <w:right w:val="none" w:sz="0" w:space="0" w:color="auto"/>
                      </w:divBdr>
                    </w:div>
                    <w:div w:id="856043347">
                      <w:marLeft w:val="0"/>
                      <w:marRight w:val="0"/>
                      <w:marTop w:val="0"/>
                      <w:marBottom w:val="0"/>
                      <w:divBdr>
                        <w:top w:val="none" w:sz="0" w:space="0" w:color="auto"/>
                        <w:left w:val="none" w:sz="0" w:space="0" w:color="auto"/>
                        <w:bottom w:val="none" w:sz="0" w:space="0" w:color="auto"/>
                        <w:right w:val="none" w:sz="0" w:space="0" w:color="auto"/>
                      </w:divBdr>
                    </w:div>
                    <w:div w:id="1036656700">
                      <w:marLeft w:val="0"/>
                      <w:marRight w:val="0"/>
                      <w:marTop w:val="0"/>
                      <w:marBottom w:val="0"/>
                      <w:divBdr>
                        <w:top w:val="none" w:sz="0" w:space="0" w:color="auto"/>
                        <w:left w:val="none" w:sz="0" w:space="0" w:color="auto"/>
                        <w:bottom w:val="none" w:sz="0" w:space="0" w:color="auto"/>
                        <w:right w:val="none" w:sz="0" w:space="0" w:color="auto"/>
                      </w:divBdr>
                    </w:div>
                    <w:div w:id="1074477210">
                      <w:marLeft w:val="0"/>
                      <w:marRight w:val="0"/>
                      <w:marTop w:val="0"/>
                      <w:marBottom w:val="0"/>
                      <w:divBdr>
                        <w:top w:val="none" w:sz="0" w:space="0" w:color="auto"/>
                        <w:left w:val="none" w:sz="0" w:space="0" w:color="auto"/>
                        <w:bottom w:val="none" w:sz="0" w:space="0" w:color="auto"/>
                        <w:right w:val="none" w:sz="0" w:space="0" w:color="auto"/>
                      </w:divBdr>
                    </w:div>
                    <w:div w:id="1211310299">
                      <w:marLeft w:val="0"/>
                      <w:marRight w:val="0"/>
                      <w:marTop w:val="0"/>
                      <w:marBottom w:val="0"/>
                      <w:divBdr>
                        <w:top w:val="none" w:sz="0" w:space="0" w:color="auto"/>
                        <w:left w:val="none" w:sz="0" w:space="0" w:color="auto"/>
                        <w:bottom w:val="none" w:sz="0" w:space="0" w:color="auto"/>
                        <w:right w:val="none" w:sz="0" w:space="0" w:color="auto"/>
                      </w:divBdr>
                    </w:div>
                    <w:div w:id="1303580890">
                      <w:marLeft w:val="0"/>
                      <w:marRight w:val="0"/>
                      <w:marTop w:val="0"/>
                      <w:marBottom w:val="0"/>
                      <w:divBdr>
                        <w:top w:val="none" w:sz="0" w:space="0" w:color="auto"/>
                        <w:left w:val="none" w:sz="0" w:space="0" w:color="auto"/>
                        <w:bottom w:val="none" w:sz="0" w:space="0" w:color="auto"/>
                        <w:right w:val="none" w:sz="0" w:space="0" w:color="auto"/>
                      </w:divBdr>
                    </w:div>
                    <w:div w:id="2057851194">
                      <w:marLeft w:val="0"/>
                      <w:marRight w:val="0"/>
                      <w:marTop w:val="0"/>
                      <w:marBottom w:val="0"/>
                      <w:divBdr>
                        <w:top w:val="none" w:sz="0" w:space="0" w:color="auto"/>
                        <w:left w:val="none" w:sz="0" w:space="0" w:color="auto"/>
                        <w:bottom w:val="none" w:sz="0" w:space="0" w:color="auto"/>
                        <w:right w:val="none" w:sz="0" w:space="0" w:color="auto"/>
                      </w:divBdr>
                    </w:div>
                  </w:divsChild>
                </w:div>
                <w:div w:id="1053504435">
                  <w:marLeft w:val="0"/>
                  <w:marRight w:val="0"/>
                  <w:marTop w:val="0"/>
                  <w:marBottom w:val="0"/>
                  <w:divBdr>
                    <w:top w:val="none" w:sz="0" w:space="0" w:color="auto"/>
                    <w:left w:val="none" w:sz="0" w:space="0" w:color="auto"/>
                    <w:bottom w:val="none" w:sz="0" w:space="0" w:color="auto"/>
                    <w:right w:val="none" w:sz="0" w:space="0" w:color="auto"/>
                  </w:divBdr>
                  <w:divsChild>
                    <w:div w:id="20857810">
                      <w:marLeft w:val="0"/>
                      <w:marRight w:val="0"/>
                      <w:marTop w:val="0"/>
                      <w:marBottom w:val="0"/>
                      <w:divBdr>
                        <w:top w:val="none" w:sz="0" w:space="0" w:color="auto"/>
                        <w:left w:val="none" w:sz="0" w:space="0" w:color="auto"/>
                        <w:bottom w:val="none" w:sz="0" w:space="0" w:color="auto"/>
                        <w:right w:val="none" w:sz="0" w:space="0" w:color="auto"/>
                      </w:divBdr>
                    </w:div>
                    <w:div w:id="78865322">
                      <w:marLeft w:val="0"/>
                      <w:marRight w:val="0"/>
                      <w:marTop w:val="0"/>
                      <w:marBottom w:val="0"/>
                      <w:divBdr>
                        <w:top w:val="none" w:sz="0" w:space="0" w:color="auto"/>
                        <w:left w:val="none" w:sz="0" w:space="0" w:color="auto"/>
                        <w:bottom w:val="none" w:sz="0" w:space="0" w:color="auto"/>
                        <w:right w:val="none" w:sz="0" w:space="0" w:color="auto"/>
                      </w:divBdr>
                    </w:div>
                    <w:div w:id="206915684">
                      <w:marLeft w:val="0"/>
                      <w:marRight w:val="0"/>
                      <w:marTop w:val="0"/>
                      <w:marBottom w:val="0"/>
                      <w:divBdr>
                        <w:top w:val="none" w:sz="0" w:space="0" w:color="auto"/>
                        <w:left w:val="none" w:sz="0" w:space="0" w:color="auto"/>
                        <w:bottom w:val="none" w:sz="0" w:space="0" w:color="auto"/>
                        <w:right w:val="none" w:sz="0" w:space="0" w:color="auto"/>
                      </w:divBdr>
                    </w:div>
                    <w:div w:id="504440663">
                      <w:marLeft w:val="0"/>
                      <w:marRight w:val="0"/>
                      <w:marTop w:val="0"/>
                      <w:marBottom w:val="0"/>
                      <w:divBdr>
                        <w:top w:val="none" w:sz="0" w:space="0" w:color="auto"/>
                        <w:left w:val="none" w:sz="0" w:space="0" w:color="auto"/>
                        <w:bottom w:val="none" w:sz="0" w:space="0" w:color="auto"/>
                        <w:right w:val="none" w:sz="0" w:space="0" w:color="auto"/>
                      </w:divBdr>
                    </w:div>
                    <w:div w:id="1436633652">
                      <w:marLeft w:val="0"/>
                      <w:marRight w:val="0"/>
                      <w:marTop w:val="0"/>
                      <w:marBottom w:val="0"/>
                      <w:divBdr>
                        <w:top w:val="none" w:sz="0" w:space="0" w:color="auto"/>
                        <w:left w:val="none" w:sz="0" w:space="0" w:color="auto"/>
                        <w:bottom w:val="none" w:sz="0" w:space="0" w:color="auto"/>
                        <w:right w:val="none" w:sz="0" w:space="0" w:color="auto"/>
                      </w:divBdr>
                    </w:div>
                    <w:div w:id="1957523749">
                      <w:marLeft w:val="0"/>
                      <w:marRight w:val="0"/>
                      <w:marTop w:val="0"/>
                      <w:marBottom w:val="0"/>
                      <w:divBdr>
                        <w:top w:val="none" w:sz="0" w:space="0" w:color="auto"/>
                        <w:left w:val="none" w:sz="0" w:space="0" w:color="auto"/>
                        <w:bottom w:val="none" w:sz="0" w:space="0" w:color="auto"/>
                        <w:right w:val="none" w:sz="0" w:space="0" w:color="auto"/>
                      </w:divBdr>
                    </w:div>
                  </w:divsChild>
                </w:div>
                <w:div w:id="1072511263">
                  <w:marLeft w:val="0"/>
                  <w:marRight w:val="0"/>
                  <w:marTop w:val="0"/>
                  <w:marBottom w:val="0"/>
                  <w:divBdr>
                    <w:top w:val="none" w:sz="0" w:space="0" w:color="auto"/>
                    <w:left w:val="none" w:sz="0" w:space="0" w:color="auto"/>
                    <w:bottom w:val="none" w:sz="0" w:space="0" w:color="auto"/>
                    <w:right w:val="none" w:sz="0" w:space="0" w:color="auto"/>
                  </w:divBdr>
                  <w:divsChild>
                    <w:div w:id="872185556">
                      <w:marLeft w:val="0"/>
                      <w:marRight w:val="0"/>
                      <w:marTop w:val="0"/>
                      <w:marBottom w:val="0"/>
                      <w:divBdr>
                        <w:top w:val="none" w:sz="0" w:space="0" w:color="auto"/>
                        <w:left w:val="none" w:sz="0" w:space="0" w:color="auto"/>
                        <w:bottom w:val="none" w:sz="0" w:space="0" w:color="auto"/>
                        <w:right w:val="none" w:sz="0" w:space="0" w:color="auto"/>
                      </w:divBdr>
                    </w:div>
                  </w:divsChild>
                </w:div>
                <w:div w:id="1327826714">
                  <w:marLeft w:val="0"/>
                  <w:marRight w:val="0"/>
                  <w:marTop w:val="0"/>
                  <w:marBottom w:val="0"/>
                  <w:divBdr>
                    <w:top w:val="none" w:sz="0" w:space="0" w:color="auto"/>
                    <w:left w:val="none" w:sz="0" w:space="0" w:color="auto"/>
                    <w:bottom w:val="none" w:sz="0" w:space="0" w:color="auto"/>
                    <w:right w:val="none" w:sz="0" w:space="0" w:color="auto"/>
                  </w:divBdr>
                  <w:divsChild>
                    <w:div w:id="1717506555">
                      <w:marLeft w:val="0"/>
                      <w:marRight w:val="0"/>
                      <w:marTop w:val="0"/>
                      <w:marBottom w:val="0"/>
                      <w:divBdr>
                        <w:top w:val="none" w:sz="0" w:space="0" w:color="auto"/>
                        <w:left w:val="none" w:sz="0" w:space="0" w:color="auto"/>
                        <w:bottom w:val="none" w:sz="0" w:space="0" w:color="auto"/>
                        <w:right w:val="none" w:sz="0" w:space="0" w:color="auto"/>
                      </w:divBdr>
                    </w:div>
                  </w:divsChild>
                </w:div>
                <w:div w:id="1491288492">
                  <w:marLeft w:val="0"/>
                  <w:marRight w:val="0"/>
                  <w:marTop w:val="0"/>
                  <w:marBottom w:val="0"/>
                  <w:divBdr>
                    <w:top w:val="none" w:sz="0" w:space="0" w:color="auto"/>
                    <w:left w:val="none" w:sz="0" w:space="0" w:color="auto"/>
                    <w:bottom w:val="none" w:sz="0" w:space="0" w:color="auto"/>
                    <w:right w:val="none" w:sz="0" w:space="0" w:color="auto"/>
                  </w:divBdr>
                  <w:divsChild>
                    <w:div w:id="1364869210">
                      <w:marLeft w:val="0"/>
                      <w:marRight w:val="0"/>
                      <w:marTop w:val="0"/>
                      <w:marBottom w:val="0"/>
                      <w:divBdr>
                        <w:top w:val="none" w:sz="0" w:space="0" w:color="auto"/>
                        <w:left w:val="none" w:sz="0" w:space="0" w:color="auto"/>
                        <w:bottom w:val="none" w:sz="0" w:space="0" w:color="auto"/>
                        <w:right w:val="none" w:sz="0" w:space="0" w:color="auto"/>
                      </w:divBdr>
                    </w:div>
                  </w:divsChild>
                </w:div>
                <w:div w:id="1620989125">
                  <w:marLeft w:val="0"/>
                  <w:marRight w:val="0"/>
                  <w:marTop w:val="0"/>
                  <w:marBottom w:val="0"/>
                  <w:divBdr>
                    <w:top w:val="none" w:sz="0" w:space="0" w:color="auto"/>
                    <w:left w:val="none" w:sz="0" w:space="0" w:color="auto"/>
                    <w:bottom w:val="none" w:sz="0" w:space="0" w:color="auto"/>
                    <w:right w:val="none" w:sz="0" w:space="0" w:color="auto"/>
                  </w:divBdr>
                  <w:divsChild>
                    <w:div w:id="1738238913">
                      <w:marLeft w:val="0"/>
                      <w:marRight w:val="0"/>
                      <w:marTop w:val="0"/>
                      <w:marBottom w:val="0"/>
                      <w:divBdr>
                        <w:top w:val="none" w:sz="0" w:space="0" w:color="auto"/>
                        <w:left w:val="none" w:sz="0" w:space="0" w:color="auto"/>
                        <w:bottom w:val="none" w:sz="0" w:space="0" w:color="auto"/>
                        <w:right w:val="none" w:sz="0" w:space="0" w:color="auto"/>
                      </w:divBdr>
                    </w:div>
                  </w:divsChild>
                </w:div>
                <w:div w:id="1723400814">
                  <w:marLeft w:val="0"/>
                  <w:marRight w:val="0"/>
                  <w:marTop w:val="0"/>
                  <w:marBottom w:val="0"/>
                  <w:divBdr>
                    <w:top w:val="none" w:sz="0" w:space="0" w:color="auto"/>
                    <w:left w:val="none" w:sz="0" w:space="0" w:color="auto"/>
                    <w:bottom w:val="none" w:sz="0" w:space="0" w:color="auto"/>
                    <w:right w:val="none" w:sz="0" w:space="0" w:color="auto"/>
                  </w:divBdr>
                  <w:divsChild>
                    <w:div w:id="786898942">
                      <w:marLeft w:val="0"/>
                      <w:marRight w:val="0"/>
                      <w:marTop w:val="0"/>
                      <w:marBottom w:val="0"/>
                      <w:divBdr>
                        <w:top w:val="none" w:sz="0" w:space="0" w:color="auto"/>
                        <w:left w:val="none" w:sz="0" w:space="0" w:color="auto"/>
                        <w:bottom w:val="none" w:sz="0" w:space="0" w:color="auto"/>
                        <w:right w:val="none" w:sz="0" w:space="0" w:color="auto"/>
                      </w:divBdr>
                    </w:div>
                  </w:divsChild>
                </w:div>
                <w:div w:id="1751195286">
                  <w:marLeft w:val="0"/>
                  <w:marRight w:val="0"/>
                  <w:marTop w:val="0"/>
                  <w:marBottom w:val="0"/>
                  <w:divBdr>
                    <w:top w:val="none" w:sz="0" w:space="0" w:color="auto"/>
                    <w:left w:val="none" w:sz="0" w:space="0" w:color="auto"/>
                    <w:bottom w:val="none" w:sz="0" w:space="0" w:color="auto"/>
                    <w:right w:val="none" w:sz="0" w:space="0" w:color="auto"/>
                  </w:divBdr>
                  <w:divsChild>
                    <w:div w:id="635255351">
                      <w:marLeft w:val="0"/>
                      <w:marRight w:val="0"/>
                      <w:marTop w:val="0"/>
                      <w:marBottom w:val="0"/>
                      <w:divBdr>
                        <w:top w:val="none" w:sz="0" w:space="0" w:color="auto"/>
                        <w:left w:val="none" w:sz="0" w:space="0" w:color="auto"/>
                        <w:bottom w:val="none" w:sz="0" w:space="0" w:color="auto"/>
                        <w:right w:val="none" w:sz="0" w:space="0" w:color="auto"/>
                      </w:divBdr>
                    </w:div>
                  </w:divsChild>
                </w:div>
                <w:div w:id="1958758713">
                  <w:marLeft w:val="0"/>
                  <w:marRight w:val="0"/>
                  <w:marTop w:val="0"/>
                  <w:marBottom w:val="0"/>
                  <w:divBdr>
                    <w:top w:val="none" w:sz="0" w:space="0" w:color="auto"/>
                    <w:left w:val="none" w:sz="0" w:space="0" w:color="auto"/>
                    <w:bottom w:val="none" w:sz="0" w:space="0" w:color="auto"/>
                    <w:right w:val="none" w:sz="0" w:space="0" w:color="auto"/>
                  </w:divBdr>
                  <w:divsChild>
                    <w:div w:id="68933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127757">
      <w:bodyDiv w:val="1"/>
      <w:marLeft w:val="0"/>
      <w:marRight w:val="0"/>
      <w:marTop w:val="0"/>
      <w:marBottom w:val="0"/>
      <w:divBdr>
        <w:top w:val="none" w:sz="0" w:space="0" w:color="auto"/>
        <w:left w:val="none" w:sz="0" w:space="0" w:color="auto"/>
        <w:bottom w:val="none" w:sz="0" w:space="0" w:color="auto"/>
        <w:right w:val="none" w:sz="0" w:space="0" w:color="auto"/>
      </w:divBdr>
      <w:divsChild>
        <w:div w:id="1977104738">
          <w:marLeft w:val="0"/>
          <w:marRight w:val="0"/>
          <w:marTop w:val="0"/>
          <w:marBottom w:val="0"/>
          <w:divBdr>
            <w:top w:val="none" w:sz="0" w:space="0" w:color="auto"/>
            <w:left w:val="none" w:sz="0" w:space="0" w:color="auto"/>
            <w:bottom w:val="none" w:sz="0" w:space="0" w:color="auto"/>
            <w:right w:val="none" w:sz="0" w:space="0" w:color="auto"/>
          </w:divBdr>
          <w:divsChild>
            <w:div w:id="8980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88993">
      <w:bodyDiv w:val="1"/>
      <w:marLeft w:val="0"/>
      <w:marRight w:val="0"/>
      <w:marTop w:val="0"/>
      <w:marBottom w:val="0"/>
      <w:divBdr>
        <w:top w:val="none" w:sz="0" w:space="0" w:color="auto"/>
        <w:left w:val="none" w:sz="0" w:space="0" w:color="auto"/>
        <w:bottom w:val="none" w:sz="0" w:space="0" w:color="auto"/>
        <w:right w:val="none" w:sz="0" w:space="0" w:color="auto"/>
      </w:divBdr>
      <w:divsChild>
        <w:div w:id="270162301">
          <w:marLeft w:val="0"/>
          <w:marRight w:val="0"/>
          <w:marTop w:val="0"/>
          <w:marBottom w:val="0"/>
          <w:divBdr>
            <w:top w:val="none" w:sz="0" w:space="0" w:color="auto"/>
            <w:left w:val="none" w:sz="0" w:space="0" w:color="auto"/>
            <w:bottom w:val="none" w:sz="0" w:space="0" w:color="auto"/>
            <w:right w:val="none" w:sz="0" w:space="0" w:color="auto"/>
          </w:divBdr>
        </w:div>
        <w:div w:id="1044020818">
          <w:marLeft w:val="0"/>
          <w:marRight w:val="0"/>
          <w:marTop w:val="0"/>
          <w:marBottom w:val="0"/>
          <w:divBdr>
            <w:top w:val="none" w:sz="0" w:space="0" w:color="auto"/>
            <w:left w:val="none" w:sz="0" w:space="0" w:color="auto"/>
            <w:bottom w:val="none" w:sz="0" w:space="0" w:color="auto"/>
            <w:right w:val="none" w:sz="0" w:space="0" w:color="auto"/>
          </w:divBdr>
        </w:div>
        <w:div w:id="1164514436">
          <w:marLeft w:val="0"/>
          <w:marRight w:val="0"/>
          <w:marTop w:val="0"/>
          <w:marBottom w:val="0"/>
          <w:divBdr>
            <w:top w:val="none" w:sz="0" w:space="0" w:color="auto"/>
            <w:left w:val="none" w:sz="0" w:space="0" w:color="auto"/>
            <w:bottom w:val="none" w:sz="0" w:space="0" w:color="auto"/>
            <w:right w:val="none" w:sz="0" w:space="0" w:color="auto"/>
          </w:divBdr>
        </w:div>
      </w:divsChild>
    </w:div>
    <w:div w:id="628318689">
      <w:bodyDiv w:val="1"/>
      <w:marLeft w:val="0"/>
      <w:marRight w:val="0"/>
      <w:marTop w:val="0"/>
      <w:marBottom w:val="0"/>
      <w:divBdr>
        <w:top w:val="none" w:sz="0" w:space="0" w:color="auto"/>
        <w:left w:val="none" w:sz="0" w:space="0" w:color="auto"/>
        <w:bottom w:val="none" w:sz="0" w:space="0" w:color="auto"/>
        <w:right w:val="none" w:sz="0" w:space="0" w:color="auto"/>
      </w:divBdr>
      <w:divsChild>
        <w:div w:id="192768234">
          <w:marLeft w:val="0"/>
          <w:marRight w:val="0"/>
          <w:marTop w:val="0"/>
          <w:marBottom w:val="0"/>
          <w:divBdr>
            <w:top w:val="none" w:sz="0" w:space="0" w:color="auto"/>
            <w:left w:val="none" w:sz="0" w:space="0" w:color="auto"/>
            <w:bottom w:val="none" w:sz="0" w:space="0" w:color="auto"/>
            <w:right w:val="none" w:sz="0" w:space="0" w:color="auto"/>
          </w:divBdr>
          <w:divsChild>
            <w:div w:id="67074560">
              <w:marLeft w:val="0"/>
              <w:marRight w:val="0"/>
              <w:marTop w:val="0"/>
              <w:marBottom w:val="0"/>
              <w:divBdr>
                <w:top w:val="none" w:sz="0" w:space="0" w:color="auto"/>
                <w:left w:val="none" w:sz="0" w:space="0" w:color="auto"/>
                <w:bottom w:val="none" w:sz="0" w:space="0" w:color="auto"/>
                <w:right w:val="none" w:sz="0" w:space="0" w:color="auto"/>
              </w:divBdr>
            </w:div>
          </w:divsChild>
        </w:div>
        <w:div w:id="244926523">
          <w:marLeft w:val="0"/>
          <w:marRight w:val="0"/>
          <w:marTop w:val="0"/>
          <w:marBottom w:val="0"/>
          <w:divBdr>
            <w:top w:val="none" w:sz="0" w:space="0" w:color="auto"/>
            <w:left w:val="none" w:sz="0" w:space="0" w:color="auto"/>
            <w:bottom w:val="none" w:sz="0" w:space="0" w:color="auto"/>
            <w:right w:val="none" w:sz="0" w:space="0" w:color="auto"/>
          </w:divBdr>
          <w:divsChild>
            <w:div w:id="205072697">
              <w:marLeft w:val="0"/>
              <w:marRight w:val="0"/>
              <w:marTop w:val="0"/>
              <w:marBottom w:val="0"/>
              <w:divBdr>
                <w:top w:val="none" w:sz="0" w:space="0" w:color="auto"/>
                <w:left w:val="none" w:sz="0" w:space="0" w:color="auto"/>
                <w:bottom w:val="none" w:sz="0" w:space="0" w:color="auto"/>
                <w:right w:val="none" w:sz="0" w:space="0" w:color="auto"/>
              </w:divBdr>
            </w:div>
          </w:divsChild>
        </w:div>
        <w:div w:id="286619986">
          <w:marLeft w:val="0"/>
          <w:marRight w:val="0"/>
          <w:marTop w:val="0"/>
          <w:marBottom w:val="0"/>
          <w:divBdr>
            <w:top w:val="none" w:sz="0" w:space="0" w:color="auto"/>
            <w:left w:val="none" w:sz="0" w:space="0" w:color="auto"/>
            <w:bottom w:val="none" w:sz="0" w:space="0" w:color="auto"/>
            <w:right w:val="none" w:sz="0" w:space="0" w:color="auto"/>
          </w:divBdr>
          <w:divsChild>
            <w:div w:id="303194963">
              <w:marLeft w:val="0"/>
              <w:marRight w:val="0"/>
              <w:marTop w:val="0"/>
              <w:marBottom w:val="0"/>
              <w:divBdr>
                <w:top w:val="none" w:sz="0" w:space="0" w:color="auto"/>
                <w:left w:val="none" w:sz="0" w:space="0" w:color="auto"/>
                <w:bottom w:val="none" w:sz="0" w:space="0" w:color="auto"/>
                <w:right w:val="none" w:sz="0" w:space="0" w:color="auto"/>
              </w:divBdr>
            </w:div>
          </w:divsChild>
        </w:div>
        <w:div w:id="684598331">
          <w:marLeft w:val="0"/>
          <w:marRight w:val="0"/>
          <w:marTop w:val="0"/>
          <w:marBottom w:val="0"/>
          <w:divBdr>
            <w:top w:val="none" w:sz="0" w:space="0" w:color="auto"/>
            <w:left w:val="none" w:sz="0" w:space="0" w:color="auto"/>
            <w:bottom w:val="none" w:sz="0" w:space="0" w:color="auto"/>
            <w:right w:val="none" w:sz="0" w:space="0" w:color="auto"/>
          </w:divBdr>
          <w:divsChild>
            <w:div w:id="70466709">
              <w:marLeft w:val="0"/>
              <w:marRight w:val="0"/>
              <w:marTop w:val="0"/>
              <w:marBottom w:val="0"/>
              <w:divBdr>
                <w:top w:val="none" w:sz="0" w:space="0" w:color="auto"/>
                <w:left w:val="none" w:sz="0" w:space="0" w:color="auto"/>
                <w:bottom w:val="none" w:sz="0" w:space="0" w:color="auto"/>
                <w:right w:val="none" w:sz="0" w:space="0" w:color="auto"/>
              </w:divBdr>
            </w:div>
          </w:divsChild>
        </w:div>
        <w:div w:id="824055117">
          <w:marLeft w:val="0"/>
          <w:marRight w:val="0"/>
          <w:marTop w:val="0"/>
          <w:marBottom w:val="0"/>
          <w:divBdr>
            <w:top w:val="none" w:sz="0" w:space="0" w:color="auto"/>
            <w:left w:val="none" w:sz="0" w:space="0" w:color="auto"/>
            <w:bottom w:val="none" w:sz="0" w:space="0" w:color="auto"/>
            <w:right w:val="none" w:sz="0" w:space="0" w:color="auto"/>
          </w:divBdr>
          <w:divsChild>
            <w:div w:id="987442287">
              <w:marLeft w:val="0"/>
              <w:marRight w:val="0"/>
              <w:marTop w:val="0"/>
              <w:marBottom w:val="0"/>
              <w:divBdr>
                <w:top w:val="none" w:sz="0" w:space="0" w:color="auto"/>
                <w:left w:val="none" w:sz="0" w:space="0" w:color="auto"/>
                <w:bottom w:val="none" w:sz="0" w:space="0" w:color="auto"/>
                <w:right w:val="none" w:sz="0" w:space="0" w:color="auto"/>
              </w:divBdr>
            </w:div>
          </w:divsChild>
        </w:div>
        <w:div w:id="825819707">
          <w:marLeft w:val="0"/>
          <w:marRight w:val="0"/>
          <w:marTop w:val="0"/>
          <w:marBottom w:val="0"/>
          <w:divBdr>
            <w:top w:val="none" w:sz="0" w:space="0" w:color="auto"/>
            <w:left w:val="none" w:sz="0" w:space="0" w:color="auto"/>
            <w:bottom w:val="none" w:sz="0" w:space="0" w:color="auto"/>
            <w:right w:val="none" w:sz="0" w:space="0" w:color="auto"/>
          </w:divBdr>
          <w:divsChild>
            <w:div w:id="246430131">
              <w:marLeft w:val="0"/>
              <w:marRight w:val="0"/>
              <w:marTop w:val="0"/>
              <w:marBottom w:val="0"/>
              <w:divBdr>
                <w:top w:val="none" w:sz="0" w:space="0" w:color="auto"/>
                <w:left w:val="none" w:sz="0" w:space="0" w:color="auto"/>
                <w:bottom w:val="none" w:sz="0" w:space="0" w:color="auto"/>
                <w:right w:val="none" w:sz="0" w:space="0" w:color="auto"/>
              </w:divBdr>
            </w:div>
          </w:divsChild>
        </w:div>
        <w:div w:id="871652739">
          <w:marLeft w:val="0"/>
          <w:marRight w:val="0"/>
          <w:marTop w:val="0"/>
          <w:marBottom w:val="0"/>
          <w:divBdr>
            <w:top w:val="none" w:sz="0" w:space="0" w:color="auto"/>
            <w:left w:val="none" w:sz="0" w:space="0" w:color="auto"/>
            <w:bottom w:val="none" w:sz="0" w:space="0" w:color="auto"/>
            <w:right w:val="none" w:sz="0" w:space="0" w:color="auto"/>
          </w:divBdr>
          <w:divsChild>
            <w:div w:id="179199160">
              <w:marLeft w:val="0"/>
              <w:marRight w:val="0"/>
              <w:marTop w:val="0"/>
              <w:marBottom w:val="0"/>
              <w:divBdr>
                <w:top w:val="none" w:sz="0" w:space="0" w:color="auto"/>
                <w:left w:val="none" w:sz="0" w:space="0" w:color="auto"/>
                <w:bottom w:val="none" w:sz="0" w:space="0" w:color="auto"/>
                <w:right w:val="none" w:sz="0" w:space="0" w:color="auto"/>
              </w:divBdr>
            </w:div>
          </w:divsChild>
        </w:div>
        <w:div w:id="930968632">
          <w:marLeft w:val="0"/>
          <w:marRight w:val="0"/>
          <w:marTop w:val="0"/>
          <w:marBottom w:val="0"/>
          <w:divBdr>
            <w:top w:val="none" w:sz="0" w:space="0" w:color="auto"/>
            <w:left w:val="none" w:sz="0" w:space="0" w:color="auto"/>
            <w:bottom w:val="none" w:sz="0" w:space="0" w:color="auto"/>
            <w:right w:val="none" w:sz="0" w:space="0" w:color="auto"/>
          </w:divBdr>
          <w:divsChild>
            <w:div w:id="1380088295">
              <w:marLeft w:val="0"/>
              <w:marRight w:val="0"/>
              <w:marTop w:val="0"/>
              <w:marBottom w:val="0"/>
              <w:divBdr>
                <w:top w:val="none" w:sz="0" w:space="0" w:color="auto"/>
                <w:left w:val="none" w:sz="0" w:space="0" w:color="auto"/>
                <w:bottom w:val="none" w:sz="0" w:space="0" w:color="auto"/>
                <w:right w:val="none" w:sz="0" w:space="0" w:color="auto"/>
              </w:divBdr>
            </w:div>
          </w:divsChild>
        </w:div>
        <w:div w:id="962349675">
          <w:marLeft w:val="0"/>
          <w:marRight w:val="0"/>
          <w:marTop w:val="0"/>
          <w:marBottom w:val="0"/>
          <w:divBdr>
            <w:top w:val="none" w:sz="0" w:space="0" w:color="auto"/>
            <w:left w:val="none" w:sz="0" w:space="0" w:color="auto"/>
            <w:bottom w:val="none" w:sz="0" w:space="0" w:color="auto"/>
            <w:right w:val="none" w:sz="0" w:space="0" w:color="auto"/>
          </w:divBdr>
          <w:divsChild>
            <w:div w:id="2095857423">
              <w:marLeft w:val="0"/>
              <w:marRight w:val="0"/>
              <w:marTop w:val="0"/>
              <w:marBottom w:val="0"/>
              <w:divBdr>
                <w:top w:val="none" w:sz="0" w:space="0" w:color="auto"/>
                <w:left w:val="none" w:sz="0" w:space="0" w:color="auto"/>
                <w:bottom w:val="none" w:sz="0" w:space="0" w:color="auto"/>
                <w:right w:val="none" w:sz="0" w:space="0" w:color="auto"/>
              </w:divBdr>
            </w:div>
          </w:divsChild>
        </w:div>
        <w:div w:id="1064528090">
          <w:marLeft w:val="0"/>
          <w:marRight w:val="0"/>
          <w:marTop w:val="0"/>
          <w:marBottom w:val="0"/>
          <w:divBdr>
            <w:top w:val="none" w:sz="0" w:space="0" w:color="auto"/>
            <w:left w:val="none" w:sz="0" w:space="0" w:color="auto"/>
            <w:bottom w:val="none" w:sz="0" w:space="0" w:color="auto"/>
            <w:right w:val="none" w:sz="0" w:space="0" w:color="auto"/>
          </w:divBdr>
          <w:divsChild>
            <w:div w:id="1284727149">
              <w:marLeft w:val="0"/>
              <w:marRight w:val="0"/>
              <w:marTop w:val="0"/>
              <w:marBottom w:val="0"/>
              <w:divBdr>
                <w:top w:val="none" w:sz="0" w:space="0" w:color="auto"/>
                <w:left w:val="none" w:sz="0" w:space="0" w:color="auto"/>
                <w:bottom w:val="none" w:sz="0" w:space="0" w:color="auto"/>
                <w:right w:val="none" w:sz="0" w:space="0" w:color="auto"/>
              </w:divBdr>
            </w:div>
          </w:divsChild>
        </w:div>
        <w:div w:id="1163280828">
          <w:marLeft w:val="0"/>
          <w:marRight w:val="0"/>
          <w:marTop w:val="0"/>
          <w:marBottom w:val="0"/>
          <w:divBdr>
            <w:top w:val="none" w:sz="0" w:space="0" w:color="auto"/>
            <w:left w:val="none" w:sz="0" w:space="0" w:color="auto"/>
            <w:bottom w:val="none" w:sz="0" w:space="0" w:color="auto"/>
            <w:right w:val="none" w:sz="0" w:space="0" w:color="auto"/>
          </w:divBdr>
          <w:divsChild>
            <w:div w:id="1570188036">
              <w:marLeft w:val="0"/>
              <w:marRight w:val="0"/>
              <w:marTop w:val="0"/>
              <w:marBottom w:val="0"/>
              <w:divBdr>
                <w:top w:val="none" w:sz="0" w:space="0" w:color="auto"/>
                <w:left w:val="none" w:sz="0" w:space="0" w:color="auto"/>
                <w:bottom w:val="none" w:sz="0" w:space="0" w:color="auto"/>
                <w:right w:val="none" w:sz="0" w:space="0" w:color="auto"/>
              </w:divBdr>
            </w:div>
          </w:divsChild>
        </w:div>
        <w:div w:id="1226724614">
          <w:marLeft w:val="0"/>
          <w:marRight w:val="0"/>
          <w:marTop w:val="0"/>
          <w:marBottom w:val="0"/>
          <w:divBdr>
            <w:top w:val="none" w:sz="0" w:space="0" w:color="auto"/>
            <w:left w:val="none" w:sz="0" w:space="0" w:color="auto"/>
            <w:bottom w:val="none" w:sz="0" w:space="0" w:color="auto"/>
            <w:right w:val="none" w:sz="0" w:space="0" w:color="auto"/>
          </w:divBdr>
          <w:divsChild>
            <w:div w:id="712462754">
              <w:marLeft w:val="0"/>
              <w:marRight w:val="0"/>
              <w:marTop w:val="0"/>
              <w:marBottom w:val="0"/>
              <w:divBdr>
                <w:top w:val="none" w:sz="0" w:space="0" w:color="auto"/>
                <w:left w:val="none" w:sz="0" w:space="0" w:color="auto"/>
                <w:bottom w:val="none" w:sz="0" w:space="0" w:color="auto"/>
                <w:right w:val="none" w:sz="0" w:space="0" w:color="auto"/>
              </w:divBdr>
            </w:div>
          </w:divsChild>
        </w:div>
        <w:div w:id="1253008062">
          <w:marLeft w:val="0"/>
          <w:marRight w:val="0"/>
          <w:marTop w:val="0"/>
          <w:marBottom w:val="0"/>
          <w:divBdr>
            <w:top w:val="none" w:sz="0" w:space="0" w:color="auto"/>
            <w:left w:val="none" w:sz="0" w:space="0" w:color="auto"/>
            <w:bottom w:val="none" w:sz="0" w:space="0" w:color="auto"/>
            <w:right w:val="none" w:sz="0" w:space="0" w:color="auto"/>
          </w:divBdr>
          <w:divsChild>
            <w:div w:id="786049519">
              <w:marLeft w:val="0"/>
              <w:marRight w:val="0"/>
              <w:marTop w:val="0"/>
              <w:marBottom w:val="0"/>
              <w:divBdr>
                <w:top w:val="none" w:sz="0" w:space="0" w:color="auto"/>
                <w:left w:val="none" w:sz="0" w:space="0" w:color="auto"/>
                <w:bottom w:val="none" w:sz="0" w:space="0" w:color="auto"/>
                <w:right w:val="none" w:sz="0" w:space="0" w:color="auto"/>
              </w:divBdr>
            </w:div>
          </w:divsChild>
        </w:div>
        <w:div w:id="1314141418">
          <w:marLeft w:val="0"/>
          <w:marRight w:val="0"/>
          <w:marTop w:val="0"/>
          <w:marBottom w:val="0"/>
          <w:divBdr>
            <w:top w:val="none" w:sz="0" w:space="0" w:color="auto"/>
            <w:left w:val="none" w:sz="0" w:space="0" w:color="auto"/>
            <w:bottom w:val="none" w:sz="0" w:space="0" w:color="auto"/>
            <w:right w:val="none" w:sz="0" w:space="0" w:color="auto"/>
          </w:divBdr>
          <w:divsChild>
            <w:div w:id="186994415">
              <w:marLeft w:val="0"/>
              <w:marRight w:val="0"/>
              <w:marTop w:val="0"/>
              <w:marBottom w:val="0"/>
              <w:divBdr>
                <w:top w:val="none" w:sz="0" w:space="0" w:color="auto"/>
                <w:left w:val="none" w:sz="0" w:space="0" w:color="auto"/>
                <w:bottom w:val="none" w:sz="0" w:space="0" w:color="auto"/>
                <w:right w:val="none" w:sz="0" w:space="0" w:color="auto"/>
              </w:divBdr>
            </w:div>
            <w:div w:id="611520291">
              <w:marLeft w:val="0"/>
              <w:marRight w:val="0"/>
              <w:marTop w:val="0"/>
              <w:marBottom w:val="0"/>
              <w:divBdr>
                <w:top w:val="none" w:sz="0" w:space="0" w:color="auto"/>
                <w:left w:val="none" w:sz="0" w:space="0" w:color="auto"/>
                <w:bottom w:val="none" w:sz="0" w:space="0" w:color="auto"/>
                <w:right w:val="none" w:sz="0" w:space="0" w:color="auto"/>
              </w:divBdr>
            </w:div>
            <w:div w:id="846748183">
              <w:marLeft w:val="0"/>
              <w:marRight w:val="0"/>
              <w:marTop w:val="0"/>
              <w:marBottom w:val="0"/>
              <w:divBdr>
                <w:top w:val="none" w:sz="0" w:space="0" w:color="auto"/>
                <w:left w:val="none" w:sz="0" w:space="0" w:color="auto"/>
                <w:bottom w:val="none" w:sz="0" w:space="0" w:color="auto"/>
                <w:right w:val="none" w:sz="0" w:space="0" w:color="auto"/>
              </w:divBdr>
            </w:div>
            <w:div w:id="1092435494">
              <w:marLeft w:val="0"/>
              <w:marRight w:val="0"/>
              <w:marTop w:val="0"/>
              <w:marBottom w:val="0"/>
              <w:divBdr>
                <w:top w:val="none" w:sz="0" w:space="0" w:color="auto"/>
                <w:left w:val="none" w:sz="0" w:space="0" w:color="auto"/>
                <w:bottom w:val="none" w:sz="0" w:space="0" w:color="auto"/>
                <w:right w:val="none" w:sz="0" w:space="0" w:color="auto"/>
              </w:divBdr>
            </w:div>
            <w:div w:id="1225331283">
              <w:marLeft w:val="0"/>
              <w:marRight w:val="0"/>
              <w:marTop w:val="0"/>
              <w:marBottom w:val="0"/>
              <w:divBdr>
                <w:top w:val="none" w:sz="0" w:space="0" w:color="auto"/>
                <w:left w:val="none" w:sz="0" w:space="0" w:color="auto"/>
                <w:bottom w:val="none" w:sz="0" w:space="0" w:color="auto"/>
                <w:right w:val="none" w:sz="0" w:space="0" w:color="auto"/>
              </w:divBdr>
            </w:div>
            <w:div w:id="1457677554">
              <w:marLeft w:val="0"/>
              <w:marRight w:val="0"/>
              <w:marTop w:val="0"/>
              <w:marBottom w:val="0"/>
              <w:divBdr>
                <w:top w:val="none" w:sz="0" w:space="0" w:color="auto"/>
                <w:left w:val="none" w:sz="0" w:space="0" w:color="auto"/>
                <w:bottom w:val="none" w:sz="0" w:space="0" w:color="auto"/>
                <w:right w:val="none" w:sz="0" w:space="0" w:color="auto"/>
              </w:divBdr>
            </w:div>
          </w:divsChild>
        </w:div>
        <w:div w:id="1392541586">
          <w:marLeft w:val="0"/>
          <w:marRight w:val="0"/>
          <w:marTop w:val="0"/>
          <w:marBottom w:val="0"/>
          <w:divBdr>
            <w:top w:val="none" w:sz="0" w:space="0" w:color="auto"/>
            <w:left w:val="none" w:sz="0" w:space="0" w:color="auto"/>
            <w:bottom w:val="none" w:sz="0" w:space="0" w:color="auto"/>
            <w:right w:val="none" w:sz="0" w:space="0" w:color="auto"/>
          </w:divBdr>
          <w:divsChild>
            <w:div w:id="383988985">
              <w:marLeft w:val="0"/>
              <w:marRight w:val="0"/>
              <w:marTop w:val="0"/>
              <w:marBottom w:val="0"/>
              <w:divBdr>
                <w:top w:val="none" w:sz="0" w:space="0" w:color="auto"/>
                <w:left w:val="none" w:sz="0" w:space="0" w:color="auto"/>
                <w:bottom w:val="none" w:sz="0" w:space="0" w:color="auto"/>
                <w:right w:val="none" w:sz="0" w:space="0" w:color="auto"/>
              </w:divBdr>
            </w:div>
            <w:div w:id="1066144566">
              <w:marLeft w:val="0"/>
              <w:marRight w:val="0"/>
              <w:marTop w:val="0"/>
              <w:marBottom w:val="0"/>
              <w:divBdr>
                <w:top w:val="none" w:sz="0" w:space="0" w:color="auto"/>
                <w:left w:val="none" w:sz="0" w:space="0" w:color="auto"/>
                <w:bottom w:val="none" w:sz="0" w:space="0" w:color="auto"/>
                <w:right w:val="none" w:sz="0" w:space="0" w:color="auto"/>
              </w:divBdr>
            </w:div>
          </w:divsChild>
        </w:div>
        <w:div w:id="1468353696">
          <w:marLeft w:val="0"/>
          <w:marRight w:val="0"/>
          <w:marTop w:val="0"/>
          <w:marBottom w:val="0"/>
          <w:divBdr>
            <w:top w:val="none" w:sz="0" w:space="0" w:color="auto"/>
            <w:left w:val="none" w:sz="0" w:space="0" w:color="auto"/>
            <w:bottom w:val="none" w:sz="0" w:space="0" w:color="auto"/>
            <w:right w:val="none" w:sz="0" w:space="0" w:color="auto"/>
          </w:divBdr>
          <w:divsChild>
            <w:div w:id="462430346">
              <w:marLeft w:val="0"/>
              <w:marRight w:val="0"/>
              <w:marTop w:val="0"/>
              <w:marBottom w:val="0"/>
              <w:divBdr>
                <w:top w:val="none" w:sz="0" w:space="0" w:color="auto"/>
                <w:left w:val="none" w:sz="0" w:space="0" w:color="auto"/>
                <w:bottom w:val="none" w:sz="0" w:space="0" w:color="auto"/>
                <w:right w:val="none" w:sz="0" w:space="0" w:color="auto"/>
              </w:divBdr>
            </w:div>
          </w:divsChild>
        </w:div>
        <w:div w:id="1610694349">
          <w:marLeft w:val="0"/>
          <w:marRight w:val="0"/>
          <w:marTop w:val="0"/>
          <w:marBottom w:val="0"/>
          <w:divBdr>
            <w:top w:val="none" w:sz="0" w:space="0" w:color="auto"/>
            <w:left w:val="none" w:sz="0" w:space="0" w:color="auto"/>
            <w:bottom w:val="none" w:sz="0" w:space="0" w:color="auto"/>
            <w:right w:val="none" w:sz="0" w:space="0" w:color="auto"/>
          </w:divBdr>
          <w:divsChild>
            <w:div w:id="400561593">
              <w:marLeft w:val="0"/>
              <w:marRight w:val="0"/>
              <w:marTop w:val="0"/>
              <w:marBottom w:val="0"/>
              <w:divBdr>
                <w:top w:val="none" w:sz="0" w:space="0" w:color="auto"/>
                <w:left w:val="none" w:sz="0" w:space="0" w:color="auto"/>
                <w:bottom w:val="none" w:sz="0" w:space="0" w:color="auto"/>
                <w:right w:val="none" w:sz="0" w:space="0" w:color="auto"/>
              </w:divBdr>
            </w:div>
          </w:divsChild>
        </w:div>
        <w:div w:id="1666400694">
          <w:marLeft w:val="0"/>
          <w:marRight w:val="0"/>
          <w:marTop w:val="0"/>
          <w:marBottom w:val="0"/>
          <w:divBdr>
            <w:top w:val="none" w:sz="0" w:space="0" w:color="auto"/>
            <w:left w:val="none" w:sz="0" w:space="0" w:color="auto"/>
            <w:bottom w:val="none" w:sz="0" w:space="0" w:color="auto"/>
            <w:right w:val="none" w:sz="0" w:space="0" w:color="auto"/>
          </w:divBdr>
          <w:divsChild>
            <w:div w:id="1886408845">
              <w:marLeft w:val="0"/>
              <w:marRight w:val="0"/>
              <w:marTop w:val="0"/>
              <w:marBottom w:val="0"/>
              <w:divBdr>
                <w:top w:val="none" w:sz="0" w:space="0" w:color="auto"/>
                <w:left w:val="none" w:sz="0" w:space="0" w:color="auto"/>
                <w:bottom w:val="none" w:sz="0" w:space="0" w:color="auto"/>
                <w:right w:val="none" w:sz="0" w:space="0" w:color="auto"/>
              </w:divBdr>
            </w:div>
          </w:divsChild>
        </w:div>
        <w:div w:id="1683899610">
          <w:marLeft w:val="0"/>
          <w:marRight w:val="0"/>
          <w:marTop w:val="0"/>
          <w:marBottom w:val="0"/>
          <w:divBdr>
            <w:top w:val="none" w:sz="0" w:space="0" w:color="auto"/>
            <w:left w:val="none" w:sz="0" w:space="0" w:color="auto"/>
            <w:bottom w:val="none" w:sz="0" w:space="0" w:color="auto"/>
            <w:right w:val="none" w:sz="0" w:space="0" w:color="auto"/>
          </w:divBdr>
          <w:divsChild>
            <w:div w:id="1924215504">
              <w:marLeft w:val="0"/>
              <w:marRight w:val="0"/>
              <w:marTop w:val="0"/>
              <w:marBottom w:val="0"/>
              <w:divBdr>
                <w:top w:val="none" w:sz="0" w:space="0" w:color="auto"/>
                <w:left w:val="none" w:sz="0" w:space="0" w:color="auto"/>
                <w:bottom w:val="none" w:sz="0" w:space="0" w:color="auto"/>
                <w:right w:val="none" w:sz="0" w:space="0" w:color="auto"/>
              </w:divBdr>
            </w:div>
          </w:divsChild>
        </w:div>
        <w:div w:id="1873416580">
          <w:marLeft w:val="0"/>
          <w:marRight w:val="0"/>
          <w:marTop w:val="0"/>
          <w:marBottom w:val="0"/>
          <w:divBdr>
            <w:top w:val="none" w:sz="0" w:space="0" w:color="auto"/>
            <w:left w:val="none" w:sz="0" w:space="0" w:color="auto"/>
            <w:bottom w:val="none" w:sz="0" w:space="0" w:color="auto"/>
            <w:right w:val="none" w:sz="0" w:space="0" w:color="auto"/>
          </w:divBdr>
          <w:divsChild>
            <w:div w:id="77333966">
              <w:marLeft w:val="0"/>
              <w:marRight w:val="0"/>
              <w:marTop w:val="0"/>
              <w:marBottom w:val="0"/>
              <w:divBdr>
                <w:top w:val="none" w:sz="0" w:space="0" w:color="auto"/>
                <w:left w:val="none" w:sz="0" w:space="0" w:color="auto"/>
                <w:bottom w:val="none" w:sz="0" w:space="0" w:color="auto"/>
                <w:right w:val="none" w:sz="0" w:space="0" w:color="auto"/>
              </w:divBdr>
            </w:div>
            <w:div w:id="381712063">
              <w:marLeft w:val="0"/>
              <w:marRight w:val="0"/>
              <w:marTop w:val="0"/>
              <w:marBottom w:val="0"/>
              <w:divBdr>
                <w:top w:val="none" w:sz="0" w:space="0" w:color="auto"/>
                <w:left w:val="none" w:sz="0" w:space="0" w:color="auto"/>
                <w:bottom w:val="none" w:sz="0" w:space="0" w:color="auto"/>
                <w:right w:val="none" w:sz="0" w:space="0" w:color="auto"/>
              </w:divBdr>
            </w:div>
            <w:div w:id="423846815">
              <w:marLeft w:val="0"/>
              <w:marRight w:val="0"/>
              <w:marTop w:val="0"/>
              <w:marBottom w:val="0"/>
              <w:divBdr>
                <w:top w:val="none" w:sz="0" w:space="0" w:color="auto"/>
                <w:left w:val="none" w:sz="0" w:space="0" w:color="auto"/>
                <w:bottom w:val="none" w:sz="0" w:space="0" w:color="auto"/>
                <w:right w:val="none" w:sz="0" w:space="0" w:color="auto"/>
              </w:divBdr>
            </w:div>
            <w:div w:id="923801725">
              <w:marLeft w:val="0"/>
              <w:marRight w:val="0"/>
              <w:marTop w:val="0"/>
              <w:marBottom w:val="0"/>
              <w:divBdr>
                <w:top w:val="none" w:sz="0" w:space="0" w:color="auto"/>
                <w:left w:val="none" w:sz="0" w:space="0" w:color="auto"/>
                <w:bottom w:val="none" w:sz="0" w:space="0" w:color="auto"/>
                <w:right w:val="none" w:sz="0" w:space="0" w:color="auto"/>
              </w:divBdr>
            </w:div>
            <w:div w:id="1408726468">
              <w:marLeft w:val="0"/>
              <w:marRight w:val="0"/>
              <w:marTop w:val="0"/>
              <w:marBottom w:val="0"/>
              <w:divBdr>
                <w:top w:val="none" w:sz="0" w:space="0" w:color="auto"/>
                <w:left w:val="none" w:sz="0" w:space="0" w:color="auto"/>
                <w:bottom w:val="none" w:sz="0" w:space="0" w:color="auto"/>
                <w:right w:val="none" w:sz="0" w:space="0" w:color="auto"/>
              </w:divBdr>
            </w:div>
            <w:div w:id="1410929112">
              <w:marLeft w:val="0"/>
              <w:marRight w:val="0"/>
              <w:marTop w:val="0"/>
              <w:marBottom w:val="0"/>
              <w:divBdr>
                <w:top w:val="none" w:sz="0" w:space="0" w:color="auto"/>
                <w:left w:val="none" w:sz="0" w:space="0" w:color="auto"/>
                <w:bottom w:val="none" w:sz="0" w:space="0" w:color="auto"/>
                <w:right w:val="none" w:sz="0" w:space="0" w:color="auto"/>
              </w:divBdr>
            </w:div>
            <w:div w:id="1419670347">
              <w:marLeft w:val="0"/>
              <w:marRight w:val="0"/>
              <w:marTop w:val="0"/>
              <w:marBottom w:val="0"/>
              <w:divBdr>
                <w:top w:val="none" w:sz="0" w:space="0" w:color="auto"/>
                <w:left w:val="none" w:sz="0" w:space="0" w:color="auto"/>
                <w:bottom w:val="none" w:sz="0" w:space="0" w:color="auto"/>
                <w:right w:val="none" w:sz="0" w:space="0" w:color="auto"/>
              </w:divBdr>
            </w:div>
            <w:div w:id="1518420717">
              <w:marLeft w:val="0"/>
              <w:marRight w:val="0"/>
              <w:marTop w:val="0"/>
              <w:marBottom w:val="0"/>
              <w:divBdr>
                <w:top w:val="none" w:sz="0" w:space="0" w:color="auto"/>
                <w:left w:val="none" w:sz="0" w:space="0" w:color="auto"/>
                <w:bottom w:val="none" w:sz="0" w:space="0" w:color="auto"/>
                <w:right w:val="none" w:sz="0" w:space="0" w:color="auto"/>
              </w:divBdr>
            </w:div>
            <w:div w:id="1676568033">
              <w:marLeft w:val="0"/>
              <w:marRight w:val="0"/>
              <w:marTop w:val="0"/>
              <w:marBottom w:val="0"/>
              <w:divBdr>
                <w:top w:val="none" w:sz="0" w:space="0" w:color="auto"/>
                <w:left w:val="none" w:sz="0" w:space="0" w:color="auto"/>
                <w:bottom w:val="none" w:sz="0" w:space="0" w:color="auto"/>
                <w:right w:val="none" w:sz="0" w:space="0" w:color="auto"/>
              </w:divBdr>
            </w:div>
            <w:div w:id="20651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14773">
      <w:bodyDiv w:val="1"/>
      <w:marLeft w:val="0"/>
      <w:marRight w:val="0"/>
      <w:marTop w:val="0"/>
      <w:marBottom w:val="0"/>
      <w:divBdr>
        <w:top w:val="none" w:sz="0" w:space="0" w:color="auto"/>
        <w:left w:val="none" w:sz="0" w:space="0" w:color="auto"/>
        <w:bottom w:val="none" w:sz="0" w:space="0" w:color="auto"/>
        <w:right w:val="none" w:sz="0" w:space="0" w:color="auto"/>
      </w:divBdr>
      <w:divsChild>
        <w:div w:id="419759193">
          <w:marLeft w:val="0"/>
          <w:marRight w:val="0"/>
          <w:marTop w:val="0"/>
          <w:marBottom w:val="0"/>
          <w:divBdr>
            <w:top w:val="none" w:sz="0" w:space="0" w:color="auto"/>
            <w:left w:val="none" w:sz="0" w:space="0" w:color="auto"/>
            <w:bottom w:val="none" w:sz="0" w:space="0" w:color="auto"/>
            <w:right w:val="none" w:sz="0" w:space="0" w:color="auto"/>
          </w:divBdr>
        </w:div>
        <w:div w:id="1038622976">
          <w:marLeft w:val="0"/>
          <w:marRight w:val="0"/>
          <w:marTop w:val="0"/>
          <w:marBottom w:val="0"/>
          <w:divBdr>
            <w:top w:val="none" w:sz="0" w:space="0" w:color="auto"/>
            <w:left w:val="none" w:sz="0" w:space="0" w:color="auto"/>
            <w:bottom w:val="none" w:sz="0" w:space="0" w:color="auto"/>
            <w:right w:val="none" w:sz="0" w:space="0" w:color="auto"/>
          </w:divBdr>
        </w:div>
        <w:div w:id="1311321719">
          <w:marLeft w:val="0"/>
          <w:marRight w:val="0"/>
          <w:marTop w:val="0"/>
          <w:marBottom w:val="0"/>
          <w:divBdr>
            <w:top w:val="none" w:sz="0" w:space="0" w:color="auto"/>
            <w:left w:val="none" w:sz="0" w:space="0" w:color="auto"/>
            <w:bottom w:val="none" w:sz="0" w:space="0" w:color="auto"/>
            <w:right w:val="none" w:sz="0" w:space="0" w:color="auto"/>
          </w:divBdr>
        </w:div>
      </w:divsChild>
    </w:div>
    <w:div w:id="773280268">
      <w:bodyDiv w:val="1"/>
      <w:marLeft w:val="0"/>
      <w:marRight w:val="0"/>
      <w:marTop w:val="0"/>
      <w:marBottom w:val="0"/>
      <w:divBdr>
        <w:top w:val="none" w:sz="0" w:space="0" w:color="auto"/>
        <w:left w:val="none" w:sz="0" w:space="0" w:color="auto"/>
        <w:bottom w:val="none" w:sz="0" w:space="0" w:color="auto"/>
        <w:right w:val="none" w:sz="0" w:space="0" w:color="auto"/>
      </w:divBdr>
      <w:divsChild>
        <w:div w:id="808787985">
          <w:marLeft w:val="0"/>
          <w:marRight w:val="0"/>
          <w:marTop w:val="0"/>
          <w:marBottom w:val="0"/>
          <w:divBdr>
            <w:top w:val="none" w:sz="0" w:space="0" w:color="auto"/>
            <w:left w:val="none" w:sz="0" w:space="0" w:color="auto"/>
            <w:bottom w:val="none" w:sz="0" w:space="0" w:color="auto"/>
            <w:right w:val="none" w:sz="0" w:space="0" w:color="auto"/>
          </w:divBdr>
          <w:divsChild>
            <w:div w:id="2131123218">
              <w:marLeft w:val="0"/>
              <w:marRight w:val="0"/>
              <w:marTop w:val="30"/>
              <w:marBottom w:val="30"/>
              <w:divBdr>
                <w:top w:val="none" w:sz="0" w:space="0" w:color="auto"/>
                <w:left w:val="none" w:sz="0" w:space="0" w:color="auto"/>
                <w:bottom w:val="none" w:sz="0" w:space="0" w:color="auto"/>
                <w:right w:val="none" w:sz="0" w:space="0" w:color="auto"/>
              </w:divBdr>
              <w:divsChild>
                <w:div w:id="84038705">
                  <w:marLeft w:val="0"/>
                  <w:marRight w:val="0"/>
                  <w:marTop w:val="0"/>
                  <w:marBottom w:val="0"/>
                  <w:divBdr>
                    <w:top w:val="none" w:sz="0" w:space="0" w:color="auto"/>
                    <w:left w:val="none" w:sz="0" w:space="0" w:color="auto"/>
                    <w:bottom w:val="none" w:sz="0" w:space="0" w:color="auto"/>
                    <w:right w:val="none" w:sz="0" w:space="0" w:color="auto"/>
                  </w:divBdr>
                  <w:divsChild>
                    <w:div w:id="1679455223">
                      <w:marLeft w:val="0"/>
                      <w:marRight w:val="0"/>
                      <w:marTop w:val="0"/>
                      <w:marBottom w:val="0"/>
                      <w:divBdr>
                        <w:top w:val="none" w:sz="0" w:space="0" w:color="auto"/>
                        <w:left w:val="none" w:sz="0" w:space="0" w:color="auto"/>
                        <w:bottom w:val="none" w:sz="0" w:space="0" w:color="auto"/>
                        <w:right w:val="none" w:sz="0" w:space="0" w:color="auto"/>
                      </w:divBdr>
                    </w:div>
                  </w:divsChild>
                </w:div>
                <w:div w:id="132448382">
                  <w:marLeft w:val="0"/>
                  <w:marRight w:val="0"/>
                  <w:marTop w:val="0"/>
                  <w:marBottom w:val="0"/>
                  <w:divBdr>
                    <w:top w:val="none" w:sz="0" w:space="0" w:color="auto"/>
                    <w:left w:val="none" w:sz="0" w:space="0" w:color="auto"/>
                    <w:bottom w:val="none" w:sz="0" w:space="0" w:color="auto"/>
                    <w:right w:val="none" w:sz="0" w:space="0" w:color="auto"/>
                  </w:divBdr>
                  <w:divsChild>
                    <w:div w:id="1506751048">
                      <w:marLeft w:val="0"/>
                      <w:marRight w:val="0"/>
                      <w:marTop w:val="0"/>
                      <w:marBottom w:val="0"/>
                      <w:divBdr>
                        <w:top w:val="none" w:sz="0" w:space="0" w:color="auto"/>
                        <w:left w:val="none" w:sz="0" w:space="0" w:color="auto"/>
                        <w:bottom w:val="none" w:sz="0" w:space="0" w:color="auto"/>
                        <w:right w:val="none" w:sz="0" w:space="0" w:color="auto"/>
                      </w:divBdr>
                    </w:div>
                  </w:divsChild>
                </w:div>
                <w:div w:id="326977003">
                  <w:marLeft w:val="0"/>
                  <w:marRight w:val="0"/>
                  <w:marTop w:val="0"/>
                  <w:marBottom w:val="0"/>
                  <w:divBdr>
                    <w:top w:val="none" w:sz="0" w:space="0" w:color="auto"/>
                    <w:left w:val="none" w:sz="0" w:space="0" w:color="auto"/>
                    <w:bottom w:val="none" w:sz="0" w:space="0" w:color="auto"/>
                    <w:right w:val="none" w:sz="0" w:space="0" w:color="auto"/>
                  </w:divBdr>
                  <w:divsChild>
                    <w:div w:id="440609348">
                      <w:marLeft w:val="0"/>
                      <w:marRight w:val="0"/>
                      <w:marTop w:val="0"/>
                      <w:marBottom w:val="0"/>
                      <w:divBdr>
                        <w:top w:val="none" w:sz="0" w:space="0" w:color="auto"/>
                        <w:left w:val="none" w:sz="0" w:space="0" w:color="auto"/>
                        <w:bottom w:val="none" w:sz="0" w:space="0" w:color="auto"/>
                        <w:right w:val="none" w:sz="0" w:space="0" w:color="auto"/>
                      </w:divBdr>
                    </w:div>
                  </w:divsChild>
                </w:div>
                <w:div w:id="438373118">
                  <w:marLeft w:val="0"/>
                  <w:marRight w:val="0"/>
                  <w:marTop w:val="0"/>
                  <w:marBottom w:val="0"/>
                  <w:divBdr>
                    <w:top w:val="none" w:sz="0" w:space="0" w:color="auto"/>
                    <w:left w:val="none" w:sz="0" w:space="0" w:color="auto"/>
                    <w:bottom w:val="none" w:sz="0" w:space="0" w:color="auto"/>
                    <w:right w:val="none" w:sz="0" w:space="0" w:color="auto"/>
                  </w:divBdr>
                  <w:divsChild>
                    <w:div w:id="1953827731">
                      <w:marLeft w:val="0"/>
                      <w:marRight w:val="0"/>
                      <w:marTop w:val="0"/>
                      <w:marBottom w:val="0"/>
                      <w:divBdr>
                        <w:top w:val="none" w:sz="0" w:space="0" w:color="auto"/>
                        <w:left w:val="none" w:sz="0" w:space="0" w:color="auto"/>
                        <w:bottom w:val="none" w:sz="0" w:space="0" w:color="auto"/>
                        <w:right w:val="none" w:sz="0" w:space="0" w:color="auto"/>
                      </w:divBdr>
                    </w:div>
                  </w:divsChild>
                </w:div>
                <w:div w:id="469829092">
                  <w:marLeft w:val="0"/>
                  <w:marRight w:val="0"/>
                  <w:marTop w:val="0"/>
                  <w:marBottom w:val="0"/>
                  <w:divBdr>
                    <w:top w:val="none" w:sz="0" w:space="0" w:color="auto"/>
                    <w:left w:val="none" w:sz="0" w:space="0" w:color="auto"/>
                    <w:bottom w:val="none" w:sz="0" w:space="0" w:color="auto"/>
                    <w:right w:val="none" w:sz="0" w:space="0" w:color="auto"/>
                  </w:divBdr>
                  <w:divsChild>
                    <w:div w:id="973174202">
                      <w:marLeft w:val="0"/>
                      <w:marRight w:val="0"/>
                      <w:marTop w:val="0"/>
                      <w:marBottom w:val="0"/>
                      <w:divBdr>
                        <w:top w:val="none" w:sz="0" w:space="0" w:color="auto"/>
                        <w:left w:val="none" w:sz="0" w:space="0" w:color="auto"/>
                        <w:bottom w:val="none" w:sz="0" w:space="0" w:color="auto"/>
                        <w:right w:val="none" w:sz="0" w:space="0" w:color="auto"/>
                      </w:divBdr>
                    </w:div>
                  </w:divsChild>
                </w:div>
                <w:div w:id="549419655">
                  <w:marLeft w:val="0"/>
                  <w:marRight w:val="0"/>
                  <w:marTop w:val="0"/>
                  <w:marBottom w:val="0"/>
                  <w:divBdr>
                    <w:top w:val="none" w:sz="0" w:space="0" w:color="auto"/>
                    <w:left w:val="none" w:sz="0" w:space="0" w:color="auto"/>
                    <w:bottom w:val="none" w:sz="0" w:space="0" w:color="auto"/>
                    <w:right w:val="none" w:sz="0" w:space="0" w:color="auto"/>
                  </w:divBdr>
                  <w:divsChild>
                    <w:div w:id="804661682">
                      <w:marLeft w:val="0"/>
                      <w:marRight w:val="0"/>
                      <w:marTop w:val="0"/>
                      <w:marBottom w:val="0"/>
                      <w:divBdr>
                        <w:top w:val="none" w:sz="0" w:space="0" w:color="auto"/>
                        <w:left w:val="none" w:sz="0" w:space="0" w:color="auto"/>
                        <w:bottom w:val="none" w:sz="0" w:space="0" w:color="auto"/>
                        <w:right w:val="none" w:sz="0" w:space="0" w:color="auto"/>
                      </w:divBdr>
                    </w:div>
                  </w:divsChild>
                </w:div>
                <w:div w:id="657080287">
                  <w:marLeft w:val="0"/>
                  <w:marRight w:val="0"/>
                  <w:marTop w:val="0"/>
                  <w:marBottom w:val="0"/>
                  <w:divBdr>
                    <w:top w:val="none" w:sz="0" w:space="0" w:color="auto"/>
                    <w:left w:val="none" w:sz="0" w:space="0" w:color="auto"/>
                    <w:bottom w:val="none" w:sz="0" w:space="0" w:color="auto"/>
                    <w:right w:val="none" w:sz="0" w:space="0" w:color="auto"/>
                  </w:divBdr>
                  <w:divsChild>
                    <w:div w:id="1561404666">
                      <w:marLeft w:val="0"/>
                      <w:marRight w:val="0"/>
                      <w:marTop w:val="0"/>
                      <w:marBottom w:val="0"/>
                      <w:divBdr>
                        <w:top w:val="none" w:sz="0" w:space="0" w:color="auto"/>
                        <w:left w:val="none" w:sz="0" w:space="0" w:color="auto"/>
                        <w:bottom w:val="none" w:sz="0" w:space="0" w:color="auto"/>
                        <w:right w:val="none" w:sz="0" w:space="0" w:color="auto"/>
                      </w:divBdr>
                    </w:div>
                  </w:divsChild>
                </w:div>
                <w:div w:id="816992346">
                  <w:marLeft w:val="0"/>
                  <w:marRight w:val="0"/>
                  <w:marTop w:val="0"/>
                  <w:marBottom w:val="0"/>
                  <w:divBdr>
                    <w:top w:val="none" w:sz="0" w:space="0" w:color="auto"/>
                    <w:left w:val="none" w:sz="0" w:space="0" w:color="auto"/>
                    <w:bottom w:val="none" w:sz="0" w:space="0" w:color="auto"/>
                    <w:right w:val="none" w:sz="0" w:space="0" w:color="auto"/>
                  </w:divBdr>
                  <w:divsChild>
                    <w:div w:id="319507766">
                      <w:marLeft w:val="0"/>
                      <w:marRight w:val="0"/>
                      <w:marTop w:val="0"/>
                      <w:marBottom w:val="0"/>
                      <w:divBdr>
                        <w:top w:val="none" w:sz="0" w:space="0" w:color="auto"/>
                        <w:left w:val="none" w:sz="0" w:space="0" w:color="auto"/>
                        <w:bottom w:val="none" w:sz="0" w:space="0" w:color="auto"/>
                        <w:right w:val="none" w:sz="0" w:space="0" w:color="auto"/>
                      </w:divBdr>
                    </w:div>
                  </w:divsChild>
                </w:div>
                <w:div w:id="964239962">
                  <w:marLeft w:val="0"/>
                  <w:marRight w:val="0"/>
                  <w:marTop w:val="0"/>
                  <w:marBottom w:val="0"/>
                  <w:divBdr>
                    <w:top w:val="none" w:sz="0" w:space="0" w:color="auto"/>
                    <w:left w:val="none" w:sz="0" w:space="0" w:color="auto"/>
                    <w:bottom w:val="none" w:sz="0" w:space="0" w:color="auto"/>
                    <w:right w:val="none" w:sz="0" w:space="0" w:color="auto"/>
                  </w:divBdr>
                  <w:divsChild>
                    <w:div w:id="229921969">
                      <w:marLeft w:val="0"/>
                      <w:marRight w:val="0"/>
                      <w:marTop w:val="0"/>
                      <w:marBottom w:val="0"/>
                      <w:divBdr>
                        <w:top w:val="none" w:sz="0" w:space="0" w:color="auto"/>
                        <w:left w:val="none" w:sz="0" w:space="0" w:color="auto"/>
                        <w:bottom w:val="none" w:sz="0" w:space="0" w:color="auto"/>
                        <w:right w:val="none" w:sz="0" w:space="0" w:color="auto"/>
                      </w:divBdr>
                    </w:div>
                  </w:divsChild>
                </w:div>
                <w:div w:id="993024370">
                  <w:marLeft w:val="0"/>
                  <w:marRight w:val="0"/>
                  <w:marTop w:val="0"/>
                  <w:marBottom w:val="0"/>
                  <w:divBdr>
                    <w:top w:val="none" w:sz="0" w:space="0" w:color="auto"/>
                    <w:left w:val="none" w:sz="0" w:space="0" w:color="auto"/>
                    <w:bottom w:val="none" w:sz="0" w:space="0" w:color="auto"/>
                    <w:right w:val="none" w:sz="0" w:space="0" w:color="auto"/>
                  </w:divBdr>
                  <w:divsChild>
                    <w:div w:id="2028673257">
                      <w:marLeft w:val="0"/>
                      <w:marRight w:val="0"/>
                      <w:marTop w:val="0"/>
                      <w:marBottom w:val="0"/>
                      <w:divBdr>
                        <w:top w:val="none" w:sz="0" w:space="0" w:color="auto"/>
                        <w:left w:val="none" w:sz="0" w:space="0" w:color="auto"/>
                        <w:bottom w:val="none" w:sz="0" w:space="0" w:color="auto"/>
                        <w:right w:val="none" w:sz="0" w:space="0" w:color="auto"/>
                      </w:divBdr>
                    </w:div>
                  </w:divsChild>
                </w:div>
                <w:div w:id="1055735841">
                  <w:marLeft w:val="0"/>
                  <w:marRight w:val="0"/>
                  <w:marTop w:val="0"/>
                  <w:marBottom w:val="0"/>
                  <w:divBdr>
                    <w:top w:val="none" w:sz="0" w:space="0" w:color="auto"/>
                    <w:left w:val="none" w:sz="0" w:space="0" w:color="auto"/>
                    <w:bottom w:val="none" w:sz="0" w:space="0" w:color="auto"/>
                    <w:right w:val="none" w:sz="0" w:space="0" w:color="auto"/>
                  </w:divBdr>
                  <w:divsChild>
                    <w:div w:id="1537499655">
                      <w:marLeft w:val="0"/>
                      <w:marRight w:val="0"/>
                      <w:marTop w:val="0"/>
                      <w:marBottom w:val="0"/>
                      <w:divBdr>
                        <w:top w:val="none" w:sz="0" w:space="0" w:color="auto"/>
                        <w:left w:val="none" w:sz="0" w:space="0" w:color="auto"/>
                        <w:bottom w:val="none" w:sz="0" w:space="0" w:color="auto"/>
                        <w:right w:val="none" w:sz="0" w:space="0" w:color="auto"/>
                      </w:divBdr>
                    </w:div>
                  </w:divsChild>
                </w:div>
                <w:div w:id="1198854079">
                  <w:marLeft w:val="0"/>
                  <w:marRight w:val="0"/>
                  <w:marTop w:val="0"/>
                  <w:marBottom w:val="0"/>
                  <w:divBdr>
                    <w:top w:val="none" w:sz="0" w:space="0" w:color="auto"/>
                    <w:left w:val="none" w:sz="0" w:space="0" w:color="auto"/>
                    <w:bottom w:val="none" w:sz="0" w:space="0" w:color="auto"/>
                    <w:right w:val="none" w:sz="0" w:space="0" w:color="auto"/>
                  </w:divBdr>
                  <w:divsChild>
                    <w:div w:id="1971207404">
                      <w:marLeft w:val="0"/>
                      <w:marRight w:val="0"/>
                      <w:marTop w:val="0"/>
                      <w:marBottom w:val="0"/>
                      <w:divBdr>
                        <w:top w:val="none" w:sz="0" w:space="0" w:color="auto"/>
                        <w:left w:val="none" w:sz="0" w:space="0" w:color="auto"/>
                        <w:bottom w:val="none" w:sz="0" w:space="0" w:color="auto"/>
                        <w:right w:val="none" w:sz="0" w:space="0" w:color="auto"/>
                      </w:divBdr>
                    </w:div>
                  </w:divsChild>
                </w:div>
                <w:div w:id="1351954520">
                  <w:marLeft w:val="0"/>
                  <w:marRight w:val="0"/>
                  <w:marTop w:val="0"/>
                  <w:marBottom w:val="0"/>
                  <w:divBdr>
                    <w:top w:val="none" w:sz="0" w:space="0" w:color="auto"/>
                    <w:left w:val="none" w:sz="0" w:space="0" w:color="auto"/>
                    <w:bottom w:val="none" w:sz="0" w:space="0" w:color="auto"/>
                    <w:right w:val="none" w:sz="0" w:space="0" w:color="auto"/>
                  </w:divBdr>
                  <w:divsChild>
                    <w:div w:id="669020810">
                      <w:marLeft w:val="0"/>
                      <w:marRight w:val="0"/>
                      <w:marTop w:val="0"/>
                      <w:marBottom w:val="0"/>
                      <w:divBdr>
                        <w:top w:val="none" w:sz="0" w:space="0" w:color="auto"/>
                        <w:left w:val="none" w:sz="0" w:space="0" w:color="auto"/>
                        <w:bottom w:val="none" w:sz="0" w:space="0" w:color="auto"/>
                        <w:right w:val="none" w:sz="0" w:space="0" w:color="auto"/>
                      </w:divBdr>
                    </w:div>
                  </w:divsChild>
                </w:div>
                <w:div w:id="1371033039">
                  <w:marLeft w:val="0"/>
                  <w:marRight w:val="0"/>
                  <w:marTop w:val="0"/>
                  <w:marBottom w:val="0"/>
                  <w:divBdr>
                    <w:top w:val="none" w:sz="0" w:space="0" w:color="auto"/>
                    <w:left w:val="none" w:sz="0" w:space="0" w:color="auto"/>
                    <w:bottom w:val="none" w:sz="0" w:space="0" w:color="auto"/>
                    <w:right w:val="none" w:sz="0" w:space="0" w:color="auto"/>
                  </w:divBdr>
                  <w:divsChild>
                    <w:div w:id="252279033">
                      <w:marLeft w:val="0"/>
                      <w:marRight w:val="0"/>
                      <w:marTop w:val="0"/>
                      <w:marBottom w:val="0"/>
                      <w:divBdr>
                        <w:top w:val="none" w:sz="0" w:space="0" w:color="auto"/>
                        <w:left w:val="none" w:sz="0" w:space="0" w:color="auto"/>
                        <w:bottom w:val="none" w:sz="0" w:space="0" w:color="auto"/>
                        <w:right w:val="none" w:sz="0" w:space="0" w:color="auto"/>
                      </w:divBdr>
                    </w:div>
                    <w:div w:id="285434492">
                      <w:marLeft w:val="0"/>
                      <w:marRight w:val="0"/>
                      <w:marTop w:val="0"/>
                      <w:marBottom w:val="0"/>
                      <w:divBdr>
                        <w:top w:val="none" w:sz="0" w:space="0" w:color="auto"/>
                        <w:left w:val="none" w:sz="0" w:space="0" w:color="auto"/>
                        <w:bottom w:val="none" w:sz="0" w:space="0" w:color="auto"/>
                        <w:right w:val="none" w:sz="0" w:space="0" w:color="auto"/>
                      </w:divBdr>
                    </w:div>
                    <w:div w:id="706024428">
                      <w:marLeft w:val="0"/>
                      <w:marRight w:val="0"/>
                      <w:marTop w:val="0"/>
                      <w:marBottom w:val="0"/>
                      <w:divBdr>
                        <w:top w:val="none" w:sz="0" w:space="0" w:color="auto"/>
                        <w:left w:val="none" w:sz="0" w:space="0" w:color="auto"/>
                        <w:bottom w:val="none" w:sz="0" w:space="0" w:color="auto"/>
                        <w:right w:val="none" w:sz="0" w:space="0" w:color="auto"/>
                      </w:divBdr>
                    </w:div>
                    <w:div w:id="857277079">
                      <w:marLeft w:val="0"/>
                      <w:marRight w:val="0"/>
                      <w:marTop w:val="0"/>
                      <w:marBottom w:val="0"/>
                      <w:divBdr>
                        <w:top w:val="none" w:sz="0" w:space="0" w:color="auto"/>
                        <w:left w:val="none" w:sz="0" w:space="0" w:color="auto"/>
                        <w:bottom w:val="none" w:sz="0" w:space="0" w:color="auto"/>
                        <w:right w:val="none" w:sz="0" w:space="0" w:color="auto"/>
                      </w:divBdr>
                    </w:div>
                    <w:div w:id="1456947342">
                      <w:marLeft w:val="0"/>
                      <w:marRight w:val="0"/>
                      <w:marTop w:val="0"/>
                      <w:marBottom w:val="0"/>
                      <w:divBdr>
                        <w:top w:val="none" w:sz="0" w:space="0" w:color="auto"/>
                        <w:left w:val="none" w:sz="0" w:space="0" w:color="auto"/>
                        <w:bottom w:val="none" w:sz="0" w:space="0" w:color="auto"/>
                        <w:right w:val="none" w:sz="0" w:space="0" w:color="auto"/>
                      </w:divBdr>
                    </w:div>
                    <w:div w:id="1519008706">
                      <w:marLeft w:val="0"/>
                      <w:marRight w:val="0"/>
                      <w:marTop w:val="0"/>
                      <w:marBottom w:val="0"/>
                      <w:divBdr>
                        <w:top w:val="none" w:sz="0" w:space="0" w:color="auto"/>
                        <w:left w:val="none" w:sz="0" w:space="0" w:color="auto"/>
                        <w:bottom w:val="none" w:sz="0" w:space="0" w:color="auto"/>
                        <w:right w:val="none" w:sz="0" w:space="0" w:color="auto"/>
                      </w:divBdr>
                    </w:div>
                  </w:divsChild>
                </w:div>
                <w:div w:id="1708526496">
                  <w:marLeft w:val="0"/>
                  <w:marRight w:val="0"/>
                  <w:marTop w:val="0"/>
                  <w:marBottom w:val="0"/>
                  <w:divBdr>
                    <w:top w:val="none" w:sz="0" w:space="0" w:color="auto"/>
                    <w:left w:val="none" w:sz="0" w:space="0" w:color="auto"/>
                    <w:bottom w:val="none" w:sz="0" w:space="0" w:color="auto"/>
                    <w:right w:val="none" w:sz="0" w:space="0" w:color="auto"/>
                  </w:divBdr>
                  <w:divsChild>
                    <w:div w:id="946693890">
                      <w:marLeft w:val="0"/>
                      <w:marRight w:val="0"/>
                      <w:marTop w:val="0"/>
                      <w:marBottom w:val="0"/>
                      <w:divBdr>
                        <w:top w:val="none" w:sz="0" w:space="0" w:color="auto"/>
                        <w:left w:val="none" w:sz="0" w:space="0" w:color="auto"/>
                        <w:bottom w:val="none" w:sz="0" w:space="0" w:color="auto"/>
                        <w:right w:val="none" w:sz="0" w:space="0" w:color="auto"/>
                      </w:divBdr>
                    </w:div>
                    <w:div w:id="1286081938">
                      <w:marLeft w:val="0"/>
                      <w:marRight w:val="0"/>
                      <w:marTop w:val="0"/>
                      <w:marBottom w:val="0"/>
                      <w:divBdr>
                        <w:top w:val="none" w:sz="0" w:space="0" w:color="auto"/>
                        <w:left w:val="none" w:sz="0" w:space="0" w:color="auto"/>
                        <w:bottom w:val="none" w:sz="0" w:space="0" w:color="auto"/>
                        <w:right w:val="none" w:sz="0" w:space="0" w:color="auto"/>
                      </w:divBdr>
                    </w:div>
                  </w:divsChild>
                </w:div>
                <w:div w:id="1715497393">
                  <w:marLeft w:val="0"/>
                  <w:marRight w:val="0"/>
                  <w:marTop w:val="0"/>
                  <w:marBottom w:val="0"/>
                  <w:divBdr>
                    <w:top w:val="none" w:sz="0" w:space="0" w:color="auto"/>
                    <w:left w:val="none" w:sz="0" w:space="0" w:color="auto"/>
                    <w:bottom w:val="none" w:sz="0" w:space="0" w:color="auto"/>
                    <w:right w:val="none" w:sz="0" w:space="0" w:color="auto"/>
                  </w:divBdr>
                  <w:divsChild>
                    <w:div w:id="216013475">
                      <w:marLeft w:val="0"/>
                      <w:marRight w:val="0"/>
                      <w:marTop w:val="0"/>
                      <w:marBottom w:val="0"/>
                      <w:divBdr>
                        <w:top w:val="none" w:sz="0" w:space="0" w:color="auto"/>
                        <w:left w:val="none" w:sz="0" w:space="0" w:color="auto"/>
                        <w:bottom w:val="none" w:sz="0" w:space="0" w:color="auto"/>
                        <w:right w:val="none" w:sz="0" w:space="0" w:color="auto"/>
                      </w:divBdr>
                    </w:div>
                    <w:div w:id="391585008">
                      <w:marLeft w:val="0"/>
                      <w:marRight w:val="0"/>
                      <w:marTop w:val="0"/>
                      <w:marBottom w:val="0"/>
                      <w:divBdr>
                        <w:top w:val="none" w:sz="0" w:space="0" w:color="auto"/>
                        <w:left w:val="none" w:sz="0" w:space="0" w:color="auto"/>
                        <w:bottom w:val="none" w:sz="0" w:space="0" w:color="auto"/>
                        <w:right w:val="none" w:sz="0" w:space="0" w:color="auto"/>
                      </w:divBdr>
                    </w:div>
                    <w:div w:id="446311215">
                      <w:marLeft w:val="0"/>
                      <w:marRight w:val="0"/>
                      <w:marTop w:val="0"/>
                      <w:marBottom w:val="0"/>
                      <w:divBdr>
                        <w:top w:val="none" w:sz="0" w:space="0" w:color="auto"/>
                        <w:left w:val="none" w:sz="0" w:space="0" w:color="auto"/>
                        <w:bottom w:val="none" w:sz="0" w:space="0" w:color="auto"/>
                        <w:right w:val="none" w:sz="0" w:space="0" w:color="auto"/>
                      </w:divBdr>
                    </w:div>
                    <w:div w:id="526676735">
                      <w:marLeft w:val="0"/>
                      <w:marRight w:val="0"/>
                      <w:marTop w:val="0"/>
                      <w:marBottom w:val="0"/>
                      <w:divBdr>
                        <w:top w:val="none" w:sz="0" w:space="0" w:color="auto"/>
                        <w:left w:val="none" w:sz="0" w:space="0" w:color="auto"/>
                        <w:bottom w:val="none" w:sz="0" w:space="0" w:color="auto"/>
                        <w:right w:val="none" w:sz="0" w:space="0" w:color="auto"/>
                      </w:divBdr>
                    </w:div>
                    <w:div w:id="868185037">
                      <w:marLeft w:val="0"/>
                      <w:marRight w:val="0"/>
                      <w:marTop w:val="0"/>
                      <w:marBottom w:val="0"/>
                      <w:divBdr>
                        <w:top w:val="none" w:sz="0" w:space="0" w:color="auto"/>
                        <w:left w:val="none" w:sz="0" w:space="0" w:color="auto"/>
                        <w:bottom w:val="none" w:sz="0" w:space="0" w:color="auto"/>
                        <w:right w:val="none" w:sz="0" w:space="0" w:color="auto"/>
                      </w:divBdr>
                    </w:div>
                    <w:div w:id="1133594162">
                      <w:marLeft w:val="0"/>
                      <w:marRight w:val="0"/>
                      <w:marTop w:val="0"/>
                      <w:marBottom w:val="0"/>
                      <w:divBdr>
                        <w:top w:val="none" w:sz="0" w:space="0" w:color="auto"/>
                        <w:left w:val="none" w:sz="0" w:space="0" w:color="auto"/>
                        <w:bottom w:val="none" w:sz="0" w:space="0" w:color="auto"/>
                        <w:right w:val="none" w:sz="0" w:space="0" w:color="auto"/>
                      </w:divBdr>
                    </w:div>
                    <w:div w:id="1467821366">
                      <w:marLeft w:val="0"/>
                      <w:marRight w:val="0"/>
                      <w:marTop w:val="0"/>
                      <w:marBottom w:val="0"/>
                      <w:divBdr>
                        <w:top w:val="none" w:sz="0" w:space="0" w:color="auto"/>
                        <w:left w:val="none" w:sz="0" w:space="0" w:color="auto"/>
                        <w:bottom w:val="none" w:sz="0" w:space="0" w:color="auto"/>
                        <w:right w:val="none" w:sz="0" w:space="0" w:color="auto"/>
                      </w:divBdr>
                    </w:div>
                    <w:div w:id="1496997123">
                      <w:marLeft w:val="0"/>
                      <w:marRight w:val="0"/>
                      <w:marTop w:val="0"/>
                      <w:marBottom w:val="0"/>
                      <w:divBdr>
                        <w:top w:val="none" w:sz="0" w:space="0" w:color="auto"/>
                        <w:left w:val="none" w:sz="0" w:space="0" w:color="auto"/>
                        <w:bottom w:val="none" w:sz="0" w:space="0" w:color="auto"/>
                        <w:right w:val="none" w:sz="0" w:space="0" w:color="auto"/>
                      </w:divBdr>
                    </w:div>
                    <w:div w:id="1505246678">
                      <w:marLeft w:val="0"/>
                      <w:marRight w:val="0"/>
                      <w:marTop w:val="0"/>
                      <w:marBottom w:val="0"/>
                      <w:divBdr>
                        <w:top w:val="none" w:sz="0" w:space="0" w:color="auto"/>
                        <w:left w:val="none" w:sz="0" w:space="0" w:color="auto"/>
                        <w:bottom w:val="none" w:sz="0" w:space="0" w:color="auto"/>
                        <w:right w:val="none" w:sz="0" w:space="0" w:color="auto"/>
                      </w:divBdr>
                    </w:div>
                    <w:div w:id="1794471012">
                      <w:marLeft w:val="0"/>
                      <w:marRight w:val="0"/>
                      <w:marTop w:val="0"/>
                      <w:marBottom w:val="0"/>
                      <w:divBdr>
                        <w:top w:val="none" w:sz="0" w:space="0" w:color="auto"/>
                        <w:left w:val="none" w:sz="0" w:space="0" w:color="auto"/>
                        <w:bottom w:val="none" w:sz="0" w:space="0" w:color="auto"/>
                        <w:right w:val="none" w:sz="0" w:space="0" w:color="auto"/>
                      </w:divBdr>
                    </w:div>
                  </w:divsChild>
                </w:div>
                <w:div w:id="1751341360">
                  <w:marLeft w:val="0"/>
                  <w:marRight w:val="0"/>
                  <w:marTop w:val="0"/>
                  <w:marBottom w:val="0"/>
                  <w:divBdr>
                    <w:top w:val="none" w:sz="0" w:space="0" w:color="auto"/>
                    <w:left w:val="none" w:sz="0" w:space="0" w:color="auto"/>
                    <w:bottom w:val="none" w:sz="0" w:space="0" w:color="auto"/>
                    <w:right w:val="none" w:sz="0" w:space="0" w:color="auto"/>
                  </w:divBdr>
                  <w:divsChild>
                    <w:div w:id="1980454223">
                      <w:marLeft w:val="0"/>
                      <w:marRight w:val="0"/>
                      <w:marTop w:val="0"/>
                      <w:marBottom w:val="0"/>
                      <w:divBdr>
                        <w:top w:val="none" w:sz="0" w:space="0" w:color="auto"/>
                        <w:left w:val="none" w:sz="0" w:space="0" w:color="auto"/>
                        <w:bottom w:val="none" w:sz="0" w:space="0" w:color="auto"/>
                        <w:right w:val="none" w:sz="0" w:space="0" w:color="auto"/>
                      </w:divBdr>
                    </w:div>
                  </w:divsChild>
                </w:div>
                <w:div w:id="1837190503">
                  <w:marLeft w:val="0"/>
                  <w:marRight w:val="0"/>
                  <w:marTop w:val="0"/>
                  <w:marBottom w:val="0"/>
                  <w:divBdr>
                    <w:top w:val="none" w:sz="0" w:space="0" w:color="auto"/>
                    <w:left w:val="none" w:sz="0" w:space="0" w:color="auto"/>
                    <w:bottom w:val="none" w:sz="0" w:space="0" w:color="auto"/>
                    <w:right w:val="none" w:sz="0" w:space="0" w:color="auto"/>
                  </w:divBdr>
                  <w:divsChild>
                    <w:div w:id="1070811037">
                      <w:marLeft w:val="0"/>
                      <w:marRight w:val="0"/>
                      <w:marTop w:val="0"/>
                      <w:marBottom w:val="0"/>
                      <w:divBdr>
                        <w:top w:val="none" w:sz="0" w:space="0" w:color="auto"/>
                        <w:left w:val="none" w:sz="0" w:space="0" w:color="auto"/>
                        <w:bottom w:val="none" w:sz="0" w:space="0" w:color="auto"/>
                        <w:right w:val="none" w:sz="0" w:space="0" w:color="auto"/>
                      </w:divBdr>
                    </w:div>
                  </w:divsChild>
                </w:div>
                <w:div w:id="1947420382">
                  <w:marLeft w:val="0"/>
                  <w:marRight w:val="0"/>
                  <w:marTop w:val="0"/>
                  <w:marBottom w:val="0"/>
                  <w:divBdr>
                    <w:top w:val="none" w:sz="0" w:space="0" w:color="auto"/>
                    <w:left w:val="none" w:sz="0" w:space="0" w:color="auto"/>
                    <w:bottom w:val="none" w:sz="0" w:space="0" w:color="auto"/>
                    <w:right w:val="none" w:sz="0" w:space="0" w:color="auto"/>
                  </w:divBdr>
                  <w:divsChild>
                    <w:div w:id="787239137">
                      <w:marLeft w:val="0"/>
                      <w:marRight w:val="0"/>
                      <w:marTop w:val="0"/>
                      <w:marBottom w:val="0"/>
                      <w:divBdr>
                        <w:top w:val="none" w:sz="0" w:space="0" w:color="auto"/>
                        <w:left w:val="none" w:sz="0" w:space="0" w:color="auto"/>
                        <w:bottom w:val="none" w:sz="0" w:space="0" w:color="auto"/>
                        <w:right w:val="none" w:sz="0" w:space="0" w:color="auto"/>
                      </w:divBdr>
                    </w:div>
                  </w:divsChild>
                </w:div>
                <w:div w:id="2111505688">
                  <w:marLeft w:val="0"/>
                  <w:marRight w:val="0"/>
                  <w:marTop w:val="0"/>
                  <w:marBottom w:val="0"/>
                  <w:divBdr>
                    <w:top w:val="none" w:sz="0" w:space="0" w:color="auto"/>
                    <w:left w:val="none" w:sz="0" w:space="0" w:color="auto"/>
                    <w:bottom w:val="none" w:sz="0" w:space="0" w:color="auto"/>
                    <w:right w:val="none" w:sz="0" w:space="0" w:color="auto"/>
                  </w:divBdr>
                  <w:divsChild>
                    <w:div w:id="200889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941">
          <w:marLeft w:val="0"/>
          <w:marRight w:val="0"/>
          <w:marTop w:val="0"/>
          <w:marBottom w:val="0"/>
          <w:divBdr>
            <w:top w:val="none" w:sz="0" w:space="0" w:color="auto"/>
            <w:left w:val="none" w:sz="0" w:space="0" w:color="auto"/>
            <w:bottom w:val="none" w:sz="0" w:space="0" w:color="auto"/>
            <w:right w:val="none" w:sz="0" w:space="0" w:color="auto"/>
          </w:divBdr>
        </w:div>
      </w:divsChild>
    </w:div>
    <w:div w:id="82431952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05921000">
      <w:bodyDiv w:val="1"/>
      <w:marLeft w:val="0"/>
      <w:marRight w:val="0"/>
      <w:marTop w:val="0"/>
      <w:marBottom w:val="0"/>
      <w:divBdr>
        <w:top w:val="none" w:sz="0" w:space="0" w:color="auto"/>
        <w:left w:val="none" w:sz="0" w:space="0" w:color="auto"/>
        <w:bottom w:val="none" w:sz="0" w:space="0" w:color="auto"/>
        <w:right w:val="none" w:sz="0" w:space="0" w:color="auto"/>
      </w:divBdr>
      <w:divsChild>
        <w:div w:id="759450427">
          <w:marLeft w:val="0"/>
          <w:marRight w:val="0"/>
          <w:marTop w:val="0"/>
          <w:marBottom w:val="0"/>
          <w:divBdr>
            <w:top w:val="none" w:sz="0" w:space="0" w:color="auto"/>
            <w:left w:val="none" w:sz="0" w:space="0" w:color="auto"/>
            <w:bottom w:val="none" w:sz="0" w:space="0" w:color="auto"/>
            <w:right w:val="none" w:sz="0" w:space="0" w:color="auto"/>
          </w:divBdr>
          <w:divsChild>
            <w:div w:id="1839538096">
              <w:marLeft w:val="0"/>
              <w:marRight w:val="0"/>
              <w:marTop w:val="30"/>
              <w:marBottom w:val="30"/>
              <w:divBdr>
                <w:top w:val="none" w:sz="0" w:space="0" w:color="auto"/>
                <w:left w:val="none" w:sz="0" w:space="0" w:color="auto"/>
                <w:bottom w:val="none" w:sz="0" w:space="0" w:color="auto"/>
                <w:right w:val="none" w:sz="0" w:space="0" w:color="auto"/>
              </w:divBdr>
              <w:divsChild>
                <w:div w:id="151337644">
                  <w:marLeft w:val="0"/>
                  <w:marRight w:val="0"/>
                  <w:marTop w:val="0"/>
                  <w:marBottom w:val="0"/>
                  <w:divBdr>
                    <w:top w:val="none" w:sz="0" w:space="0" w:color="auto"/>
                    <w:left w:val="none" w:sz="0" w:space="0" w:color="auto"/>
                    <w:bottom w:val="none" w:sz="0" w:space="0" w:color="auto"/>
                    <w:right w:val="none" w:sz="0" w:space="0" w:color="auto"/>
                  </w:divBdr>
                  <w:divsChild>
                    <w:div w:id="231626868">
                      <w:marLeft w:val="0"/>
                      <w:marRight w:val="0"/>
                      <w:marTop w:val="0"/>
                      <w:marBottom w:val="0"/>
                      <w:divBdr>
                        <w:top w:val="none" w:sz="0" w:space="0" w:color="auto"/>
                        <w:left w:val="none" w:sz="0" w:space="0" w:color="auto"/>
                        <w:bottom w:val="none" w:sz="0" w:space="0" w:color="auto"/>
                        <w:right w:val="none" w:sz="0" w:space="0" w:color="auto"/>
                      </w:divBdr>
                    </w:div>
                  </w:divsChild>
                </w:div>
                <w:div w:id="208494728">
                  <w:marLeft w:val="0"/>
                  <w:marRight w:val="0"/>
                  <w:marTop w:val="0"/>
                  <w:marBottom w:val="0"/>
                  <w:divBdr>
                    <w:top w:val="none" w:sz="0" w:space="0" w:color="auto"/>
                    <w:left w:val="none" w:sz="0" w:space="0" w:color="auto"/>
                    <w:bottom w:val="none" w:sz="0" w:space="0" w:color="auto"/>
                    <w:right w:val="none" w:sz="0" w:space="0" w:color="auto"/>
                  </w:divBdr>
                  <w:divsChild>
                    <w:div w:id="2102211865">
                      <w:marLeft w:val="0"/>
                      <w:marRight w:val="0"/>
                      <w:marTop w:val="0"/>
                      <w:marBottom w:val="0"/>
                      <w:divBdr>
                        <w:top w:val="none" w:sz="0" w:space="0" w:color="auto"/>
                        <w:left w:val="none" w:sz="0" w:space="0" w:color="auto"/>
                        <w:bottom w:val="none" w:sz="0" w:space="0" w:color="auto"/>
                        <w:right w:val="none" w:sz="0" w:space="0" w:color="auto"/>
                      </w:divBdr>
                    </w:div>
                  </w:divsChild>
                </w:div>
                <w:div w:id="309093322">
                  <w:marLeft w:val="0"/>
                  <w:marRight w:val="0"/>
                  <w:marTop w:val="0"/>
                  <w:marBottom w:val="0"/>
                  <w:divBdr>
                    <w:top w:val="none" w:sz="0" w:space="0" w:color="auto"/>
                    <w:left w:val="none" w:sz="0" w:space="0" w:color="auto"/>
                    <w:bottom w:val="none" w:sz="0" w:space="0" w:color="auto"/>
                    <w:right w:val="none" w:sz="0" w:space="0" w:color="auto"/>
                  </w:divBdr>
                  <w:divsChild>
                    <w:div w:id="102698300">
                      <w:marLeft w:val="0"/>
                      <w:marRight w:val="0"/>
                      <w:marTop w:val="0"/>
                      <w:marBottom w:val="0"/>
                      <w:divBdr>
                        <w:top w:val="none" w:sz="0" w:space="0" w:color="auto"/>
                        <w:left w:val="none" w:sz="0" w:space="0" w:color="auto"/>
                        <w:bottom w:val="none" w:sz="0" w:space="0" w:color="auto"/>
                        <w:right w:val="none" w:sz="0" w:space="0" w:color="auto"/>
                      </w:divBdr>
                    </w:div>
                    <w:div w:id="202407612">
                      <w:marLeft w:val="0"/>
                      <w:marRight w:val="0"/>
                      <w:marTop w:val="0"/>
                      <w:marBottom w:val="0"/>
                      <w:divBdr>
                        <w:top w:val="none" w:sz="0" w:space="0" w:color="auto"/>
                        <w:left w:val="none" w:sz="0" w:space="0" w:color="auto"/>
                        <w:bottom w:val="none" w:sz="0" w:space="0" w:color="auto"/>
                        <w:right w:val="none" w:sz="0" w:space="0" w:color="auto"/>
                      </w:divBdr>
                    </w:div>
                    <w:div w:id="216160756">
                      <w:marLeft w:val="0"/>
                      <w:marRight w:val="0"/>
                      <w:marTop w:val="0"/>
                      <w:marBottom w:val="0"/>
                      <w:divBdr>
                        <w:top w:val="none" w:sz="0" w:space="0" w:color="auto"/>
                        <w:left w:val="none" w:sz="0" w:space="0" w:color="auto"/>
                        <w:bottom w:val="none" w:sz="0" w:space="0" w:color="auto"/>
                        <w:right w:val="none" w:sz="0" w:space="0" w:color="auto"/>
                      </w:divBdr>
                    </w:div>
                    <w:div w:id="303318325">
                      <w:marLeft w:val="0"/>
                      <w:marRight w:val="0"/>
                      <w:marTop w:val="0"/>
                      <w:marBottom w:val="0"/>
                      <w:divBdr>
                        <w:top w:val="none" w:sz="0" w:space="0" w:color="auto"/>
                        <w:left w:val="none" w:sz="0" w:space="0" w:color="auto"/>
                        <w:bottom w:val="none" w:sz="0" w:space="0" w:color="auto"/>
                        <w:right w:val="none" w:sz="0" w:space="0" w:color="auto"/>
                      </w:divBdr>
                    </w:div>
                    <w:div w:id="763112290">
                      <w:marLeft w:val="0"/>
                      <w:marRight w:val="0"/>
                      <w:marTop w:val="0"/>
                      <w:marBottom w:val="0"/>
                      <w:divBdr>
                        <w:top w:val="none" w:sz="0" w:space="0" w:color="auto"/>
                        <w:left w:val="none" w:sz="0" w:space="0" w:color="auto"/>
                        <w:bottom w:val="none" w:sz="0" w:space="0" w:color="auto"/>
                        <w:right w:val="none" w:sz="0" w:space="0" w:color="auto"/>
                      </w:divBdr>
                    </w:div>
                    <w:div w:id="888225296">
                      <w:marLeft w:val="0"/>
                      <w:marRight w:val="0"/>
                      <w:marTop w:val="0"/>
                      <w:marBottom w:val="0"/>
                      <w:divBdr>
                        <w:top w:val="none" w:sz="0" w:space="0" w:color="auto"/>
                        <w:left w:val="none" w:sz="0" w:space="0" w:color="auto"/>
                        <w:bottom w:val="none" w:sz="0" w:space="0" w:color="auto"/>
                        <w:right w:val="none" w:sz="0" w:space="0" w:color="auto"/>
                      </w:divBdr>
                    </w:div>
                    <w:div w:id="1083405837">
                      <w:marLeft w:val="0"/>
                      <w:marRight w:val="0"/>
                      <w:marTop w:val="0"/>
                      <w:marBottom w:val="0"/>
                      <w:divBdr>
                        <w:top w:val="none" w:sz="0" w:space="0" w:color="auto"/>
                        <w:left w:val="none" w:sz="0" w:space="0" w:color="auto"/>
                        <w:bottom w:val="none" w:sz="0" w:space="0" w:color="auto"/>
                        <w:right w:val="none" w:sz="0" w:space="0" w:color="auto"/>
                      </w:divBdr>
                    </w:div>
                    <w:div w:id="1727534471">
                      <w:marLeft w:val="0"/>
                      <w:marRight w:val="0"/>
                      <w:marTop w:val="0"/>
                      <w:marBottom w:val="0"/>
                      <w:divBdr>
                        <w:top w:val="none" w:sz="0" w:space="0" w:color="auto"/>
                        <w:left w:val="none" w:sz="0" w:space="0" w:color="auto"/>
                        <w:bottom w:val="none" w:sz="0" w:space="0" w:color="auto"/>
                        <w:right w:val="none" w:sz="0" w:space="0" w:color="auto"/>
                      </w:divBdr>
                    </w:div>
                    <w:div w:id="1998225088">
                      <w:marLeft w:val="0"/>
                      <w:marRight w:val="0"/>
                      <w:marTop w:val="0"/>
                      <w:marBottom w:val="0"/>
                      <w:divBdr>
                        <w:top w:val="none" w:sz="0" w:space="0" w:color="auto"/>
                        <w:left w:val="none" w:sz="0" w:space="0" w:color="auto"/>
                        <w:bottom w:val="none" w:sz="0" w:space="0" w:color="auto"/>
                        <w:right w:val="none" w:sz="0" w:space="0" w:color="auto"/>
                      </w:divBdr>
                    </w:div>
                    <w:div w:id="2014840157">
                      <w:marLeft w:val="0"/>
                      <w:marRight w:val="0"/>
                      <w:marTop w:val="0"/>
                      <w:marBottom w:val="0"/>
                      <w:divBdr>
                        <w:top w:val="none" w:sz="0" w:space="0" w:color="auto"/>
                        <w:left w:val="none" w:sz="0" w:space="0" w:color="auto"/>
                        <w:bottom w:val="none" w:sz="0" w:space="0" w:color="auto"/>
                        <w:right w:val="none" w:sz="0" w:space="0" w:color="auto"/>
                      </w:divBdr>
                    </w:div>
                  </w:divsChild>
                </w:div>
                <w:div w:id="341785216">
                  <w:marLeft w:val="0"/>
                  <w:marRight w:val="0"/>
                  <w:marTop w:val="0"/>
                  <w:marBottom w:val="0"/>
                  <w:divBdr>
                    <w:top w:val="none" w:sz="0" w:space="0" w:color="auto"/>
                    <w:left w:val="none" w:sz="0" w:space="0" w:color="auto"/>
                    <w:bottom w:val="none" w:sz="0" w:space="0" w:color="auto"/>
                    <w:right w:val="none" w:sz="0" w:space="0" w:color="auto"/>
                  </w:divBdr>
                  <w:divsChild>
                    <w:div w:id="1833255841">
                      <w:marLeft w:val="0"/>
                      <w:marRight w:val="0"/>
                      <w:marTop w:val="0"/>
                      <w:marBottom w:val="0"/>
                      <w:divBdr>
                        <w:top w:val="none" w:sz="0" w:space="0" w:color="auto"/>
                        <w:left w:val="none" w:sz="0" w:space="0" w:color="auto"/>
                        <w:bottom w:val="none" w:sz="0" w:space="0" w:color="auto"/>
                        <w:right w:val="none" w:sz="0" w:space="0" w:color="auto"/>
                      </w:divBdr>
                    </w:div>
                  </w:divsChild>
                </w:div>
                <w:div w:id="417751640">
                  <w:marLeft w:val="0"/>
                  <w:marRight w:val="0"/>
                  <w:marTop w:val="0"/>
                  <w:marBottom w:val="0"/>
                  <w:divBdr>
                    <w:top w:val="none" w:sz="0" w:space="0" w:color="auto"/>
                    <w:left w:val="none" w:sz="0" w:space="0" w:color="auto"/>
                    <w:bottom w:val="none" w:sz="0" w:space="0" w:color="auto"/>
                    <w:right w:val="none" w:sz="0" w:space="0" w:color="auto"/>
                  </w:divBdr>
                  <w:divsChild>
                    <w:div w:id="1263997377">
                      <w:marLeft w:val="0"/>
                      <w:marRight w:val="0"/>
                      <w:marTop w:val="0"/>
                      <w:marBottom w:val="0"/>
                      <w:divBdr>
                        <w:top w:val="none" w:sz="0" w:space="0" w:color="auto"/>
                        <w:left w:val="none" w:sz="0" w:space="0" w:color="auto"/>
                        <w:bottom w:val="none" w:sz="0" w:space="0" w:color="auto"/>
                        <w:right w:val="none" w:sz="0" w:space="0" w:color="auto"/>
                      </w:divBdr>
                    </w:div>
                  </w:divsChild>
                </w:div>
                <w:div w:id="465397884">
                  <w:marLeft w:val="0"/>
                  <w:marRight w:val="0"/>
                  <w:marTop w:val="0"/>
                  <w:marBottom w:val="0"/>
                  <w:divBdr>
                    <w:top w:val="none" w:sz="0" w:space="0" w:color="auto"/>
                    <w:left w:val="none" w:sz="0" w:space="0" w:color="auto"/>
                    <w:bottom w:val="none" w:sz="0" w:space="0" w:color="auto"/>
                    <w:right w:val="none" w:sz="0" w:space="0" w:color="auto"/>
                  </w:divBdr>
                  <w:divsChild>
                    <w:div w:id="1200778648">
                      <w:marLeft w:val="0"/>
                      <w:marRight w:val="0"/>
                      <w:marTop w:val="0"/>
                      <w:marBottom w:val="0"/>
                      <w:divBdr>
                        <w:top w:val="none" w:sz="0" w:space="0" w:color="auto"/>
                        <w:left w:val="none" w:sz="0" w:space="0" w:color="auto"/>
                        <w:bottom w:val="none" w:sz="0" w:space="0" w:color="auto"/>
                        <w:right w:val="none" w:sz="0" w:space="0" w:color="auto"/>
                      </w:divBdr>
                    </w:div>
                  </w:divsChild>
                </w:div>
                <w:div w:id="469830693">
                  <w:marLeft w:val="0"/>
                  <w:marRight w:val="0"/>
                  <w:marTop w:val="0"/>
                  <w:marBottom w:val="0"/>
                  <w:divBdr>
                    <w:top w:val="none" w:sz="0" w:space="0" w:color="auto"/>
                    <w:left w:val="none" w:sz="0" w:space="0" w:color="auto"/>
                    <w:bottom w:val="none" w:sz="0" w:space="0" w:color="auto"/>
                    <w:right w:val="none" w:sz="0" w:space="0" w:color="auto"/>
                  </w:divBdr>
                  <w:divsChild>
                    <w:div w:id="732243166">
                      <w:marLeft w:val="0"/>
                      <w:marRight w:val="0"/>
                      <w:marTop w:val="0"/>
                      <w:marBottom w:val="0"/>
                      <w:divBdr>
                        <w:top w:val="none" w:sz="0" w:space="0" w:color="auto"/>
                        <w:left w:val="none" w:sz="0" w:space="0" w:color="auto"/>
                        <w:bottom w:val="none" w:sz="0" w:space="0" w:color="auto"/>
                        <w:right w:val="none" w:sz="0" w:space="0" w:color="auto"/>
                      </w:divBdr>
                    </w:div>
                    <w:div w:id="1532231947">
                      <w:marLeft w:val="0"/>
                      <w:marRight w:val="0"/>
                      <w:marTop w:val="0"/>
                      <w:marBottom w:val="0"/>
                      <w:divBdr>
                        <w:top w:val="none" w:sz="0" w:space="0" w:color="auto"/>
                        <w:left w:val="none" w:sz="0" w:space="0" w:color="auto"/>
                        <w:bottom w:val="none" w:sz="0" w:space="0" w:color="auto"/>
                        <w:right w:val="none" w:sz="0" w:space="0" w:color="auto"/>
                      </w:divBdr>
                    </w:div>
                  </w:divsChild>
                </w:div>
                <w:div w:id="594284914">
                  <w:marLeft w:val="0"/>
                  <w:marRight w:val="0"/>
                  <w:marTop w:val="0"/>
                  <w:marBottom w:val="0"/>
                  <w:divBdr>
                    <w:top w:val="none" w:sz="0" w:space="0" w:color="auto"/>
                    <w:left w:val="none" w:sz="0" w:space="0" w:color="auto"/>
                    <w:bottom w:val="none" w:sz="0" w:space="0" w:color="auto"/>
                    <w:right w:val="none" w:sz="0" w:space="0" w:color="auto"/>
                  </w:divBdr>
                  <w:divsChild>
                    <w:div w:id="660352167">
                      <w:marLeft w:val="0"/>
                      <w:marRight w:val="0"/>
                      <w:marTop w:val="0"/>
                      <w:marBottom w:val="0"/>
                      <w:divBdr>
                        <w:top w:val="none" w:sz="0" w:space="0" w:color="auto"/>
                        <w:left w:val="none" w:sz="0" w:space="0" w:color="auto"/>
                        <w:bottom w:val="none" w:sz="0" w:space="0" w:color="auto"/>
                        <w:right w:val="none" w:sz="0" w:space="0" w:color="auto"/>
                      </w:divBdr>
                    </w:div>
                  </w:divsChild>
                </w:div>
                <w:div w:id="934485845">
                  <w:marLeft w:val="0"/>
                  <w:marRight w:val="0"/>
                  <w:marTop w:val="0"/>
                  <w:marBottom w:val="0"/>
                  <w:divBdr>
                    <w:top w:val="none" w:sz="0" w:space="0" w:color="auto"/>
                    <w:left w:val="none" w:sz="0" w:space="0" w:color="auto"/>
                    <w:bottom w:val="none" w:sz="0" w:space="0" w:color="auto"/>
                    <w:right w:val="none" w:sz="0" w:space="0" w:color="auto"/>
                  </w:divBdr>
                  <w:divsChild>
                    <w:div w:id="2134788086">
                      <w:marLeft w:val="0"/>
                      <w:marRight w:val="0"/>
                      <w:marTop w:val="0"/>
                      <w:marBottom w:val="0"/>
                      <w:divBdr>
                        <w:top w:val="none" w:sz="0" w:space="0" w:color="auto"/>
                        <w:left w:val="none" w:sz="0" w:space="0" w:color="auto"/>
                        <w:bottom w:val="none" w:sz="0" w:space="0" w:color="auto"/>
                        <w:right w:val="none" w:sz="0" w:space="0" w:color="auto"/>
                      </w:divBdr>
                    </w:div>
                  </w:divsChild>
                </w:div>
                <w:div w:id="1006438227">
                  <w:marLeft w:val="0"/>
                  <w:marRight w:val="0"/>
                  <w:marTop w:val="0"/>
                  <w:marBottom w:val="0"/>
                  <w:divBdr>
                    <w:top w:val="none" w:sz="0" w:space="0" w:color="auto"/>
                    <w:left w:val="none" w:sz="0" w:space="0" w:color="auto"/>
                    <w:bottom w:val="none" w:sz="0" w:space="0" w:color="auto"/>
                    <w:right w:val="none" w:sz="0" w:space="0" w:color="auto"/>
                  </w:divBdr>
                  <w:divsChild>
                    <w:div w:id="635181516">
                      <w:marLeft w:val="0"/>
                      <w:marRight w:val="0"/>
                      <w:marTop w:val="0"/>
                      <w:marBottom w:val="0"/>
                      <w:divBdr>
                        <w:top w:val="none" w:sz="0" w:space="0" w:color="auto"/>
                        <w:left w:val="none" w:sz="0" w:space="0" w:color="auto"/>
                        <w:bottom w:val="none" w:sz="0" w:space="0" w:color="auto"/>
                        <w:right w:val="none" w:sz="0" w:space="0" w:color="auto"/>
                      </w:divBdr>
                    </w:div>
                  </w:divsChild>
                </w:div>
                <w:div w:id="1093283596">
                  <w:marLeft w:val="0"/>
                  <w:marRight w:val="0"/>
                  <w:marTop w:val="0"/>
                  <w:marBottom w:val="0"/>
                  <w:divBdr>
                    <w:top w:val="none" w:sz="0" w:space="0" w:color="auto"/>
                    <w:left w:val="none" w:sz="0" w:space="0" w:color="auto"/>
                    <w:bottom w:val="none" w:sz="0" w:space="0" w:color="auto"/>
                    <w:right w:val="none" w:sz="0" w:space="0" w:color="auto"/>
                  </w:divBdr>
                  <w:divsChild>
                    <w:div w:id="1444231247">
                      <w:marLeft w:val="0"/>
                      <w:marRight w:val="0"/>
                      <w:marTop w:val="0"/>
                      <w:marBottom w:val="0"/>
                      <w:divBdr>
                        <w:top w:val="none" w:sz="0" w:space="0" w:color="auto"/>
                        <w:left w:val="none" w:sz="0" w:space="0" w:color="auto"/>
                        <w:bottom w:val="none" w:sz="0" w:space="0" w:color="auto"/>
                        <w:right w:val="none" w:sz="0" w:space="0" w:color="auto"/>
                      </w:divBdr>
                    </w:div>
                  </w:divsChild>
                </w:div>
                <w:div w:id="1275751500">
                  <w:marLeft w:val="0"/>
                  <w:marRight w:val="0"/>
                  <w:marTop w:val="0"/>
                  <w:marBottom w:val="0"/>
                  <w:divBdr>
                    <w:top w:val="none" w:sz="0" w:space="0" w:color="auto"/>
                    <w:left w:val="none" w:sz="0" w:space="0" w:color="auto"/>
                    <w:bottom w:val="none" w:sz="0" w:space="0" w:color="auto"/>
                    <w:right w:val="none" w:sz="0" w:space="0" w:color="auto"/>
                  </w:divBdr>
                  <w:divsChild>
                    <w:div w:id="1931233797">
                      <w:marLeft w:val="0"/>
                      <w:marRight w:val="0"/>
                      <w:marTop w:val="0"/>
                      <w:marBottom w:val="0"/>
                      <w:divBdr>
                        <w:top w:val="none" w:sz="0" w:space="0" w:color="auto"/>
                        <w:left w:val="none" w:sz="0" w:space="0" w:color="auto"/>
                        <w:bottom w:val="none" w:sz="0" w:space="0" w:color="auto"/>
                        <w:right w:val="none" w:sz="0" w:space="0" w:color="auto"/>
                      </w:divBdr>
                    </w:div>
                  </w:divsChild>
                </w:div>
                <w:div w:id="1411778373">
                  <w:marLeft w:val="0"/>
                  <w:marRight w:val="0"/>
                  <w:marTop w:val="0"/>
                  <w:marBottom w:val="0"/>
                  <w:divBdr>
                    <w:top w:val="none" w:sz="0" w:space="0" w:color="auto"/>
                    <w:left w:val="none" w:sz="0" w:space="0" w:color="auto"/>
                    <w:bottom w:val="none" w:sz="0" w:space="0" w:color="auto"/>
                    <w:right w:val="none" w:sz="0" w:space="0" w:color="auto"/>
                  </w:divBdr>
                  <w:divsChild>
                    <w:div w:id="1529752151">
                      <w:marLeft w:val="0"/>
                      <w:marRight w:val="0"/>
                      <w:marTop w:val="0"/>
                      <w:marBottom w:val="0"/>
                      <w:divBdr>
                        <w:top w:val="none" w:sz="0" w:space="0" w:color="auto"/>
                        <w:left w:val="none" w:sz="0" w:space="0" w:color="auto"/>
                        <w:bottom w:val="none" w:sz="0" w:space="0" w:color="auto"/>
                        <w:right w:val="none" w:sz="0" w:space="0" w:color="auto"/>
                      </w:divBdr>
                    </w:div>
                  </w:divsChild>
                </w:div>
                <w:div w:id="1480069819">
                  <w:marLeft w:val="0"/>
                  <w:marRight w:val="0"/>
                  <w:marTop w:val="0"/>
                  <w:marBottom w:val="0"/>
                  <w:divBdr>
                    <w:top w:val="none" w:sz="0" w:space="0" w:color="auto"/>
                    <w:left w:val="none" w:sz="0" w:space="0" w:color="auto"/>
                    <w:bottom w:val="none" w:sz="0" w:space="0" w:color="auto"/>
                    <w:right w:val="none" w:sz="0" w:space="0" w:color="auto"/>
                  </w:divBdr>
                  <w:divsChild>
                    <w:div w:id="1609310449">
                      <w:marLeft w:val="0"/>
                      <w:marRight w:val="0"/>
                      <w:marTop w:val="0"/>
                      <w:marBottom w:val="0"/>
                      <w:divBdr>
                        <w:top w:val="none" w:sz="0" w:space="0" w:color="auto"/>
                        <w:left w:val="none" w:sz="0" w:space="0" w:color="auto"/>
                        <w:bottom w:val="none" w:sz="0" w:space="0" w:color="auto"/>
                        <w:right w:val="none" w:sz="0" w:space="0" w:color="auto"/>
                      </w:divBdr>
                    </w:div>
                  </w:divsChild>
                </w:div>
                <w:div w:id="1663586045">
                  <w:marLeft w:val="0"/>
                  <w:marRight w:val="0"/>
                  <w:marTop w:val="0"/>
                  <w:marBottom w:val="0"/>
                  <w:divBdr>
                    <w:top w:val="none" w:sz="0" w:space="0" w:color="auto"/>
                    <w:left w:val="none" w:sz="0" w:space="0" w:color="auto"/>
                    <w:bottom w:val="none" w:sz="0" w:space="0" w:color="auto"/>
                    <w:right w:val="none" w:sz="0" w:space="0" w:color="auto"/>
                  </w:divBdr>
                  <w:divsChild>
                    <w:div w:id="138151415">
                      <w:marLeft w:val="0"/>
                      <w:marRight w:val="0"/>
                      <w:marTop w:val="0"/>
                      <w:marBottom w:val="0"/>
                      <w:divBdr>
                        <w:top w:val="none" w:sz="0" w:space="0" w:color="auto"/>
                        <w:left w:val="none" w:sz="0" w:space="0" w:color="auto"/>
                        <w:bottom w:val="none" w:sz="0" w:space="0" w:color="auto"/>
                        <w:right w:val="none" w:sz="0" w:space="0" w:color="auto"/>
                      </w:divBdr>
                    </w:div>
                  </w:divsChild>
                </w:div>
                <w:div w:id="1704476601">
                  <w:marLeft w:val="0"/>
                  <w:marRight w:val="0"/>
                  <w:marTop w:val="0"/>
                  <w:marBottom w:val="0"/>
                  <w:divBdr>
                    <w:top w:val="none" w:sz="0" w:space="0" w:color="auto"/>
                    <w:left w:val="none" w:sz="0" w:space="0" w:color="auto"/>
                    <w:bottom w:val="none" w:sz="0" w:space="0" w:color="auto"/>
                    <w:right w:val="none" w:sz="0" w:space="0" w:color="auto"/>
                  </w:divBdr>
                  <w:divsChild>
                    <w:div w:id="586772024">
                      <w:marLeft w:val="0"/>
                      <w:marRight w:val="0"/>
                      <w:marTop w:val="0"/>
                      <w:marBottom w:val="0"/>
                      <w:divBdr>
                        <w:top w:val="none" w:sz="0" w:space="0" w:color="auto"/>
                        <w:left w:val="none" w:sz="0" w:space="0" w:color="auto"/>
                        <w:bottom w:val="none" w:sz="0" w:space="0" w:color="auto"/>
                        <w:right w:val="none" w:sz="0" w:space="0" w:color="auto"/>
                      </w:divBdr>
                    </w:div>
                    <w:div w:id="1365474645">
                      <w:marLeft w:val="0"/>
                      <w:marRight w:val="0"/>
                      <w:marTop w:val="0"/>
                      <w:marBottom w:val="0"/>
                      <w:divBdr>
                        <w:top w:val="none" w:sz="0" w:space="0" w:color="auto"/>
                        <w:left w:val="none" w:sz="0" w:space="0" w:color="auto"/>
                        <w:bottom w:val="none" w:sz="0" w:space="0" w:color="auto"/>
                        <w:right w:val="none" w:sz="0" w:space="0" w:color="auto"/>
                      </w:divBdr>
                    </w:div>
                    <w:div w:id="1391928258">
                      <w:marLeft w:val="0"/>
                      <w:marRight w:val="0"/>
                      <w:marTop w:val="0"/>
                      <w:marBottom w:val="0"/>
                      <w:divBdr>
                        <w:top w:val="none" w:sz="0" w:space="0" w:color="auto"/>
                        <w:left w:val="none" w:sz="0" w:space="0" w:color="auto"/>
                        <w:bottom w:val="none" w:sz="0" w:space="0" w:color="auto"/>
                        <w:right w:val="none" w:sz="0" w:space="0" w:color="auto"/>
                      </w:divBdr>
                    </w:div>
                    <w:div w:id="1515682731">
                      <w:marLeft w:val="0"/>
                      <w:marRight w:val="0"/>
                      <w:marTop w:val="0"/>
                      <w:marBottom w:val="0"/>
                      <w:divBdr>
                        <w:top w:val="none" w:sz="0" w:space="0" w:color="auto"/>
                        <w:left w:val="none" w:sz="0" w:space="0" w:color="auto"/>
                        <w:bottom w:val="none" w:sz="0" w:space="0" w:color="auto"/>
                        <w:right w:val="none" w:sz="0" w:space="0" w:color="auto"/>
                      </w:divBdr>
                    </w:div>
                    <w:div w:id="1749309282">
                      <w:marLeft w:val="0"/>
                      <w:marRight w:val="0"/>
                      <w:marTop w:val="0"/>
                      <w:marBottom w:val="0"/>
                      <w:divBdr>
                        <w:top w:val="none" w:sz="0" w:space="0" w:color="auto"/>
                        <w:left w:val="none" w:sz="0" w:space="0" w:color="auto"/>
                        <w:bottom w:val="none" w:sz="0" w:space="0" w:color="auto"/>
                        <w:right w:val="none" w:sz="0" w:space="0" w:color="auto"/>
                      </w:divBdr>
                    </w:div>
                    <w:div w:id="2101870700">
                      <w:marLeft w:val="0"/>
                      <w:marRight w:val="0"/>
                      <w:marTop w:val="0"/>
                      <w:marBottom w:val="0"/>
                      <w:divBdr>
                        <w:top w:val="none" w:sz="0" w:space="0" w:color="auto"/>
                        <w:left w:val="none" w:sz="0" w:space="0" w:color="auto"/>
                        <w:bottom w:val="none" w:sz="0" w:space="0" w:color="auto"/>
                        <w:right w:val="none" w:sz="0" w:space="0" w:color="auto"/>
                      </w:divBdr>
                    </w:div>
                  </w:divsChild>
                </w:div>
                <w:div w:id="1795057183">
                  <w:marLeft w:val="0"/>
                  <w:marRight w:val="0"/>
                  <w:marTop w:val="0"/>
                  <w:marBottom w:val="0"/>
                  <w:divBdr>
                    <w:top w:val="none" w:sz="0" w:space="0" w:color="auto"/>
                    <w:left w:val="none" w:sz="0" w:space="0" w:color="auto"/>
                    <w:bottom w:val="none" w:sz="0" w:space="0" w:color="auto"/>
                    <w:right w:val="none" w:sz="0" w:space="0" w:color="auto"/>
                  </w:divBdr>
                  <w:divsChild>
                    <w:div w:id="1517840794">
                      <w:marLeft w:val="0"/>
                      <w:marRight w:val="0"/>
                      <w:marTop w:val="0"/>
                      <w:marBottom w:val="0"/>
                      <w:divBdr>
                        <w:top w:val="none" w:sz="0" w:space="0" w:color="auto"/>
                        <w:left w:val="none" w:sz="0" w:space="0" w:color="auto"/>
                        <w:bottom w:val="none" w:sz="0" w:space="0" w:color="auto"/>
                        <w:right w:val="none" w:sz="0" w:space="0" w:color="auto"/>
                      </w:divBdr>
                    </w:div>
                  </w:divsChild>
                </w:div>
                <w:div w:id="1978606779">
                  <w:marLeft w:val="0"/>
                  <w:marRight w:val="0"/>
                  <w:marTop w:val="0"/>
                  <w:marBottom w:val="0"/>
                  <w:divBdr>
                    <w:top w:val="none" w:sz="0" w:space="0" w:color="auto"/>
                    <w:left w:val="none" w:sz="0" w:space="0" w:color="auto"/>
                    <w:bottom w:val="none" w:sz="0" w:space="0" w:color="auto"/>
                    <w:right w:val="none" w:sz="0" w:space="0" w:color="auto"/>
                  </w:divBdr>
                  <w:divsChild>
                    <w:div w:id="1553955908">
                      <w:marLeft w:val="0"/>
                      <w:marRight w:val="0"/>
                      <w:marTop w:val="0"/>
                      <w:marBottom w:val="0"/>
                      <w:divBdr>
                        <w:top w:val="none" w:sz="0" w:space="0" w:color="auto"/>
                        <w:left w:val="none" w:sz="0" w:space="0" w:color="auto"/>
                        <w:bottom w:val="none" w:sz="0" w:space="0" w:color="auto"/>
                        <w:right w:val="none" w:sz="0" w:space="0" w:color="auto"/>
                      </w:divBdr>
                    </w:div>
                  </w:divsChild>
                </w:div>
                <w:div w:id="2025207467">
                  <w:marLeft w:val="0"/>
                  <w:marRight w:val="0"/>
                  <w:marTop w:val="0"/>
                  <w:marBottom w:val="0"/>
                  <w:divBdr>
                    <w:top w:val="none" w:sz="0" w:space="0" w:color="auto"/>
                    <w:left w:val="none" w:sz="0" w:space="0" w:color="auto"/>
                    <w:bottom w:val="none" w:sz="0" w:space="0" w:color="auto"/>
                    <w:right w:val="none" w:sz="0" w:space="0" w:color="auto"/>
                  </w:divBdr>
                  <w:divsChild>
                    <w:div w:id="1897741436">
                      <w:marLeft w:val="0"/>
                      <w:marRight w:val="0"/>
                      <w:marTop w:val="0"/>
                      <w:marBottom w:val="0"/>
                      <w:divBdr>
                        <w:top w:val="none" w:sz="0" w:space="0" w:color="auto"/>
                        <w:left w:val="none" w:sz="0" w:space="0" w:color="auto"/>
                        <w:bottom w:val="none" w:sz="0" w:space="0" w:color="auto"/>
                        <w:right w:val="none" w:sz="0" w:space="0" w:color="auto"/>
                      </w:divBdr>
                    </w:div>
                  </w:divsChild>
                </w:div>
                <w:div w:id="2099984392">
                  <w:marLeft w:val="0"/>
                  <w:marRight w:val="0"/>
                  <w:marTop w:val="0"/>
                  <w:marBottom w:val="0"/>
                  <w:divBdr>
                    <w:top w:val="none" w:sz="0" w:space="0" w:color="auto"/>
                    <w:left w:val="none" w:sz="0" w:space="0" w:color="auto"/>
                    <w:bottom w:val="none" w:sz="0" w:space="0" w:color="auto"/>
                    <w:right w:val="none" w:sz="0" w:space="0" w:color="auto"/>
                  </w:divBdr>
                  <w:divsChild>
                    <w:div w:id="76685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9144">
          <w:marLeft w:val="0"/>
          <w:marRight w:val="0"/>
          <w:marTop w:val="0"/>
          <w:marBottom w:val="0"/>
          <w:divBdr>
            <w:top w:val="none" w:sz="0" w:space="0" w:color="auto"/>
            <w:left w:val="none" w:sz="0" w:space="0" w:color="auto"/>
            <w:bottom w:val="none" w:sz="0" w:space="0" w:color="auto"/>
            <w:right w:val="none" w:sz="0" w:space="0" w:color="auto"/>
          </w:divBdr>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58681861">
      <w:bodyDiv w:val="1"/>
      <w:marLeft w:val="0"/>
      <w:marRight w:val="0"/>
      <w:marTop w:val="0"/>
      <w:marBottom w:val="0"/>
      <w:divBdr>
        <w:top w:val="none" w:sz="0" w:space="0" w:color="auto"/>
        <w:left w:val="none" w:sz="0" w:space="0" w:color="auto"/>
        <w:bottom w:val="none" w:sz="0" w:space="0" w:color="auto"/>
        <w:right w:val="none" w:sz="0" w:space="0" w:color="auto"/>
      </w:divBdr>
      <w:divsChild>
        <w:div w:id="1907951945">
          <w:marLeft w:val="0"/>
          <w:marRight w:val="0"/>
          <w:marTop w:val="0"/>
          <w:marBottom w:val="0"/>
          <w:divBdr>
            <w:top w:val="none" w:sz="0" w:space="0" w:color="auto"/>
            <w:left w:val="none" w:sz="0" w:space="0" w:color="auto"/>
            <w:bottom w:val="none" w:sz="0" w:space="0" w:color="auto"/>
            <w:right w:val="none" w:sz="0" w:space="0" w:color="auto"/>
          </w:divBdr>
          <w:divsChild>
            <w:div w:id="173502388">
              <w:marLeft w:val="0"/>
              <w:marRight w:val="0"/>
              <w:marTop w:val="0"/>
              <w:marBottom w:val="0"/>
              <w:divBdr>
                <w:top w:val="none" w:sz="0" w:space="0" w:color="auto"/>
                <w:left w:val="none" w:sz="0" w:space="0" w:color="auto"/>
                <w:bottom w:val="none" w:sz="0" w:space="0" w:color="auto"/>
                <w:right w:val="none" w:sz="0" w:space="0" w:color="auto"/>
              </w:divBdr>
            </w:div>
            <w:div w:id="399181686">
              <w:marLeft w:val="0"/>
              <w:marRight w:val="0"/>
              <w:marTop w:val="0"/>
              <w:marBottom w:val="0"/>
              <w:divBdr>
                <w:top w:val="none" w:sz="0" w:space="0" w:color="auto"/>
                <w:left w:val="none" w:sz="0" w:space="0" w:color="auto"/>
                <w:bottom w:val="none" w:sz="0" w:space="0" w:color="auto"/>
                <w:right w:val="none" w:sz="0" w:space="0" w:color="auto"/>
              </w:divBdr>
            </w:div>
            <w:div w:id="88121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2716">
      <w:bodyDiv w:val="1"/>
      <w:marLeft w:val="0"/>
      <w:marRight w:val="0"/>
      <w:marTop w:val="0"/>
      <w:marBottom w:val="0"/>
      <w:divBdr>
        <w:top w:val="none" w:sz="0" w:space="0" w:color="auto"/>
        <w:left w:val="none" w:sz="0" w:space="0" w:color="auto"/>
        <w:bottom w:val="none" w:sz="0" w:space="0" w:color="auto"/>
        <w:right w:val="none" w:sz="0" w:space="0" w:color="auto"/>
      </w:divBdr>
      <w:divsChild>
        <w:div w:id="344407969">
          <w:marLeft w:val="0"/>
          <w:marRight w:val="0"/>
          <w:marTop w:val="0"/>
          <w:marBottom w:val="0"/>
          <w:divBdr>
            <w:top w:val="none" w:sz="0" w:space="0" w:color="auto"/>
            <w:left w:val="none" w:sz="0" w:space="0" w:color="auto"/>
            <w:bottom w:val="none" w:sz="0" w:space="0" w:color="auto"/>
            <w:right w:val="none" w:sz="0" w:space="0" w:color="auto"/>
          </w:divBdr>
          <w:divsChild>
            <w:div w:id="4727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6032">
      <w:bodyDiv w:val="1"/>
      <w:marLeft w:val="0"/>
      <w:marRight w:val="0"/>
      <w:marTop w:val="0"/>
      <w:marBottom w:val="0"/>
      <w:divBdr>
        <w:top w:val="none" w:sz="0" w:space="0" w:color="auto"/>
        <w:left w:val="none" w:sz="0" w:space="0" w:color="auto"/>
        <w:bottom w:val="none" w:sz="0" w:space="0" w:color="auto"/>
        <w:right w:val="none" w:sz="0" w:space="0" w:color="auto"/>
      </w:divBdr>
      <w:divsChild>
        <w:div w:id="993679031">
          <w:marLeft w:val="0"/>
          <w:marRight w:val="0"/>
          <w:marTop w:val="0"/>
          <w:marBottom w:val="0"/>
          <w:divBdr>
            <w:top w:val="none" w:sz="0" w:space="0" w:color="auto"/>
            <w:left w:val="none" w:sz="0" w:space="0" w:color="auto"/>
            <w:bottom w:val="none" w:sz="0" w:space="0" w:color="auto"/>
            <w:right w:val="none" w:sz="0" w:space="0" w:color="auto"/>
          </w:divBdr>
          <w:divsChild>
            <w:div w:id="587546650">
              <w:marLeft w:val="0"/>
              <w:marRight w:val="0"/>
              <w:marTop w:val="30"/>
              <w:marBottom w:val="30"/>
              <w:divBdr>
                <w:top w:val="none" w:sz="0" w:space="0" w:color="auto"/>
                <w:left w:val="none" w:sz="0" w:space="0" w:color="auto"/>
                <w:bottom w:val="none" w:sz="0" w:space="0" w:color="auto"/>
                <w:right w:val="none" w:sz="0" w:space="0" w:color="auto"/>
              </w:divBdr>
              <w:divsChild>
                <w:div w:id="87772624">
                  <w:marLeft w:val="0"/>
                  <w:marRight w:val="0"/>
                  <w:marTop w:val="0"/>
                  <w:marBottom w:val="0"/>
                  <w:divBdr>
                    <w:top w:val="none" w:sz="0" w:space="0" w:color="auto"/>
                    <w:left w:val="none" w:sz="0" w:space="0" w:color="auto"/>
                    <w:bottom w:val="none" w:sz="0" w:space="0" w:color="auto"/>
                    <w:right w:val="none" w:sz="0" w:space="0" w:color="auto"/>
                  </w:divBdr>
                  <w:divsChild>
                    <w:div w:id="1338388930">
                      <w:marLeft w:val="0"/>
                      <w:marRight w:val="0"/>
                      <w:marTop w:val="0"/>
                      <w:marBottom w:val="0"/>
                      <w:divBdr>
                        <w:top w:val="none" w:sz="0" w:space="0" w:color="auto"/>
                        <w:left w:val="none" w:sz="0" w:space="0" w:color="auto"/>
                        <w:bottom w:val="none" w:sz="0" w:space="0" w:color="auto"/>
                        <w:right w:val="none" w:sz="0" w:space="0" w:color="auto"/>
                      </w:divBdr>
                    </w:div>
                    <w:div w:id="1931616123">
                      <w:marLeft w:val="0"/>
                      <w:marRight w:val="0"/>
                      <w:marTop w:val="0"/>
                      <w:marBottom w:val="0"/>
                      <w:divBdr>
                        <w:top w:val="none" w:sz="0" w:space="0" w:color="auto"/>
                        <w:left w:val="none" w:sz="0" w:space="0" w:color="auto"/>
                        <w:bottom w:val="none" w:sz="0" w:space="0" w:color="auto"/>
                        <w:right w:val="none" w:sz="0" w:space="0" w:color="auto"/>
                      </w:divBdr>
                    </w:div>
                  </w:divsChild>
                </w:div>
                <w:div w:id="192426163">
                  <w:marLeft w:val="0"/>
                  <w:marRight w:val="0"/>
                  <w:marTop w:val="0"/>
                  <w:marBottom w:val="0"/>
                  <w:divBdr>
                    <w:top w:val="none" w:sz="0" w:space="0" w:color="auto"/>
                    <w:left w:val="none" w:sz="0" w:space="0" w:color="auto"/>
                    <w:bottom w:val="none" w:sz="0" w:space="0" w:color="auto"/>
                    <w:right w:val="none" w:sz="0" w:space="0" w:color="auto"/>
                  </w:divBdr>
                  <w:divsChild>
                    <w:div w:id="116409272">
                      <w:marLeft w:val="0"/>
                      <w:marRight w:val="0"/>
                      <w:marTop w:val="0"/>
                      <w:marBottom w:val="0"/>
                      <w:divBdr>
                        <w:top w:val="none" w:sz="0" w:space="0" w:color="auto"/>
                        <w:left w:val="none" w:sz="0" w:space="0" w:color="auto"/>
                        <w:bottom w:val="none" w:sz="0" w:space="0" w:color="auto"/>
                        <w:right w:val="none" w:sz="0" w:space="0" w:color="auto"/>
                      </w:divBdr>
                    </w:div>
                  </w:divsChild>
                </w:div>
                <w:div w:id="232787596">
                  <w:marLeft w:val="0"/>
                  <w:marRight w:val="0"/>
                  <w:marTop w:val="0"/>
                  <w:marBottom w:val="0"/>
                  <w:divBdr>
                    <w:top w:val="none" w:sz="0" w:space="0" w:color="auto"/>
                    <w:left w:val="none" w:sz="0" w:space="0" w:color="auto"/>
                    <w:bottom w:val="none" w:sz="0" w:space="0" w:color="auto"/>
                    <w:right w:val="none" w:sz="0" w:space="0" w:color="auto"/>
                  </w:divBdr>
                  <w:divsChild>
                    <w:div w:id="191769460">
                      <w:marLeft w:val="0"/>
                      <w:marRight w:val="0"/>
                      <w:marTop w:val="0"/>
                      <w:marBottom w:val="0"/>
                      <w:divBdr>
                        <w:top w:val="none" w:sz="0" w:space="0" w:color="auto"/>
                        <w:left w:val="none" w:sz="0" w:space="0" w:color="auto"/>
                        <w:bottom w:val="none" w:sz="0" w:space="0" w:color="auto"/>
                        <w:right w:val="none" w:sz="0" w:space="0" w:color="auto"/>
                      </w:divBdr>
                    </w:div>
                  </w:divsChild>
                </w:div>
                <w:div w:id="325911439">
                  <w:marLeft w:val="0"/>
                  <w:marRight w:val="0"/>
                  <w:marTop w:val="0"/>
                  <w:marBottom w:val="0"/>
                  <w:divBdr>
                    <w:top w:val="none" w:sz="0" w:space="0" w:color="auto"/>
                    <w:left w:val="none" w:sz="0" w:space="0" w:color="auto"/>
                    <w:bottom w:val="none" w:sz="0" w:space="0" w:color="auto"/>
                    <w:right w:val="none" w:sz="0" w:space="0" w:color="auto"/>
                  </w:divBdr>
                  <w:divsChild>
                    <w:div w:id="207188987">
                      <w:marLeft w:val="0"/>
                      <w:marRight w:val="0"/>
                      <w:marTop w:val="0"/>
                      <w:marBottom w:val="0"/>
                      <w:divBdr>
                        <w:top w:val="none" w:sz="0" w:space="0" w:color="auto"/>
                        <w:left w:val="none" w:sz="0" w:space="0" w:color="auto"/>
                        <w:bottom w:val="none" w:sz="0" w:space="0" w:color="auto"/>
                        <w:right w:val="none" w:sz="0" w:space="0" w:color="auto"/>
                      </w:divBdr>
                    </w:div>
                  </w:divsChild>
                </w:div>
                <w:div w:id="336810973">
                  <w:marLeft w:val="0"/>
                  <w:marRight w:val="0"/>
                  <w:marTop w:val="0"/>
                  <w:marBottom w:val="0"/>
                  <w:divBdr>
                    <w:top w:val="none" w:sz="0" w:space="0" w:color="auto"/>
                    <w:left w:val="none" w:sz="0" w:space="0" w:color="auto"/>
                    <w:bottom w:val="none" w:sz="0" w:space="0" w:color="auto"/>
                    <w:right w:val="none" w:sz="0" w:space="0" w:color="auto"/>
                  </w:divBdr>
                  <w:divsChild>
                    <w:div w:id="274991609">
                      <w:marLeft w:val="0"/>
                      <w:marRight w:val="0"/>
                      <w:marTop w:val="0"/>
                      <w:marBottom w:val="0"/>
                      <w:divBdr>
                        <w:top w:val="none" w:sz="0" w:space="0" w:color="auto"/>
                        <w:left w:val="none" w:sz="0" w:space="0" w:color="auto"/>
                        <w:bottom w:val="none" w:sz="0" w:space="0" w:color="auto"/>
                        <w:right w:val="none" w:sz="0" w:space="0" w:color="auto"/>
                      </w:divBdr>
                    </w:div>
                  </w:divsChild>
                </w:div>
                <w:div w:id="440220552">
                  <w:marLeft w:val="0"/>
                  <w:marRight w:val="0"/>
                  <w:marTop w:val="0"/>
                  <w:marBottom w:val="0"/>
                  <w:divBdr>
                    <w:top w:val="none" w:sz="0" w:space="0" w:color="auto"/>
                    <w:left w:val="none" w:sz="0" w:space="0" w:color="auto"/>
                    <w:bottom w:val="none" w:sz="0" w:space="0" w:color="auto"/>
                    <w:right w:val="none" w:sz="0" w:space="0" w:color="auto"/>
                  </w:divBdr>
                  <w:divsChild>
                    <w:div w:id="1926721151">
                      <w:marLeft w:val="0"/>
                      <w:marRight w:val="0"/>
                      <w:marTop w:val="0"/>
                      <w:marBottom w:val="0"/>
                      <w:divBdr>
                        <w:top w:val="none" w:sz="0" w:space="0" w:color="auto"/>
                        <w:left w:val="none" w:sz="0" w:space="0" w:color="auto"/>
                        <w:bottom w:val="none" w:sz="0" w:space="0" w:color="auto"/>
                        <w:right w:val="none" w:sz="0" w:space="0" w:color="auto"/>
                      </w:divBdr>
                    </w:div>
                  </w:divsChild>
                </w:div>
                <w:div w:id="485974367">
                  <w:marLeft w:val="0"/>
                  <w:marRight w:val="0"/>
                  <w:marTop w:val="0"/>
                  <w:marBottom w:val="0"/>
                  <w:divBdr>
                    <w:top w:val="none" w:sz="0" w:space="0" w:color="auto"/>
                    <w:left w:val="none" w:sz="0" w:space="0" w:color="auto"/>
                    <w:bottom w:val="none" w:sz="0" w:space="0" w:color="auto"/>
                    <w:right w:val="none" w:sz="0" w:space="0" w:color="auto"/>
                  </w:divBdr>
                  <w:divsChild>
                    <w:div w:id="1998606649">
                      <w:marLeft w:val="0"/>
                      <w:marRight w:val="0"/>
                      <w:marTop w:val="0"/>
                      <w:marBottom w:val="0"/>
                      <w:divBdr>
                        <w:top w:val="none" w:sz="0" w:space="0" w:color="auto"/>
                        <w:left w:val="none" w:sz="0" w:space="0" w:color="auto"/>
                        <w:bottom w:val="none" w:sz="0" w:space="0" w:color="auto"/>
                        <w:right w:val="none" w:sz="0" w:space="0" w:color="auto"/>
                      </w:divBdr>
                    </w:div>
                  </w:divsChild>
                </w:div>
                <w:div w:id="770203480">
                  <w:marLeft w:val="0"/>
                  <w:marRight w:val="0"/>
                  <w:marTop w:val="0"/>
                  <w:marBottom w:val="0"/>
                  <w:divBdr>
                    <w:top w:val="none" w:sz="0" w:space="0" w:color="auto"/>
                    <w:left w:val="none" w:sz="0" w:space="0" w:color="auto"/>
                    <w:bottom w:val="none" w:sz="0" w:space="0" w:color="auto"/>
                    <w:right w:val="none" w:sz="0" w:space="0" w:color="auto"/>
                  </w:divBdr>
                  <w:divsChild>
                    <w:div w:id="1205411690">
                      <w:marLeft w:val="0"/>
                      <w:marRight w:val="0"/>
                      <w:marTop w:val="0"/>
                      <w:marBottom w:val="0"/>
                      <w:divBdr>
                        <w:top w:val="none" w:sz="0" w:space="0" w:color="auto"/>
                        <w:left w:val="none" w:sz="0" w:space="0" w:color="auto"/>
                        <w:bottom w:val="none" w:sz="0" w:space="0" w:color="auto"/>
                        <w:right w:val="none" w:sz="0" w:space="0" w:color="auto"/>
                      </w:divBdr>
                    </w:div>
                  </w:divsChild>
                </w:div>
                <w:div w:id="907765634">
                  <w:marLeft w:val="0"/>
                  <w:marRight w:val="0"/>
                  <w:marTop w:val="0"/>
                  <w:marBottom w:val="0"/>
                  <w:divBdr>
                    <w:top w:val="none" w:sz="0" w:space="0" w:color="auto"/>
                    <w:left w:val="none" w:sz="0" w:space="0" w:color="auto"/>
                    <w:bottom w:val="none" w:sz="0" w:space="0" w:color="auto"/>
                    <w:right w:val="none" w:sz="0" w:space="0" w:color="auto"/>
                  </w:divBdr>
                  <w:divsChild>
                    <w:div w:id="1214393855">
                      <w:marLeft w:val="0"/>
                      <w:marRight w:val="0"/>
                      <w:marTop w:val="0"/>
                      <w:marBottom w:val="0"/>
                      <w:divBdr>
                        <w:top w:val="none" w:sz="0" w:space="0" w:color="auto"/>
                        <w:left w:val="none" w:sz="0" w:space="0" w:color="auto"/>
                        <w:bottom w:val="none" w:sz="0" w:space="0" w:color="auto"/>
                        <w:right w:val="none" w:sz="0" w:space="0" w:color="auto"/>
                      </w:divBdr>
                    </w:div>
                  </w:divsChild>
                </w:div>
                <w:div w:id="911548171">
                  <w:marLeft w:val="0"/>
                  <w:marRight w:val="0"/>
                  <w:marTop w:val="0"/>
                  <w:marBottom w:val="0"/>
                  <w:divBdr>
                    <w:top w:val="none" w:sz="0" w:space="0" w:color="auto"/>
                    <w:left w:val="none" w:sz="0" w:space="0" w:color="auto"/>
                    <w:bottom w:val="none" w:sz="0" w:space="0" w:color="auto"/>
                    <w:right w:val="none" w:sz="0" w:space="0" w:color="auto"/>
                  </w:divBdr>
                  <w:divsChild>
                    <w:div w:id="26027892">
                      <w:marLeft w:val="0"/>
                      <w:marRight w:val="0"/>
                      <w:marTop w:val="0"/>
                      <w:marBottom w:val="0"/>
                      <w:divBdr>
                        <w:top w:val="none" w:sz="0" w:space="0" w:color="auto"/>
                        <w:left w:val="none" w:sz="0" w:space="0" w:color="auto"/>
                        <w:bottom w:val="none" w:sz="0" w:space="0" w:color="auto"/>
                        <w:right w:val="none" w:sz="0" w:space="0" w:color="auto"/>
                      </w:divBdr>
                    </w:div>
                    <w:div w:id="658970038">
                      <w:marLeft w:val="0"/>
                      <w:marRight w:val="0"/>
                      <w:marTop w:val="0"/>
                      <w:marBottom w:val="0"/>
                      <w:divBdr>
                        <w:top w:val="none" w:sz="0" w:space="0" w:color="auto"/>
                        <w:left w:val="none" w:sz="0" w:space="0" w:color="auto"/>
                        <w:bottom w:val="none" w:sz="0" w:space="0" w:color="auto"/>
                        <w:right w:val="none" w:sz="0" w:space="0" w:color="auto"/>
                      </w:divBdr>
                    </w:div>
                    <w:div w:id="1015034284">
                      <w:marLeft w:val="0"/>
                      <w:marRight w:val="0"/>
                      <w:marTop w:val="0"/>
                      <w:marBottom w:val="0"/>
                      <w:divBdr>
                        <w:top w:val="none" w:sz="0" w:space="0" w:color="auto"/>
                        <w:left w:val="none" w:sz="0" w:space="0" w:color="auto"/>
                        <w:bottom w:val="none" w:sz="0" w:space="0" w:color="auto"/>
                        <w:right w:val="none" w:sz="0" w:space="0" w:color="auto"/>
                      </w:divBdr>
                    </w:div>
                    <w:div w:id="1348749026">
                      <w:marLeft w:val="0"/>
                      <w:marRight w:val="0"/>
                      <w:marTop w:val="0"/>
                      <w:marBottom w:val="0"/>
                      <w:divBdr>
                        <w:top w:val="none" w:sz="0" w:space="0" w:color="auto"/>
                        <w:left w:val="none" w:sz="0" w:space="0" w:color="auto"/>
                        <w:bottom w:val="none" w:sz="0" w:space="0" w:color="auto"/>
                        <w:right w:val="none" w:sz="0" w:space="0" w:color="auto"/>
                      </w:divBdr>
                    </w:div>
                    <w:div w:id="1373455456">
                      <w:marLeft w:val="0"/>
                      <w:marRight w:val="0"/>
                      <w:marTop w:val="0"/>
                      <w:marBottom w:val="0"/>
                      <w:divBdr>
                        <w:top w:val="none" w:sz="0" w:space="0" w:color="auto"/>
                        <w:left w:val="none" w:sz="0" w:space="0" w:color="auto"/>
                        <w:bottom w:val="none" w:sz="0" w:space="0" w:color="auto"/>
                        <w:right w:val="none" w:sz="0" w:space="0" w:color="auto"/>
                      </w:divBdr>
                    </w:div>
                    <w:div w:id="1513685303">
                      <w:marLeft w:val="0"/>
                      <w:marRight w:val="0"/>
                      <w:marTop w:val="0"/>
                      <w:marBottom w:val="0"/>
                      <w:divBdr>
                        <w:top w:val="none" w:sz="0" w:space="0" w:color="auto"/>
                        <w:left w:val="none" w:sz="0" w:space="0" w:color="auto"/>
                        <w:bottom w:val="none" w:sz="0" w:space="0" w:color="auto"/>
                        <w:right w:val="none" w:sz="0" w:space="0" w:color="auto"/>
                      </w:divBdr>
                    </w:div>
                    <w:div w:id="1580367131">
                      <w:marLeft w:val="0"/>
                      <w:marRight w:val="0"/>
                      <w:marTop w:val="0"/>
                      <w:marBottom w:val="0"/>
                      <w:divBdr>
                        <w:top w:val="none" w:sz="0" w:space="0" w:color="auto"/>
                        <w:left w:val="none" w:sz="0" w:space="0" w:color="auto"/>
                        <w:bottom w:val="none" w:sz="0" w:space="0" w:color="auto"/>
                        <w:right w:val="none" w:sz="0" w:space="0" w:color="auto"/>
                      </w:divBdr>
                    </w:div>
                    <w:div w:id="1616523109">
                      <w:marLeft w:val="0"/>
                      <w:marRight w:val="0"/>
                      <w:marTop w:val="0"/>
                      <w:marBottom w:val="0"/>
                      <w:divBdr>
                        <w:top w:val="none" w:sz="0" w:space="0" w:color="auto"/>
                        <w:left w:val="none" w:sz="0" w:space="0" w:color="auto"/>
                        <w:bottom w:val="none" w:sz="0" w:space="0" w:color="auto"/>
                        <w:right w:val="none" w:sz="0" w:space="0" w:color="auto"/>
                      </w:divBdr>
                    </w:div>
                    <w:div w:id="1862429974">
                      <w:marLeft w:val="0"/>
                      <w:marRight w:val="0"/>
                      <w:marTop w:val="0"/>
                      <w:marBottom w:val="0"/>
                      <w:divBdr>
                        <w:top w:val="none" w:sz="0" w:space="0" w:color="auto"/>
                        <w:left w:val="none" w:sz="0" w:space="0" w:color="auto"/>
                        <w:bottom w:val="none" w:sz="0" w:space="0" w:color="auto"/>
                        <w:right w:val="none" w:sz="0" w:space="0" w:color="auto"/>
                      </w:divBdr>
                    </w:div>
                    <w:div w:id="2097819370">
                      <w:marLeft w:val="0"/>
                      <w:marRight w:val="0"/>
                      <w:marTop w:val="0"/>
                      <w:marBottom w:val="0"/>
                      <w:divBdr>
                        <w:top w:val="none" w:sz="0" w:space="0" w:color="auto"/>
                        <w:left w:val="none" w:sz="0" w:space="0" w:color="auto"/>
                        <w:bottom w:val="none" w:sz="0" w:space="0" w:color="auto"/>
                        <w:right w:val="none" w:sz="0" w:space="0" w:color="auto"/>
                      </w:divBdr>
                    </w:div>
                  </w:divsChild>
                </w:div>
                <w:div w:id="1192034327">
                  <w:marLeft w:val="0"/>
                  <w:marRight w:val="0"/>
                  <w:marTop w:val="0"/>
                  <w:marBottom w:val="0"/>
                  <w:divBdr>
                    <w:top w:val="none" w:sz="0" w:space="0" w:color="auto"/>
                    <w:left w:val="none" w:sz="0" w:space="0" w:color="auto"/>
                    <w:bottom w:val="none" w:sz="0" w:space="0" w:color="auto"/>
                    <w:right w:val="none" w:sz="0" w:space="0" w:color="auto"/>
                  </w:divBdr>
                  <w:divsChild>
                    <w:div w:id="39284880">
                      <w:marLeft w:val="0"/>
                      <w:marRight w:val="0"/>
                      <w:marTop w:val="0"/>
                      <w:marBottom w:val="0"/>
                      <w:divBdr>
                        <w:top w:val="none" w:sz="0" w:space="0" w:color="auto"/>
                        <w:left w:val="none" w:sz="0" w:space="0" w:color="auto"/>
                        <w:bottom w:val="none" w:sz="0" w:space="0" w:color="auto"/>
                        <w:right w:val="none" w:sz="0" w:space="0" w:color="auto"/>
                      </w:divBdr>
                    </w:div>
                    <w:div w:id="194195633">
                      <w:marLeft w:val="0"/>
                      <w:marRight w:val="0"/>
                      <w:marTop w:val="0"/>
                      <w:marBottom w:val="0"/>
                      <w:divBdr>
                        <w:top w:val="none" w:sz="0" w:space="0" w:color="auto"/>
                        <w:left w:val="none" w:sz="0" w:space="0" w:color="auto"/>
                        <w:bottom w:val="none" w:sz="0" w:space="0" w:color="auto"/>
                        <w:right w:val="none" w:sz="0" w:space="0" w:color="auto"/>
                      </w:divBdr>
                    </w:div>
                    <w:div w:id="551387092">
                      <w:marLeft w:val="0"/>
                      <w:marRight w:val="0"/>
                      <w:marTop w:val="0"/>
                      <w:marBottom w:val="0"/>
                      <w:divBdr>
                        <w:top w:val="none" w:sz="0" w:space="0" w:color="auto"/>
                        <w:left w:val="none" w:sz="0" w:space="0" w:color="auto"/>
                        <w:bottom w:val="none" w:sz="0" w:space="0" w:color="auto"/>
                        <w:right w:val="none" w:sz="0" w:space="0" w:color="auto"/>
                      </w:divBdr>
                    </w:div>
                    <w:div w:id="602961588">
                      <w:marLeft w:val="0"/>
                      <w:marRight w:val="0"/>
                      <w:marTop w:val="0"/>
                      <w:marBottom w:val="0"/>
                      <w:divBdr>
                        <w:top w:val="none" w:sz="0" w:space="0" w:color="auto"/>
                        <w:left w:val="none" w:sz="0" w:space="0" w:color="auto"/>
                        <w:bottom w:val="none" w:sz="0" w:space="0" w:color="auto"/>
                        <w:right w:val="none" w:sz="0" w:space="0" w:color="auto"/>
                      </w:divBdr>
                    </w:div>
                    <w:div w:id="759063220">
                      <w:marLeft w:val="0"/>
                      <w:marRight w:val="0"/>
                      <w:marTop w:val="0"/>
                      <w:marBottom w:val="0"/>
                      <w:divBdr>
                        <w:top w:val="none" w:sz="0" w:space="0" w:color="auto"/>
                        <w:left w:val="none" w:sz="0" w:space="0" w:color="auto"/>
                        <w:bottom w:val="none" w:sz="0" w:space="0" w:color="auto"/>
                        <w:right w:val="none" w:sz="0" w:space="0" w:color="auto"/>
                      </w:divBdr>
                    </w:div>
                    <w:div w:id="771779312">
                      <w:marLeft w:val="0"/>
                      <w:marRight w:val="0"/>
                      <w:marTop w:val="0"/>
                      <w:marBottom w:val="0"/>
                      <w:divBdr>
                        <w:top w:val="none" w:sz="0" w:space="0" w:color="auto"/>
                        <w:left w:val="none" w:sz="0" w:space="0" w:color="auto"/>
                        <w:bottom w:val="none" w:sz="0" w:space="0" w:color="auto"/>
                        <w:right w:val="none" w:sz="0" w:space="0" w:color="auto"/>
                      </w:divBdr>
                    </w:div>
                  </w:divsChild>
                </w:div>
                <w:div w:id="1217157587">
                  <w:marLeft w:val="0"/>
                  <w:marRight w:val="0"/>
                  <w:marTop w:val="0"/>
                  <w:marBottom w:val="0"/>
                  <w:divBdr>
                    <w:top w:val="none" w:sz="0" w:space="0" w:color="auto"/>
                    <w:left w:val="none" w:sz="0" w:space="0" w:color="auto"/>
                    <w:bottom w:val="none" w:sz="0" w:space="0" w:color="auto"/>
                    <w:right w:val="none" w:sz="0" w:space="0" w:color="auto"/>
                  </w:divBdr>
                  <w:divsChild>
                    <w:div w:id="162819528">
                      <w:marLeft w:val="0"/>
                      <w:marRight w:val="0"/>
                      <w:marTop w:val="0"/>
                      <w:marBottom w:val="0"/>
                      <w:divBdr>
                        <w:top w:val="none" w:sz="0" w:space="0" w:color="auto"/>
                        <w:left w:val="none" w:sz="0" w:space="0" w:color="auto"/>
                        <w:bottom w:val="none" w:sz="0" w:space="0" w:color="auto"/>
                        <w:right w:val="none" w:sz="0" w:space="0" w:color="auto"/>
                      </w:divBdr>
                    </w:div>
                  </w:divsChild>
                </w:div>
                <w:div w:id="1260716136">
                  <w:marLeft w:val="0"/>
                  <w:marRight w:val="0"/>
                  <w:marTop w:val="0"/>
                  <w:marBottom w:val="0"/>
                  <w:divBdr>
                    <w:top w:val="none" w:sz="0" w:space="0" w:color="auto"/>
                    <w:left w:val="none" w:sz="0" w:space="0" w:color="auto"/>
                    <w:bottom w:val="none" w:sz="0" w:space="0" w:color="auto"/>
                    <w:right w:val="none" w:sz="0" w:space="0" w:color="auto"/>
                  </w:divBdr>
                  <w:divsChild>
                    <w:div w:id="489057763">
                      <w:marLeft w:val="0"/>
                      <w:marRight w:val="0"/>
                      <w:marTop w:val="0"/>
                      <w:marBottom w:val="0"/>
                      <w:divBdr>
                        <w:top w:val="none" w:sz="0" w:space="0" w:color="auto"/>
                        <w:left w:val="none" w:sz="0" w:space="0" w:color="auto"/>
                        <w:bottom w:val="none" w:sz="0" w:space="0" w:color="auto"/>
                        <w:right w:val="none" w:sz="0" w:space="0" w:color="auto"/>
                      </w:divBdr>
                    </w:div>
                  </w:divsChild>
                </w:div>
                <w:div w:id="1395006583">
                  <w:marLeft w:val="0"/>
                  <w:marRight w:val="0"/>
                  <w:marTop w:val="0"/>
                  <w:marBottom w:val="0"/>
                  <w:divBdr>
                    <w:top w:val="none" w:sz="0" w:space="0" w:color="auto"/>
                    <w:left w:val="none" w:sz="0" w:space="0" w:color="auto"/>
                    <w:bottom w:val="none" w:sz="0" w:space="0" w:color="auto"/>
                    <w:right w:val="none" w:sz="0" w:space="0" w:color="auto"/>
                  </w:divBdr>
                  <w:divsChild>
                    <w:div w:id="1456674446">
                      <w:marLeft w:val="0"/>
                      <w:marRight w:val="0"/>
                      <w:marTop w:val="0"/>
                      <w:marBottom w:val="0"/>
                      <w:divBdr>
                        <w:top w:val="none" w:sz="0" w:space="0" w:color="auto"/>
                        <w:left w:val="none" w:sz="0" w:space="0" w:color="auto"/>
                        <w:bottom w:val="none" w:sz="0" w:space="0" w:color="auto"/>
                        <w:right w:val="none" w:sz="0" w:space="0" w:color="auto"/>
                      </w:divBdr>
                    </w:div>
                  </w:divsChild>
                </w:div>
                <w:div w:id="1487044316">
                  <w:marLeft w:val="0"/>
                  <w:marRight w:val="0"/>
                  <w:marTop w:val="0"/>
                  <w:marBottom w:val="0"/>
                  <w:divBdr>
                    <w:top w:val="none" w:sz="0" w:space="0" w:color="auto"/>
                    <w:left w:val="none" w:sz="0" w:space="0" w:color="auto"/>
                    <w:bottom w:val="none" w:sz="0" w:space="0" w:color="auto"/>
                    <w:right w:val="none" w:sz="0" w:space="0" w:color="auto"/>
                  </w:divBdr>
                  <w:divsChild>
                    <w:div w:id="1906527183">
                      <w:marLeft w:val="0"/>
                      <w:marRight w:val="0"/>
                      <w:marTop w:val="0"/>
                      <w:marBottom w:val="0"/>
                      <w:divBdr>
                        <w:top w:val="none" w:sz="0" w:space="0" w:color="auto"/>
                        <w:left w:val="none" w:sz="0" w:space="0" w:color="auto"/>
                        <w:bottom w:val="none" w:sz="0" w:space="0" w:color="auto"/>
                        <w:right w:val="none" w:sz="0" w:space="0" w:color="auto"/>
                      </w:divBdr>
                    </w:div>
                  </w:divsChild>
                </w:div>
                <w:div w:id="1546599772">
                  <w:marLeft w:val="0"/>
                  <w:marRight w:val="0"/>
                  <w:marTop w:val="0"/>
                  <w:marBottom w:val="0"/>
                  <w:divBdr>
                    <w:top w:val="none" w:sz="0" w:space="0" w:color="auto"/>
                    <w:left w:val="none" w:sz="0" w:space="0" w:color="auto"/>
                    <w:bottom w:val="none" w:sz="0" w:space="0" w:color="auto"/>
                    <w:right w:val="none" w:sz="0" w:space="0" w:color="auto"/>
                  </w:divBdr>
                  <w:divsChild>
                    <w:div w:id="344943996">
                      <w:marLeft w:val="0"/>
                      <w:marRight w:val="0"/>
                      <w:marTop w:val="0"/>
                      <w:marBottom w:val="0"/>
                      <w:divBdr>
                        <w:top w:val="none" w:sz="0" w:space="0" w:color="auto"/>
                        <w:left w:val="none" w:sz="0" w:space="0" w:color="auto"/>
                        <w:bottom w:val="none" w:sz="0" w:space="0" w:color="auto"/>
                        <w:right w:val="none" w:sz="0" w:space="0" w:color="auto"/>
                      </w:divBdr>
                    </w:div>
                  </w:divsChild>
                </w:div>
                <w:div w:id="1692534732">
                  <w:marLeft w:val="0"/>
                  <w:marRight w:val="0"/>
                  <w:marTop w:val="0"/>
                  <w:marBottom w:val="0"/>
                  <w:divBdr>
                    <w:top w:val="none" w:sz="0" w:space="0" w:color="auto"/>
                    <w:left w:val="none" w:sz="0" w:space="0" w:color="auto"/>
                    <w:bottom w:val="none" w:sz="0" w:space="0" w:color="auto"/>
                    <w:right w:val="none" w:sz="0" w:space="0" w:color="auto"/>
                  </w:divBdr>
                  <w:divsChild>
                    <w:div w:id="179198147">
                      <w:marLeft w:val="0"/>
                      <w:marRight w:val="0"/>
                      <w:marTop w:val="0"/>
                      <w:marBottom w:val="0"/>
                      <w:divBdr>
                        <w:top w:val="none" w:sz="0" w:space="0" w:color="auto"/>
                        <w:left w:val="none" w:sz="0" w:space="0" w:color="auto"/>
                        <w:bottom w:val="none" w:sz="0" w:space="0" w:color="auto"/>
                        <w:right w:val="none" w:sz="0" w:space="0" w:color="auto"/>
                      </w:divBdr>
                    </w:div>
                  </w:divsChild>
                </w:div>
                <w:div w:id="1864513316">
                  <w:marLeft w:val="0"/>
                  <w:marRight w:val="0"/>
                  <w:marTop w:val="0"/>
                  <w:marBottom w:val="0"/>
                  <w:divBdr>
                    <w:top w:val="none" w:sz="0" w:space="0" w:color="auto"/>
                    <w:left w:val="none" w:sz="0" w:space="0" w:color="auto"/>
                    <w:bottom w:val="none" w:sz="0" w:space="0" w:color="auto"/>
                    <w:right w:val="none" w:sz="0" w:space="0" w:color="auto"/>
                  </w:divBdr>
                  <w:divsChild>
                    <w:div w:id="52432429">
                      <w:marLeft w:val="0"/>
                      <w:marRight w:val="0"/>
                      <w:marTop w:val="0"/>
                      <w:marBottom w:val="0"/>
                      <w:divBdr>
                        <w:top w:val="none" w:sz="0" w:space="0" w:color="auto"/>
                        <w:left w:val="none" w:sz="0" w:space="0" w:color="auto"/>
                        <w:bottom w:val="none" w:sz="0" w:space="0" w:color="auto"/>
                        <w:right w:val="none" w:sz="0" w:space="0" w:color="auto"/>
                      </w:divBdr>
                    </w:div>
                  </w:divsChild>
                </w:div>
                <w:div w:id="1947879675">
                  <w:marLeft w:val="0"/>
                  <w:marRight w:val="0"/>
                  <w:marTop w:val="0"/>
                  <w:marBottom w:val="0"/>
                  <w:divBdr>
                    <w:top w:val="none" w:sz="0" w:space="0" w:color="auto"/>
                    <w:left w:val="none" w:sz="0" w:space="0" w:color="auto"/>
                    <w:bottom w:val="none" w:sz="0" w:space="0" w:color="auto"/>
                    <w:right w:val="none" w:sz="0" w:space="0" w:color="auto"/>
                  </w:divBdr>
                  <w:divsChild>
                    <w:div w:id="1219049118">
                      <w:marLeft w:val="0"/>
                      <w:marRight w:val="0"/>
                      <w:marTop w:val="0"/>
                      <w:marBottom w:val="0"/>
                      <w:divBdr>
                        <w:top w:val="none" w:sz="0" w:space="0" w:color="auto"/>
                        <w:left w:val="none" w:sz="0" w:space="0" w:color="auto"/>
                        <w:bottom w:val="none" w:sz="0" w:space="0" w:color="auto"/>
                        <w:right w:val="none" w:sz="0" w:space="0" w:color="auto"/>
                      </w:divBdr>
                    </w:div>
                  </w:divsChild>
                </w:div>
                <w:div w:id="1953710970">
                  <w:marLeft w:val="0"/>
                  <w:marRight w:val="0"/>
                  <w:marTop w:val="0"/>
                  <w:marBottom w:val="0"/>
                  <w:divBdr>
                    <w:top w:val="none" w:sz="0" w:space="0" w:color="auto"/>
                    <w:left w:val="none" w:sz="0" w:space="0" w:color="auto"/>
                    <w:bottom w:val="none" w:sz="0" w:space="0" w:color="auto"/>
                    <w:right w:val="none" w:sz="0" w:space="0" w:color="auto"/>
                  </w:divBdr>
                  <w:divsChild>
                    <w:div w:id="18710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552844">
          <w:marLeft w:val="0"/>
          <w:marRight w:val="0"/>
          <w:marTop w:val="0"/>
          <w:marBottom w:val="0"/>
          <w:divBdr>
            <w:top w:val="none" w:sz="0" w:space="0" w:color="auto"/>
            <w:left w:val="none" w:sz="0" w:space="0" w:color="auto"/>
            <w:bottom w:val="none" w:sz="0" w:space="0" w:color="auto"/>
            <w:right w:val="none" w:sz="0" w:space="0" w:color="auto"/>
          </w:divBdr>
        </w:div>
      </w:divsChild>
    </w:div>
    <w:div w:id="1257594350">
      <w:bodyDiv w:val="1"/>
      <w:marLeft w:val="0"/>
      <w:marRight w:val="0"/>
      <w:marTop w:val="0"/>
      <w:marBottom w:val="0"/>
      <w:divBdr>
        <w:top w:val="none" w:sz="0" w:space="0" w:color="auto"/>
        <w:left w:val="none" w:sz="0" w:space="0" w:color="auto"/>
        <w:bottom w:val="none" w:sz="0" w:space="0" w:color="auto"/>
        <w:right w:val="none" w:sz="0" w:space="0" w:color="auto"/>
      </w:divBdr>
      <w:divsChild>
        <w:div w:id="122621341">
          <w:marLeft w:val="0"/>
          <w:marRight w:val="0"/>
          <w:marTop w:val="0"/>
          <w:marBottom w:val="0"/>
          <w:divBdr>
            <w:top w:val="none" w:sz="0" w:space="0" w:color="auto"/>
            <w:left w:val="none" w:sz="0" w:space="0" w:color="auto"/>
            <w:bottom w:val="none" w:sz="0" w:space="0" w:color="auto"/>
            <w:right w:val="none" w:sz="0" w:space="0" w:color="auto"/>
          </w:divBdr>
          <w:divsChild>
            <w:div w:id="1033187932">
              <w:marLeft w:val="0"/>
              <w:marRight w:val="0"/>
              <w:marTop w:val="30"/>
              <w:marBottom w:val="30"/>
              <w:divBdr>
                <w:top w:val="none" w:sz="0" w:space="0" w:color="auto"/>
                <w:left w:val="none" w:sz="0" w:space="0" w:color="auto"/>
                <w:bottom w:val="none" w:sz="0" w:space="0" w:color="auto"/>
                <w:right w:val="none" w:sz="0" w:space="0" w:color="auto"/>
              </w:divBdr>
              <w:divsChild>
                <w:div w:id="37826348">
                  <w:marLeft w:val="0"/>
                  <w:marRight w:val="0"/>
                  <w:marTop w:val="0"/>
                  <w:marBottom w:val="0"/>
                  <w:divBdr>
                    <w:top w:val="none" w:sz="0" w:space="0" w:color="auto"/>
                    <w:left w:val="none" w:sz="0" w:space="0" w:color="auto"/>
                    <w:bottom w:val="none" w:sz="0" w:space="0" w:color="auto"/>
                    <w:right w:val="none" w:sz="0" w:space="0" w:color="auto"/>
                  </w:divBdr>
                  <w:divsChild>
                    <w:div w:id="1071347814">
                      <w:marLeft w:val="0"/>
                      <w:marRight w:val="0"/>
                      <w:marTop w:val="0"/>
                      <w:marBottom w:val="0"/>
                      <w:divBdr>
                        <w:top w:val="none" w:sz="0" w:space="0" w:color="auto"/>
                        <w:left w:val="none" w:sz="0" w:space="0" w:color="auto"/>
                        <w:bottom w:val="none" w:sz="0" w:space="0" w:color="auto"/>
                        <w:right w:val="none" w:sz="0" w:space="0" w:color="auto"/>
                      </w:divBdr>
                    </w:div>
                  </w:divsChild>
                </w:div>
                <w:div w:id="92633198">
                  <w:marLeft w:val="0"/>
                  <w:marRight w:val="0"/>
                  <w:marTop w:val="0"/>
                  <w:marBottom w:val="0"/>
                  <w:divBdr>
                    <w:top w:val="none" w:sz="0" w:space="0" w:color="auto"/>
                    <w:left w:val="none" w:sz="0" w:space="0" w:color="auto"/>
                    <w:bottom w:val="none" w:sz="0" w:space="0" w:color="auto"/>
                    <w:right w:val="none" w:sz="0" w:space="0" w:color="auto"/>
                  </w:divBdr>
                  <w:divsChild>
                    <w:div w:id="1982810754">
                      <w:marLeft w:val="0"/>
                      <w:marRight w:val="0"/>
                      <w:marTop w:val="0"/>
                      <w:marBottom w:val="0"/>
                      <w:divBdr>
                        <w:top w:val="none" w:sz="0" w:space="0" w:color="auto"/>
                        <w:left w:val="none" w:sz="0" w:space="0" w:color="auto"/>
                        <w:bottom w:val="none" w:sz="0" w:space="0" w:color="auto"/>
                        <w:right w:val="none" w:sz="0" w:space="0" w:color="auto"/>
                      </w:divBdr>
                    </w:div>
                  </w:divsChild>
                </w:div>
                <w:div w:id="168838420">
                  <w:marLeft w:val="0"/>
                  <w:marRight w:val="0"/>
                  <w:marTop w:val="0"/>
                  <w:marBottom w:val="0"/>
                  <w:divBdr>
                    <w:top w:val="none" w:sz="0" w:space="0" w:color="auto"/>
                    <w:left w:val="none" w:sz="0" w:space="0" w:color="auto"/>
                    <w:bottom w:val="none" w:sz="0" w:space="0" w:color="auto"/>
                    <w:right w:val="none" w:sz="0" w:space="0" w:color="auto"/>
                  </w:divBdr>
                  <w:divsChild>
                    <w:div w:id="613908349">
                      <w:marLeft w:val="0"/>
                      <w:marRight w:val="0"/>
                      <w:marTop w:val="0"/>
                      <w:marBottom w:val="0"/>
                      <w:divBdr>
                        <w:top w:val="none" w:sz="0" w:space="0" w:color="auto"/>
                        <w:left w:val="none" w:sz="0" w:space="0" w:color="auto"/>
                        <w:bottom w:val="none" w:sz="0" w:space="0" w:color="auto"/>
                        <w:right w:val="none" w:sz="0" w:space="0" w:color="auto"/>
                      </w:divBdr>
                    </w:div>
                  </w:divsChild>
                </w:div>
                <w:div w:id="684597556">
                  <w:marLeft w:val="0"/>
                  <w:marRight w:val="0"/>
                  <w:marTop w:val="0"/>
                  <w:marBottom w:val="0"/>
                  <w:divBdr>
                    <w:top w:val="none" w:sz="0" w:space="0" w:color="auto"/>
                    <w:left w:val="none" w:sz="0" w:space="0" w:color="auto"/>
                    <w:bottom w:val="none" w:sz="0" w:space="0" w:color="auto"/>
                    <w:right w:val="none" w:sz="0" w:space="0" w:color="auto"/>
                  </w:divBdr>
                  <w:divsChild>
                    <w:div w:id="1742173203">
                      <w:marLeft w:val="0"/>
                      <w:marRight w:val="0"/>
                      <w:marTop w:val="0"/>
                      <w:marBottom w:val="0"/>
                      <w:divBdr>
                        <w:top w:val="none" w:sz="0" w:space="0" w:color="auto"/>
                        <w:left w:val="none" w:sz="0" w:space="0" w:color="auto"/>
                        <w:bottom w:val="none" w:sz="0" w:space="0" w:color="auto"/>
                        <w:right w:val="none" w:sz="0" w:space="0" w:color="auto"/>
                      </w:divBdr>
                    </w:div>
                  </w:divsChild>
                </w:div>
                <w:div w:id="809633744">
                  <w:marLeft w:val="0"/>
                  <w:marRight w:val="0"/>
                  <w:marTop w:val="0"/>
                  <w:marBottom w:val="0"/>
                  <w:divBdr>
                    <w:top w:val="none" w:sz="0" w:space="0" w:color="auto"/>
                    <w:left w:val="none" w:sz="0" w:space="0" w:color="auto"/>
                    <w:bottom w:val="none" w:sz="0" w:space="0" w:color="auto"/>
                    <w:right w:val="none" w:sz="0" w:space="0" w:color="auto"/>
                  </w:divBdr>
                  <w:divsChild>
                    <w:div w:id="24982976">
                      <w:marLeft w:val="0"/>
                      <w:marRight w:val="0"/>
                      <w:marTop w:val="0"/>
                      <w:marBottom w:val="0"/>
                      <w:divBdr>
                        <w:top w:val="none" w:sz="0" w:space="0" w:color="auto"/>
                        <w:left w:val="none" w:sz="0" w:space="0" w:color="auto"/>
                        <w:bottom w:val="none" w:sz="0" w:space="0" w:color="auto"/>
                        <w:right w:val="none" w:sz="0" w:space="0" w:color="auto"/>
                      </w:divBdr>
                    </w:div>
                    <w:div w:id="694497727">
                      <w:marLeft w:val="0"/>
                      <w:marRight w:val="0"/>
                      <w:marTop w:val="0"/>
                      <w:marBottom w:val="0"/>
                      <w:divBdr>
                        <w:top w:val="none" w:sz="0" w:space="0" w:color="auto"/>
                        <w:left w:val="none" w:sz="0" w:space="0" w:color="auto"/>
                        <w:bottom w:val="none" w:sz="0" w:space="0" w:color="auto"/>
                        <w:right w:val="none" w:sz="0" w:space="0" w:color="auto"/>
                      </w:divBdr>
                    </w:div>
                    <w:div w:id="1090927297">
                      <w:marLeft w:val="0"/>
                      <w:marRight w:val="0"/>
                      <w:marTop w:val="0"/>
                      <w:marBottom w:val="0"/>
                      <w:divBdr>
                        <w:top w:val="none" w:sz="0" w:space="0" w:color="auto"/>
                        <w:left w:val="none" w:sz="0" w:space="0" w:color="auto"/>
                        <w:bottom w:val="none" w:sz="0" w:space="0" w:color="auto"/>
                        <w:right w:val="none" w:sz="0" w:space="0" w:color="auto"/>
                      </w:divBdr>
                    </w:div>
                    <w:div w:id="1183978420">
                      <w:marLeft w:val="0"/>
                      <w:marRight w:val="0"/>
                      <w:marTop w:val="0"/>
                      <w:marBottom w:val="0"/>
                      <w:divBdr>
                        <w:top w:val="none" w:sz="0" w:space="0" w:color="auto"/>
                        <w:left w:val="none" w:sz="0" w:space="0" w:color="auto"/>
                        <w:bottom w:val="none" w:sz="0" w:space="0" w:color="auto"/>
                        <w:right w:val="none" w:sz="0" w:space="0" w:color="auto"/>
                      </w:divBdr>
                    </w:div>
                    <w:div w:id="1922713669">
                      <w:marLeft w:val="0"/>
                      <w:marRight w:val="0"/>
                      <w:marTop w:val="0"/>
                      <w:marBottom w:val="0"/>
                      <w:divBdr>
                        <w:top w:val="none" w:sz="0" w:space="0" w:color="auto"/>
                        <w:left w:val="none" w:sz="0" w:space="0" w:color="auto"/>
                        <w:bottom w:val="none" w:sz="0" w:space="0" w:color="auto"/>
                        <w:right w:val="none" w:sz="0" w:space="0" w:color="auto"/>
                      </w:divBdr>
                    </w:div>
                    <w:div w:id="2109350405">
                      <w:marLeft w:val="0"/>
                      <w:marRight w:val="0"/>
                      <w:marTop w:val="0"/>
                      <w:marBottom w:val="0"/>
                      <w:divBdr>
                        <w:top w:val="none" w:sz="0" w:space="0" w:color="auto"/>
                        <w:left w:val="none" w:sz="0" w:space="0" w:color="auto"/>
                        <w:bottom w:val="none" w:sz="0" w:space="0" w:color="auto"/>
                        <w:right w:val="none" w:sz="0" w:space="0" w:color="auto"/>
                      </w:divBdr>
                    </w:div>
                  </w:divsChild>
                </w:div>
                <w:div w:id="950552669">
                  <w:marLeft w:val="0"/>
                  <w:marRight w:val="0"/>
                  <w:marTop w:val="0"/>
                  <w:marBottom w:val="0"/>
                  <w:divBdr>
                    <w:top w:val="none" w:sz="0" w:space="0" w:color="auto"/>
                    <w:left w:val="none" w:sz="0" w:space="0" w:color="auto"/>
                    <w:bottom w:val="none" w:sz="0" w:space="0" w:color="auto"/>
                    <w:right w:val="none" w:sz="0" w:space="0" w:color="auto"/>
                  </w:divBdr>
                  <w:divsChild>
                    <w:div w:id="412513346">
                      <w:marLeft w:val="0"/>
                      <w:marRight w:val="0"/>
                      <w:marTop w:val="0"/>
                      <w:marBottom w:val="0"/>
                      <w:divBdr>
                        <w:top w:val="none" w:sz="0" w:space="0" w:color="auto"/>
                        <w:left w:val="none" w:sz="0" w:space="0" w:color="auto"/>
                        <w:bottom w:val="none" w:sz="0" w:space="0" w:color="auto"/>
                        <w:right w:val="none" w:sz="0" w:space="0" w:color="auto"/>
                      </w:divBdr>
                    </w:div>
                  </w:divsChild>
                </w:div>
                <w:div w:id="984700733">
                  <w:marLeft w:val="0"/>
                  <w:marRight w:val="0"/>
                  <w:marTop w:val="0"/>
                  <w:marBottom w:val="0"/>
                  <w:divBdr>
                    <w:top w:val="none" w:sz="0" w:space="0" w:color="auto"/>
                    <w:left w:val="none" w:sz="0" w:space="0" w:color="auto"/>
                    <w:bottom w:val="none" w:sz="0" w:space="0" w:color="auto"/>
                    <w:right w:val="none" w:sz="0" w:space="0" w:color="auto"/>
                  </w:divBdr>
                  <w:divsChild>
                    <w:div w:id="1939558000">
                      <w:marLeft w:val="0"/>
                      <w:marRight w:val="0"/>
                      <w:marTop w:val="0"/>
                      <w:marBottom w:val="0"/>
                      <w:divBdr>
                        <w:top w:val="none" w:sz="0" w:space="0" w:color="auto"/>
                        <w:left w:val="none" w:sz="0" w:space="0" w:color="auto"/>
                        <w:bottom w:val="none" w:sz="0" w:space="0" w:color="auto"/>
                        <w:right w:val="none" w:sz="0" w:space="0" w:color="auto"/>
                      </w:divBdr>
                    </w:div>
                  </w:divsChild>
                </w:div>
                <w:div w:id="1009916166">
                  <w:marLeft w:val="0"/>
                  <w:marRight w:val="0"/>
                  <w:marTop w:val="0"/>
                  <w:marBottom w:val="0"/>
                  <w:divBdr>
                    <w:top w:val="none" w:sz="0" w:space="0" w:color="auto"/>
                    <w:left w:val="none" w:sz="0" w:space="0" w:color="auto"/>
                    <w:bottom w:val="none" w:sz="0" w:space="0" w:color="auto"/>
                    <w:right w:val="none" w:sz="0" w:space="0" w:color="auto"/>
                  </w:divBdr>
                  <w:divsChild>
                    <w:div w:id="52048774">
                      <w:marLeft w:val="0"/>
                      <w:marRight w:val="0"/>
                      <w:marTop w:val="0"/>
                      <w:marBottom w:val="0"/>
                      <w:divBdr>
                        <w:top w:val="none" w:sz="0" w:space="0" w:color="auto"/>
                        <w:left w:val="none" w:sz="0" w:space="0" w:color="auto"/>
                        <w:bottom w:val="none" w:sz="0" w:space="0" w:color="auto"/>
                        <w:right w:val="none" w:sz="0" w:space="0" w:color="auto"/>
                      </w:divBdr>
                    </w:div>
                  </w:divsChild>
                </w:div>
                <w:div w:id="1024475570">
                  <w:marLeft w:val="0"/>
                  <w:marRight w:val="0"/>
                  <w:marTop w:val="0"/>
                  <w:marBottom w:val="0"/>
                  <w:divBdr>
                    <w:top w:val="none" w:sz="0" w:space="0" w:color="auto"/>
                    <w:left w:val="none" w:sz="0" w:space="0" w:color="auto"/>
                    <w:bottom w:val="none" w:sz="0" w:space="0" w:color="auto"/>
                    <w:right w:val="none" w:sz="0" w:space="0" w:color="auto"/>
                  </w:divBdr>
                  <w:divsChild>
                    <w:div w:id="1037269053">
                      <w:marLeft w:val="0"/>
                      <w:marRight w:val="0"/>
                      <w:marTop w:val="0"/>
                      <w:marBottom w:val="0"/>
                      <w:divBdr>
                        <w:top w:val="none" w:sz="0" w:space="0" w:color="auto"/>
                        <w:left w:val="none" w:sz="0" w:space="0" w:color="auto"/>
                        <w:bottom w:val="none" w:sz="0" w:space="0" w:color="auto"/>
                        <w:right w:val="none" w:sz="0" w:space="0" w:color="auto"/>
                      </w:divBdr>
                    </w:div>
                    <w:div w:id="1894271636">
                      <w:marLeft w:val="0"/>
                      <w:marRight w:val="0"/>
                      <w:marTop w:val="0"/>
                      <w:marBottom w:val="0"/>
                      <w:divBdr>
                        <w:top w:val="none" w:sz="0" w:space="0" w:color="auto"/>
                        <w:left w:val="none" w:sz="0" w:space="0" w:color="auto"/>
                        <w:bottom w:val="none" w:sz="0" w:space="0" w:color="auto"/>
                        <w:right w:val="none" w:sz="0" w:space="0" w:color="auto"/>
                      </w:divBdr>
                    </w:div>
                  </w:divsChild>
                </w:div>
                <w:div w:id="1141341286">
                  <w:marLeft w:val="0"/>
                  <w:marRight w:val="0"/>
                  <w:marTop w:val="0"/>
                  <w:marBottom w:val="0"/>
                  <w:divBdr>
                    <w:top w:val="none" w:sz="0" w:space="0" w:color="auto"/>
                    <w:left w:val="none" w:sz="0" w:space="0" w:color="auto"/>
                    <w:bottom w:val="none" w:sz="0" w:space="0" w:color="auto"/>
                    <w:right w:val="none" w:sz="0" w:space="0" w:color="auto"/>
                  </w:divBdr>
                  <w:divsChild>
                    <w:div w:id="845904703">
                      <w:marLeft w:val="0"/>
                      <w:marRight w:val="0"/>
                      <w:marTop w:val="0"/>
                      <w:marBottom w:val="0"/>
                      <w:divBdr>
                        <w:top w:val="none" w:sz="0" w:space="0" w:color="auto"/>
                        <w:left w:val="none" w:sz="0" w:space="0" w:color="auto"/>
                        <w:bottom w:val="none" w:sz="0" w:space="0" w:color="auto"/>
                        <w:right w:val="none" w:sz="0" w:space="0" w:color="auto"/>
                      </w:divBdr>
                    </w:div>
                  </w:divsChild>
                </w:div>
                <w:div w:id="1335379015">
                  <w:marLeft w:val="0"/>
                  <w:marRight w:val="0"/>
                  <w:marTop w:val="0"/>
                  <w:marBottom w:val="0"/>
                  <w:divBdr>
                    <w:top w:val="none" w:sz="0" w:space="0" w:color="auto"/>
                    <w:left w:val="none" w:sz="0" w:space="0" w:color="auto"/>
                    <w:bottom w:val="none" w:sz="0" w:space="0" w:color="auto"/>
                    <w:right w:val="none" w:sz="0" w:space="0" w:color="auto"/>
                  </w:divBdr>
                  <w:divsChild>
                    <w:div w:id="329018881">
                      <w:marLeft w:val="0"/>
                      <w:marRight w:val="0"/>
                      <w:marTop w:val="0"/>
                      <w:marBottom w:val="0"/>
                      <w:divBdr>
                        <w:top w:val="none" w:sz="0" w:space="0" w:color="auto"/>
                        <w:left w:val="none" w:sz="0" w:space="0" w:color="auto"/>
                        <w:bottom w:val="none" w:sz="0" w:space="0" w:color="auto"/>
                        <w:right w:val="none" w:sz="0" w:space="0" w:color="auto"/>
                      </w:divBdr>
                    </w:div>
                  </w:divsChild>
                </w:div>
                <w:div w:id="1351181411">
                  <w:marLeft w:val="0"/>
                  <w:marRight w:val="0"/>
                  <w:marTop w:val="0"/>
                  <w:marBottom w:val="0"/>
                  <w:divBdr>
                    <w:top w:val="none" w:sz="0" w:space="0" w:color="auto"/>
                    <w:left w:val="none" w:sz="0" w:space="0" w:color="auto"/>
                    <w:bottom w:val="none" w:sz="0" w:space="0" w:color="auto"/>
                    <w:right w:val="none" w:sz="0" w:space="0" w:color="auto"/>
                  </w:divBdr>
                  <w:divsChild>
                    <w:div w:id="2081976163">
                      <w:marLeft w:val="0"/>
                      <w:marRight w:val="0"/>
                      <w:marTop w:val="0"/>
                      <w:marBottom w:val="0"/>
                      <w:divBdr>
                        <w:top w:val="none" w:sz="0" w:space="0" w:color="auto"/>
                        <w:left w:val="none" w:sz="0" w:space="0" w:color="auto"/>
                        <w:bottom w:val="none" w:sz="0" w:space="0" w:color="auto"/>
                        <w:right w:val="none" w:sz="0" w:space="0" w:color="auto"/>
                      </w:divBdr>
                    </w:div>
                  </w:divsChild>
                </w:div>
                <w:div w:id="1434520332">
                  <w:marLeft w:val="0"/>
                  <w:marRight w:val="0"/>
                  <w:marTop w:val="0"/>
                  <w:marBottom w:val="0"/>
                  <w:divBdr>
                    <w:top w:val="none" w:sz="0" w:space="0" w:color="auto"/>
                    <w:left w:val="none" w:sz="0" w:space="0" w:color="auto"/>
                    <w:bottom w:val="none" w:sz="0" w:space="0" w:color="auto"/>
                    <w:right w:val="none" w:sz="0" w:space="0" w:color="auto"/>
                  </w:divBdr>
                  <w:divsChild>
                    <w:div w:id="836505346">
                      <w:marLeft w:val="0"/>
                      <w:marRight w:val="0"/>
                      <w:marTop w:val="0"/>
                      <w:marBottom w:val="0"/>
                      <w:divBdr>
                        <w:top w:val="none" w:sz="0" w:space="0" w:color="auto"/>
                        <w:left w:val="none" w:sz="0" w:space="0" w:color="auto"/>
                        <w:bottom w:val="none" w:sz="0" w:space="0" w:color="auto"/>
                        <w:right w:val="none" w:sz="0" w:space="0" w:color="auto"/>
                      </w:divBdr>
                    </w:div>
                  </w:divsChild>
                </w:div>
                <w:div w:id="1568952316">
                  <w:marLeft w:val="0"/>
                  <w:marRight w:val="0"/>
                  <w:marTop w:val="0"/>
                  <w:marBottom w:val="0"/>
                  <w:divBdr>
                    <w:top w:val="none" w:sz="0" w:space="0" w:color="auto"/>
                    <w:left w:val="none" w:sz="0" w:space="0" w:color="auto"/>
                    <w:bottom w:val="none" w:sz="0" w:space="0" w:color="auto"/>
                    <w:right w:val="none" w:sz="0" w:space="0" w:color="auto"/>
                  </w:divBdr>
                  <w:divsChild>
                    <w:div w:id="2039158177">
                      <w:marLeft w:val="0"/>
                      <w:marRight w:val="0"/>
                      <w:marTop w:val="0"/>
                      <w:marBottom w:val="0"/>
                      <w:divBdr>
                        <w:top w:val="none" w:sz="0" w:space="0" w:color="auto"/>
                        <w:left w:val="none" w:sz="0" w:space="0" w:color="auto"/>
                        <w:bottom w:val="none" w:sz="0" w:space="0" w:color="auto"/>
                        <w:right w:val="none" w:sz="0" w:space="0" w:color="auto"/>
                      </w:divBdr>
                    </w:div>
                  </w:divsChild>
                </w:div>
                <w:div w:id="1575554480">
                  <w:marLeft w:val="0"/>
                  <w:marRight w:val="0"/>
                  <w:marTop w:val="0"/>
                  <w:marBottom w:val="0"/>
                  <w:divBdr>
                    <w:top w:val="none" w:sz="0" w:space="0" w:color="auto"/>
                    <w:left w:val="none" w:sz="0" w:space="0" w:color="auto"/>
                    <w:bottom w:val="none" w:sz="0" w:space="0" w:color="auto"/>
                    <w:right w:val="none" w:sz="0" w:space="0" w:color="auto"/>
                  </w:divBdr>
                  <w:divsChild>
                    <w:div w:id="2088840347">
                      <w:marLeft w:val="0"/>
                      <w:marRight w:val="0"/>
                      <w:marTop w:val="0"/>
                      <w:marBottom w:val="0"/>
                      <w:divBdr>
                        <w:top w:val="none" w:sz="0" w:space="0" w:color="auto"/>
                        <w:left w:val="none" w:sz="0" w:space="0" w:color="auto"/>
                        <w:bottom w:val="none" w:sz="0" w:space="0" w:color="auto"/>
                        <w:right w:val="none" w:sz="0" w:space="0" w:color="auto"/>
                      </w:divBdr>
                    </w:div>
                  </w:divsChild>
                </w:div>
                <w:div w:id="1614245522">
                  <w:marLeft w:val="0"/>
                  <w:marRight w:val="0"/>
                  <w:marTop w:val="0"/>
                  <w:marBottom w:val="0"/>
                  <w:divBdr>
                    <w:top w:val="none" w:sz="0" w:space="0" w:color="auto"/>
                    <w:left w:val="none" w:sz="0" w:space="0" w:color="auto"/>
                    <w:bottom w:val="none" w:sz="0" w:space="0" w:color="auto"/>
                    <w:right w:val="none" w:sz="0" w:space="0" w:color="auto"/>
                  </w:divBdr>
                  <w:divsChild>
                    <w:div w:id="1471170981">
                      <w:marLeft w:val="0"/>
                      <w:marRight w:val="0"/>
                      <w:marTop w:val="0"/>
                      <w:marBottom w:val="0"/>
                      <w:divBdr>
                        <w:top w:val="none" w:sz="0" w:space="0" w:color="auto"/>
                        <w:left w:val="none" w:sz="0" w:space="0" w:color="auto"/>
                        <w:bottom w:val="none" w:sz="0" w:space="0" w:color="auto"/>
                        <w:right w:val="none" w:sz="0" w:space="0" w:color="auto"/>
                      </w:divBdr>
                    </w:div>
                  </w:divsChild>
                </w:div>
                <w:div w:id="1649167536">
                  <w:marLeft w:val="0"/>
                  <w:marRight w:val="0"/>
                  <w:marTop w:val="0"/>
                  <w:marBottom w:val="0"/>
                  <w:divBdr>
                    <w:top w:val="none" w:sz="0" w:space="0" w:color="auto"/>
                    <w:left w:val="none" w:sz="0" w:space="0" w:color="auto"/>
                    <w:bottom w:val="none" w:sz="0" w:space="0" w:color="auto"/>
                    <w:right w:val="none" w:sz="0" w:space="0" w:color="auto"/>
                  </w:divBdr>
                  <w:divsChild>
                    <w:div w:id="1523470694">
                      <w:marLeft w:val="0"/>
                      <w:marRight w:val="0"/>
                      <w:marTop w:val="0"/>
                      <w:marBottom w:val="0"/>
                      <w:divBdr>
                        <w:top w:val="none" w:sz="0" w:space="0" w:color="auto"/>
                        <w:left w:val="none" w:sz="0" w:space="0" w:color="auto"/>
                        <w:bottom w:val="none" w:sz="0" w:space="0" w:color="auto"/>
                        <w:right w:val="none" w:sz="0" w:space="0" w:color="auto"/>
                      </w:divBdr>
                    </w:div>
                  </w:divsChild>
                </w:div>
                <w:div w:id="2046562582">
                  <w:marLeft w:val="0"/>
                  <w:marRight w:val="0"/>
                  <w:marTop w:val="0"/>
                  <w:marBottom w:val="0"/>
                  <w:divBdr>
                    <w:top w:val="none" w:sz="0" w:space="0" w:color="auto"/>
                    <w:left w:val="none" w:sz="0" w:space="0" w:color="auto"/>
                    <w:bottom w:val="none" w:sz="0" w:space="0" w:color="auto"/>
                    <w:right w:val="none" w:sz="0" w:space="0" w:color="auto"/>
                  </w:divBdr>
                  <w:divsChild>
                    <w:div w:id="70276362">
                      <w:marLeft w:val="0"/>
                      <w:marRight w:val="0"/>
                      <w:marTop w:val="0"/>
                      <w:marBottom w:val="0"/>
                      <w:divBdr>
                        <w:top w:val="none" w:sz="0" w:space="0" w:color="auto"/>
                        <w:left w:val="none" w:sz="0" w:space="0" w:color="auto"/>
                        <w:bottom w:val="none" w:sz="0" w:space="0" w:color="auto"/>
                        <w:right w:val="none" w:sz="0" w:space="0" w:color="auto"/>
                      </w:divBdr>
                    </w:div>
                  </w:divsChild>
                </w:div>
                <w:div w:id="2112435113">
                  <w:marLeft w:val="0"/>
                  <w:marRight w:val="0"/>
                  <w:marTop w:val="0"/>
                  <w:marBottom w:val="0"/>
                  <w:divBdr>
                    <w:top w:val="none" w:sz="0" w:space="0" w:color="auto"/>
                    <w:left w:val="none" w:sz="0" w:space="0" w:color="auto"/>
                    <w:bottom w:val="none" w:sz="0" w:space="0" w:color="auto"/>
                    <w:right w:val="none" w:sz="0" w:space="0" w:color="auto"/>
                  </w:divBdr>
                  <w:divsChild>
                    <w:div w:id="582494562">
                      <w:marLeft w:val="0"/>
                      <w:marRight w:val="0"/>
                      <w:marTop w:val="0"/>
                      <w:marBottom w:val="0"/>
                      <w:divBdr>
                        <w:top w:val="none" w:sz="0" w:space="0" w:color="auto"/>
                        <w:left w:val="none" w:sz="0" w:space="0" w:color="auto"/>
                        <w:bottom w:val="none" w:sz="0" w:space="0" w:color="auto"/>
                        <w:right w:val="none" w:sz="0" w:space="0" w:color="auto"/>
                      </w:divBdr>
                    </w:div>
                    <w:div w:id="632298461">
                      <w:marLeft w:val="0"/>
                      <w:marRight w:val="0"/>
                      <w:marTop w:val="0"/>
                      <w:marBottom w:val="0"/>
                      <w:divBdr>
                        <w:top w:val="none" w:sz="0" w:space="0" w:color="auto"/>
                        <w:left w:val="none" w:sz="0" w:space="0" w:color="auto"/>
                        <w:bottom w:val="none" w:sz="0" w:space="0" w:color="auto"/>
                        <w:right w:val="none" w:sz="0" w:space="0" w:color="auto"/>
                      </w:divBdr>
                    </w:div>
                    <w:div w:id="1134644362">
                      <w:marLeft w:val="0"/>
                      <w:marRight w:val="0"/>
                      <w:marTop w:val="0"/>
                      <w:marBottom w:val="0"/>
                      <w:divBdr>
                        <w:top w:val="none" w:sz="0" w:space="0" w:color="auto"/>
                        <w:left w:val="none" w:sz="0" w:space="0" w:color="auto"/>
                        <w:bottom w:val="none" w:sz="0" w:space="0" w:color="auto"/>
                        <w:right w:val="none" w:sz="0" w:space="0" w:color="auto"/>
                      </w:divBdr>
                    </w:div>
                    <w:div w:id="1254707769">
                      <w:marLeft w:val="0"/>
                      <w:marRight w:val="0"/>
                      <w:marTop w:val="0"/>
                      <w:marBottom w:val="0"/>
                      <w:divBdr>
                        <w:top w:val="none" w:sz="0" w:space="0" w:color="auto"/>
                        <w:left w:val="none" w:sz="0" w:space="0" w:color="auto"/>
                        <w:bottom w:val="none" w:sz="0" w:space="0" w:color="auto"/>
                        <w:right w:val="none" w:sz="0" w:space="0" w:color="auto"/>
                      </w:divBdr>
                    </w:div>
                    <w:div w:id="1255631026">
                      <w:marLeft w:val="0"/>
                      <w:marRight w:val="0"/>
                      <w:marTop w:val="0"/>
                      <w:marBottom w:val="0"/>
                      <w:divBdr>
                        <w:top w:val="none" w:sz="0" w:space="0" w:color="auto"/>
                        <w:left w:val="none" w:sz="0" w:space="0" w:color="auto"/>
                        <w:bottom w:val="none" w:sz="0" w:space="0" w:color="auto"/>
                        <w:right w:val="none" w:sz="0" w:space="0" w:color="auto"/>
                      </w:divBdr>
                    </w:div>
                    <w:div w:id="1454981010">
                      <w:marLeft w:val="0"/>
                      <w:marRight w:val="0"/>
                      <w:marTop w:val="0"/>
                      <w:marBottom w:val="0"/>
                      <w:divBdr>
                        <w:top w:val="none" w:sz="0" w:space="0" w:color="auto"/>
                        <w:left w:val="none" w:sz="0" w:space="0" w:color="auto"/>
                        <w:bottom w:val="none" w:sz="0" w:space="0" w:color="auto"/>
                        <w:right w:val="none" w:sz="0" w:space="0" w:color="auto"/>
                      </w:divBdr>
                    </w:div>
                    <w:div w:id="1518616233">
                      <w:marLeft w:val="0"/>
                      <w:marRight w:val="0"/>
                      <w:marTop w:val="0"/>
                      <w:marBottom w:val="0"/>
                      <w:divBdr>
                        <w:top w:val="none" w:sz="0" w:space="0" w:color="auto"/>
                        <w:left w:val="none" w:sz="0" w:space="0" w:color="auto"/>
                        <w:bottom w:val="none" w:sz="0" w:space="0" w:color="auto"/>
                        <w:right w:val="none" w:sz="0" w:space="0" w:color="auto"/>
                      </w:divBdr>
                    </w:div>
                    <w:div w:id="1739328147">
                      <w:marLeft w:val="0"/>
                      <w:marRight w:val="0"/>
                      <w:marTop w:val="0"/>
                      <w:marBottom w:val="0"/>
                      <w:divBdr>
                        <w:top w:val="none" w:sz="0" w:space="0" w:color="auto"/>
                        <w:left w:val="none" w:sz="0" w:space="0" w:color="auto"/>
                        <w:bottom w:val="none" w:sz="0" w:space="0" w:color="auto"/>
                        <w:right w:val="none" w:sz="0" w:space="0" w:color="auto"/>
                      </w:divBdr>
                    </w:div>
                    <w:div w:id="1888909851">
                      <w:marLeft w:val="0"/>
                      <w:marRight w:val="0"/>
                      <w:marTop w:val="0"/>
                      <w:marBottom w:val="0"/>
                      <w:divBdr>
                        <w:top w:val="none" w:sz="0" w:space="0" w:color="auto"/>
                        <w:left w:val="none" w:sz="0" w:space="0" w:color="auto"/>
                        <w:bottom w:val="none" w:sz="0" w:space="0" w:color="auto"/>
                        <w:right w:val="none" w:sz="0" w:space="0" w:color="auto"/>
                      </w:divBdr>
                    </w:div>
                    <w:div w:id="2000380203">
                      <w:marLeft w:val="0"/>
                      <w:marRight w:val="0"/>
                      <w:marTop w:val="0"/>
                      <w:marBottom w:val="0"/>
                      <w:divBdr>
                        <w:top w:val="none" w:sz="0" w:space="0" w:color="auto"/>
                        <w:left w:val="none" w:sz="0" w:space="0" w:color="auto"/>
                        <w:bottom w:val="none" w:sz="0" w:space="0" w:color="auto"/>
                        <w:right w:val="none" w:sz="0" w:space="0" w:color="auto"/>
                      </w:divBdr>
                    </w:div>
                  </w:divsChild>
                </w:div>
                <w:div w:id="2139101775">
                  <w:marLeft w:val="0"/>
                  <w:marRight w:val="0"/>
                  <w:marTop w:val="0"/>
                  <w:marBottom w:val="0"/>
                  <w:divBdr>
                    <w:top w:val="none" w:sz="0" w:space="0" w:color="auto"/>
                    <w:left w:val="none" w:sz="0" w:space="0" w:color="auto"/>
                    <w:bottom w:val="none" w:sz="0" w:space="0" w:color="auto"/>
                    <w:right w:val="none" w:sz="0" w:space="0" w:color="auto"/>
                  </w:divBdr>
                  <w:divsChild>
                    <w:div w:id="7870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0563">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26027477">
      <w:bodyDiv w:val="1"/>
      <w:marLeft w:val="0"/>
      <w:marRight w:val="0"/>
      <w:marTop w:val="0"/>
      <w:marBottom w:val="0"/>
      <w:divBdr>
        <w:top w:val="none" w:sz="0" w:space="0" w:color="auto"/>
        <w:left w:val="none" w:sz="0" w:space="0" w:color="auto"/>
        <w:bottom w:val="none" w:sz="0" w:space="0" w:color="auto"/>
        <w:right w:val="none" w:sz="0" w:space="0" w:color="auto"/>
      </w:divBdr>
      <w:divsChild>
        <w:div w:id="365561937">
          <w:marLeft w:val="0"/>
          <w:marRight w:val="0"/>
          <w:marTop w:val="0"/>
          <w:marBottom w:val="0"/>
          <w:divBdr>
            <w:top w:val="none" w:sz="0" w:space="0" w:color="auto"/>
            <w:left w:val="none" w:sz="0" w:space="0" w:color="auto"/>
            <w:bottom w:val="none" w:sz="0" w:space="0" w:color="auto"/>
            <w:right w:val="none" w:sz="0" w:space="0" w:color="auto"/>
          </w:divBdr>
        </w:div>
        <w:div w:id="1964769702">
          <w:marLeft w:val="0"/>
          <w:marRight w:val="0"/>
          <w:marTop w:val="0"/>
          <w:marBottom w:val="0"/>
          <w:divBdr>
            <w:top w:val="none" w:sz="0" w:space="0" w:color="auto"/>
            <w:left w:val="none" w:sz="0" w:space="0" w:color="auto"/>
            <w:bottom w:val="none" w:sz="0" w:space="0" w:color="auto"/>
            <w:right w:val="none" w:sz="0" w:space="0" w:color="auto"/>
          </w:divBdr>
          <w:divsChild>
            <w:div w:id="1757047648">
              <w:marLeft w:val="0"/>
              <w:marRight w:val="0"/>
              <w:marTop w:val="30"/>
              <w:marBottom w:val="30"/>
              <w:divBdr>
                <w:top w:val="none" w:sz="0" w:space="0" w:color="auto"/>
                <w:left w:val="none" w:sz="0" w:space="0" w:color="auto"/>
                <w:bottom w:val="none" w:sz="0" w:space="0" w:color="auto"/>
                <w:right w:val="none" w:sz="0" w:space="0" w:color="auto"/>
              </w:divBdr>
              <w:divsChild>
                <w:div w:id="183597528">
                  <w:marLeft w:val="0"/>
                  <w:marRight w:val="0"/>
                  <w:marTop w:val="0"/>
                  <w:marBottom w:val="0"/>
                  <w:divBdr>
                    <w:top w:val="none" w:sz="0" w:space="0" w:color="auto"/>
                    <w:left w:val="none" w:sz="0" w:space="0" w:color="auto"/>
                    <w:bottom w:val="none" w:sz="0" w:space="0" w:color="auto"/>
                    <w:right w:val="none" w:sz="0" w:space="0" w:color="auto"/>
                  </w:divBdr>
                  <w:divsChild>
                    <w:div w:id="976450481">
                      <w:marLeft w:val="0"/>
                      <w:marRight w:val="0"/>
                      <w:marTop w:val="0"/>
                      <w:marBottom w:val="0"/>
                      <w:divBdr>
                        <w:top w:val="none" w:sz="0" w:space="0" w:color="auto"/>
                        <w:left w:val="none" w:sz="0" w:space="0" w:color="auto"/>
                        <w:bottom w:val="none" w:sz="0" w:space="0" w:color="auto"/>
                        <w:right w:val="none" w:sz="0" w:space="0" w:color="auto"/>
                      </w:divBdr>
                    </w:div>
                  </w:divsChild>
                </w:div>
                <w:div w:id="229971096">
                  <w:marLeft w:val="0"/>
                  <w:marRight w:val="0"/>
                  <w:marTop w:val="0"/>
                  <w:marBottom w:val="0"/>
                  <w:divBdr>
                    <w:top w:val="none" w:sz="0" w:space="0" w:color="auto"/>
                    <w:left w:val="none" w:sz="0" w:space="0" w:color="auto"/>
                    <w:bottom w:val="none" w:sz="0" w:space="0" w:color="auto"/>
                    <w:right w:val="none" w:sz="0" w:space="0" w:color="auto"/>
                  </w:divBdr>
                  <w:divsChild>
                    <w:div w:id="1195968856">
                      <w:marLeft w:val="0"/>
                      <w:marRight w:val="0"/>
                      <w:marTop w:val="0"/>
                      <w:marBottom w:val="0"/>
                      <w:divBdr>
                        <w:top w:val="none" w:sz="0" w:space="0" w:color="auto"/>
                        <w:left w:val="none" w:sz="0" w:space="0" w:color="auto"/>
                        <w:bottom w:val="none" w:sz="0" w:space="0" w:color="auto"/>
                        <w:right w:val="none" w:sz="0" w:space="0" w:color="auto"/>
                      </w:divBdr>
                    </w:div>
                  </w:divsChild>
                </w:div>
                <w:div w:id="329021885">
                  <w:marLeft w:val="0"/>
                  <w:marRight w:val="0"/>
                  <w:marTop w:val="0"/>
                  <w:marBottom w:val="0"/>
                  <w:divBdr>
                    <w:top w:val="none" w:sz="0" w:space="0" w:color="auto"/>
                    <w:left w:val="none" w:sz="0" w:space="0" w:color="auto"/>
                    <w:bottom w:val="none" w:sz="0" w:space="0" w:color="auto"/>
                    <w:right w:val="none" w:sz="0" w:space="0" w:color="auto"/>
                  </w:divBdr>
                  <w:divsChild>
                    <w:div w:id="1594970515">
                      <w:marLeft w:val="0"/>
                      <w:marRight w:val="0"/>
                      <w:marTop w:val="0"/>
                      <w:marBottom w:val="0"/>
                      <w:divBdr>
                        <w:top w:val="none" w:sz="0" w:space="0" w:color="auto"/>
                        <w:left w:val="none" w:sz="0" w:space="0" w:color="auto"/>
                        <w:bottom w:val="none" w:sz="0" w:space="0" w:color="auto"/>
                        <w:right w:val="none" w:sz="0" w:space="0" w:color="auto"/>
                      </w:divBdr>
                    </w:div>
                  </w:divsChild>
                </w:div>
                <w:div w:id="360863483">
                  <w:marLeft w:val="0"/>
                  <w:marRight w:val="0"/>
                  <w:marTop w:val="0"/>
                  <w:marBottom w:val="0"/>
                  <w:divBdr>
                    <w:top w:val="none" w:sz="0" w:space="0" w:color="auto"/>
                    <w:left w:val="none" w:sz="0" w:space="0" w:color="auto"/>
                    <w:bottom w:val="none" w:sz="0" w:space="0" w:color="auto"/>
                    <w:right w:val="none" w:sz="0" w:space="0" w:color="auto"/>
                  </w:divBdr>
                  <w:divsChild>
                    <w:div w:id="1434588339">
                      <w:marLeft w:val="0"/>
                      <w:marRight w:val="0"/>
                      <w:marTop w:val="0"/>
                      <w:marBottom w:val="0"/>
                      <w:divBdr>
                        <w:top w:val="none" w:sz="0" w:space="0" w:color="auto"/>
                        <w:left w:val="none" w:sz="0" w:space="0" w:color="auto"/>
                        <w:bottom w:val="none" w:sz="0" w:space="0" w:color="auto"/>
                        <w:right w:val="none" w:sz="0" w:space="0" w:color="auto"/>
                      </w:divBdr>
                    </w:div>
                  </w:divsChild>
                </w:div>
                <w:div w:id="751854227">
                  <w:marLeft w:val="0"/>
                  <w:marRight w:val="0"/>
                  <w:marTop w:val="0"/>
                  <w:marBottom w:val="0"/>
                  <w:divBdr>
                    <w:top w:val="none" w:sz="0" w:space="0" w:color="auto"/>
                    <w:left w:val="none" w:sz="0" w:space="0" w:color="auto"/>
                    <w:bottom w:val="none" w:sz="0" w:space="0" w:color="auto"/>
                    <w:right w:val="none" w:sz="0" w:space="0" w:color="auto"/>
                  </w:divBdr>
                  <w:divsChild>
                    <w:div w:id="1757359232">
                      <w:marLeft w:val="0"/>
                      <w:marRight w:val="0"/>
                      <w:marTop w:val="0"/>
                      <w:marBottom w:val="0"/>
                      <w:divBdr>
                        <w:top w:val="none" w:sz="0" w:space="0" w:color="auto"/>
                        <w:left w:val="none" w:sz="0" w:space="0" w:color="auto"/>
                        <w:bottom w:val="none" w:sz="0" w:space="0" w:color="auto"/>
                        <w:right w:val="none" w:sz="0" w:space="0" w:color="auto"/>
                      </w:divBdr>
                    </w:div>
                  </w:divsChild>
                </w:div>
                <w:div w:id="801196015">
                  <w:marLeft w:val="0"/>
                  <w:marRight w:val="0"/>
                  <w:marTop w:val="0"/>
                  <w:marBottom w:val="0"/>
                  <w:divBdr>
                    <w:top w:val="none" w:sz="0" w:space="0" w:color="auto"/>
                    <w:left w:val="none" w:sz="0" w:space="0" w:color="auto"/>
                    <w:bottom w:val="none" w:sz="0" w:space="0" w:color="auto"/>
                    <w:right w:val="none" w:sz="0" w:space="0" w:color="auto"/>
                  </w:divBdr>
                  <w:divsChild>
                    <w:div w:id="709308154">
                      <w:marLeft w:val="0"/>
                      <w:marRight w:val="0"/>
                      <w:marTop w:val="0"/>
                      <w:marBottom w:val="0"/>
                      <w:divBdr>
                        <w:top w:val="none" w:sz="0" w:space="0" w:color="auto"/>
                        <w:left w:val="none" w:sz="0" w:space="0" w:color="auto"/>
                        <w:bottom w:val="none" w:sz="0" w:space="0" w:color="auto"/>
                        <w:right w:val="none" w:sz="0" w:space="0" w:color="auto"/>
                      </w:divBdr>
                    </w:div>
                  </w:divsChild>
                </w:div>
                <w:div w:id="835075203">
                  <w:marLeft w:val="0"/>
                  <w:marRight w:val="0"/>
                  <w:marTop w:val="0"/>
                  <w:marBottom w:val="0"/>
                  <w:divBdr>
                    <w:top w:val="none" w:sz="0" w:space="0" w:color="auto"/>
                    <w:left w:val="none" w:sz="0" w:space="0" w:color="auto"/>
                    <w:bottom w:val="none" w:sz="0" w:space="0" w:color="auto"/>
                    <w:right w:val="none" w:sz="0" w:space="0" w:color="auto"/>
                  </w:divBdr>
                  <w:divsChild>
                    <w:div w:id="1354571516">
                      <w:marLeft w:val="0"/>
                      <w:marRight w:val="0"/>
                      <w:marTop w:val="0"/>
                      <w:marBottom w:val="0"/>
                      <w:divBdr>
                        <w:top w:val="none" w:sz="0" w:space="0" w:color="auto"/>
                        <w:left w:val="none" w:sz="0" w:space="0" w:color="auto"/>
                        <w:bottom w:val="none" w:sz="0" w:space="0" w:color="auto"/>
                        <w:right w:val="none" w:sz="0" w:space="0" w:color="auto"/>
                      </w:divBdr>
                    </w:div>
                  </w:divsChild>
                </w:div>
                <w:div w:id="901018934">
                  <w:marLeft w:val="0"/>
                  <w:marRight w:val="0"/>
                  <w:marTop w:val="0"/>
                  <w:marBottom w:val="0"/>
                  <w:divBdr>
                    <w:top w:val="none" w:sz="0" w:space="0" w:color="auto"/>
                    <w:left w:val="none" w:sz="0" w:space="0" w:color="auto"/>
                    <w:bottom w:val="none" w:sz="0" w:space="0" w:color="auto"/>
                    <w:right w:val="none" w:sz="0" w:space="0" w:color="auto"/>
                  </w:divBdr>
                  <w:divsChild>
                    <w:div w:id="257491105">
                      <w:marLeft w:val="0"/>
                      <w:marRight w:val="0"/>
                      <w:marTop w:val="0"/>
                      <w:marBottom w:val="0"/>
                      <w:divBdr>
                        <w:top w:val="none" w:sz="0" w:space="0" w:color="auto"/>
                        <w:left w:val="none" w:sz="0" w:space="0" w:color="auto"/>
                        <w:bottom w:val="none" w:sz="0" w:space="0" w:color="auto"/>
                        <w:right w:val="none" w:sz="0" w:space="0" w:color="auto"/>
                      </w:divBdr>
                    </w:div>
                    <w:div w:id="1951937316">
                      <w:marLeft w:val="0"/>
                      <w:marRight w:val="0"/>
                      <w:marTop w:val="0"/>
                      <w:marBottom w:val="0"/>
                      <w:divBdr>
                        <w:top w:val="none" w:sz="0" w:space="0" w:color="auto"/>
                        <w:left w:val="none" w:sz="0" w:space="0" w:color="auto"/>
                        <w:bottom w:val="none" w:sz="0" w:space="0" w:color="auto"/>
                        <w:right w:val="none" w:sz="0" w:space="0" w:color="auto"/>
                      </w:divBdr>
                    </w:div>
                  </w:divsChild>
                </w:div>
                <w:div w:id="915286939">
                  <w:marLeft w:val="0"/>
                  <w:marRight w:val="0"/>
                  <w:marTop w:val="0"/>
                  <w:marBottom w:val="0"/>
                  <w:divBdr>
                    <w:top w:val="none" w:sz="0" w:space="0" w:color="auto"/>
                    <w:left w:val="none" w:sz="0" w:space="0" w:color="auto"/>
                    <w:bottom w:val="none" w:sz="0" w:space="0" w:color="auto"/>
                    <w:right w:val="none" w:sz="0" w:space="0" w:color="auto"/>
                  </w:divBdr>
                  <w:divsChild>
                    <w:div w:id="1893076531">
                      <w:marLeft w:val="0"/>
                      <w:marRight w:val="0"/>
                      <w:marTop w:val="0"/>
                      <w:marBottom w:val="0"/>
                      <w:divBdr>
                        <w:top w:val="none" w:sz="0" w:space="0" w:color="auto"/>
                        <w:left w:val="none" w:sz="0" w:space="0" w:color="auto"/>
                        <w:bottom w:val="none" w:sz="0" w:space="0" w:color="auto"/>
                        <w:right w:val="none" w:sz="0" w:space="0" w:color="auto"/>
                      </w:divBdr>
                    </w:div>
                  </w:divsChild>
                </w:div>
                <w:div w:id="918247648">
                  <w:marLeft w:val="0"/>
                  <w:marRight w:val="0"/>
                  <w:marTop w:val="0"/>
                  <w:marBottom w:val="0"/>
                  <w:divBdr>
                    <w:top w:val="none" w:sz="0" w:space="0" w:color="auto"/>
                    <w:left w:val="none" w:sz="0" w:space="0" w:color="auto"/>
                    <w:bottom w:val="none" w:sz="0" w:space="0" w:color="auto"/>
                    <w:right w:val="none" w:sz="0" w:space="0" w:color="auto"/>
                  </w:divBdr>
                  <w:divsChild>
                    <w:div w:id="101612236">
                      <w:marLeft w:val="0"/>
                      <w:marRight w:val="0"/>
                      <w:marTop w:val="0"/>
                      <w:marBottom w:val="0"/>
                      <w:divBdr>
                        <w:top w:val="none" w:sz="0" w:space="0" w:color="auto"/>
                        <w:left w:val="none" w:sz="0" w:space="0" w:color="auto"/>
                        <w:bottom w:val="none" w:sz="0" w:space="0" w:color="auto"/>
                        <w:right w:val="none" w:sz="0" w:space="0" w:color="auto"/>
                      </w:divBdr>
                    </w:div>
                    <w:div w:id="468790250">
                      <w:marLeft w:val="0"/>
                      <w:marRight w:val="0"/>
                      <w:marTop w:val="0"/>
                      <w:marBottom w:val="0"/>
                      <w:divBdr>
                        <w:top w:val="none" w:sz="0" w:space="0" w:color="auto"/>
                        <w:left w:val="none" w:sz="0" w:space="0" w:color="auto"/>
                        <w:bottom w:val="none" w:sz="0" w:space="0" w:color="auto"/>
                        <w:right w:val="none" w:sz="0" w:space="0" w:color="auto"/>
                      </w:divBdr>
                    </w:div>
                    <w:div w:id="647979262">
                      <w:marLeft w:val="0"/>
                      <w:marRight w:val="0"/>
                      <w:marTop w:val="0"/>
                      <w:marBottom w:val="0"/>
                      <w:divBdr>
                        <w:top w:val="none" w:sz="0" w:space="0" w:color="auto"/>
                        <w:left w:val="none" w:sz="0" w:space="0" w:color="auto"/>
                        <w:bottom w:val="none" w:sz="0" w:space="0" w:color="auto"/>
                        <w:right w:val="none" w:sz="0" w:space="0" w:color="auto"/>
                      </w:divBdr>
                    </w:div>
                    <w:div w:id="1304699348">
                      <w:marLeft w:val="0"/>
                      <w:marRight w:val="0"/>
                      <w:marTop w:val="0"/>
                      <w:marBottom w:val="0"/>
                      <w:divBdr>
                        <w:top w:val="none" w:sz="0" w:space="0" w:color="auto"/>
                        <w:left w:val="none" w:sz="0" w:space="0" w:color="auto"/>
                        <w:bottom w:val="none" w:sz="0" w:space="0" w:color="auto"/>
                        <w:right w:val="none" w:sz="0" w:space="0" w:color="auto"/>
                      </w:divBdr>
                    </w:div>
                    <w:div w:id="1412048777">
                      <w:marLeft w:val="0"/>
                      <w:marRight w:val="0"/>
                      <w:marTop w:val="0"/>
                      <w:marBottom w:val="0"/>
                      <w:divBdr>
                        <w:top w:val="none" w:sz="0" w:space="0" w:color="auto"/>
                        <w:left w:val="none" w:sz="0" w:space="0" w:color="auto"/>
                        <w:bottom w:val="none" w:sz="0" w:space="0" w:color="auto"/>
                        <w:right w:val="none" w:sz="0" w:space="0" w:color="auto"/>
                      </w:divBdr>
                    </w:div>
                    <w:div w:id="1440947339">
                      <w:marLeft w:val="0"/>
                      <w:marRight w:val="0"/>
                      <w:marTop w:val="0"/>
                      <w:marBottom w:val="0"/>
                      <w:divBdr>
                        <w:top w:val="none" w:sz="0" w:space="0" w:color="auto"/>
                        <w:left w:val="none" w:sz="0" w:space="0" w:color="auto"/>
                        <w:bottom w:val="none" w:sz="0" w:space="0" w:color="auto"/>
                        <w:right w:val="none" w:sz="0" w:space="0" w:color="auto"/>
                      </w:divBdr>
                    </w:div>
                  </w:divsChild>
                </w:div>
                <w:div w:id="950353670">
                  <w:marLeft w:val="0"/>
                  <w:marRight w:val="0"/>
                  <w:marTop w:val="0"/>
                  <w:marBottom w:val="0"/>
                  <w:divBdr>
                    <w:top w:val="none" w:sz="0" w:space="0" w:color="auto"/>
                    <w:left w:val="none" w:sz="0" w:space="0" w:color="auto"/>
                    <w:bottom w:val="none" w:sz="0" w:space="0" w:color="auto"/>
                    <w:right w:val="none" w:sz="0" w:space="0" w:color="auto"/>
                  </w:divBdr>
                  <w:divsChild>
                    <w:div w:id="40715714">
                      <w:marLeft w:val="0"/>
                      <w:marRight w:val="0"/>
                      <w:marTop w:val="0"/>
                      <w:marBottom w:val="0"/>
                      <w:divBdr>
                        <w:top w:val="none" w:sz="0" w:space="0" w:color="auto"/>
                        <w:left w:val="none" w:sz="0" w:space="0" w:color="auto"/>
                        <w:bottom w:val="none" w:sz="0" w:space="0" w:color="auto"/>
                        <w:right w:val="none" w:sz="0" w:space="0" w:color="auto"/>
                      </w:divBdr>
                    </w:div>
                  </w:divsChild>
                </w:div>
                <w:div w:id="1164858537">
                  <w:marLeft w:val="0"/>
                  <w:marRight w:val="0"/>
                  <w:marTop w:val="0"/>
                  <w:marBottom w:val="0"/>
                  <w:divBdr>
                    <w:top w:val="none" w:sz="0" w:space="0" w:color="auto"/>
                    <w:left w:val="none" w:sz="0" w:space="0" w:color="auto"/>
                    <w:bottom w:val="none" w:sz="0" w:space="0" w:color="auto"/>
                    <w:right w:val="none" w:sz="0" w:space="0" w:color="auto"/>
                  </w:divBdr>
                  <w:divsChild>
                    <w:div w:id="716395935">
                      <w:marLeft w:val="0"/>
                      <w:marRight w:val="0"/>
                      <w:marTop w:val="0"/>
                      <w:marBottom w:val="0"/>
                      <w:divBdr>
                        <w:top w:val="none" w:sz="0" w:space="0" w:color="auto"/>
                        <w:left w:val="none" w:sz="0" w:space="0" w:color="auto"/>
                        <w:bottom w:val="none" w:sz="0" w:space="0" w:color="auto"/>
                        <w:right w:val="none" w:sz="0" w:space="0" w:color="auto"/>
                      </w:divBdr>
                    </w:div>
                  </w:divsChild>
                </w:div>
                <w:div w:id="1174339686">
                  <w:marLeft w:val="0"/>
                  <w:marRight w:val="0"/>
                  <w:marTop w:val="0"/>
                  <w:marBottom w:val="0"/>
                  <w:divBdr>
                    <w:top w:val="none" w:sz="0" w:space="0" w:color="auto"/>
                    <w:left w:val="none" w:sz="0" w:space="0" w:color="auto"/>
                    <w:bottom w:val="none" w:sz="0" w:space="0" w:color="auto"/>
                    <w:right w:val="none" w:sz="0" w:space="0" w:color="auto"/>
                  </w:divBdr>
                  <w:divsChild>
                    <w:div w:id="34039052">
                      <w:marLeft w:val="0"/>
                      <w:marRight w:val="0"/>
                      <w:marTop w:val="0"/>
                      <w:marBottom w:val="0"/>
                      <w:divBdr>
                        <w:top w:val="none" w:sz="0" w:space="0" w:color="auto"/>
                        <w:left w:val="none" w:sz="0" w:space="0" w:color="auto"/>
                        <w:bottom w:val="none" w:sz="0" w:space="0" w:color="auto"/>
                        <w:right w:val="none" w:sz="0" w:space="0" w:color="auto"/>
                      </w:divBdr>
                    </w:div>
                    <w:div w:id="286199567">
                      <w:marLeft w:val="0"/>
                      <w:marRight w:val="0"/>
                      <w:marTop w:val="0"/>
                      <w:marBottom w:val="0"/>
                      <w:divBdr>
                        <w:top w:val="none" w:sz="0" w:space="0" w:color="auto"/>
                        <w:left w:val="none" w:sz="0" w:space="0" w:color="auto"/>
                        <w:bottom w:val="none" w:sz="0" w:space="0" w:color="auto"/>
                        <w:right w:val="none" w:sz="0" w:space="0" w:color="auto"/>
                      </w:divBdr>
                    </w:div>
                    <w:div w:id="343019473">
                      <w:marLeft w:val="0"/>
                      <w:marRight w:val="0"/>
                      <w:marTop w:val="0"/>
                      <w:marBottom w:val="0"/>
                      <w:divBdr>
                        <w:top w:val="none" w:sz="0" w:space="0" w:color="auto"/>
                        <w:left w:val="none" w:sz="0" w:space="0" w:color="auto"/>
                        <w:bottom w:val="none" w:sz="0" w:space="0" w:color="auto"/>
                        <w:right w:val="none" w:sz="0" w:space="0" w:color="auto"/>
                      </w:divBdr>
                    </w:div>
                    <w:div w:id="738404165">
                      <w:marLeft w:val="0"/>
                      <w:marRight w:val="0"/>
                      <w:marTop w:val="0"/>
                      <w:marBottom w:val="0"/>
                      <w:divBdr>
                        <w:top w:val="none" w:sz="0" w:space="0" w:color="auto"/>
                        <w:left w:val="none" w:sz="0" w:space="0" w:color="auto"/>
                        <w:bottom w:val="none" w:sz="0" w:space="0" w:color="auto"/>
                        <w:right w:val="none" w:sz="0" w:space="0" w:color="auto"/>
                      </w:divBdr>
                    </w:div>
                    <w:div w:id="903753946">
                      <w:marLeft w:val="0"/>
                      <w:marRight w:val="0"/>
                      <w:marTop w:val="0"/>
                      <w:marBottom w:val="0"/>
                      <w:divBdr>
                        <w:top w:val="none" w:sz="0" w:space="0" w:color="auto"/>
                        <w:left w:val="none" w:sz="0" w:space="0" w:color="auto"/>
                        <w:bottom w:val="none" w:sz="0" w:space="0" w:color="auto"/>
                        <w:right w:val="none" w:sz="0" w:space="0" w:color="auto"/>
                      </w:divBdr>
                    </w:div>
                    <w:div w:id="999578370">
                      <w:marLeft w:val="0"/>
                      <w:marRight w:val="0"/>
                      <w:marTop w:val="0"/>
                      <w:marBottom w:val="0"/>
                      <w:divBdr>
                        <w:top w:val="none" w:sz="0" w:space="0" w:color="auto"/>
                        <w:left w:val="none" w:sz="0" w:space="0" w:color="auto"/>
                        <w:bottom w:val="none" w:sz="0" w:space="0" w:color="auto"/>
                        <w:right w:val="none" w:sz="0" w:space="0" w:color="auto"/>
                      </w:divBdr>
                    </w:div>
                    <w:div w:id="1338923032">
                      <w:marLeft w:val="0"/>
                      <w:marRight w:val="0"/>
                      <w:marTop w:val="0"/>
                      <w:marBottom w:val="0"/>
                      <w:divBdr>
                        <w:top w:val="none" w:sz="0" w:space="0" w:color="auto"/>
                        <w:left w:val="none" w:sz="0" w:space="0" w:color="auto"/>
                        <w:bottom w:val="none" w:sz="0" w:space="0" w:color="auto"/>
                        <w:right w:val="none" w:sz="0" w:space="0" w:color="auto"/>
                      </w:divBdr>
                    </w:div>
                    <w:div w:id="1671562541">
                      <w:marLeft w:val="0"/>
                      <w:marRight w:val="0"/>
                      <w:marTop w:val="0"/>
                      <w:marBottom w:val="0"/>
                      <w:divBdr>
                        <w:top w:val="none" w:sz="0" w:space="0" w:color="auto"/>
                        <w:left w:val="none" w:sz="0" w:space="0" w:color="auto"/>
                        <w:bottom w:val="none" w:sz="0" w:space="0" w:color="auto"/>
                        <w:right w:val="none" w:sz="0" w:space="0" w:color="auto"/>
                      </w:divBdr>
                    </w:div>
                    <w:div w:id="1830291565">
                      <w:marLeft w:val="0"/>
                      <w:marRight w:val="0"/>
                      <w:marTop w:val="0"/>
                      <w:marBottom w:val="0"/>
                      <w:divBdr>
                        <w:top w:val="none" w:sz="0" w:space="0" w:color="auto"/>
                        <w:left w:val="none" w:sz="0" w:space="0" w:color="auto"/>
                        <w:bottom w:val="none" w:sz="0" w:space="0" w:color="auto"/>
                        <w:right w:val="none" w:sz="0" w:space="0" w:color="auto"/>
                      </w:divBdr>
                    </w:div>
                    <w:div w:id="1852914523">
                      <w:marLeft w:val="0"/>
                      <w:marRight w:val="0"/>
                      <w:marTop w:val="0"/>
                      <w:marBottom w:val="0"/>
                      <w:divBdr>
                        <w:top w:val="none" w:sz="0" w:space="0" w:color="auto"/>
                        <w:left w:val="none" w:sz="0" w:space="0" w:color="auto"/>
                        <w:bottom w:val="none" w:sz="0" w:space="0" w:color="auto"/>
                        <w:right w:val="none" w:sz="0" w:space="0" w:color="auto"/>
                      </w:divBdr>
                    </w:div>
                  </w:divsChild>
                </w:div>
                <w:div w:id="1443842188">
                  <w:marLeft w:val="0"/>
                  <w:marRight w:val="0"/>
                  <w:marTop w:val="0"/>
                  <w:marBottom w:val="0"/>
                  <w:divBdr>
                    <w:top w:val="none" w:sz="0" w:space="0" w:color="auto"/>
                    <w:left w:val="none" w:sz="0" w:space="0" w:color="auto"/>
                    <w:bottom w:val="none" w:sz="0" w:space="0" w:color="auto"/>
                    <w:right w:val="none" w:sz="0" w:space="0" w:color="auto"/>
                  </w:divBdr>
                  <w:divsChild>
                    <w:div w:id="553127098">
                      <w:marLeft w:val="0"/>
                      <w:marRight w:val="0"/>
                      <w:marTop w:val="0"/>
                      <w:marBottom w:val="0"/>
                      <w:divBdr>
                        <w:top w:val="none" w:sz="0" w:space="0" w:color="auto"/>
                        <w:left w:val="none" w:sz="0" w:space="0" w:color="auto"/>
                        <w:bottom w:val="none" w:sz="0" w:space="0" w:color="auto"/>
                        <w:right w:val="none" w:sz="0" w:space="0" w:color="auto"/>
                      </w:divBdr>
                    </w:div>
                  </w:divsChild>
                </w:div>
                <w:div w:id="1452942664">
                  <w:marLeft w:val="0"/>
                  <w:marRight w:val="0"/>
                  <w:marTop w:val="0"/>
                  <w:marBottom w:val="0"/>
                  <w:divBdr>
                    <w:top w:val="none" w:sz="0" w:space="0" w:color="auto"/>
                    <w:left w:val="none" w:sz="0" w:space="0" w:color="auto"/>
                    <w:bottom w:val="none" w:sz="0" w:space="0" w:color="auto"/>
                    <w:right w:val="none" w:sz="0" w:space="0" w:color="auto"/>
                  </w:divBdr>
                  <w:divsChild>
                    <w:div w:id="1462655491">
                      <w:marLeft w:val="0"/>
                      <w:marRight w:val="0"/>
                      <w:marTop w:val="0"/>
                      <w:marBottom w:val="0"/>
                      <w:divBdr>
                        <w:top w:val="none" w:sz="0" w:space="0" w:color="auto"/>
                        <w:left w:val="none" w:sz="0" w:space="0" w:color="auto"/>
                        <w:bottom w:val="none" w:sz="0" w:space="0" w:color="auto"/>
                        <w:right w:val="none" w:sz="0" w:space="0" w:color="auto"/>
                      </w:divBdr>
                    </w:div>
                  </w:divsChild>
                </w:div>
                <w:div w:id="1517768938">
                  <w:marLeft w:val="0"/>
                  <w:marRight w:val="0"/>
                  <w:marTop w:val="0"/>
                  <w:marBottom w:val="0"/>
                  <w:divBdr>
                    <w:top w:val="none" w:sz="0" w:space="0" w:color="auto"/>
                    <w:left w:val="none" w:sz="0" w:space="0" w:color="auto"/>
                    <w:bottom w:val="none" w:sz="0" w:space="0" w:color="auto"/>
                    <w:right w:val="none" w:sz="0" w:space="0" w:color="auto"/>
                  </w:divBdr>
                  <w:divsChild>
                    <w:div w:id="435096736">
                      <w:marLeft w:val="0"/>
                      <w:marRight w:val="0"/>
                      <w:marTop w:val="0"/>
                      <w:marBottom w:val="0"/>
                      <w:divBdr>
                        <w:top w:val="none" w:sz="0" w:space="0" w:color="auto"/>
                        <w:left w:val="none" w:sz="0" w:space="0" w:color="auto"/>
                        <w:bottom w:val="none" w:sz="0" w:space="0" w:color="auto"/>
                        <w:right w:val="none" w:sz="0" w:space="0" w:color="auto"/>
                      </w:divBdr>
                    </w:div>
                  </w:divsChild>
                </w:div>
                <w:div w:id="1743601493">
                  <w:marLeft w:val="0"/>
                  <w:marRight w:val="0"/>
                  <w:marTop w:val="0"/>
                  <w:marBottom w:val="0"/>
                  <w:divBdr>
                    <w:top w:val="none" w:sz="0" w:space="0" w:color="auto"/>
                    <w:left w:val="none" w:sz="0" w:space="0" w:color="auto"/>
                    <w:bottom w:val="none" w:sz="0" w:space="0" w:color="auto"/>
                    <w:right w:val="none" w:sz="0" w:space="0" w:color="auto"/>
                  </w:divBdr>
                  <w:divsChild>
                    <w:div w:id="434132524">
                      <w:marLeft w:val="0"/>
                      <w:marRight w:val="0"/>
                      <w:marTop w:val="0"/>
                      <w:marBottom w:val="0"/>
                      <w:divBdr>
                        <w:top w:val="none" w:sz="0" w:space="0" w:color="auto"/>
                        <w:left w:val="none" w:sz="0" w:space="0" w:color="auto"/>
                        <w:bottom w:val="none" w:sz="0" w:space="0" w:color="auto"/>
                        <w:right w:val="none" w:sz="0" w:space="0" w:color="auto"/>
                      </w:divBdr>
                    </w:div>
                  </w:divsChild>
                </w:div>
                <w:div w:id="1804344887">
                  <w:marLeft w:val="0"/>
                  <w:marRight w:val="0"/>
                  <w:marTop w:val="0"/>
                  <w:marBottom w:val="0"/>
                  <w:divBdr>
                    <w:top w:val="none" w:sz="0" w:space="0" w:color="auto"/>
                    <w:left w:val="none" w:sz="0" w:space="0" w:color="auto"/>
                    <w:bottom w:val="none" w:sz="0" w:space="0" w:color="auto"/>
                    <w:right w:val="none" w:sz="0" w:space="0" w:color="auto"/>
                  </w:divBdr>
                  <w:divsChild>
                    <w:div w:id="1652559225">
                      <w:marLeft w:val="0"/>
                      <w:marRight w:val="0"/>
                      <w:marTop w:val="0"/>
                      <w:marBottom w:val="0"/>
                      <w:divBdr>
                        <w:top w:val="none" w:sz="0" w:space="0" w:color="auto"/>
                        <w:left w:val="none" w:sz="0" w:space="0" w:color="auto"/>
                        <w:bottom w:val="none" w:sz="0" w:space="0" w:color="auto"/>
                        <w:right w:val="none" w:sz="0" w:space="0" w:color="auto"/>
                      </w:divBdr>
                    </w:div>
                  </w:divsChild>
                </w:div>
                <w:div w:id="1889148931">
                  <w:marLeft w:val="0"/>
                  <w:marRight w:val="0"/>
                  <w:marTop w:val="0"/>
                  <w:marBottom w:val="0"/>
                  <w:divBdr>
                    <w:top w:val="none" w:sz="0" w:space="0" w:color="auto"/>
                    <w:left w:val="none" w:sz="0" w:space="0" w:color="auto"/>
                    <w:bottom w:val="none" w:sz="0" w:space="0" w:color="auto"/>
                    <w:right w:val="none" w:sz="0" w:space="0" w:color="auto"/>
                  </w:divBdr>
                  <w:divsChild>
                    <w:div w:id="71856949">
                      <w:marLeft w:val="0"/>
                      <w:marRight w:val="0"/>
                      <w:marTop w:val="0"/>
                      <w:marBottom w:val="0"/>
                      <w:divBdr>
                        <w:top w:val="none" w:sz="0" w:space="0" w:color="auto"/>
                        <w:left w:val="none" w:sz="0" w:space="0" w:color="auto"/>
                        <w:bottom w:val="none" w:sz="0" w:space="0" w:color="auto"/>
                        <w:right w:val="none" w:sz="0" w:space="0" w:color="auto"/>
                      </w:divBdr>
                    </w:div>
                  </w:divsChild>
                </w:div>
                <w:div w:id="1993288086">
                  <w:marLeft w:val="0"/>
                  <w:marRight w:val="0"/>
                  <w:marTop w:val="0"/>
                  <w:marBottom w:val="0"/>
                  <w:divBdr>
                    <w:top w:val="none" w:sz="0" w:space="0" w:color="auto"/>
                    <w:left w:val="none" w:sz="0" w:space="0" w:color="auto"/>
                    <w:bottom w:val="none" w:sz="0" w:space="0" w:color="auto"/>
                    <w:right w:val="none" w:sz="0" w:space="0" w:color="auto"/>
                  </w:divBdr>
                  <w:divsChild>
                    <w:div w:id="21621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55515487">
      <w:bodyDiv w:val="1"/>
      <w:marLeft w:val="0"/>
      <w:marRight w:val="0"/>
      <w:marTop w:val="0"/>
      <w:marBottom w:val="0"/>
      <w:divBdr>
        <w:top w:val="none" w:sz="0" w:space="0" w:color="auto"/>
        <w:left w:val="none" w:sz="0" w:space="0" w:color="auto"/>
        <w:bottom w:val="none" w:sz="0" w:space="0" w:color="auto"/>
        <w:right w:val="none" w:sz="0" w:space="0" w:color="auto"/>
      </w:divBdr>
      <w:divsChild>
        <w:div w:id="1473599119">
          <w:marLeft w:val="0"/>
          <w:marRight w:val="0"/>
          <w:marTop w:val="0"/>
          <w:marBottom w:val="0"/>
          <w:divBdr>
            <w:top w:val="none" w:sz="0" w:space="0" w:color="auto"/>
            <w:left w:val="none" w:sz="0" w:space="0" w:color="auto"/>
            <w:bottom w:val="none" w:sz="0" w:space="0" w:color="auto"/>
            <w:right w:val="none" w:sz="0" w:space="0" w:color="auto"/>
          </w:divBdr>
          <w:divsChild>
            <w:div w:id="1120881845">
              <w:marLeft w:val="0"/>
              <w:marRight w:val="0"/>
              <w:marTop w:val="30"/>
              <w:marBottom w:val="30"/>
              <w:divBdr>
                <w:top w:val="none" w:sz="0" w:space="0" w:color="auto"/>
                <w:left w:val="none" w:sz="0" w:space="0" w:color="auto"/>
                <w:bottom w:val="none" w:sz="0" w:space="0" w:color="auto"/>
                <w:right w:val="none" w:sz="0" w:space="0" w:color="auto"/>
              </w:divBdr>
              <w:divsChild>
                <w:div w:id="19018996">
                  <w:marLeft w:val="0"/>
                  <w:marRight w:val="0"/>
                  <w:marTop w:val="0"/>
                  <w:marBottom w:val="0"/>
                  <w:divBdr>
                    <w:top w:val="none" w:sz="0" w:space="0" w:color="auto"/>
                    <w:left w:val="none" w:sz="0" w:space="0" w:color="auto"/>
                    <w:bottom w:val="none" w:sz="0" w:space="0" w:color="auto"/>
                    <w:right w:val="none" w:sz="0" w:space="0" w:color="auto"/>
                  </w:divBdr>
                  <w:divsChild>
                    <w:div w:id="375937147">
                      <w:marLeft w:val="0"/>
                      <w:marRight w:val="0"/>
                      <w:marTop w:val="0"/>
                      <w:marBottom w:val="0"/>
                      <w:divBdr>
                        <w:top w:val="none" w:sz="0" w:space="0" w:color="auto"/>
                        <w:left w:val="none" w:sz="0" w:space="0" w:color="auto"/>
                        <w:bottom w:val="none" w:sz="0" w:space="0" w:color="auto"/>
                        <w:right w:val="none" w:sz="0" w:space="0" w:color="auto"/>
                      </w:divBdr>
                    </w:div>
                  </w:divsChild>
                </w:div>
                <w:div w:id="49117873">
                  <w:marLeft w:val="0"/>
                  <w:marRight w:val="0"/>
                  <w:marTop w:val="0"/>
                  <w:marBottom w:val="0"/>
                  <w:divBdr>
                    <w:top w:val="none" w:sz="0" w:space="0" w:color="auto"/>
                    <w:left w:val="none" w:sz="0" w:space="0" w:color="auto"/>
                    <w:bottom w:val="none" w:sz="0" w:space="0" w:color="auto"/>
                    <w:right w:val="none" w:sz="0" w:space="0" w:color="auto"/>
                  </w:divBdr>
                  <w:divsChild>
                    <w:div w:id="1142313469">
                      <w:marLeft w:val="0"/>
                      <w:marRight w:val="0"/>
                      <w:marTop w:val="0"/>
                      <w:marBottom w:val="0"/>
                      <w:divBdr>
                        <w:top w:val="none" w:sz="0" w:space="0" w:color="auto"/>
                        <w:left w:val="none" w:sz="0" w:space="0" w:color="auto"/>
                        <w:bottom w:val="none" w:sz="0" w:space="0" w:color="auto"/>
                        <w:right w:val="none" w:sz="0" w:space="0" w:color="auto"/>
                      </w:divBdr>
                    </w:div>
                  </w:divsChild>
                </w:div>
                <w:div w:id="133840370">
                  <w:marLeft w:val="0"/>
                  <w:marRight w:val="0"/>
                  <w:marTop w:val="0"/>
                  <w:marBottom w:val="0"/>
                  <w:divBdr>
                    <w:top w:val="none" w:sz="0" w:space="0" w:color="auto"/>
                    <w:left w:val="none" w:sz="0" w:space="0" w:color="auto"/>
                    <w:bottom w:val="none" w:sz="0" w:space="0" w:color="auto"/>
                    <w:right w:val="none" w:sz="0" w:space="0" w:color="auto"/>
                  </w:divBdr>
                  <w:divsChild>
                    <w:div w:id="601915026">
                      <w:marLeft w:val="0"/>
                      <w:marRight w:val="0"/>
                      <w:marTop w:val="0"/>
                      <w:marBottom w:val="0"/>
                      <w:divBdr>
                        <w:top w:val="none" w:sz="0" w:space="0" w:color="auto"/>
                        <w:left w:val="none" w:sz="0" w:space="0" w:color="auto"/>
                        <w:bottom w:val="none" w:sz="0" w:space="0" w:color="auto"/>
                        <w:right w:val="none" w:sz="0" w:space="0" w:color="auto"/>
                      </w:divBdr>
                    </w:div>
                    <w:div w:id="800730855">
                      <w:marLeft w:val="0"/>
                      <w:marRight w:val="0"/>
                      <w:marTop w:val="0"/>
                      <w:marBottom w:val="0"/>
                      <w:divBdr>
                        <w:top w:val="none" w:sz="0" w:space="0" w:color="auto"/>
                        <w:left w:val="none" w:sz="0" w:space="0" w:color="auto"/>
                        <w:bottom w:val="none" w:sz="0" w:space="0" w:color="auto"/>
                        <w:right w:val="none" w:sz="0" w:space="0" w:color="auto"/>
                      </w:divBdr>
                    </w:div>
                    <w:div w:id="884872107">
                      <w:marLeft w:val="0"/>
                      <w:marRight w:val="0"/>
                      <w:marTop w:val="0"/>
                      <w:marBottom w:val="0"/>
                      <w:divBdr>
                        <w:top w:val="none" w:sz="0" w:space="0" w:color="auto"/>
                        <w:left w:val="none" w:sz="0" w:space="0" w:color="auto"/>
                        <w:bottom w:val="none" w:sz="0" w:space="0" w:color="auto"/>
                        <w:right w:val="none" w:sz="0" w:space="0" w:color="auto"/>
                      </w:divBdr>
                    </w:div>
                    <w:div w:id="1266814703">
                      <w:marLeft w:val="0"/>
                      <w:marRight w:val="0"/>
                      <w:marTop w:val="0"/>
                      <w:marBottom w:val="0"/>
                      <w:divBdr>
                        <w:top w:val="none" w:sz="0" w:space="0" w:color="auto"/>
                        <w:left w:val="none" w:sz="0" w:space="0" w:color="auto"/>
                        <w:bottom w:val="none" w:sz="0" w:space="0" w:color="auto"/>
                        <w:right w:val="none" w:sz="0" w:space="0" w:color="auto"/>
                      </w:divBdr>
                    </w:div>
                    <w:div w:id="2026251558">
                      <w:marLeft w:val="0"/>
                      <w:marRight w:val="0"/>
                      <w:marTop w:val="0"/>
                      <w:marBottom w:val="0"/>
                      <w:divBdr>
                        <w:top w:val="none" w:sz="0" w:space="0" w:color="auto"/>
                        <w:left w:val="none" w:sz="0" w:space="0" w:color="auto"/>
                        <w:bottom w:val="none" w:sz="0" w:space="0" w:color="auto"/>
                        <w:right w:val="none" w:sz="0" w:space="0" w:color="auto"/>
                      </w:divBdr>
                    </w:div>
                    <w:div w:id="2060472769">
                      <w:marLeft w:val="0"/>
                      <w:marRight w:val="0"/>
                      <w:marTop w:val="0"/>
                      <w:marBottom w:val="0"/>
                      <w:divBdr>
                        <w:top w:val="none" w:sz="0" w:space="0" w:color="auto"/>
                        <w:left w:val="none" w:sz="0" w:space="0" w:color="auto"/>
                        <w:bottom w:val="none" w:sz="0" w:space="0" w:color="auto"/>
                        <w:right w:val="none" w:sz="0" w:space="0" w:color="auto"/>
                      </w:divBdr>
                    </w:div>
                  </w:divsChild>
                </w:div>
                <w:div w:id="193737111">
                  <w:marLeft w:val="0"/>
                  <w:marRight w:val="0"/>
                  <w:marTop w:val="0"/>
                  <w:marBottom w:val="0"/>
                  <w:divBdr>
                    <w:top w:val="none" w:sz="0" w:space="0" w:color="auto"/>
                    <w:left w:val="none" w:sz="0" w:space="0" w:color="auto"/>
                    <w:bottom w:val="none" w:sz="0" w:space="0" w:color="auto"/>
                    <w:right w:val="none" w:sz="0" w:space="0" w:color="auto"/>
                  </w:divBdr>
                  <w:divsChild>
                    <w:div w:id="1411777420">
                      <w:marLeft w:val="0"/>
                      <w:marRight w:val="0"/>
                      <w:marTop w:val="0"/>
                      <w:marBottom w:val="0"/>
                      <w:divBdr>
                        <w:top w:val="none" w:sz="0" w:space="0" w:color="auto"/>
                        <w:left w:val="none" w:sz="0" w:space="0" w:color="auto"/>
                        <w:bottom w:val="none" w:sz="0" w:space="0" w:color="auto"/>
                        <w:right w:val="none" w:sz="0" w:space="0" w:color="auto"/>
                      </w:divBdr>
                    </w:div>
                  </w:divsChild>
                </w:div>
                <w:div w:id="265431393">
                  <w:marLeft w:val="0"/>
                  <w:marRight w:val="0"/>
                  <w:marTop w:val="0"/>
                  <w:marBottom w:val="0"/>
                  <w:divBdr>
                    <w:top w:val="none" w:sz="0" w:space="0" w:color="auto"/>
                    <w:left w:val="none" w:sz="0" w:space="0" w:color="auto"/>
                    <w:bottom w:val="none" w:sz="0" w:space="0" w:color="auto"/>
                    <w:right w:val="none" w:sz="0" w:space="0" w:color="auto"/>
                  </w:divBdr>
                  <w:divsChild>
                    <w:div w:id="291442389">
                      <w:marLeft w:val="0"/>
                      <w:marRight w:val="0"/>
                      <w:marTop w:val="0"/>
                      <w:marBottom w:val="0"/>
                      <w:divBdr>
                        <w:top w:val="none" w:sz="0" w:space="0" w:color="auto"/>
                        <w:left w:val="none" w:sz="0" w:space="0" w:color="auto"/>
                        <w:bottom w:val="none" w:sz="0" w:space="0" w:color="auto"/>
                        <w:right w:val="none" w:sz="0" w:space="0" w:color="auto"/>
                      </w:divBdr>
                    </w:div>
                  </w:divsChild>
                </w:div>
                <w:div w:id="337662337">
                  <w:marLeft w:val="0"/>
                  <w:marRight w:val="0"/>
                  <w:marTop w:val="0"/>
                  <w:marBottom w:val="0"/>
                  <w:divBdr>
                    <w:top w:val="none" w:sz="0" w:space="0" w:color="auto"/>
                    <w:left w:val="none" w:sz="0" w:space="0" w:color="auto"/>
                    <w:bottom w:val="none" w:sz="0" w:space="0" w:color="auto"/>
                    <w:right w:val="none" w:sz="0" w:space="0" w:color="auto"/>
                  </w:divBdr>
                  <w:divsChild>
                    <w:div w:id="1038318481">
                      <w:marLeft w:val="0"/>
                      <w:marRight w:val="0"/>
                      <w:marTop w:val="0"/>
                      <w:marBottom w:val="0"/>
                      <w:divBdr>
                        <w:top w:val="none" w:sz="0" w:space="0" w:color="auto"/>
                        <w:left w:val="none" w:sz="0" w:space="0" w:color="auto"/>
                        <w:bottom w:val="none" w:sz="0" w:space="0" w:color="auto"/>
                        <w:right w:val="none" w:sz="0" w:space="0" w:color="auto"/>
                      </w:divBdr>
                    </w:div>
                  </w:divsChild>
                </w:div>
                <w:div w:id="371081786">
                  <w:marLeft w:val="0"/>
                  <w:marRight w:val="0"/>
                  <w:marTop w:val="0"/>
                  <w:marBottom w:val="0"/>
                  <w:divBdr>
                    <w:top w:val="none" w:sz="0" w:space="0" w:color="auto"/>
                    <w:left w:val="none" w:sz="0" w:space="0" w:color="auto"/>
                    <w:bottom w:val="none" w:sz="0" w:space="0" w:color="auto"/>
                    <w:right w:val="none" w:sz="0" w:space="0" w:color="auto"/>
                  </w:divBdr>
                  <w:divsChild>
                    <w:div w:id="1400176797">
                      <w:marLeft w:val="0"/>
                      <w:marRight w:val="0"/>
                      <w:marTop w:val="0"/>
                      <w:marBottom w:val="0"/>
                      <w:divBdr>
                        <w:top w:val="none" w:sz="0" w:space="0" w:color="auto"/>
                        <w:left w:val="none" w:sz="0" w:space="0" w:color="auto"/>
                        <w:bottom w:val="none" w:sz="0" w:space="0" w:color="auto"/>
                        <w:right w:val="none" w:sz="0" w:space="0" w:color="auto"/>
                      </w:divBdr>
                    </w:div>
                  </w:divsChild>
                </w:div>
                <w:div w:id="423721721">
                  <w:marLeft w:val="0"/>
                  <w:marRight w:val="0"/>
                  <w:marTop w:val="0"/>
                  <w:marBottom w:val="0"/>
                  <w:divBdr>
                    <w:top w:val="none" w:sz="0" w:space="0" w:color="auto"/>
                    <w:left w:val="none" w:sz="0" w:space="0" w:color="auto"/>
                    <w:bottom w:val="none" w:sz="0" w:space="0" w:color="auto"/>
                    <w:right w:val="none" w:sz="0" w:space="0" w:color="auto"/>
                  </w:divBdr>
                  <w:divsChild>
                    <w:div w:id="1257324182">
                      <w:marLeft w:val="0"/>
                      <w:marRight w:val="0"/>
                      <w:marTop w:val="0"/>
                      <w:marBottom w:val="0"/>
                      <w:divBdr>
                        <w:top w:val="none" w:sz="0" w:space="0" w:color="auto"/>
                        <w:left w:val="none" w:sz="0" w:space="0" w:color="auto"/>
                        <w:bottom w:val="none" w:sz="0" w:space="0" w:color="auto"/>
                        <w:right w:val="none" w:sz="0" w:space="0" w:color="auto"/>
                      </w:divBdr>
                    </w:div>
                  </w:divsChild>
                </w:div>
                <w:div w:id="725253672">
                  <w:marLeft w:val="0"/>
                  <w:marRight w:val="0"/>
                  <w:marTop w:val="0"/>
                  <w:marBottom w:val="0"/>
                  <w:divBdr>
                    <w:top w:val="none" w:sz="0" w:space="0" w:color="auto"/>
                    <w:left w:val="none" w:sz="0" w:space="0" w:color="auto"/>
                    <w:bottom w:val="none" w:sz="0" w:space="0" w:color="auto"/>
                    <w:right w:val="none" w:sz="0" w:space="0" w:color="auto"/>
                  </w:divBdr>
                  <w:divsChild>
                    <w:div w:id="1705978751">
                      <w:marLeft w:val="0"/>
                      <w:marRight w:val="0"/>
                      <w:marTop w:val="0"/>
                      <w:marBottom w:val="0"/>
                      <w:divBdr>
                        <w:top w:val="none" w:sz="0" w:space="0" w:color="auto"/>
                        <w:left w:val="none" w:sz="0" w:space="0" w:color="auto"/>
                        <w:bottom w:val="none" w:sz="0" w:space="0" w:color="auto"/>
                        <w:right w:val="none" w:sz="0" w:space="0" w:color="auto"/>
                      </w:divBdr>
                    </w:div>
                  </w:divsChild>
                </w:div>
                <w:div w:id="951473186">
                  <w:marLeft w:val="0"/>
                  <w:marRight w:val="0"/>
                  <w:marTop w:val="0"/>
                  <w:marBottom w:val="0"/>
                  <w:divBdr>
                    <w:top w:val="none" w:sz="0" w:space="0" w:color="auto"/>
                    <w:left w:val="none" w:sz="0" w:space="0" w:color="auto"/>
                    <w:bottom w:val="none" w:sz="0" w:space="0" w:color="auto"/>
                    <w:right w:val="none" w:sz="0" w:space="0" w:color="auto"/>
                  </w:divBdr>
                  <w:divsChild>
                    <w:div w:id="152838968">
                      <w:marLeft w:val="0"/>
                      <w:marRight w:val="0"/>
                      <w:marTop w:val="0"/>
                      <w:marBottom w:val="0"/>
                      <w:divBdr>
                        <w:top w:val="none" w:sz="0" w:space="0" w:color="auto"/>
                        <w:left w:val="none" w:sz="0" w:space="0" w:color="auto"/>
                        <w:bottom w:val="none" w:sz="0" w:space="0" w:color="auto"/>
                        <w:right w:val="none" w:sz="0" w:space="0" w:color="auto"/>
                      </w:divBdr>
                    </w:div>
                  </w:divsChild>
                </w:div>
                <w:div w:id="1109197465">
                  <w:marLeft w:val="0"/>
                  <w:marRight w:val="0"/>
                  <w:marTop w:val="0"/>
                  <w:marBottom w:val="0"/>
                  <w:divBdr>
                    <w:top w:val="none" w:sz="0" w:space="0" w:color="auto"/>
                    <w:left w:val="none" w:sz="0" w:space="0" w:color="auto"/>
                    <w:bottom w:val="none" w:sz="0" w:space="0" w:color="auto"/>
                    <w:right w:val="none" w:sz="0" w:space="0" w:color="auto"/>
                  </w:divBdr>
                  <w:divsChild>
                    <w:div w:id="462885888">
                      <w:marLeft w:val="0"/>
                      <w:marRight w:val="0"/>
                      <w:marTop w:val="0"/>
                      <w:marBottom w:val="0"/>
                      <w:divBdr>
                        <w:top w:val="none" w:sz="0" w:space="0" w:color="auto"/>
                        <w:left w:val="none" w:sz="0" w:space="0" w:color="auto"/>
                        <w:bottom w:val="none" w:sz="0" w:space="0" w:color="auto"/>
                        <w:right w:val="none" w:sz="0" w:space="0" w:color="auto"/>
                      </w:divBdr>
                    </w:div>
                  </w:divsChild>
                </w:div>
                <w:div w:id="1151677998">
                  <w:marLeft w:val="0"/>
                  <w:marRight w:val="0"/>
                  <w:marTop w:val="0"/>
                  <w:marBottom w:val="0"/>
                  <w:divBdr>
                    <w:top w:val="none" w:sz="0" w:space="0" w:color="auto"/>
                    <w:left w:val="none" w:sz="0" w:space="0" w:color="auto"/>
                    <w:bottom w:val="none" w:sz="0" w:space="0" w:color="auto"/>
                    <w:right w:val="none" w:sz="0" w:space="0" w:color="auto"/>
                  </w:divBdr>
                  <w:divsChild>
                    <w:div w:id="2003501752">
                      <w:marLeft w:val="0"/>
                      <w:marRight w:val="0"/>
                      <w:marTop w:val="0"/>
                      <w:marBottom w:val="0"/>
                      <w:divBdr>
                        <w:top w:val="none" w:sz="0" w:space="0" w:color="auto"/>
                        <w:left w:val="none" w:sz="0" w:space="0" w:color="auto"/>
                        <w:bottom w:val="none" w:sz="0" w:space="0" w:color="auto"/>
                        <w:right w:val="none" w:sz="0" w:space="0" w:color="auto"/>
                      </w:divBdr>
                    </w:div>
                  </w:divsChild>
                </w:div>
                <w:div w:id="1169636155">
                  <w:marLeft w:val="0"/>
                  <w:marRight w:val="0"/>
                  <w:marTop w:val="0"/>
                  <w:marBottom w:val="0"/>
                  <w:divBdr>
                    <w:top w:val="none" w:sz="0" w:space="0" w:color="auto"/>
                    <w:left w:val="none" w:sz="0" w:space="0" w:color="auto"/>
                    <w:bottom w:val="none" w:sz="0" w:space="0" w:color="auto"/>
                    <w:right w:val="none" w:sz="0" w:space="0" w:color="auto"/>
                  </w:divBdr>
                  <w:divsChild>
                    <w:div w:id="613286804">
                      <w:marLeft w:val="0"/>
                      <w:marRight w:val="0"/>
                      <w:marTop w:val="0"/>
                      <w:marBottom w:val="0"/>
                      <w:divBdr>
                        <w:top w:val="none" w:sz="0" w:space="0" w:color="auto"/>
                        <w:left w:val="none" w:sz="0" w:space="0" w:color="auto"/>
                        <w:bottom w:val="none" w:sz="0" w:space="0" w:color="auto"/>
                        <w:right w:val="none" w:sz="0" w:space="0" w:color="auto"/>
                      </w:divBdr>
                    </w:div>
                  </w:divsChild>
                </w:div>
                <w:div w:id="1424254685">
                  <w:marLeft w:val="0"/>
                  <w:marRight w:val="0"/>
                  <w:marTop w:val="0"/>
                  <w:marBottom w:val="0"/>
                  <w:divBdr>
                    <w:top w:val="none" w:sz="0" w:space="0" w:color="auto"/>
                    <w:left w:val="none" w:sz="0" w:space="0" w:color="auto"/>
                    <w:bottom w:val="none" w:sz="0" w:space="0" w:color="auto"/>
                    <w:right w:val="none" w:sz="0" w:space="0" w:color="auto"/>
                  </w:divBdr>
                  <w:divsChild>
                    <w:div w:id="187568378">
                      <w:marLeft w:val="0"/>
                      <w:marRight w:val="0"/>
                      <w:marTop w:val="0"/>
                      <w:marBottom w:val="0"/>
                      <w:divBdr>
                        <w:top w:val="none" w:sz="0" w:space="0" w:color="auto"/>
                        <w:left w:val="none" w:sz="0" w:space="0" w:color="auto"/>
                        <w:bottom w:val="none" w:sz="0" w:space="0" w:color="auto"/>
                        <w:right w:val="none" w:sz="0" w:space="0" w:color="auto"/>
                      </w:divBdr>
                    </w:div>
                  </w:divsChild>
                </w:div>
                <w:div w:id="1682195092">
                  <w:marLeft w:val="0"/>
                  <w:marRight w:val="0"/>
                  <w:marTop w:val="0"/>
                  <w:marBottom w:val="0"/>
                  <w:divBdr>
                    <w:top w:val="none" w:sz="0" w:space="0" w:color="auto"/>
                    <w:left w:val="none" w:sz="0" w:space="0" w:color="auto"/>
                    <w:bottom w:val="none" w:sz="0" w:space="0" w:color="auto"/>
                    <w:right w:val="none" w:sz="0" w:space="0" w:color="auto"/>
                  </w:divBdr>
                  <w:divsChild>
                    <w:div w:id="180633253">
                      <w:marLeft w:val="0"/>
                      <w:marRight w:val="0"/>
                      <w:marTop w:val="0"/>
                      <w:marBottom w:val="0"/>
                      <w:divBdr>
                        <w:top w:val="none" w:sz="0" w:space="0" w:color="auto"/>
                        <w:left w:val="none" w:sz="0" w:space="0" w:color="auto"/>
                        <w:bottom w:val="none" w:sz="0" w:space="0" w:color="auto"/>
                        <w:right w:val="none" w:sz="0" w:space="0" w:color="auto"/>
                      </w:divBdr>
                    </w:div>
                  </w:divsChild>
                </w:div>
                <w:div w:id="1785340811">
                  <w:marLeft w:val="0"/>
                  <w:marRight w:val="0"/>
                  <w:marTop w:val="0"/>
                  <w:marBottom w:val="0"/>
                  <w:divBdr>
                    <w:top w:val="none" w:sz="0" w:space="0" w:color="auto"/>
                    <w:left w:val="none" w:sz="0" w:space="0" w:color="auto"/>
                    <w:bottom w:val="none" w:sz="0" w:space="0" w:color="auto"/>
                    <w:right w:val="none" w:sz="0" w:space="0" w:color="auto"/>
                  </w:divBdr>
                  <w:divsChild>
                    <w:div w:id="116337872">
                      <w:marLeft w:val="0"/>
                      <w:marRight w:val="0"/>
                      <w:marTop w:val="0"/>
                      <w:marBottom w:val="0"/>
                      <w:divBdr>
                        <w:top w:val="none" w:sz="0" w:space="0" w:color="auto"/>
                        <w:left w:val="none" w:sz="0" w:space="0" w:color="auto"/>
                        <w:bottom w:val="none" w:sz="0" w:space="0" w:color="auto"/>
                        <w:right w:val="none" w:sz="0" w:space="0" w:color="auto"/>
                      </w:divBdr>
                    </w:div>
                    <w:div w:id="259873986">
                      <w:marLeft w:val="0"/>
                      <w:marRight w:val="0"/>
                      <w:marTop w:val="0"/>
                      <w:marBottom w:val="0"/>
                      <w:divBdr>
                        <w:top w:val="none" w:sz="0" w:space="0" w:color="auto"/>
                        <w:left w:val="none" w:sz="0" w:space="0" w:color="auto"/>
                        <w:bottom w:val="none" w:sz="0" w:space="0" w:color="auto"/>
                        <w:right w:val="none" w:sz="0" w:space="0" w:color="auto"/>
                      </w:divBdr>
                    </w:div>
                    <w:div w:id="414211445">
                      <w:marLeft w:val="0"/>
                      <w:marRight w:val="0"/>
                      <w:marTop w:val="0"/>
                      <w:marBottom w:val="0"/>
                      <w:divBdr>
                        <w:top w:val="none" w:sz="0" w:space="0" w:color="auto"/>
                        <w:left w:val="none" w:sz="0" w:space="0" w:color="auto"/>
                        <w:bottom w:val="none" w:sz="0" w:space="0" w:color="auto"/>
                        <w:right w:val="none" w:sz="0" w:space="0" w:color="auto"/>
                      </w:divBdr>
                    </w:div>
                    <w:div w:id="616446210">
                      <w:marLeft w:val="0"/>
                      <w:marRight w:val="0"/>
                      <w:marTop w:val="0"/>
                      <w:marBottom w:val="0"/>
                      <w:divBdr>
                        <w:top w:val="none" w:sz="0" w:space="0" w:color="auto"/>
                        <w:left w:val="none" w:sz="0" w:space="0" w:color="auto"/>
                        <w:bottom w:val="none" w:sz="0" w:space="0" w:color="auto"/>
                        <w:right w:val="none" w:sz="0" w:space="0" w:color="auto"/>
                      </w:divBdr>
                    </w:div>
                    <w:div w:id="670957972">
                      <w:marLeft w:val="0"/>
                      <w:marRight w:val="0"/>
                      <w:marTop w:val="0"/>
                      <w:marBottom w:val="0"/>
                      <w:divBdr>
                        <w:top w:val="none" w:sz="0" w:space="0" w:color="auto"/>
                        <w:left w:val="none" w:sz="0" w:space="0" w:color="auto"/>
                        <w:bottom w:val="none" w:sz="0" w:space="0" w:color="auto"/>
                        <w:right w:val="none" w:sz="0" w:space="0" w:color="auto"/>
                      </w:divBdr>
                    </w:div>
                    <w:div w:id="905071264">
                      <w:marLeft w:val="0"/>
                      <w:marRight w:val="0"/>
                      <w:marTop w:val="0"/>
                      <w:marBottom w:val="0"/>
                      <w:divBdr>
                        <w:top w:val="none" w:sz="0" w:space="0" w:color="auto"/>
                        <w:left w:val="none" w:sz="0" w:space="0" w:color="auto"/>
                        <w:bottom w:val="none" w:sz="0" w:space="0" w:color="auto"/>
                        <w:right w:val="none" w:sz="0" w:space="0" w:color="auto"/>
                      </w:divBdr>
                    </w:div>
                    <w:div w:id="1145007110">
                      <w:marLeft w:val="0"/>
                      <w:marRight w:val="0"/>
                      <w:marTop w:val="0"/>
                      <w:marBottom w:val="0"/>
                      <w:divBdr>
                        <w:top w:val="none" w:sz="0" w:space="0" w:color="auto"/>
                        <w:left w:val="none" w:sz="0" w:space="0" w:color="auto"/>
                        <w:bottom w:val="none" w:sz="0" w:space="0" w:color="auto"/>
                        <w:right w:val="none" w:sz="0" w:space="0" w:color="auto"/>
                      </w:divBdr>
                    </w:div>
                    <w:div w:id="1643196091">
                      <w:marLeft w:val="0"/>
                      <w:marRight w:val="0"/>
                      <w:marTop w:val="0"/>
                      <w:marBottom w:val="0"/>
                      <w:divBdr>
                        <w:top w:val="none" w:sz="0" w:space="0" w:color="auto"/>
                        <w:left w:val="none" w:sz="0" w:space="0" w:color="auto"/>
                        <w:bottom w:val="none" w:sz="0" w:space="0" w:color="auto"/>
                        <w:right w:val="none" w:sz="0" w:space="0" w:color="auto"/>
                      </w:divBdr>
                    </w:div>
                    <w:div w:id="1703901153">
                      <w:marLeft w:val="0"/>
                      <w:marRight w:val="0"/>
                      <w:marTop w:val="0"/>
                      <w:marBottom w:val="0"/>
                      <w:divBdr>
                        <w:top w:val="none" w:sz="0" w:space="0" w:color="auto"/>
                        <w:left w:val="none" w:sz="0" w:space="0" w:color="auto"/>
                        <w:bottom w:val="none" w:sz="0" w:space="0" w:color="auto"/>
                        <w:right w:val="none" w:sz="0" w:space="0" w:color="auto"/>
                      </w:divBdr>
                    </w:div>
                    <w:div w:id="2088572416">
                      <w:marLeft w:val="0"/>
                      <w:marRight w:val="0"/>
                      <w:marTop w:val="0"/>
                      <w:marBottom w:val="0"/>
                      <w:divBdr>
                        <w:top w:val="none" w:sz="0" w:space="0" w:color="auto"/>
                        <w:left w:val="none" w:sz="0" w:space="0" w:color="auto"/>
                        <w:bottom w:val="none" w:sz="0" w:space="0" w:color="auto"/>
                        <w:right w:val="none" w:sz="0" w:space="0" w:color="auto"/>
                      </w:divBdr>
                    </w:div>
                  </w:divsChild>
                </w:div>
                <w:div w:id="1917199745">
                  <w:marLeft w:val="0"/>
                  <w:marRight w:val="0"/>
                  <w:marTop w:val="0"/>
                  <w:marBottom w:val="0"/>
                  <w:divBdr>
                    <w:top w:val="none" w:sz="0" w:space="0" w:color="auto"/>
                    <w:left w:val="none" w:sz="0" w:space="0" w:color="auto"/>
                    <w:bottom w:val="none" w:sz="0" w:space="0" w:color="auto"/>
                    <w:right w:val="none" w:sz="0" w:space="0" w:color="auto"/>
                  </w:divBdr>
                  <w:divsChild>
                    <w:div w:id="390344140">
                      <w:marLeft w:val="0"/>
                      <w:marRight w:val="0"/>
                      <w:marTop w:val="0"/>
                      <w:marBottom w:val="0"/>
                      <w:divBdr>
                        <w:top w:val="none" w:sz="0" w:space="0" w:color="auto"/>
                        <w:left w:val="none" w:sz="0" w:space="0" w:color="auto"/>
                        <w:bottom w:val="none" w:sz="0" w:space="0" w:color="auto"/>
                        <w:right w:val="none" w:sz="0" w:space="0" w:color="auto"/>
                      </w:divBdr>
                    </w:div>
                  </w:divsChild>
                </w:div>
                <w:div w:id="1991668843">
                  <w:marLeft w:val="0"/>
                  <w:marRight w:val="0"/>
                  <w:marTop w:val="0"/>
                  <w:marBottom w:val="0"/>
                  <w:divBdr>
                    <w:top w:val="none" w:sz="0" w:space="0" w:color="auto"/>
                    <w:left w:val="none" w:sz="0" w:space="0" w:color="auto"/>
                    <w:bottom w:val="none" w:sz="0" w:space="0" w:color="auto"/>
                    <w:right w:val="none" w:sz="0" w:space="0" w:color="auto"/>
                  </w:divBdr>
                  <w:divsChild>
                    <w:div w:id="221454591">
                      <w:marLeft w:val="0"/>
                      <w:marRight w:val="0"/>
                      <w:marTop w:val="0"/>
                      <w:marBottom w:val="0"/>
                      <w:divBdr>
                        <w:top w:val="none" w:sz="0" w:space="0" w:color="auto"/>
                        <w:left w:val="none" w:sz="0" w:space="0" w:color="auto"/>
                        <w:bottom w:val="none" w:sz="0" w:space="0" w:color="auto"/>
                        <w:right w:val="none" w:sz="0" w:space="0" w:color="auto"/>
                      </w:divBdr>
                    </w:div>
                    <w:div w:id="1002245608">
                      <w:marLeft w:val="0"/>
                      <w:marRight w:val="0"/>
                      <w:marTop w:val="0"/>
                      <w:marBottom w:val="0"/>
                      <w:divBdr>
                        <w:top w:val="none" w:sz="0" w:space="0" w:color="auto"/>
                        <w:left w:val="none" w:sz="0" w:space="0" w:color="auto"/>
                        <w:bottom w:val="none" w:sz="0" w:space="0" w:color="auto"/>
                        <w:right w:val="none" w:sz="0" w:space="0" w:color="auto"/>
                      </w:divBdr>
                    </w:div>
                  </w:divsChild>
                </w:div>
                <w:div w:id="2054039849">
                  <w:marLeft w:val="0"/>
                  <w:marRight w:val="0"/>
                  <w:marTop w:val="0"/>
                  <w:marBottom w:val="0"/>
                  <w:divBdr>
                    <w:top w:val="none" w:sz="0" w:space="0" w:color="auto"/>
                    <w:left w:val="none" w:sz="0" w:space="0" w:color="auto"/>
                    <w:bottom w:val="none" w:sz="0" w:space="0" w:color="auto"/>
                    <w:right w:val="none" w:sz="0" w:space="0" w:color="auto"/>
                  </w:divBdr>
                  <w:divsChild>
                    <w:div w:id="1714964705">
                      <w:marLeft w:val="0"/>
                      <w:marRight w:val="0"/>
                      <w:marTop w:val="0"/>
                      <w:marBottom w:val="0"/>
                      <w:divBdr>
                        <w:top w:val="none" w:sz="0" w:space="0" w:color="auto"/>
                        <w:left w:val="none" w:sz="0" w:space="0" w:color="auto"/>
                        <w:bottom w:val="none" w:sz="0" w:space="0" w:color="auto"/>
                        <w:right w:val="none" w:sz="0" w:space="0" w:color="auto"/>
                      </w:divBdr>
                    </w:div>
                  </w:divsChild>
                </w:div>
                <w:div w:id="2106873770">
                  <w:marLeft w:val="0"/>
                  <w:marRight w:val="0"/>
                  <w:marTop w:val="0"/>
                  <w:marBottom w:val="0"/>
                  <w:divBdr>
                    <w:top w:val="none" w:sz="0" w:space="0" w:color="auto"/>
                    <w:left w:val="none" w:sz="0" w:space="0" w:color="auto"/>
                    <w:bottom w:val="none" w:sz="0" w:space="0" w:color="auto"/>
                    <w:right w:val="none" w:sz="0" w:space="0" w:color="auto"/>
                  </w:divBdr>
                  <w:divsChild>
                    <w:div w:id="135515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543">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76881152">
      <w:bodyDiv w:val="1"/>
      <w:marLeft w:val="0"/>
      <w:marRight w:val="0"/>
      <w:marTop w:val="0"/>
      <w:marBottom w:val="0"/>
      <w:divBdr>
        <w:top w:val="none" w:sz="0" w:space="0" w:color="auto"/>
        <w:left w:val="none" w:sz="0" w:space="0" w:color="auto"/>
        <w:bottom w:val="none" w:sz="0" w:space="0" w:color="auto"/>
        <w:right w:val="none" w:sz="0" w:space="0" w:color="auto"/>
      </w:divBdr>
      <w:divsChild>
        <w:div w:id="1604335035">
          <w:marLeft w:val="0"/>
          <w:marRight w:val="0"/>
          <w:marTop w:val="0"/>
          <w:marBottom w:val="0"/>
          <w:divBdr>
            <w:top w:val="none" w:sz="0" w:space="0" w:color="auto"/>
            <w:left w:val="none" w:sz="0" w:space="0" w:color="auto"/>
            <w:bottom w:val="none" w:sz="0" w:space="0" w:color="auto"/>
            <w:right w:val="none" w:sz="0" w:space="0" w:color="auto"/>
          </w:divBdr>
          <w:divsChild>
            <w:div w:id="340277341">
              <w:marLeft w:val="0"/>
              <w:marRight w:val="0"/>
              <w:marTop w:val="30"/>
              <w:marBottom w:val="30"/>
              <w:divBdr>
                <w:top w:val="none" w:sz="0" w:space="0" w:color="auto"/>
                <w:left w:val="none" w:sz="0" w:space="0" w:color="auto"/>
                <w:bottom w:val="none" w:sz="0" w:space="0" w:color="auto"/>
                <w:right w:val="none" w:sz="0" w:space="0" w:color="auto"/>
              </w:divBdr>
              <w:divsChild>
                <w:div w:id="154537507">
                  <w:marLeft w:val="0"/>
                  <w:marRight w:val="0"/>
                  <w:marTop w:val="0"/>
                  <w:marBottom w:val="0"/>
                  <w:divBdr>
                    <w:top w:val="none" w:sz="0" w:space="0" w:color="auto"/>
                    <w:left w:val="none" w:sz="0" w:space="0" w:color="auto"/>
                    <w:bottom w:val="none" w:sz="0" w:space="0" w:color="auto"/>
                    <w:right w:val="none" w:sz="0" w:space="0" w:color="auto"/>
                  </w:divBdr>
                  <w:divsChild>
                    <w:div w:id="3023304">
                      <w:marLeft w:val="0"/>
                      <w:marRight w:val="0"/>
                      <w:marTop w:val="0"/>
                      <w:marBottom w:val="0"/>
                      <w:divBdr>
                        <w:top w:val="none" w:sz="0" w:space="0" w:color="auto"/>
                        <w:left w:val="none" w:sz="0" w:space="0" w:color="auto"/>
                        <w:bottom w:val="none" w:sz="0" w:space="0" w:color="auto"/>
                        <w:right w:val="none" w:sz="0" w:space="0" w:color="auto"/>
                      </w:divBdr>
                    </w:div>
                    <w:div w:id="167603460">
                      <w:marLeft w:val="0"/>
                      <w:marRight w:val="0"/>
                      <w:marTop w:val="0"/>
                      <w:marBottom w:val="0"/>
                      <w:divBdr>
                        <w:top w:val="none" w:sz="0" w:space="0" w:color="auto"/>
                        <w:left w:val="none" w:sz="0" w:space="0" w:color="auto"/>
                        <w:bottom w:val="none" w:sz="0" w:space="0" w:color="auto"/>
                        <w:right w:val="none" w:sz="0" w:space="0" w:color="auto"/>
                      </w:divBdr>
                    </w:div>
                    <w:div w:id="572472731">
                      <w:marLeft w:val="0"/>
                      <w:marRight w:val="0"/>
                      <w:marTop w:val="0"/>
                      <w:marBottom w:val="0"/>
                      <w:divBdr>
                        <w:top w:val="none" w:sz="0" w:space="0" w:color="auto"/>
                        <w:left w:val="none" w:sz="0" w:space="0" w:color="auto"/>
                        <w:bottom w:val="none" w:sz="0" w:space="0" w:color="auto"/>
                        <w:right w:val="none" w:sz="0" w:space="0" w:color="auto"/>
                      </w:divBdr>
                    </w:div>
                    <w:div w:id="691230523">
                      <w:marLeft w:val="0"/>
                      <w:marRight w:val="0"/>
                      <w:marTop w:val="0"/>
                      <w:marBottom w:val="0"/>
                      <w:divBdr>
                        <w:top w:val="none" w:sz="0" w:space="0" w:color="auto"/>
                        <w:left w:val="none" w:sz="0" w:space="0" w:color="auto"/>
                        <w:bottom w:val="none" w:sz="0" w:space="0" w:color="auto"/>
                        <w:right w:val="none" w:sz="0" w:space="0" w:color="auto"/>
                      </w:divBdr>
                    </w:div>
                    <w:div w:id="1333414117">
                      <w:marLeft w:val="0"/>
                      <w:marRight w:val="0"/>
                      <w:marTop w:val="0"/>
                      <w:marBottom w:val="0"/>
                      <w:divBdr>
                        <w:top w:val="none" w:sz="0" w:space="0" w:color="auto"/>
                        <w:left w:val="none" w:sz="0" w:space="0" w:color="auto"/>
                        <w:bottom w:val="none" w:sz="0" w:space="0" w:color="auto"/>
                        <w:right w:val="none" w:sz="0" w:space="0" w:color="auto"/>
                      </w:divBdr>
                    </w:div>
                    <w:div w:id="1495948588">
                      <w:marLeft w:val="0"/>
                      <w:marRight w:val="0"/>
                      <w:marTop w:val="0"/>
                      <w:marBottom w:val="0"/>
                      <w:divBdr>
                        <w:top w:val="none" w:sz="0" w:space="0" w:color="auto"/>
                        <w:left w:val="none" w:sz="0" w:space="0" w:color="auto"/>
                        <w:bottom w:val="none" w:sz="0" w:space="0" w:color="auto"/>
                        <w:right w:val="none" w:sz="0" w:space="0" w:color="auto"/>
                      </w:divBdr>
                    </w:div>
                    <w:div w:id="1556236480">
                      <w:marLeft w:val="0"/>
                      <w:marRight w:val="0"/>
                      <w:marTop w:val="0"/>
                      <w:marBottom w:val="0"/>
                      <w:divBdr>
                        <w:top w:val="none" w:sz="0" w:space="0" w:color="auto"/>
                        <w:left w:val="none" w:sz="0" w:space="0" w:color="auto"/>
                        <w:bottom w:val="none" w:sz="0" w:space="0" w:color="auto"/>
                        <w:right w:val="none" w:sz="0" w:space="0" w:color="auto"/>
                      </w:divBdr>
                    </w:div>
                    <w:div w:id="1682274703">
                      <w:marLeft w:val="0"/>
                      <w:marRight w:val="0"/>
                      <w:marTop w:val="0"/>
                      <w:marBottom w:val="0"/>
                      <w:divBdr>
                        <w:top w:val="none" w:sz="0" w:space="0" w:color="auto"/>
                        <w:left w:val="none" w:sz="0" w:space="0" w:color="auto"/>
                        <w:bottom w:val="none" w:sz="0" w:space="0" w:color="auto"/>
                        <w:right w:val="none" w:sz="0" w:space="0" w:color="auto"/>
                      </w:divBdr>
                    </w:div>
                    <w:div w:id="1778600306">
                      <w:marLeft w:val="0"/>
                      <w:marRight w:val="0"/>
                      <w:marTop w:val="0"/>
                      <w:marBottom w:val="0"/>
                      <w:divBdr>
                        <w:top w:val="none" w:sz="0" w:space="0" w:color="auto"/>
                        <w:left w:val="none" w:sz="0" w:space="0" w:color="auto"/>
                        <w:bottom w:val="none" w:sz="0" w:space="0" w:color="auto"/>
                        <w:right w:val="none" w:sz="0" w:space="0" w:color="auto"/>
                      </w:divBdr>
                    </w:div>
                    <w:div w:id="2008316099">
                      <w:marLeft w:val="0"/>
                      <w:marRight w:val="0"/>
                      <w:marTop w:val="0"/>
                      <w:marBottom w:val="0"/>
                      <w:divBdr>
                        <w:top w:val="none" w:sz="0" w:space="0" w:color="auto"/>
                        <w:left w:val="none" w:sz="0" w:space="0" w:color="auto"/>
                        <w:bottom w:val="none" w:sz="0" w:space="0" w:color="auto"/>
                        <w:right w:val="none" w:sz="0" w:space="0" w:color="auto"/>
                      </w:divBdr>
                    </w:div>
                  </w:divsChild>
                </w:div>
                <w:div w:id="232471841">
                  <w:marLeft w:val="0"/>
                  <w:marRight w:val="0"/>
                  <w:marTop w:val="0"/>
                  <w:marBottom w:val="0"/>
                  <w:divBdr>
                    <w:top w:val="none" w:sz="0" w:space="0" w:color="auto"/>
                    <w:left w:val="none" w:sz="0" w:space="0" w:color="auto"/>
                    <w:bottom w:val="none" w:sz="0" w:space="0" w:color="auto"/>
                    <w:right w:val="none" w:sz="0" w:space="0" w:color="auto"/>
                  </w:divBdr>
                  <w:divsChild>
                    <w:div w:id="1259410077">
                      <w:marLeft w:val="0"/>
                      <w:marRight w:val="0"/>
                      <w:marTop w:val="0"/>
                      <w:marBottom w:val="0"/>
                      <w:divBdr>
                        <w:top w:val="none" w:sz="0" w:space="0" w:color="auto"/>
                        <w:left w:val="none" w:sz="0" w:space="0" w:color="auto"/>
                        <w:bottom w:val="none" w:sz="0" w:space="0" w:color="auto"/>
                        <w:right w:val="none" w:sz="0" w:space="0" w:color="auto"/>
                      </w:divBdr>
                    </w:div>
                  </w:divsChild>
                </w:div>
                <w:div w:id="342781397">
                  <w:marLeft w:val="0"/>
                  <w:marRight w:val="0"/>
                  <w:marTop w:val="0"/>
                  <w:marBottom w:val="0"/>
                  <w:divBdr>
                    <w:top w:val="none" w:sz="0" w:space="0" w:color="auto"/>
                    <w:left w:val="none" w:sz="0" w:space="0" w:color="auto"/>
                    <w:bottom w:val="none" w:sz="0" w:space="0" w:color="auto"/>
                    <w:right w:val="none" w:sz="0" w:space="0" w:color="auto"/>
                  </w:divBdr>
                  <w:divsChild>
                    <w:div w:id="1871651045">
                      <w:marLeft w:val="0"/>
                      <w:marRight w:val="0"/>
                      <w:marTop w:val="0"/>
                      <w:marBottom w:val="0"/>
                      <w:divBdr>
                        <w:top w:val="none" w:sz="0" w:space="0" w:color="auto"/>
                        <w:left w:val="none" w:sz="0" w:space="0" w:color="auto"/>
                        <w:bottom w:val="none" w:sz="0" w:space="0" w:color="auto"/>
                        <w:right w:val="none" w:sz="0" w:space="0" w:color="auto"/>
                      </w:divBdr>
                    </w:div>
                  </w:divsChild>
                </w:div>
                <w:div w:id="502166577">
                  <w:marLeft w:val="0"/>
                  <w:marRight w:val="0"/>
                  <w:marTop w:val="0"/>
                  <w:marBottom w:val="0"/>
                  <w:divBdr>
                    <w:top w:val="none" w:sz="0" w:space="0" w:color="auto"/>
                    <w:left w:val="none" w:sz="0" w:space="0" w:color="auto"/>
                    <w:bottom w:val="none" w:sz="0" w:space="0" w:color="auto"/>
                    <w:right w:val="none" w:sz="0" w:space="0" w:color="auto"/>
                  </w:divBdr>
                  <w:divsChild>
                    <w:div w:id="223877092">
                      <w:marLeft w:val="0"/>
                      <w:marRight w:val="0"/>
                      <w:marTop w:val="0"/>
                      <w:marBottom w:val="0"/>
                      <w:divBdr>
                        <w:top w:val="none" w:sz="0" w:space="0" w:color="auto"/>
                        <w:left w:val="none" w:sz="0" w:space="0" w:color="auto"/>
                        <w:bottom w:val="none" w:sz="0" w:space="0" w:color="auto"/>
                        <w:right w:val="none" w:sz="0" w:space="0" w:color="auto"/>
                      </w:divBdr>
                    </w:div>
                  </w:divsChild>
                </w:div>
                <w:div w:id="867186031">
                  <w:marLeft w:val="0"/>
                  <w:marRight w:val="0"/>
                  <w:marTop w:val="0"/>
                  <w:marBottom w:val="0"/>
                  <w:divBdr>
                    <w:top w:val="none" w:sz="0" w:space="0" w:color="auto"/>
                    <w:left w:val="none" w:sz="0" w:space="0" w:color="auto"/>
                    <w:bottom w:val="none" w:sz="0" w:space="0" w:color="auto"/>
                    <w:right w:val="none" w:sz="0" w:space="0" w:color="auto"/>
                  </w:divBdr>
                  <w:divsChild>
                    <w:div w:id="1402673875">
                      <w:marLeft w:val="0"/>
                      <w:marRight w:val="0"/>
                      <w:marTop w:val="0"/>
                      <w:marBottom w:val="0"/>
                      <w:divBdr>
                        <w:top w:val="none" w:sz="0" w:space="0" w:color="auto"/>
                        <w:left w:val="none" w:sz="0" w:space="0" w:color="auto"/>
                        <w:bottom w:val="none" w:sz="0" w:space="0" w:color="auto"/>
                        <w:right w:val="none" w:sz="0" w:space="0" w:color="auto"/>
                      </w:divBdr>
                    </w:div>
                  </w:divsChild>
                </w:div>
                <w:div w:id="890657448">
                  <w:marLeft w:val="0"/>
                  <w:marRight w:val="0"/>
                  <w:marTop w:val="0"/>
                  <w:marBottom w:val="0"/>
                  <w:divBdr>
                    <w:top w:val="none" w:sz="0" w:space="0" w:color="auto"/>
                    <w:left w:val="none" w:sz="0" w:space="0" w:color="auto"/>
                    <w:bottom w:val="none" w:sz="0" w:space="0" w:color="auto"/>
                    <w:right w:val="none" w:sz="0" w:space="0" w:color="auto"/>
                  </w:divBdr>
                  <w:divsChild>
                    <w:div w:id="733506926">
                      <w:marLeft w:val="0"/>
                      <w:marRight w:val="0"/>
                      <w:marTop w:val="0"/>
                      <w:marBottom w:val="0"/>
                      <w:divBdr>
                        <w:top w:val="none" w:sz="0" w:space="0" w:color="auto"/>
                        <w:left w:val="none" w:sz="0" w:space="0" w:color="auto"/>
                        <w:bottom w:val="none" w:sz="0" w:space="0" w:color="auto"/>
                        <w:right w:val="none" w:sz="0" w:space="0" w:color="auto"/>
                      </w:divBdr>
                    </w:div>
                  </w:divsChild>
                </w:div>
                <w:div w:id="891843685">
                  <w:marLeft w:val="0"/>
                  <w:marRight w:val="0"/>
                  <w:marTop w:val="0"/>
                  <w:marBottom w:val="0"/>
                  <w:divBdr>
                    <w:top w:val="none" w:sz="0" w:space="0" w:color="auto"/>
                    <w:left w:val="none" w:sz="0" w:space="0" w:color="auto"/>
                    <w:bottom w:val="none" w:sz="0" w:space="0" w:color="auto"/>
                    <w:right w:val="none" w:sz="0" w:space="0" w:color="auto"/>
                  </w:divBdr>
                  <w:divsChild>
                    <w:div w:id="900482237">
                      <w:marLeft w:val="0"/>
                      <w:marRight w:val="0"/>
                      <w:marTop w:val="0"/>
                      <w:marBottom w:val="0"/>
                      <w:divBdr>
                        <w:top w:val="none" w:sz="0" w:space="0" w:color="auto"/>
                        <w:left w:val="none" w:sz="0" w:space="0" w:color="auto"/>
                        <w:bottom w:val="none" w:sz="0" w:space="0" w:color="auto"/>
                        <w:right w:val="none" w:sz="0" w:space="0" w:color="auto"/>
                      </w:divBdr>
                    </w:div>
                  </w:divsChild>
                </w:div>
                <w:div w:id="1040131347">
                  <w:marLeft w:val="0"/>
                  <w:marRight w:val="0"/>
                  <w:marTop w:val="0"/>
                  <w:marBottom w:val="0"/>
                  <w:divBdr>
                    <w:top w:val="none" w:sz="0" w:space="0" w:color="auto"/>
                    <w:left w:val="none" w:sz="0" w:space="0" w:color="auto"/>
                    <w:bottom w:val="none" w:sz="0" w:space="0" w:color="auto"/>
                    <w:right w:val="none" w:sz="0" w:space="0" w:color="auto"/>
                  </w:divBdr>
                  <w:divsChild>
                    <w:div w:id="1088381974">
                      <w:marLeft w:val="0"/>
                      <w:marRight w:val="0"/>
                      <w:marTop w:val="0"/>
                      <w:marBottom w:val="0"/>
                      <w:divBdr>
                        <w:top w:val="none" w:sz="0" w:space="0" w:color="auto"/>
                        <w:left w:val="none" w:sz="0" w:space="0" w:color="auto"/>
                        <w:bottom w:val="none" w:sz="0" w:space="0" w:color="auto"/>
                        <w:right w:val="none" w:sz="0" w:space="0" w:color="auto"/>
                      </w:divBdr>
                    </w:div>
                  </w:divsChild>
                </w:div>
                <w:div w:id="1104958725">
                  <w:marLeft w:val="0"/>
                  <w:marRight w:val="0"/>
                  <w:marTop w:val="0"/>
                  <w:marBottom w:val="0"/>
                  <w:divBdr>
                    <w:top w:val="none" w:sz="0" w:space="0" w:color="auto"/>
                    <w:left w:val="none" w:sz="0" w:space="0" w:color="auto"/>
                    <w:bottom w:val="none" w:sz="0" w:space="0" w:color="auto"/>
                    <w:right w:val="none" w:sz="0" w:space="0" w:color="auto"/>
                  </w:divBdr>
                  <w:divsChild>
                    <w:div w:id="153182272">
                      <w:marLeft w:val="0"/>
                      <w:marRight w:val="0"/>
                      <w:marTop w:val="0"/>
                      <w:marBottom w:val="0"/>
                      <w:divBdr>
                        <w:top w:val="none" w:sz="0" w:space="0" w:color="auto"/>
                        <w:left w:val="none" w:sz="0" w:space="0" w:color="auto"/>
                        <w:bottom w:val="none" w:sz="0" w:space="0" w:color="auto"/>
                        <w:right w:val="none" w:sz="0" w:space="0" w:color="auto"/>
                      </w:divBdr>
                    </w:div>
                    <w:div w:id="153958989">
                      <w:marLeft w:val="0"/>
                      <w:marRight w:val="0"/>
                      <w:marTop w:val="0"/>
                      <w:marBottom w:val="0"/>
                      <w:divBdr>
                        <w:top w:val="none" w:sz="0" w:space="0" w:color="auto"/>
                        <w:left w:val="none" w:sz="0" w:space="0" w:color="auto"/>
                        <w:bottom w:val="none" w:sz="0" w:space="0" w:color="auto"/>
                        <w:right w:val="none" w:sz="0" w:space="0" w:color="auto"/>
                      </w:divBdr>
                    </w:div>
                  </w:divsChild>
                </w:div>
                <w:div w:id="1229540427">
                  <w:marLeft w:val="0"/>
                  <w:marRight w:val="0"/>
                  <w:marTop w:val="0"/>
                  <w:marBottom w:val="0"/>
                  <w:divBdr>
                    <w:top w:val="none" w:sz="0" w:space="0" w:color="auto"/>
                    <w:left w:val="none" w:sz="0" w:space="0" w:color="auto"/>
                    <w:bottom w:val="none" w:sz="0" w:space="0" w:color="auto"/>
                    <w:right w:val="none" w:sz="0" w:space="0" w:color="auto"/>
                  </w:divBdr>
                  <w:divsChild>
                    <w:div w:id="846671343">
                      <w:marLeft w:val="0"/>
                      <w:marRight w:val="0"/>
                      <w:marTop w:val="0"/>
                      <w:marBottom w:val="0"/>
                      <w:divBdr>
                        <w:top w:val="none" w:sz="0" w:space="0" w:color="auto"/>
                        <w:left w:val="none" w:sz="0" w:space="0" w:color="auto"/>
                        <w:bottom w:val="none" w:sz="0" w:space="0" w:color="auto"/>
                        <w:right w:val="none" w:sz="0" w:space="0" w:color="auto"/>
                      </w:divBdr>
                    </w:div>
                  </w:divsChild>
                </w:div>
                <w:div w:id="1305349820">
                  <w:marLeft w:val="0"/>
                  <w:marRight w:val="0"/>
                  <w:marTop w:val="0"/>
                  <w:marBottom w:val="0"/>
                  <w:divBdr>
                    <w:top w:val="none" w:sz="0" w:space="0" w:color="auto"/>
                    <w:left w:val="none" w:sz="0" w:space="0" w:color="auto"/>
                    <w:bottom w:val="none" w:sz="0" w:space="0" w:color="auto"/>
                    <w:right w:val="none" w:sz="0" w:space="0" w:color="auto"/>
                  </w:divBdr>
                  <w:divsChild>
                    <w:div w:id="314376842">
                      <w:marLeft w:val="0"/>
                      <w:marRight w:val="0"/>
                      <w:marTop w:val="0"/>
                      <w:marBottom w:val="0"/>
                      <w:divBdr>
                        <w:top w:val="none" w:sz="0" w:space="0" w:color="auto"/>
                        <w:left w:val="none" w:sz="0" w:space="0" w:color="auto"/>
                        <w:bottom w:val="none" w:sz="0" w:space="0" w:color="auto"/>
                        <w:right w:val="none" w:sz="0" w:space="0" w:color="auto"/>
                      </w:divBdr>
                    </w:div>
                    <w:div w:id="727384213">
                      <w:marLeft w:val="0"/>
                      <w:marRight w:val="0"/>
                      <w:marTop w:val="0"/>
                      <w:marBottom w:val="0"/>
                      <w:divBdr>
                        <w:top w:val="none" w:sz="0" w:space="0" w:color="auto"/>
                        <w:left w:val="none" w:sz="0" w:space="0" w:color="auto"/>
                        <w:bottom w:val="none" w:sz="0" w:space="0" w:color="auto"/>
                        <w:right w:val="none" w:sz="0" w:space="0" w:color="auto"/>
                      </w:divBdr>
                    </w:div>
                    <w:div w:id="865601154">
                      <w:marLeft w:val="0"/>
                      <w:marRight w:val="0"/>
                      <w:marTop w:val="0"/>
                      <w:marBottom w:val="0"/>
                      <w:divBdr>
                        <w:top w:val="none" w:sz="0" w:space="0" w:color="auto"/>
                        <w:left w:val="none" w:sz="0" w:space="0" w:color="auto"/>
                        <w:bottom w:val="none" w:sz="0" w:space="0" w:color="auto"/>
                        <w:right w:val="none" w:sz="0" w:space="0" w:color="auto"/>
                      </w:divBdr>
                    </w:div>
                    <w:div w:id="1063262052">
                      <w:marLeft w:val="0"/>
                      <w:marRight w:val="0"/>
                      <w:marTop w:val="0"/>
                      <w:marBottom w:val="0"/>
                      <w:divBdr>
                        <w:top w:val="none" w:sz="0" w:space="0" w:color="auto"/>
                        <w:left w:val="none" w:sz="0" w:space="0" w:color="auto"/>
                        <w:bottom w:val="none" w:sz="0" w:space="0" w:color="auto"/>
                        <w:right w:val="none" w:sz="0" w:space="0" w:color="auto"/>
                      </w:divBdr>
                    </w:div>
                    <w:div w:id="1118179767">
                      <w:marLeft w:val="0"/>
                      <w:marRight w:val="0"/>
                      <w:marTop w:val="0"/>
                      <w:marBottom w:val="0"/>
                      <w:divBdr>
                        <w:top w:val="none" w:sz="0" w:space="0" w:color="auto"/>
                        <w:left w:val="none" w:sz="0" w:space="0" w:color="auto"/>
                        <w:bottom w:val="none" w:sz="0" w:space="0" w:color="auto"/>
                        <w:right w:val="none" w:sz="0" w:space="0" w:color="auto"/>
                      </w:divBdr>
                    </w:div>
                    <w:div w:id="2051688737">
                      <w:marLeft w:val="0"/>
                      <w:marRight w:val="0"/>
                      <w:marTop w:val="0"/>
                      <w:marBottom w:val="0"/>
                      <w:divBdr>
                        <w:top w:val="none" w:sz="0" w:space="0" w:color="auto"/>
                        <w:left w:val="none" w:sz="0" w:space="0" w:color="auto"/>
                        <w:bottom w:val="none" w:sz="0" w:space="0" w:color="auto"/>
                        <w:right w:val="none" w:sz="0" w:space="0" w:color="auto"/>
                      </w:divBdr>
                    </w:div>
                  </w:divsChild>
                </w:div>
                <w:div w:id="1426655467">
                  <w:marLeft w:val="0"/>
                  <w:marRight w:val="0"/>
                  <w:marTop w:val="0"/>
                  <w:marBottom w:val="0"/>
                  <w:divBdr>
                    <w:top w:val="none" w:sz="0" w:space="0" w:color="auto"/>
                    <w:left w:val="none" w:sz="0" w:space="0" w:color="auto"/>
                    <w:bottom w:val="none" w:sz="0" w:space="0" w:color="auto"/>
                    <w:right w:val="none" w:sz="0" w:space="0" w:color="auto"/>
                  </w:divBdr>
                  <w:divsChild>
                    <w:div w:id="2031568566">
                      <w:marLeft w:val="0"/>
                      <w:marRight w:val="0"/>
                      <w:marTop w:val="0"/>
                      <w:marBottom w:val="0"/>
                      <w:divBdr>
                        <w:top w:val="none" w:sz="0" w:space="0" w:color="auto"/>
                        <w:left w:val="none" w:sz="0" w:space="0" w:color="auto"/>
                        <w:bottom w:val="none" w:sz="0" w:space="0" w:color="auto"/>
                        <w:right w:val="none" w:sz="0" w:space="0" w:color="auto"/>
                      </w:divBdr>
                    </w:div>
                  </w:divsChild>
                </w:div>
                <w:div w:id="1472092717">
                  <w:marLeft w:val="0"/>
                  <w:marRight w:val="0"/>
                  <w:marTop w:val="0"/>
                  <w:marBottom w:val="0"/>
                  <w:divBdr>
                    <w:top w:val="none" w:sz="0" w:space="0" w:color="auto"/>
                    <w:left w:val="none" w:sz="0" w:space="0" w:color="auto"/>
                    <w:bottom w:val="none" w:sz="0" w:space="0" w:color="auto"/>
                    <w:right w:val="none" w:sz="0" w:space="0" w:color="auto"/>
                  </w:divBdr>
                  <w:divsChild>
                    <w:div w:id="1731539350">
                      <w:marLeft w:val="0"/>
                      <w:marRight w:val="0"/>
                      <w:marTop w:val="0"/>
                      <w:marBottom w:val="0"/>
                      <w:divBdr>
                        <w:top w:val="none" w:sz="0" w:space="0" w:color="auto"/>
                        <w:left w:val="none" w:sz="0" w:space="0" w:color="auto"/>
                        <w:bottom w:val="none" w:sz="0" w:space="0" w:color="auto"/>
                        <w:right w:val="none" w:sz="0" w:space="0" w:color="auto"/>
                      </w:divBdr>
                    </w:div>
                  </w:divsChild>
                </w:div>
                <w:div w:id="1530987791">
                  <w:marLeft w:val="0"/>
                  <w:marRight w:val="0"/>
                  <w:marTop w:val="0"/>
                  <w:marBottom w:val="0"/>
                  <w:divBdr>
                    <w:top w:val="none" w:sz="0" w:space="0" w:color="auto"/>
                    <w:left w:val="none" w:sz="0" w:space="0" w:color="auto"/>
                    <w:bottom w:val="none" w:sz="0" w:space="0" w:color="auto"/>
                    <w:right w:val="none" w:sz="0" w:space="0" w:color="auto"/>
                  </w:divBdr>
                  <w:divsChild>
                    <w:div w:id="1414165027">
                      <w:marLeft w:val="0"/>
                      <w:marRight w:val="0"/>
                      <w:marTop w:val="0"/>
                      <w:marBottom w:val="0"/>
                      <w:divBdr>
                        <w:top w:val="none" w:sz="0" w:space="0" w:color="auto"/>
                        <w:left w:val="none" w:sz="0" w:space="0" w:color="auto"/>
                        <w:bottom w:val="none" w:sz="0" w:space="0" w:color="auto"/>
                        <w:right w:val="none" w:sz="0" w:space="0" w:color="auto"/>
                      </w:divBdr>
                    </w:div>
                  </w:divsChild>
                </w:div>
                <w:div w:id="1602760601">
                  <w:marLeft w:val="0"/>
                  <w:marRight w:val="0"/>
                  <w:marTop w:val="0"/>
                  <w:marBottom w:val="0"/>
                  <w:divBdr>
                    <w:top w:val="none" w:sz="0" w:space="0" w:color="auto"/>
                    <w:left w:val="none" w:sz="0" w:space="0" w:color="auto"/>
                    <w:bottom w:val="none" w:sz="0" w:space="0" w:color="auto"/>
                    <w:right w:val="none" w:sz="0" w:space="0" w:color="auto"/>
                  </w:divBdr>
                  <w:divsChild>
                    <w:div w:id="21247215">
                      <w:marLeft w:val="0"/>
                      <w:marRight w:val="0"/>
                      <w:marTop w:val="0"/>
                      <w:marBottom w:val="0"/>
                      <w:divBdr>
                        <w:top w:val="none" w:sz="0" w:space="0" w:color="auto"/>
                        <w:left w:val="none" w:sz="0" w:space="0" w:color="auto"/>
                        <w:bottom w:val="none" w:sz="0" w:space="0" w:color="auto"/>
                        <w:right w:val="none" w:sz="0" w:space="0" w:color="auto"/>
                      </w:divBdr>
                    </w:div>
                  </w:divsChild>
                </w:div>
                <w:div w:id="1677032009">
                  <w:marLeft w:val="0"/>
                  <w:marRight w:val="0"/>
                  <w:marTop w:val="0"/>
                  <w:marBottom w:val="0"/>
                  <w:divBdr>
                    <w:top w:val="none" w:sz="0" w:space="0" w:color="auto"/>
                    <w:left w:val="none" w:sz="0" w:space="0" w:color="auto"/>
                    <w:bottom w:val="none" w:sz="0" w:space="0" w:color="auto"/>
                    <w:right w:val="none" w:sz="0" w:space="0" w:color="auto"/>
                  </w:divBdr>
                  <w:divsChild>
                    <w:div w:id="1835024134">
                      <w:marLeft w:val="0"/>
                      <w:marRight w:val="0"/>
                      <w:marTop w:val="0"/>
                      <w:marBottom w:val="0"/>
                      <w:divBdr>
                        <w:top w:val="none" w:sz="0" w:space="0" w:color="auto"/>
                        <w:left w:val="none" w:sz="0" w:space="0" w:color="auto"/>
                        <w:bottom w:val="none" w:sz="0" w:space="0" w:color="auto"/>
                        <w:right w:val="none" w:sz="0" w:space="0" w:color="auto"/>
                      </w:divBdr>
                    </w:div>
                  </w:divsChild>
                </w:div>
                <w:div w:id="1858421626">
                  <w:marLeft w:val="0"/>
                  <w:marRight w:val="0"/>
                  <w:marTop w:val="0"/>
                  <w:marBottom w:val="0"/>
                  <w:divBdr>
                    <w:top w:val="none" w:sz="0" w:space="0" w:color="auto"/>
                    <w:left w:val="none" w:sz="0" w:space="0" w:color="auto"/>
                    <w:bottom w:val="none" w:sz="0" w:space="0" w:color="auto"/>
                    <w:right w:val="none" w:sz="0" w:space="0" w:color="auto"/>
                  </w:divBdr>
                  <w:divsChild>
                    <w:div w:id="1968581958">
                      <w:marLeft w:val="0"/>
                      <w:marRight w:val="0"/>
                      <w:marTop w:val="0"/>
                      <w:marBottom w:val="0"/>
                      <w:divBdr>
                        <w:top w:val="none" w:sz="0" w:space="0" w:color="auto"/>
                        <w:left w:val="none" w:sz="0" w:space="0" w:color="auto"/>
                        <w:bottom w:val="none" w:sz="0" w:space="0" w:color="auto"/>
                        <w:right w:val="none" w:sz="0" w:space="0" w:color="auto"/>
                      </w:divBdr>
                    </w:div>
                  </w:divsChild>
                </w:div>
                <w:div w:id="2132699209">
                  <w:marLeft w:val="0"/>
                  <w:marRight w:val="0"/>
                  <w:marTop w:val="0"/>
                  <w:marBottom w:val="0"/>
                  <w:divBdr>
                    <w:top w:val="none" w:sz="0" w:space="0" w:color="auto"/>
                    <w:left w:val="none" w:sz="0" w:space="0" w:color="auto"/>
                    <w:bottom w:val="none" w:sz="0" w:space="0" w:color="auto"/>
                    <w:right w:val="none" w:sz="0" w:space="0" w:color="auto"/>
                  </w:divBdr>
                  <w:divsChild>
                    <w:div w:id="398746531">
                      <w:marLeft w:val="0"/>
                      <w:marRight w:val="0"/>
                      <w:marTop w:val="0"/>
                      <w:marBottom w:val="0"/>
                      <w:divBdr>
                        <w:top w:val="none" w:sz="0" w:space="0" w:color="auto"/>
                        <w:left w:val="none" w:sz="0" w:space="0" w:color="auto"/>
                        <w:bottom w:val="none" w:sz="0" w:space="0" w:color="auto"/>
                        <w:right w:val="none" w:sz="0" w:space="0" w:color="auto"/>
                      </w:divBdr>
                    </w:div>
                  </w:divsChild>
                </w:div>
                <w:div w:id="2138138426">
                  <w:marLeft w:val="0"/>
                  <w:marRight w:val="0"/>
                  <w:marTop w:val="0"/>
                  <w:marBottom w:val="0"/>
                  <w:divBdr>
                    <w:top w:val="none" w:sz="0" w:space="0" w:color="auto"/>
                    <w:left w:val="none" w:sz="0" w:space="0" w:color="auto"/>
                    <w:bottom w:val="none" w:sz="0" w:space="0" w:color="auto"/>
                    <w:right w:val="none" w:sz="0" w:space="0" w:color="auto"/>
                  </w:divBdr>
                  <w:divsChild>
                    <w:div w:id="674458568">
                      <w:marLeft w:val="0"/>
                      <w:marRight w:val="0"/>
                      <w:marTop w:val="0"/>
                      <w:marBottom w:val="0"/>
                      <w:divBdr>
                        <w:top w:val="none" w:sz="0" w:space="0" w:color="auto"/>
                        <w:left w:val="none" w:sz="0" w:space="0" w:color="auto"/>
                        <w:bottom w:val="none" w:sz="0" w:space="0" w:color="auto"/>
                        <w:right w:val="none" w:sz="0" w:space="0" w:color="auto"/>
                      </w:divBdr>
                    </w:div>
                  </w:divsChild>
                </w:div>
                <w:div w:id="2144225766">
                  <w:marLeft w:val="0"/>
                  <w:marRight w:val="0"/>
                  <w:marTop w:val="0"/>
                  <w:marBottom w:val="0"/>
                  <w:divBdr>
                    <w:top w:val="none" w:sz="0" w:space="0" w:color="auto"/>
                    <w:left w:val="none" w:sz="0" w:space="0" w:color="auto"/>
                    <w:bottom w:val="none" w:sz="0" w:space="0" w:color="auto"/>
                    <w:right w:val="none" w:sz="0" w:space="0" w:color="auto"/>
                  </w:divBdr>
                  <w:divsChild>
                    <w:div w:id="143847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082456">
          <w:marLeft w:val="0"/>
          <w:marRight w:val="0"/>
          <w:marTop w:val="0"/>
          <w:marBottom w:val="0"/>
          <w:divBdr>
            <w:top w:val="none" w:sz="0" w:space="0" w:color="auto"/>
            <w:left w:val="none" w:sz="0" w:space="0" w:color="auto"/>
            <w:bottom w:val="none" w:sz="0" w:space="0" w:color="auto"/>
            <w:right w:val="none" w:sz="0" w:space="0" w:color="auto"/>
          </w:divBdr>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771848531">
      <w:bodyDiv w:val="1"/>
      <w:marLeft w:val="0"/>
      <w:marRight w:val="0"/>
      <w:marTop w:val="0"/>
      <w:marBottom w:val="0"/>
      <w:divBdr>
        <w:top w:val="none" w:sz="0" w:space="0" w:color="auto"/>
        <w:left w:val="none" w:sz="0" w:space="0" w:color="auto"/>
        <w:bottom w:val="none" w:sz="0" w:space="0" w:color="auto"/>
        <w:right w:val="none" w:sz="0" w:space="0" w:color="auto"/>
      </w:divBdr>
      <w:divsChild>
        <w:div w:id="210460626">
          <w:marLeft w:val="0"/>
          <w:marRight w:val="0"/>
          <w:marTop w:val="0"/>
          <w:marBottom w:val="0"/>
          <w:divBdr>
            <w:top w:val="none" w:sz="0" w:space="0" w:color="auto"/>
            <w:left w:val="none" w:sz="0" w:space="0" w:color="auto"/>
            <w:bottom w:val="none" w:sz="0" w:space="0" w:color="auto"/>
            <w:right w:val="none" w:sz="0" w:space="0" w:color="auto"/>
          </w:divBdr>
        </w:div>
        <w:div w:id="253901661">
          <w:marLeft w:val="0"/>
          <w:marRight w:val="0"/>
          <w:marTop w:val="0"/>
          <w:marBottom w:val="0"/>
          <w:divBdr>
            <w:top w:val="none" w:sz="0" w:space="0" w:color="auto"/>
            <w:left w:val="none" w:sz="0" w:space="0" w:color="auto"/>
            <w:bottom w:val="none" w:sz="0" w:space="0" w:color="auto"/>
            <w:right w:val="none" w:sz="0" w:space="0" w:color="auto"/>
          </w:divBdr>
        </w:div>
        <w:div w:id="539243455">
          <w:marLeft w:val="0"/>
          <w:marRight w:val="0"/>
          <w:marTop w:val="0"/>
          <w:marBottom w:val="0"/>
          <w:divBdr>
            <w:top w:val="none" w:sz="0" w:space="0" w:color="auto"/>
            <w:left w:val="none" w:sz="0" w:space="0" w:color="auto"/>
            <w:bottom w:val="none" w:sz="0" w:space="0" w:color="auto"/>
            <w:right w:val="none" w:sz="0" w:space="0" w:color="auto"/>
          </w:divBdr>
        </w:div>
        <w:div w:id="686835485">
          <w:marLeft w:val="0"/>
          <w:marRight w:val="0"/>
          <w:marTop w:val="0"/>
          <w:marBottom w:val="0"/>
          <w:divBdr>
            <w:top w:val="none" w:sz="0" w:space="0" w:color="auto"/>
            <w:left w:val="none" w:sz="0" w:space="0" w:color="auto"/>
            <w:bottom w:val="none" w:sz="0" w:space="0" w:color="auto"/>
            <w:right w:val="none" w:sz="0" w:space="0" w:color="auto"/>
          </w:divBdr>
        </w:div>
        <w:div w:id="747923744">
          <w:marLeft w:val="0"/>
          <w:marRight w:val="0"/>
          <w:marTop w:val="0"/>
          <w:marBottom w:val="0"/>
          <w:divBdr>
            <w:top w:val="none" w:sz="0" w:space="0" w:color="auto"/>
            <w:left w:val="none" w:sz="0" w:space="0" w:color="auto"/>
            <w:bottom w:val="none" w:sz="0" w:space="0" w:color="auto"/>
            <w:right w:val="none" w:sz="0" w:space="0" w:color="auto"/>
          </w:divBdr>
        </w:div>
        <w:div w:id="913583658">
          <w:marLeft w:val="0"/>
          <w:marRight w:val="0"/>
          <w:marTop w:val="0"/>
          <w:marBottom w:val="0"/>
          <w:divBdr>
            <w:top w:val="none" w:sz="0" w:space="0" w:color="auto"/>
            <w:left w:val="none" w:sz="0" w:space="0" w:color="auto"/>
            <w:bottom w:val="none" w:sz="0" w:space="0" w:color="auto"/>
            <w:right w:val="none" w:sz="0" w:space="0" w:color="auto"/>
          </w:divBdr>
        </w:div>
        <w:div w:id="1290280395">
          <w:marLeft w:val="0"/>
          <w:marRight w:val="0"/>
          <w:marTop w:val="0"/>
          <w:marBottom w:val="0"/>
          <w:divBdr>
            <w:top w:val="none" w:sz="0" w:space="0" w:color="auto"/>
            <w:left w:val="none" w:sz="0" w:space="0" w:color="auto"/>
            <w:bottom w:val="none" w:sz="0" w:space="0" w:color="auto"/>
            <w:right w:val="none" w:sz="0" w:space="0" w:color="auto"/>
          </w:divBdr>
        </w:div>
        <w:div w:id="1543591165">
          <w:marLeft w:val="0"/>
          <w:marRight w:val="0"/>
          <w:marTop w:val="0"/>
          <w:marBottom w:val="0"/>
          <w:divBdr>
            <w:top w:val="none" w:sz="0" w:space="0" w:color="auto"/>
            <w:left w:val="none" w:sz="0" w:space="0" w:color="auto"/>
            <w:bottom w:val="none" w:sz="0" w:space="0" w:color="auto"/>
            <w:right w:val="none" w:sz="0" w:space="0" w:color="auto"/>
          </w:divBdr>
        </w:div>
      </w:divsChild>
    </w:div>
    <w:div w:id="1785953711">
      <w:bodyDiv w:val="1"/>
      <w:marLeft w:val="0"/>
      <w:marRight w:val="0"/>
      <w:marTop w:val="0"/>
      <w:marBottom w:val="0"/>
      <w:divBdr>
        <w:top w:val="none" w:sz="0" w:space="0" w:color="auto"/>
        <w:left w:val="none" w:sz="0" w:space="0" w:color="auto"/>
        <w:bottom w:val="none" w:sz="0" w:space="0" w:color="auto"/>
        <w:right w:val="none" w:sz="0" w:space="0" w:color="auto"/>
      </w:divBdr>
      <w:divsChild>
        <w:div w:id="4751323">
          <w:marLeft w:val="0"/>
          <w:marRight w:val="0"/>
          <w:marTop w:val="0"/>
          <w:marBottom w:val="0"/>
          <w:divBdr>
            <w:top w:val="none" w:sz="0" w:space="0" w:color="auto"/>
            <w:left w:val="none" w:sz="0" w:space="0" w:color="auto"/>
            <w:bottom w:val="none" w:sz="0" w:space="0" w:color="auto"/>
            <w:right w:val="none" w:sz="0" w:space="0" w:color="auto"/>
          </w:divBdr>
        </w:div>
        <w:div w:id="1830053915">
          <w:marLeft w:val="0"/>
          <w:marRight w:val="0"/>
          <w:marTop w:val="0"/>
          <w:marBottom w:val="0"/>
          <w:divBdr>
            <w:top w:val="none" w:sz="0" w:space="0" w:color="auto"/>
            <w:left w:val="none" w:sz="0" w:space="0" w:color="auto"/>
            <w:bottom w:val="none" w:sz="0" w:space="0" w:color="auto"/>
            <w:right w:val="none" w:sz="0" w:space="0" w:color="auto"/>
          </w:divBdr>
          <w:divsChild>
            <w:div w:id="532235392">
              <w:marLeft w:val="0"/>
              <w:marRight w:val="0"/>
              <w:marTop w:val="30"/>
              <w:marBottom w:val="30"/>
              <w:divBdr>
                <w:top w:val="none" w:sz="0" w:space="0" w:color="auto"/>
                <w:left w:val="none" w:sz="0" w:space="0" w:color="auto"/>
                <w:bottom w:val="none" w:sz="0" w:space="0" w:color="auto"/>
                <w:right w:val="none" w:sz="0" w:space="0" w:color="auto"/>
              </w:divBdr>
              <w:divsChild>
                <w:div w:id="104425119">
                  <w:marLeft w:val="0"/>
                  <w:marRight w:val="0"/>
                  <w:marTop w:val="0"/>
                  <w:marBottom w:val="0"/>
                  <w:divBdr>
                    <w:top w:val="none" w:sz="0" w:space="0" w:color="auto"/>
                    <w:left w:val="none" w:sz="0" w:space="0" w:color="auto"/>
                    <w:bottom w:val="none" w:sz="0" w:space="0" w:color="auto"/>
                    <w:right w:val="none" w:sz="0" w:space="0" w:color="auto"/>
                  </w:divBdr>
                  <w:divsChild>
                    <w:div w:id="989291597">
                      <w:marLeft w:val="0"/>
                      <w:marRight w:val="0"/>
                      <w:marTop w:val="0"/>
                      <w:marBottom w:val="0"/>
                      <w:divBdr>
                        <w:top w:val="none" w:sz="0" w:space="0" w:color="auto"/>
                        <w:left w:val="none" w:sz="0" w:space="0" w:color="auto"/>
                        <w:bottom w:val="none" w:sz="0" w:space="0" w:color="auto"/>
                        <w:right w:val="none" w:sz="0" w:space="0" w:color="auto"/>
                      </w:divBdr>
                    </w:div>
                  </w:divsChild>
                </w:div>
                <w:div w:id="254633697">
                  <w:marLeft w:val="0"/>
                  <w:marRight w:val="0"/>
                  <w:marTop w:val="0"/>
                  <w:marBottom w:val="0"/>
                  <w:divBdr>
                    <w:top w:val="none" w:sz="0" w:space="0" w:color="auto"/>
                    <w:left w:val="none" w:sz="0" w:space="0" w:color="auto"/>
                    <w:bottom w:val="none" w:sz="0" w:space="0" w:color="auto"/>
                    <w:right w:val="none" w:sz="0" w:space="0" w:color="auto"/>
                  </w:divBdr>
                  <w:divsChild>
                    <w:div w:id="779908948">
                      <w:marLeft w:val="0"/>
                      <w:marRight w:val="0"/>
                      <w:marTop w:val="0"/>
                      <w:marBottom w:val="0"/>
                      <w:divBdr>
                        <w:top w:val="none" w:sz="0" w:space="0" w:color="auto"/>
                        <w:left w:val="none" w:sz="0" w:space="0" w:color="auto"/>
                        <w:bottom w:val="none" w:sz="0" w:space="0" w:color="auto"/>
                        <w:right w:val="none" w:sz="0" w:space="0" w:color="auto"/>
                      </w:divBdr>
                    </w:div>
                  </w:divsChild>
                </w:div>
                <w:div w:id="309797810">
                  <w:marLeft w:val="0"/>
                  <w:marRight w:val="0"/>
                  <w:marTop w:val="0"/>
                  <w:marBottom w:val="0"/>
                  <w:divBdr>
                    <w:top w:val="none" w:sz="0" w:space="0" w:color="auto"/>
                    <w:left w:val="none" w:sz="0" w:space="0" w:color="auto"/>
                    <w:bottom w:val="none" w:sz="0" w:space="0" w:color="auto"/>
                    <w:right w:val="none" w:sz="0" w:space="0" w:color="auto"/>
                  </w:divBdr>
                  <w:divsChild>
                    <w:div w:id="748311959">
                      <w:marLeft w:val="0"/>
                      <w:marRight w:val="0"/>
                      <w:marTop w:val="0"/>
                      <w:marBottom w:val="0"/>
                      <w:divBdr>
                        <w:top w:val="none" w:sz="0" w:space="0" w:color="auto"/>
                        <w:left w:val="none" w:sz="0" w:space="0" w:color="auto"/>
                        <w:bottom w:val="none" w:sz="0" w:space="0" w:color="auto"/>
                        <w:right w:val="none" w:sz="0" w:space="0" w:color="auto"/>
                      </w:divBdr>
                    </w:div>
                  </w:divsChild>
                </w:div>
                <w:div w:id="577833628">
                  <w:marLeft w:val="0"/>
                  <w:marRight w:val="0"/>
                  <w:marTop w:val="0"/>
                  <w:marBottom w:val="0"/>
                  <w:divBdr>
                    <w:top w:val="none" w:sz="0" w:space="0" w:color="auto"/>
                    <w:left w:val="none" w:sz="0" w:space="0" w:color="auto"/>
                    <w:bottom w:val="none" w:sz="0" w:space="0" w:color="auto"/>
                    <w:right w:val="none" w:sz="0" w:space="0" w:color="auto"/>
                  </w:divBdr>
                  <w:divsChild>
                    <w:div w:id="2092654626">
                      <w:marLeft w:val="0"/>
                      <w:marRight w:val="0"/>
                      <w:marTop w:val="0"/>
                      <w:marBottom w:val="0"/>
                      <w:divBdr>
                        <w:top w:val="none" w:sz="0" w:space="0" w:color="auto"/>
                        <w:left w:val="none" w:sz="0" w:space="0" w:color="auto"/>
                        <w:bottom w:val="none" w:sz="0" w:space="0" w:color="auto"/>
                        <w:right w:val="none" w:sz="0" w:space="0" w:color="auto"/>
                      </w:divBdr>
                    </w:div>
                  </w:divsChild>
                </w:div>
                <w:div w:id="814760835">
                  <w:marLeft w:val="0"/>
                  <w:marRight w:val="0"/>
                  <w:marTop w:val="0"/>
                  <w:marBottom w:val="0"/>
                  <w:divBdr>
                    <w:top w:val="none" w:sz="0" w:space="0" w:color="auto"/>
                    <w:left w:val="none" w:sz="0" w:space="0" w:color="auto"/>
                    <w:bottom w:val="none" w:sz="0" w:space="0" w:color="auto"/>
                    <w:right w:val="none" w:sz="0" w:space="0" w:color="auto"/>
                  </w:divBdr>
                  <w:divsChild>
                    <w:div w:id="1766684224">
                      <w:marLeft w:val="0"/>
                      <w:marRight w:val="0"/>
                      <w:marTop w:val="0"/>
                      <w:marBottom w:val="0"/>
                      <w:divBdr>
                        <w:top w:val="none" w:sz="0" w:space="0" w:color="auto"/>
                        <w:left w:val="none" w:sz="0" w:space="0" w:color="auto"/>
                        <w:bottom w:val="none" w:sz="0" w:space="0" w:color="auto"/>
                        <w:right w:val="none" w:sz="0" w:space="0" w:color="auto"/>
                      </w:divBdr>
                    </w:div>
                  </w:divsChild>
                </w:div>
                <w:div w:id="832647157">
                  <w:marLeft w:val="0"/>
                  <w:marRight w:val="0"/>
                  <w:marTop w:val="0"/>
                  <w:marBottom w:val="0"/>
                  <w:divBdr>
                    <w:top w:val="none" w:sz="0" w:space="0" w:color="auto"/>
                    <w:left w:val="none" w:sz="0" w:space="0" w:color="auto"/>
                    <w:bottom w:val="none" w:sz="0" w:space="0" w:color="auto"/>
                    <w:right w:val="none" w:sz="0" w:space="0" w:color="auto"/>
                  </w:divBdr>
                  <w:divsChild>
                    <w:div w:id="10643490">
                      <w:marLeft w:val="0"/>
                      <w:marRight w:val="0"/>
                      <w:marTop w:val="0"/>
                      <w:marBottom w:val="0"/>
                      <w:divBdr>
                        <w:top w:val="none" w:sz="0" w:space="0" w:color="auto"/>
                        <w:left w:val="none" w:sz="0" w:space="0" w:color="auto"/>
                        <w:bottom w:val="none" w:sz="0" w:space="0" w:color="auto"/>
                        <w:right w:val="none" w:sz="0" w:space="0" w:color="auto"/>
                      </w:divBdr>
                    </w:div>
                    <w:div w:id="442655613">
                      <w:marLeft w:val="0"/>
                      <w:marRight w:val="0"/>
                      <w:marTop w:val="0"/>
                      <w:marBottom w:val="0"/>
                      <w:divBdr>
                        <w:top w:val="none" w:sz="0" w:space="0" w:color="auto"/>
                        <w:left w:val="none" w:sz="0" w:space="0" w:color="auto"/>
                        <w:bottom w:val="none" w:sz="0" w:space="0" w:color="auto"/>
                        <w:right w:val="none" w:sz="0" w:space="0" w:color="auto"/>
                      </w:divBdr>
                    </w:div>
                    <w:div w:id="1231697272">
                      <w:marLeft w:val="0"/>
                      <w:marRight w:val="0"/>
                      <w:marTop w:val="0"/>
                      <w:marBottom w:val="0"/>
                      <w:divBdr>
                        <w:top w:val="none" w:sz="0" w:space="0" w:color="auto"/>
                        <w:left w:val="none" w:sz="0" w:space="0" w:color="auto"/>
                        <w:bottom w:val="none" w:sz="0" w:space="0" w:color="auto"/>
                        <w:right w:val="none" w:sz="0" w:space="0" w:color="auto"/>
                      </w:divBdr>
                    </w:div>
                    <w:div w:id="1370259398">
                      <w:marLeft w:val="0"/>
                      <w:marRight w:val="0"/>
                      <w:marTop w:val="0"/>
                      <w:marBottom w:val="0"/>
                      <w:divBdr>
                        <w:top w:val="none" w:sz="0" w:space="0" w:color="auto"/>
                        <w:left w:val="none" w:sz="0" w:space="0" w:color="auto"/>
                        <w:bottom w:val="none" w:sz="0" w:space="0" w:color="auto"/>
                        <w:right w:val="none" w:sz="0" w:space="0" w:color="auto"/>
                      </w:divBdr>
                    </w:div>
                    <w:div w:id="1587811580">
                      <w:marLeft w:val="0"/>
                      <w:marRight w:val="0"/>
                      <w:marTop w:val="0"/>
                      <w:marBottom w:val="0"/>
                      <w:divBdr>
                        <w:top w:val="none" w:sz="0" w:space="0" w:color="auto"/>
                        <w:left w:val="none" w:sz="0" w:space="0" w:color="auto"/>
                        <w:bottom w:val="none" w:sz="0" w:space="0" w:color="auto"/>
                        <w:right w:val="none" w:sz="0" w:space="0" w:color="auto"/>
                      </w:divBdr>
                    </w:div>
                    <w:div w:id="1843739195">
                      <w:marLeft w:val="0"/>
                      <w:marRight w:val="0"/>
                      <w:marTop w:val="0"/>
                      <w:marBottom w:val="0"/>
                      <w:divBdr>
                        <w:top w:val="none" w:sz="0" w:space="0" w:color="auto"/>
                        <w:left w:val="none" w:sz="0" w:space="0" w:color="auto"/>
                        <w:bottom w:val="none" w:sz="0" w:space="0" w:color="auto"/>
                        <w:right w:val="none" w:sz="0" w:space="0" w:color="auto"/>
                      </w:divBdr>
                    </w:div>
                    <w:div w:id="1915046707">
                      <w:marLeft w:val="0"/>
                      <w:marRight w:val="0"/>
                      <w:marTop w:val="0"/>
                      <w:marBottom w:val="0"/>
                      <w:divBdr>
                        <w:top w:val="none" w:sz="0" w:space="0" w:color="auto"/>
                        <w:left w:val="none" w:sz="0" w:space="0" w:color="auto"/>
                        <w:bottom w:val="none" w:sz="0" w:space="0" w:color="auto"/>
                        <w:right w:val="none" w:sz="0" w:space="0" w:color="auto"/>
                      </w:divBdr>
                    </w:div>
                    <w:div w:id="1965496384">
                      <w:marLeft w:val="0"/>
                      <w:marRight w:val="0"/>
                      <w:marTop w:val="0"/>
                      <w:marBottom w:val="0"/>
                      <w:divBdr>
                        <w:top w:val="none" w:sz="0" w:space="0" w:color="auto"/>
                        <w:left w:val="none" w:sz="0" w:space="0" w:color="auto"/>
                        <w:bottom w:val="none" w:sz="0" w:space="0" w:color="auto"/>
                        <w:right w:val="none" w:sz="0" w:space="0" w:color="auto"/>
                      </w:divBdr>
                    </w:div>
                    <w:div w:id="2043901318">
                      <w:marLeft w:val="0"/>
                      <w:marRight w:val="0"/>
                      <w:marTop w:val="0"/>
                      <w:marBottom w:val="0"/>
                      <w:divBdr>
                        <w:top w:val="none" w:sz="0" w:space="0" w:color="auto"/>
                        <w:left w:val="none" w:sz="0" w:space="0" w:color="auto"/>
                        <w:bottom w:val="none" w:sz="0" w:space="0" w:color="auto"/>
                        <w:right w:val="none" w:sz="0" w:space="0" w:color="auto"/>
                      </w:divBdr>
                    </w:div>
                    <w:div w:id="2136674596">
                      <w:marLeft w:val="0"/>
                      <w:marRight w:val="0"/>
                      <w:marTop w:val="0"/>
                      <w:marBottom w:val="0"/>
                      <w:divBdr>
                        <w:top w:val="none" w:sz="0" w:space="0" w:color="auto"/>
                        <w:left w:val="none" w:sz="0" w:space="0" w:color="auto"/>
                        <w:bottom w:val="none" w:sz="0" w:space="0" w:color="auto"/>
                        <w:right w:val="none" w:sz="0" w:space="0" w:color="auto"/>
                      </w:divBdr>
                    </w:div>
                  </w:divsChild>
                </w:div>
                <w:div w:id="994990301">
                  <w:marLeft w:val="0"/>
                  <w:marRight w:val="0"/>
                  <w:marTop w:val="0"/>
                  <w:marBottom w:val="0"/>
                  <w:divBdr>
                    <w:top w:val="none" w:sz="0" w:space="0" w:color="auto"/>
                    <w:left w:val="none" w:sz="0" w:space="0" w:color="auto"/>
                    <w:bottom w:val="none" w:sz="0" w:space="0" w:color="auto"/>
                    <w:right w:val="none" w:sz="0" w:space="0" w:color="auto"/>
                  </w:divBdr>
                  <w:divsChild>
                    <w:div w:id="404650561">
                      <w:marLeft w:val="0"/>
                      <w:marRight w:val="0"/>
                      <w:marTop w:val="0"/>
                      <w:marBottom w:val="0"/>
                      <w:divBdr>
                        <w:top w:val="none" w:sz="0" w:space="0" w:color="auto"/>
                        <w:left w:val="none" w:sz="0" w:space="0" w:color="auto"/>
                        <w:bottom w:val="none" w:sz="0" w:space="0" w:color="auto"/>
                        <w:right w:val="none" w:sz="0" w:space="0" w:color="auto"/>
                      </w:divBdr>
                    </w:div>
                  </w:divsChild>
                </w:div>
                <w:div w:id="1173572848">
                  <w:marLeft w:val="0"/>
                  <w:marRight w:val="0"/>
                  <w:marTop w:val="0"/>
                  <w:marBottom w:val="0"/>
                  <w:divBdr>
                    <w:top w:val="none" w:sz="0" w:space="0" w:color="auto"/>
                    <w:left w:val="none" w:sz="0" w:space="0" w:color="auto"/>
                    <w:bottom w:val="none" w:sz="0" w:space="0" w:color="auto"/>
                    <w:right w:val="none" w:sz="0" w:space="0" w:color="auto"/>
                  </w:divBdr>
                  <w:divsChild>
                    <w:div w:id="113671806">
                      <w:marLeft w:val="0"/>
                      <w:marRight w:val="0"/>
                      <w:marTop w:val="0"/>
                      <w:marBottom w:val="0"/>
                      <w:divBdr>
                        <w:top w:val="none" w:sz="0" w:space="0" w:color="auto"/>
                        <w:left w:val="none" w:sz="0" w:space="0" w:color="auto"/>
                        <w:bottom w:val="none" w:sz="0" w:space="0" w:color="auto"/>
                        <w:right w:val="none" w:sz="0" w:space="0" w:color="auto"/>
                      </w:divBdr>
                    </w:div>
                  </w:divsChild>
                </w:div>
                <w:div w:id="1260019708">
                  <w:marLeft w:val="0"/>
                  <w:marRight w:val="0"/>
                  <w:marTop w:val="0"/>
                  <w:marBottom w:val="0"/>
                  <w:divBdr>
                    <w:top w:val="none" w:sz="0" w:space="0" w:color="auto"/>
                    <w:left w:val="none" w:sz="0" w:space="0" w:color="auto"/>
                    <w:bottom w:val="none" w:sz="0" w:space="0" w:color="auto"/>
                    <w:right w:val="none" w:sz="0" w:space="0" w:color="auto"/>
                  </w:divBdr>
                  <w:divsChild>
                    <w:div w:id="44764453">
                      <w:marLeft w:val="0"/>
                      <w:marRight w:val="0"/>
                      <w:marTop w:val="0"/>
                      <w:marBottom w:val="0"/>
                      <w:divBdr>
                        <w:top w:val="none" w:sz="0" w:space="0" w:color="auto"/>
                        <w:left w:val="none" w:sz="0" w:space="0" w:color="auto"/>
                        <w:bottom w:val="none" w:sz="0" w:space="0" w:color="auto"/>
                        <w:right w:val="none" w:sz="0" w:space="0" w:color="auto"/>
                      </w:divBdr>
                    </w:div>
                  </w:divsChild>
                </w:div>
                <w:div w:id="1314993851">
                  <w:marLeft w:val="0"/>
                  <w:marRight w:val="0"/>
                  <w:marTop w:val="0"/>
                  <w:marBottom w:val="0"/>
                  <w:divBdr>
                    <w:top w:val="none" w:sz="0" w:space="0" w:color="auto"/>
                    <w:left w:val="none" w:sz="0" w:space="0" w:color="auto"/>
                    <w:bottom w:val="none" w:sz="0" w:space="0" w:color="auto"/>
                    <w:right w:val="none" w:sz="0" w:space="0" w:color="auto"/>
                  </w:divBdr>
                  <w:divsChild>
                    <w:div w:id="554897971">
                      <w:marLeft w:val="0"/>
                      <w:marRight w:val="0"/>
                      <w:marTop w:val="0"/>
                      <w:marBottom w:val="0"/>
                      <w:divBdr>
                        <w:top w:val="none" w:sz="0" w:space="0" w:color="auto"/>
                        <w:left w:val="none" w:sz="0" w:space="0" w:color="auto"/>
                        <w:bottom w:val="none" w:sz="0" w:space="0" w:color="auto"/>
                        <w:right w:val="none" w:sz="0" w:space="0" w:color="auto"/>
                      </w:divBdr>
                    </w:div>
                  </w:divsChild>
                </w:div>
                <w:div w:id="1385249702">
                  <w:marLeft w:val="0"/>
                  <w:marRight w:val="0"/>
                  <w:marTop w:val="0"/>
                  <w:marBottom w:val="0"/>
                  <w:divBdr>
                    <w:top w:val="none" w:sz="0" w:space="0" w:color="auto"/>
                    <w:left w:val="none" w:sz="0" w:space="0" w:color="auto"/>
                    <w:bottom w:val="none" w:sz="0" w:space="0" w:color="auto"/>
                    <w:right w:val="none" w:sz="0" w:space="0" w:color="auto"/>
                  </w:divBdr>
                  <w:divsChild>
                    <w:div w:id="604969691">
                      <w:marLeft w:val="0"/>
                      <w:marRight w:val="0"/>
                      <w:marTop w:val="0"/>
                      <w:marBottom w:val="0"/>
                      <w:divBdr>
                        <w:top w:val="none" w:sz="0" w:space="0" w:color="auto"/>
                        <w:left w:val="none" w:sz="0" w:space="0" w:color="auto"/>
                        <w:bottom w:val="none" w:sz="0" w:space="0" w:color="auto"/>
                        <w:right w:val="none" w:sz="0" w:space="0" w:color="auto"/>
                      </w:divBdr>
                    </w:div>
                  </w:divsChild>
                </w:div>
                <w:div w:id="1406148747">
                  <w:marLeft w:val="0"/>
                  <w:marRight w:val="0"/>
                  <w:marTop w:val="0"/>
                  <w:marBottom w:val="0"/>
                  <w:divBdr>
                    <w:top w:val="none" w:sz="0" w:space="0" w:color="auto"/>
                    <w:left w:val="none" w:sz="0" w:space="0" w:color="auto"/>
                    <w:bottom w:val="none" w:sz="0" w:space="0" w:color="auto"/>
                    <w:right w:val="none" w:sz="0" w:space="0" w:color="auto"/>
                  </w:divBdr>
                  <w:divsChild>
                    <w:div w:id="208036566">
                      <w:marLeft w:val="0"/>
                      <w:marRight w:val="0"/>
                      <w:marTop w:val="0"/>
                      <w:marBottom w:val="0"/>
                      <w:divBdr>
                        <w:top w:val="none" w:sz="0" w:space="0" w:color="auto"/>
                        <w:left w:val="none" w:sz="0" w:space="0" w:color="auto"/>
                        <w:bottom w:val="none" w:sz="0" w:space="0" w:color="auto"/>
                        <w:right w:val="none" w:sz="0" w:space="0" w:color="auto"/>
                      </w:divBdr>
                    </w:div>
                  </w:divsChild>
                </w:div>
                <w:div w:id="1437140379">
                  <w:marLeft w:val="0"/>
                  <w:marRight w:val="0"/>
                  <w:marTop w:val="0"/>
                  <w:marBottom w:val="0"/>
                  <w:divBdr>
                    <w:top w:val="none" w:sz="0" w:space="0" w:color="auto"/>
                    <w:left w:val="none" w:sz="0" w:space="0" w:color="auto"/>
                    <w:bottom w:val="none" w:sz="0" w:space="0" w:color="auto"/>
                    <w:right w:val="none" w:sz="0" w:space="0" w:color="auto"/>
                  </w:divBdr>
                  <w:divsChild>
                    <w:div w:id="1837845301">
                      <w:marLeft w:val="0"/>
                      <w:marRight w:val="0"/>
                      <w:marTop w:val="0"/>
                      <w:marBottom w:val="0"/>
                      <w:divBdr>
                        <w:top w:val="none" w:sz="0" w:space="0" w:color="auto"/>
                        <w:left w:val="none" w:sz="0" w:space="0" w:color="auto"/>
                        <w:bottom w:val="none" w:sz="0" w:space="0" w:color="auto"/>
                        <w:right w:val="none" w:sz="0" w:space="0" w:color="auto"/>
                      </w:divBdr>
                    </w:div>
                  </w:divsChild>
                </w:div>
                <w:div w:id="1594123075">
                  <w:marLeft w:val="0"/>
                  <w:marRight w:val="0"/>
                  <w:marTop w:val="0"/>
                  <w:marBottom w:val="0"/>
                  <w:divBdr>
                    <w:top w:val="none" w:sz="0" w:space="0" w:color="auto"/>
                    <w:left w:val="none" w:sz="0" w:space="0" w:color="auto"/>
                    <w:bottom w:val="none" w:sz="0" w:space="0" w:color="auto"/>
                    <w:right w:val="none" w:sz="0" w:space="0" w:color="auto"/>
                  </w:divBdr>
                  <w:divsChild>
                    <w:div w:id="40326396">
                      <w:marLeft w:val="0"/>
                      <w:marRight w:val="0"/>
                      <w:marTop w:val="0"/>
                      <w:marBottom w:val="0"/>
                      <w:divBdr>
                        <w:top w:val="none" w:sz="0" w:space="0" w:color="auto"/>
                        <w:left w:val="none" w:sz="0" w:space="0" w:color="auto"/>
                        <w:bottom w:val="none" w:sz="0" w:space="0" w:color="auto"/>
                        <w:right w:val="none" w:sz="0" w:space="0" w:color="auto"/>
                      </w:divBdr>
                    </w:div>
                  </w:divsChild>
                </w:div>
                <w:div w:id="1736926384">
                  <w:marLeft w:val="0"/>
                  <w:marRight w:val="0"/>
                  <w:marTop w:val="0"/>
                  <w:marBottom w:val="0"/>
                  <w:divBdr>
                    <w:top w:val="none" w:sz="0" w:space="0" w:color="auto"/>
                    <w:left w:val="none" w:sz="0" w:space="0" w:color="auto"/>
                    <w:bottom w:val="none" w:sz="0" w:space="0" w:color="auto"/>
                    <w:right w:val="none" w:sz="0" w:space="0" w:color="auto"/>
                  </w:divBdr>
                  <w:divsChild>
                    <w:div w:id="1446579741">
                      <w:marLeft w:val="0"/>
                      <w:marRight w:val="0"/>
                      <w:marTop w:val="0"/>
                      <w:marBottom w:val="0"/>
                      <w:divBdr>
                        <w:top w:val="none" w:sz="0" w:space="0" w:color="auto"/>
                        <w:left w:val="none" w:sz="0" w:space="0" w:color="auto"/>
                        <w:bottom w:val="none" w:sz="0" w:space="0" w:color="auto"/>
                        <w:right w:val="none" w:sz="0" w:space="0" w:color="auto"/>
                      </w:divBdr>
                    </w:div>
                  </w:divsChild>
                </w:div>
                <w:div w:id="1773355097">
                  <w:marLeft w:val="0"/>
                  <w:marRight w:val="0"/>
                  <w:marTop w:val="0"/>
                  <w:marBottom w:val="0"/>
                  <w:divBdr>
                    <w:top w:val="none" w:sz="0" w:space="0" w:color="auto"/>
                    <w:left w:val="none" w:sz="0" w:space="0" w:color="auto"/>
                    <w:bottom w:val="none" w:sz="0" w:space="0" w:color="auto"/>
                    <w:right w:val="none" w:sz="0" w:space="0" w:color="auto"/>
                  </w:divBdr>
                  <w:divsChild>
                    <w:div w:id="150871332">
                      <w:marLeft w:val="0"/>
                      <w:marRight w:val="0"/>
                      <w:marTop w:val="0"/>
                      <w:marBottom w:val="0"/>
                      <w:divBdr>
                        <w:top w:val="none" w:sz="0" w:space="0" w:color="auto"/>
                        <w:left w:val="none" w:sz="0" w:space="0" w:color="auto"/>
                        <w:bottom w:val="none" w:sz="0" w:space="0" w:color="auto"/>
                        <w:right w:val="none" w:sz="0" w:space="0" w:color="auto"/>
                      </w:divBdr>
                    </w:div>
                    <w:div w:id="1908883910">
                      <w:marLeft w:val="0"/>
                      <w:marRight w:val="0"/>
                      <w:marTop w:val="0"/>
                      <w:marBottom w:val="0"/>
                      <w:divBdr>
                        <w:top w:val="none" w:sz="0" w:space="0" w:color="auto"/>
                        <w:left w:val="none" w:sz="0" w:space="0" w:color="auto"/>
                        <w:bottom w:val="none" w:sz="0" w:space="0" w:color="auto"/>
                        <w:right w:val="none" w:sz="0" w:space="0" w:color="auto"/>
                      </w:divBdr>
                    </w:div>
                  </w:divsChild>
                </w:div>
                <w:div w:id="1779909677">
                  <w:marLeft w:val="0"/>
                  <w:marRight w:val="0"/>
                  <w:marTop w:val="0"/>
                  <w:marBottom w:val="0"/>
                  <w:divBdr>
                    <w:top w:val="none" w:sz="0" w:space="0" w:color="auto"/>
                    <w:left w:val="none" w:sz="0" w:space="0" w:color="auto"/>
                    <w:bottom w:val="none" w:sz="0" w:space="0" w:color="auto"/>
                    <w:right w:val="none" w:sz="0" w:space="0" w:color="auto"/>
                  </w:divBdr>
                  <w:divsChild>
                    <w:div w:id="1543711329">
                      <w:marLeft w:val="0"/>
                      <w:marRight w:val="0"/>
                      <w:marTop w:val="0"/>
                      <w:marBottom w:val="0"/>
                      <w:divBdr>
                        <w:top w:val="none" w:sz="0" w:space="0" w:color="auto"/>
                        <w:left w:val="none" w:sz="0" w:space="0" w:color="auto"/>
                        <w:bottom w:val="none" w:sz="0" w:space="0" w:color="auto"/>
                        <w:right w:val="none" w:sz="0" w:space="0" w:color="auto"/>
                      </w:divBdr>
                    </w:div>
                  </w:divsChild>
                </w:div>
                <w:div w:id="1910846482">
                  <w:marLeft w:val="0"/>
                  <w:marRight w:val="0"/>
                  <w:marTop w:val="0"/>
                  <w:marBottom w:val="0"/>
                  <w:divBdr>
                    <w:top w:val="none" w:sz="0" w:space="0" w:color="auto"/>
                    <w:left w:val="none" w:sz="0" w:space="0" w:color="auto"/>
                    <w:bottom w:val="none" w:sz="0" w:space="0" w:color="auto"/>
                    <w:right w:val="none" w:sz="0" w:space="0" w:color="auto"/>
                  </w:divBdr>
                  <w:divsChild>
                    <w:div w:id="436488500">
                      <w:marLeft w:val="0"/>
                      <w:marRight w:val="0"/>
                      <w:marTop w:val="0"/>
                      <w:marBottom w:val="0"/>
                      <w:divBdr>
                        <w:top w:val="none" w:sz="0" w:space="0" w:color="auto"/>
                        <w:left w:val="none" w:sz="0" w:space="0" w:color="auto"/>
                        <w:bottom w:val="none" w:sz="0" w:space="0" w:color="auto"/>
                        <w:right w:val="none" w:sz="0" w:space="0" w:color="auto"/>
                      </w:divBdr>
                    </w:div>
                  </w:divsChild>
                </w:div>
                <w:div w:id="2077167510">
                  <w:marLeft w:val="0"/>
                  <w:marRight w:val="0"/>
                  <w:marTop w:val="0"/>
                  <w:marBottom w:val="0"/>
                  <w:divBdr>
                    <w:top w:val="none" w:sz="0" w:space="0" w:color="auto"/>
                    <w:left w:val="none" w:sz="0" w:space="0" w:color="auto"/>
                    <w:bottom w:val="none" w:sz="0" w:space="0" w:color="auto"/>
                    <w:right w:val="none" w:sz="0" w:space="0" w:color="auto"/>
                  </w:divBdr>
                  <w:divsChild>
                    <w:div w:id="188492626">
                      <w:marLeft w:val="0"/>
                      <w:marRight w:val="0"/>
                      <w:marTop w:val="0"/>
                      <w:marBottom w:val="0"/>
                      <w:divBdr>
                        <w:top w:val="none" w:sz="0" w:space="0" w:color="auto"/>
                        <w:left w:val="none" w:sz="0" w:space="0" w:color="auto"/>
                        <w:bottom w:val="none" w:sz="0" w:space="0" w:color="auto"/>
                        <w:right w:val="none" w:sz="0" w:space="0" w:color="auto"/>
                      </w:divBdr>
                    </w:div>
                    <w:div w:id="529801029">
                      <w:marLeft w:val="0"/>
                      <w:marRight w:val="0"/>
                      <w:marTop w:val="0"/>
                      <w:marBottom w:val="0"/>
                      <w:divBdr>
                        <w:top w:val="none" w:sz="0" w:space="0" w:color="auto"/>
                        <w:left w:val="none" w:sz="0" w:space="0" w:color="auto"/>
                        <w:bottom w:val="none" w:sz="0" w:space="0" w:color="auto"/>
                        <w:right w:val="none" w:sz="0" w:space="0" w:color="auto"/>
                      </w:divBdr>
                    </w:div>
                    <w:div w:id="623462430">
                      <w:marLeft w:val="0"/>
                      <w:marRight w:val="0"/>
                      <w:marTop w:val="0"/>
                      <w:marBottom w:val="0"/>
                      <w:divBdr>
                        <w:top w:val="none" w:sz="0" w:space="0" w:color="auto"/>
                        <w:left w:val="none" w:sz="0" w:space="0" w:color="auto"/>
                        <w:bottom w:val="none" w:sz="0" w:space="0" w:color="auto"/>
                        <w:right w:val="none" w:sz="0" w:space="0" w:color="auto"/>
                      </w:divBdr>
                    </w:div>
                    <w:div w:id="755126264">
                      <w:marLeft w:val="0"/>
                      <w:marRight w:val="0"/>
                      <w:marTop w:val="0"/>
                      <w:marBottom w:val="0"/>
                      <w:divBdr>
                        <w:top w:val="none" w:sz="0" w:space="0" w:color="auto"/>
                        <w:left w:val="none" w:sz="0" w:space="0" w:color="auto"/>
                        <w:bottom w:val="none" w:sz="0" w:space="0" w:color="auto"/>
                        <w:right w:val="none" w:sz="0" w:space="0" w:color="auto"/>
                      </w:divBdr>
                    </w:div>
                    <w:div w:id="1865244553">
                      <w:marLeft w:val="0"/>
                      <w:marRight w:val="0"/>
                      <w:marTop w:val="0"/>
                      <w:marBottom w:val="0"/>
                      <w:divBdr>
                        <w:top w:val="none" w:sz="0" w:space="0" w:color="auto"/>
                        <w:left w:val="none" w:sz="0" w:space="0" w:color="auto"/>
                        <w:bottom w:val="none" w:sz="0" w:space="0" w:color="auto"/>
                        <w:right w:val="none" w:sz="0" w:space="0" w:color="auto"/>
                      </w:divBdr>
                    </w:div>
                    <w:div w:id="2123070982">
                      <w:marLeft w:val="0"/>
                      <w:marRight w:val="0"/>
                      <w:marTop w:val="0"/>
                      <w:marBottom w:val="0"/>
                      <w:divBdr>
                        <w:top w:val="none" w:sz="0" w:space="0" w:color="auto"/>
                        <w:left w:val="none" w:sz="0" w:space="0" w:color="auto"/>
                        <w:bottom w:val="none" w:sz="0" w:space="0" w:color="auto"/>
                        <w:right w:val="none" w:sz="0" w:space="0" w:color="auto"/>
                      </w:divBdr>
                    </w:div>
                  </w:divsChild>
                </w:div>
                <w:div w:id="2112702351">
                  <w:marLeft w:val="0"/>
                  <w:marRight w:val="0"/>
                  <w:marTop w:val="0"/>
                  <w:marBottom w:val="0"/>
                  <w:divBdr>
                    <w:top w:val="none" w:sz="0" w:space="0" w:color="auto"/>
                    <w:left w:val="none" w:sz="0" w:space="0" w:color="auto"/>
                    <w:bottom w:val="none" w:sz="0" w:space="0" w:color="auto"/>
                    <w:right w:val="none" w:sz="0" w:space="0" w:color="auto"/>
                  </w:divBdr>
                  <w:divsChild>
                    <w:div w:id="195914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183118">
      <w:bodyDiv w:val="1"/>
      <w:marLeft w:val="0"/>
      <w:marRight w:val="0"/>
      <w:marTop w:val="0"/>
      <w:marBottom w:val="0"/>
      <w:divBdr>
        <w:top w:val="none" w:sz="0" w:space="0" w:color="auto"/>
        <w:left w:val="none" w:sz="0" w:space="0" w:color="auto"/>
        <w:bottom w:val="none" w:sz="0" w:space="0" w:color="auto"/>
        <w:right w:val="none" w:sz="0" w:space="0" w:color="auto"/>
      </w:divBdr>
      <w:divsChild>
        <w:div w:id="74789834">
          <w:marLeft w:val="0"/>
          <w:marRight w:val="0"/>
          <w:marTop w:val="0"/>
          <w:marBottom w:val="0"/>
          <w:divBdr>
            <w:top w:val="none" w:sz="0" w:space="0" w:color="auto"/>
            <w:left w:val="none" w:sz="0" w:space="0" w:color="auto"/>
            <w:bottom w:val="none" w:sz="0" w:space="0" w:color="auto"/>
            <w:right w:val="none" w:sz="0" w:space="0" w:color="auto"/>
          </w:divBdr>
        </w:div>
        <w:div w:id="695428940">
          <w:marLeft w:val="0"/>
          <w:marRight w:val="0"/>
          <w:marTop w:val="0"/>
          <w:marBottom w:val="0"/>
          <w:divBdr>
            <w:top w:val="none" w:sz="0" w:space="0" w:color="auto"/>
            <w:left w:val="none" w:sz="0" w:space="0" w:color="auto"/>
            <w:bottom w:val="none" w:sz="0" w:space="0" w:color="auto"/>
            <w:right w:val="none" w:sz="0" w:space="0" w:color="auto"/>
          </w:divBdr>
        </w:div>
        <w:div w:id="1207719983">
          <w:marLeft w:val="0"/>
          <w:marRight w:val="0"/>
          <w:marTop w:val="0"/>
          <w:marBottom w:val="0"/>
          <w:divBdr>
            <w:top w:val="none" w:sz="0" w:space="0" w:color="auto"/>
            <w:left w:val="none" w:sz="0" w:space="0" w:color="auto"/>
            <w:bottom w:val="none" w:sz="0" w:space="0" w:color="auto"/>
            <w:right w:val="none" w:sz="0" w:space="0" w:color="auto"/>
          </w:divBdr>
        </w:div>
        <w:div w:id="1281573384">
          <w:marLeft w:val="0"/>
          <w:marRight w:val="0"/>
          <w:marTop w:val="0"/>
          <w:marBottom w:val="0"/>
          <w:divBdr>
            <w:top w:val="none" w:sz="0" w:space="0" w:color="auto"/>
            <w:left w:val="none" w:sz="0" w:space="0" w:color="auto"/>
            <w:bottom w:val="none" w:sz="0" w:space="0" w:color="auto"/>
            <w:right w:val="none" w:sz="0" w:space="0" w:color="auto"/>
          </w:divBdr>
        </w:div>
        <w:div w:id="1390420748">
          <w:marLeft w:val="0"/>
          <w:marRight w:val="0"/>
          <w:marTop w:val="0"/>
          <w:marBottom w:val="0"/>
          <w:divBdr>
            <w:top w:val="none" w:sz="0" w:space="0" w:color="auto"/>
            <w:left w:val="none" w:sz="0" w:space="0" w:color="auto"/>
            <w:bottom w:val="none" w:sz="0" w:space="0" w:color="auto"/>
            <w:right w:val="none" w:sz="0" w:space="0" w:color="auto"/>
          </w:divBdr>
        </w:div>
        <w:div w:id="1400976454">
          <w:marLeft w:val="0"/>
          <w:marRight w:val="0"/>
          <w:marTop w:val="0"/>
          <w:marBottom w:val="0"/>
          <w:divBdr>
            <w:top w:val="none" w:sz="0" w:space="0" w:color="auto"/>
            <w:left w:val="none" w:sz="0" w:space="0" w:color="auto"/>
            <w:bottom w:val="none" w:sz="0" w:space="0" w:color="auto"/>
            <w:right w:val="none" w:sz="0" w:space="0" w:color="auto"/>
          </w:divBdr>
        </w:div>
        <w:div w:id="1475876684">
          <w:marLeft w:val="0"/>
          <w:marRight w:val="0"/>
          <w:marTop w:val="0"/>
          <w:marBottom w:val="0"/>
          <w:divBdr>
            <w:top w:val="none" w:sz="0" w:space="0" w:color="auto"/>
            <w:left w:val="none" w:sz="0" w:space="0" w:color="auto"/>
            <w:bottom w:val="none" w:sz="0" w:space="0" w:color="auto"/>
            <w:right w:val="none" w:sz="0" w:space="0" w:color="auto"/>
          </w:divBdr>
        </w:div>
        <w:div w:id="1690134137">
          <w:marLeft w:val="0"/>
          <w:marRight w:val="0"/>
          <w:marTop w:val="0"/>
          <w:marBottom w:val="0"/>
          <w:divBdr>
            <w:top w:val="none" w:sz="0" w:space="0" w:color="auto"/>
            <w:left w:val="none" w:sz="0" w:space="0" w:color="auto"/>
            <w:bottom w:val="none" w:sz="0" w:space="0" w:color="auto"/>
            <w:right w:val="none" w:sz="0" w:space="0" w:color="auto"/>
          </w:divBdr>
        </w:div>
      </w:divsChild>
    </w:div>
    <w:div w:id="1929072074">
      <w:bodyDiv w:val="1"/>
      <w:marLeft w:val="0"/>
      <w:marRight w:val="0"/>
      <w:marTop w:val="0"/>
      <w:marBottom w:val="0"/>
      <w:divBdr>
        <w:top w:val="none" w:sz="0" w:space="0" w:color="auto"/>
        <w:left w:val="none" w:sz="0" w:space="0" w:color="auto"/>
        <w:bottom w:val="none" w:sz="0" w:space="0" w:color="auto"/>
        <w:right w:val="none" w:sz="0" w:space="0" w:color="auto"/>
      </w:divBdr>
      <w:divsChild>
        <w:div w:id="506140051">
          <w:marLeft w:val="0"/>
          <w:marRight w:val="0"/>
          <w:marTop w:val="0"/>
          <w:marBottom w:val="0"/>
          <w:divBdr>
            <w:top w:val="none" w:sz="0" w:space="0" w:color="auto"/>
            <w:left w:val="none" w:sz="0" w:space="0" w:color="auto"/>
            <w:bottom w:val="none" w:sz="0" w:space="0" w:color="auto"/>
            <w:right w:val="none" w:sz="0" w:space="0" w:color="auto"/>
          </w:divBdr>
        </w:div>
        <w:div w:id="939920732">
          <w:marLeft w:val="0"/>
          <w:marRight w:val="0"/>
          <w:marTop w:val="0"/>
          <w:marBottom w:val="0"/>
          <w:divBdr>
            <w:top w:val="none" w:sz="0" w:space="0" w:color="auto"/>
            <w:left w:val="none" w:sz="0" w:space="0" w:color="auto"/>
            <w:bottom w:val="none" w:sz="0" w:space="0" w:color="auto"/>
            <w:right w:val="none" w:sz="0" w:space="0" w:color="auto"/>
          </w:divBdr>
        </w:div>
        <w:div w:id="2098015491">
          <w:marLeft w:val="0"/>
          <w:marRight w:val="0"/>
          <w:marTop w:val="0"/>
          <w:marBottom w:val="0"/>
          <w:divBdr>
            <w:top w:val="none" w:sz="0" w:space="0" w:color="auto"/>
            <w:left w:val="none" w:sz="0" w:space="0" w:color="auto"/>
            <w:bottom w:val="none" w:sz="0" w:space="0" w:color="auto"/>
            <w:right w:val="none" w:sz="0" w:space="0" w:color="auto"/>
          </w:divBdr>
        </w:div>
      </w:divsChild>
    </w:div>
    <w:div w:id="1933778972">
      <w:bodyDiv w:val="1"/>
      <w:marLeft w:val="0"/>
      <w:marRight w:val="0"/>
      <w:marTop w:val="0"/>
      <w:marBottom w:val="0"/>
      <w:divBdr>
        <w:top w:val="none" w:sz="0" w:space="0" w:color="auto"/>
        <w:left w:val="none" w:sz="0" w:space="0" w:color="auto"/>
        <w:bottom w:val="none" w:sz="0" w:space="0" w:color="auto"/>
        <w:right w:val="none" w:sz="0" w:space="0" w:color="auto"/>
      </w:divBdr>
      <w:divsChild>
        <w:div w:id="633606904">
          <w:marLeft w:val="0"/>
          <w:marRight w:val="0"/>
          <w:marTop w:val="0"/>
          <w:marBottom w:val="0"/>
          <w:divBdr>
            <w:top w:val="none" w:sz="0" w:space="0" w:color="auto"/>
            <w:left w:val="none" w:sz="0" w:space="0" w:color="auto"/>
            <w:bottom w:val="none" w:sz="0" w:space="0" w:color="auto"/>
            <w:right w:val="none" w:sz="0" w:space="0" w:color="auto"/>
          </w:divBdr>
        </w:div>
        <w:div w:id="1266888379">
          <w:marLeft w:val="0"/>
          <w:marRight w:val="0"/>
          <w:marTop w:val="0"/>
          <w:marBottom w:val="0"/>
          <w:divBdr>
            <w:top w:val="none" w:sz="0" w:space="0" w:color="auto"/>
            <w:left w:val="none" w:sz="0" w:space="0" w:color="auto"/>
            <w:bottom w:val="none" w:sz="0" w:space="0" w:color="auto"/>
            <w:right w:val="none" w:sz="0" w:space="0" w:color="auto"/>
          </w:divBdr>
        </w:div>
        <w:div w:id="1372416237">
          <w:marLeft w:val="0"/>
          <w:marRight w:val="0"/>
          <w:marTop w:val="0"/>
          <w:marBottom w:val="0"/>
          <w:divBdr>
            <w:top w:val="none" w:sz="0" w:space="0" w:color="auto"/>
            <w:left w:val="none" w:sz="0" w:space="0" w:color="auto"/>
            <w:bottom w:val="none" w:sz="0" w:space="0" w:color="auto"/>
            <w:right w:val="none" w:sz="0" w:space="0" w:color="auto"/>
          </w:divBdr>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82879102">
      <w:bodyDiv w:val="1"/>
      <w:marLeft w:val="0"/>
      <w:marRight w:val="0"/>
      <w:marTop w:val="0"/>
      <w:marBottom w:val="0"/>
      <w:divBdr>
        <w:top w:val="none" w:sz="0" w:space="0" w:color="auto"/>
        <w:left w:val="none" w:sz="0" w:space="0" w:color="auto"/>
        <w:bottom w:val="none" w:sz="0" w:space="0" w:color="auto"/>
        <w:right w:val="none" w:sz="0" w:space="0" w:color="auto"/>
      </w:divBdr>
      <w:divsChild>
        <w:div w:id="548686443">
          <w:marLeft w:val="0"/>
          <w:marRight w:val="0"/>
          <w:marTop w:val="0"/>
          <w:marBottom w:val="0"/>
          <w:divBdr>
            <w:top w:val="none" w:sz="0" w:space="0" w:color="auto"/>
            <w:left w:val="none" w:sz="0" w:space="0" w:color="auto"/>
            <w:bottom w:val="none" w:sz="0" w:space="0" w:color="auto"/>
            <w:right w:val="none" w:sz="0" w:space="0" w:color="auto"/>
          </w:divBdr>
        </w:div>
        <w:div w:id="566113405">
          <w:marLeft w:val="0"/>
          <w:marRight w:val="0"/>
          <w:marTop w:val="0"/>
          <w:marBottom w:val="0"/>
          <w:divBdr>
            <w:top w:val="none" w:sz="0" w:space="0" w:color="auto"/>
            <w:left w:val="none" w:sz="0" w:space="0" w:color="auto"/>
            <w:bottom w:val="none" w:sz="0" w:space="0" w:color="auto"/>
            <w:right w:val="none" w:sz="0" w:space="0" w:color="auto"/>
          </w:divBdr>
        </w:div>
        <w:div w:id="945505404">
          <w:marLeft w:val="0"/>
          <w:marRight w:val="0"/>
          <w:marTop w:val="0"/>
          <w:marBottom w:val="0"/>
          <w:divBdr>
            <w:top w:val="none" w:sz="0" w:space="0" w:color="auto"/>
            <w:left w:val="none" w:sz="0" w:space="0" w:color="auto"/>
            <w:bottom w:val="none" w:sz="0" w:space="0" w:color="auto"/>
            <w:right w:val="none" w:sz="0" w:space="0" w:color="auto"/>
          </w:divBdr>
        </w:div>
        <w:div w:id="1400637241">
          <w:marLeft w:val="0"/>
          <w:marRight w:val="0"/>
          <w:marTop w:val="0"/>
          <w:marBottom w:val="0"/>
          <w:divBdr>
            <w:top w:val="none" w:sz="0" w:space="0" w:color="auto"/>
            <w:left w:val="none" w:sz="0" w:space="0" w:color="auto"/>
            <w:bottom w:val="none" w:sz="0" w:space="0" w:color="auto"/>
            <w:right w:val="none" w:sz="0" w:space="0" w:color="auto"/>
          </w:divBdr>
        </w:div>
        <w:div w:id="1896770766">
          <w:marLeft w:val="0"/>
          <w:marRight w:val="0"/>
          <w:marTop w:val="0"/>
          <w:marBottom w:val="0"/>
          <w:divBdr>
            <w:top w:val="none" w:sz="0" w:space="0" w:color="auto"/>
            <w:left w:val="none" w:sz="0" w:space="0" w:color="auto"/>
            <w:bottom w:val="none" w:sz="0" w:space="0" w:color="auto"/>
            <w:right w:val="none" w:sz="0" w:space="0" w:color="auto"/>
          </w:divBdr>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24093075">
      <w:bodyDiv w:val="1"/>
      <w:marLeft w:val="0"/>
      <w:marRight w:val="0"/>
      <w:marTop w:val="0"/>
      <w:marBottom w:val="0"/>
      <w:divBdr>
        <w:top w:val="none" w:sz="0" w:space="0" w:color="auto"/>
        <w:left w:val="none" w:sz="0" w:space="0" w:color="auto"/>
        <w:bottom w:val="none" w:sz="0" w:space="0" w:color="auto"/>
        <w:right w:val="none" w:sz="0" w:space="0" w:color="auto"/>
      </w:divBdr>
      <w:divsChild>
        <w:div w:id="453135952">
          <w:marLeft w:val="0"/>
          <w:marRight w:val="0"/>
          <w:marTop w:val="0"/>
          <w:marBottom w:val="0"/>
          <w:divBdr>
            <w:top w:val="none" w:sz="0" w:space="0" w:color="auto"/>
            <w:left w:val="none" w:sz="0" w:space="0" w:color="auto"/>
            <w:bottom w:val="none" w:sz="0" w:space="0" w:color="auto"/>
            <w:right w:val="none" w:sz="0" w:space="0" w:color="auto"/>
          </w:divBdr>
          <w:divsChild>
            <w:div w:id="217208071">
              <w:marLeft w:val="0"/>
              <w:marRight w:val="0"/>
              <w:marTop w:val="30"/>
              <w:marBottom w:val="30"/>
              <w:divBdr>
                <w:top w:val="none" w:sz="0" w:space="0" w:color="auto"/>
                <w:left w:val="none" w:sz="0" w:space="0" w:color="auto"/>
                <w:bottom w:val="none" w:sz="0" w:space="0" w:color="auto"/>
                <w:right w:val="none" w:sz="0" w:space="0" w:color="auto"/>
              </w:divBdr>
              <w:divsChild>
                <w:div w:id="25063983">
                  <w:marLeft w:val="0"/>
                  <w:marRight w:val="0"/>
                  <w:marTop w:val="0"/>
                  <w:marBottom w:val="0"/>
                  <w:divBdr>
                    <w:top w:val="none" w:sz="0" w:space="0" w:color="auto"/>
                    <w:left w:val="none" w:sz="0" w:space="0" w:color="auto"/>
                    <w:bottom w:val="none" w:sz="0" w:space="0" w:color="auto"/>
                    <w:right w:val="none" w:sz="0" w:space="0" w:color="auto"/>
                  </w:divBdr>
                  <w:divsChild>
                    <w:div w:id="780491088">
                      <w:marLeft w:val="0"/>
                      <w:marRight w:val="0"/>
                      <w:marTop w:val="0"/>
                      <w:marBottom w:val="0"/>
                      <w:divBdr>
                        <w:top w:val="none" w:sz="0" w:space="0" w:color="auto"/>
                        <w:left w:val="none" w:sz="0" w:space="0" w:color="auto"/>
                        <w:bottom w:val="none" w:sz="0" w:space="0" w:color="auto"/>
                        <w:right w:val="none" w:sz="0" w:space="0" w:color="auto"/>
                      </w:divBdr>
                    </w:div>
                  </w:divsChild>
                </w:div>
                <w:div w:id="33192209">
                  <w:marLeft w:val="0"/>
                  <w:marRight w:val="0"/>
                  <w:marTop w:val="0"/>
                  <w:marBottom w:val="0"/>
                  <w:divBdr>
                    <w:top w:val="none" w:sz="0" w:space="0" w:color="auto"/>
                    <w:left w:val="none" w:sz="0" w:space="0" w:color="auto"/>
                    <w:bottom w:val="none" w:sz="0" w:space="0" w:color="auto"/>
                    <w:right w:val="none" w:sz="0" w:space="0" w:color="auto"/>
                  </w:divBdr>
                  <w:divsChild>
                    <w:div w:id="1625386642">
                      <w:marLeft w:val="0"/>
                      <w:marRight w:val="0"/>
                      <w:marTop w:val="0"/>
                      <w:marBottom w:val="0"/>
                      <w:divBdr>
                        <w:top w:val="none" w:sz="0" w:space="0" w:color="auto"/>
                        <w:left w:val="none" w:sz="0" w:space="0" w:color="auto"/>
                        <w:bottom w:val="none" w:sz="0" w:space="0" w:color="auto"/>
                        <w:right w:val="none" w:sz="0" w:space="0" w:color="auto"/>
                      </w:divBdr>
                    </w:div>
                  </w:divsChild>
                </w:div>
                <w:div w:id="40204540">
                  <w:marLeft w:val="0"/>
                  <w:marRight w:val="0"/>
                  <w:marTop w:val="0"/>
                  <w:marBottom w:val="0"/>
                  <w:divBdr>
                    <w:top w:val="none" w:sz="0" w:space="0" w:color="auto"/>
                    <w:left w:val="none" w:sz="0" w:space="0" w:color="auto"/>
                    <w:bottom w:val="none" w:sz="0" w:space="0" w:color="auto"/>
                    <w:right w:val="none" w:sz="0" w:space="0" w:color="auto"/>
                  </w:divBdr>
                  <w:divsChild>
                    <w:div w:id="882910114">
                      <w:marLeft w:val="0"/>
                      <w:marRight w:val="0"/>
                      <w:marTop w:val="0"/>
                      <w:marBottom w:val="0"/>
                      <w:divBdr>
                        <w:top w:val="none" w:sz="0" w:space="0" w:color="auto"/>
                        <w:left w:val="none" w:sz="0" w:space="0" w:color="auto"/>
                        <w:bottom w:val="none" w:sz="0" w:space="0" w:color="auto"/>
                        <w:right w:val="none" w:sz="0" w:space="0" w:color="auto"/>
                      </w:divBdr>
                    </w:div>
                  </w:divsChild>
                </w:div>
                <w:div w:id="222064215">
                  <w:marLeft w:val="0"/>
                  <w:marRight w:val="0"/>
                  <w:marTop w:val="0"/>
                  <w:marBottom w:val="0"/>
                  <w:divBdr>
                    <w:top w:val="none" w:sz="0" w:space="0" w:color="auto"/>
                    <w:left w:val="none" w:sz="0" w:space="0" w:color="auto"/>
                    <w:bottom w:val="none" w:sz="0" w:space="0" w:color="auto"/>
                    <w:right w:val="none" w:sz="0" w:space="0" w:color="auto"/>
                  </w:divBdr>
                  <w:divsChild>
                    <w:div w:id="1956402526">
                      <w:marLeft w:val="0"/>
                      <w:marRight w:val="0"/>
                      <w:marTop w:val="0"/>
                      <w:marBottom w:val="0"/>
                      <w:divBdr>
                        <w:top w:val="none" w:sz="0" w:space="0" w:color="auto"/>
                        <w:left w:val="none" w:sz="0" w:space="0" w:color="auto"/>
                        <w:bottom w:val="none" w:sz="0" w:space="0" w:color="auto"/>
                        <w:right w:val="none" w:sz="0" w:space="0" w:color="auto"/>
                      </w:divBdr>
                    </w:div>
                  </w:divsChild>
                </w:div>
                <w:div w:id="518012005">
                  <w:marLeft w:val="0"/>
                  <w:marRight w:val="0"/>
                  <w:marTop w:val="0"/>
                  <w:marBottom w:val="0"/>
                  <w:divBdr>
                    <w:top w:val="none" w:sz="0" w:space="0" w:color="auto"/>
                    <w:left w:val="none" w:sz="0" w:space="0" w:color="auto"/>
                    <w:bottom w:val="none" w:sz="0" w:space="0" w:color="auto"/>
                    <w:right w:val="none" w:sz="0" w:space="0" w:color="auto"/>
                  </w:divBdr>
                  <w:divsChild>
                    <w:div w:id="1417365957">
                      <w:marLeft w:val="0"/>
                      <w:marRight w:val="0"/>
                      <w:marTop w:val="0"/>
                      <w:marBottom w:val="0"/>
                      <w:divBdr>
                        <w:top w:val="none" w:sz="0" w:space="0" w:color="auto"/>
                        <w:left w:val="none" w:sz="0" w:space="0" w:color="auto"/>
                        <w:bottom w:val="none" w:sz="0" w:space="0" w:color="auto"/>
                        <w:right w:val="none" w:sz="0" w:space="0" w:color="auto"/>
                      </w:divBdr>
                    </w:div>
                  </w:divsChild>
                </w:div>
                <w:div w:id="577180845">
                  <w:marLeft w:val="0"/>
                  <w:marRight w:val="0"/>
                  <w:marTop w:val="0"/>
                  <w:marBottom w:val="0"/>
                  <w:divBdr>
                    <w:top w:val="none" w:sz="0" w:space="0" w:color="auto"/>
                    <w:left w:val="none" w:sz="0" w:space="0" w:color="auto"/>
                    <w:bottom w:val="none" w:sz="0" w:space="0" w:color="auto"/>
                    <w:right w:val="none" w:sz="0" w:space="0" w:color="auto"/>
                  </w:divBdr>
                  <w:divsChild>
                    <w:div w:id="45446597">
                      <w:marLeft w:val="0"/>
                      <w:marRight w:val="0"/>
                      <w:marTop w:val="0"/>
                      <w:marBottom w:val="0"/>
                      <w:divBdr>
                        <w:top w:val="none" w:sz="0" w:space="0" w:color="auto"/>
                        <w:left w:val="none" w:sz="0" w:space="0" w:color="auto"/>
                        <w:bottom w:val="none" w:sz="0" w:space="0" w:color="auto"/>
                        <w:right w:val="none" w:sz="0" w:space="0" w:color="auto"/>
                      </w:divBdr>
                    </w:div>
                  </w:divsChild>
                </w:div>
                <w:div w:id="683626772">
                  <w:marLeft w:val="0"/>
                  <w:marRight w:val="0"/>
                  <w:marTop w:val="0"/>
                  <w:marBottom w:val="0"/>
                  <w:divBdr>
                    <w:top w:val="none" w:sz="0" w:space="0" w:color="auto"/>
                    <w:left w:val="none" w:sz="0" w:space="0" w:color="auto"/>
                    <w:bottom w:val="none" w:sz="0" w:space="0" w:color="auto"/>
                    <w:right w:val="none" w:sz="0" w:space="0" w:color="auto"/>
                  </w:divBdr>
                  <w:divsChild>
                    <w:div w:id="432166802">
                      <w:marLeft w:val="0"/>
                      <w:marRight w:val="0"/>
                      <w:marTop w:val="0"/>
                      <w:marBottom w:val="0"/>
                      <w:divBdr>
                        <w:top w:val="none" w:sz="0" w:space="0" w:color="auto"/>
                        <w:left w:val="none" w:sz="0" w:space="0" w:color="auto"/>
                        <w:bottom w:val="none" w:sz="0" w:space="0" w:color="auto"/>
                        <w:right w:val="none" w:sz="0" w:space="0" w:color="auto"/>
                      </w:divBdr>
                    </w:div>
                  </w:divsChild>
                </w:div>
                <w:div w:id="685643258">
                  <w:marLeft w:val="0"/>
                  <w:marRight w:val="0"/>
                  <w:marTop w:val="0"/>
                  <w:marBottom w:val="0"/>
                  <w:divBdr>
                    <w:top w:val="none" w:sz="0" w:space="0" w:color="auto"/>
                    <w:left w:val="none" w:sz="0" w:space="0" w:color="auto"/>
                    <w:bottom w:val="none" w:sz="0" w:space="0" w:color="auto"/>
                    <w:right w:val="none" w:sz="0" w:space="0" w:color="auto"/>
                  </w:divBdr>
                  <w:divsChild>
                    <w:div w:id="1538739340">
                      <w:marLeft w:val="0"/>
                      <w:marRight w:val="0"/>
                      <w:marTop w:val="0"/>
                      <w:marBottom w:val="0"/>
                      <w:divBdr>
                        <w:top w:val="none" w:sz="0" w:space="0" w:color="auto"/>
                        <w:left w:val="none" w:sz="0" w:space="0" w:color="auto"/>
                        <w:bottom w:val="none" w:sz="0" w:space="0" w:color="auto"/>
                        <w:right w:val="none" w:sz="0" w:space="0" w:color="auto"/>
                      </w:divBdr>
                    </w:div>
                  </w:divsChild>
                </w:div>
                <w:div w:id="754014240">
                  <w:marLeft w:val="0"/>
                  <w:marRight w:val="0"/>
                  <w:marTop w:val="0"/>
                  <w:marBottom w:val="0"/>
                  <w:divBdr>
                    <w:top w:val="none" w:sz="0" w:space="0" w:color="auto"/>
                    <w:left w:val="none" w:sz="0" w:space="0" w:color="auto"/>
                    <w:bottom w:val="none" w:sz="0" w:space="0" w:color="auto"/>
                    <w:right w:val="none" w:sz="0" w:space="0" w:color="auto"/>
                  </w:divBdr>
                  <w:divsChild>
                    <w:div w:id="239293834">
                      <w:marLeft w:val="0"/>
                      <w:marRight w:val="0"/>
                      <w:marTop w:val="0"/>
                      <w:marBottom w:val="0"/>
                      <w:divBdr>
                        <w:top w:val="none" w:sz="0" w:space="0" w:color="auto"/>
                        <w:left w:val="none" w:sz="0" w:space="0" w:color="auto"/>
                        <w:bottom w:val="none" w:sz="0" w:space="0" w:color="auto"/>
                        <w:right w:val="none" w:sz="0" w:space="0" w:color="auto"/>
                      </w:divBdr>
                    </w:div>
                  </w:divsChild>
                </w:div>
                <w:div w:id="918903700">
                  <w:marLeft w:val="0"/>
                  <w:marRight w:val="0"/>
                  <w:marTop w:val="0"/>
                  <w:marBottom w:val="0"/>
                  <w:divBdr>
                    <w:top w:val="none" w:sz="0" w:space="0" w:color="auto"/>
                    <w:left w:val="none" w:sz="0" w:space="0" w:color="auto"/>
                    <w:bottom w:val="none" w:sz="0" w:space="0" w:color="auto"/>
                    <w:right w:val="none" w:sz="0" w:space="0" w:color="auto"/>
                  </w:divBdr>
                  <w:divsChild>
                    <w:div w:id="259147795">
                      <w:marLeft w:val="0"/>
                      <w:marRight w:val="0"/>
                      <w:marTop w:val="0"/>
                      <w:marBottom w:val="0"/>
                      <w:divBdr>
                        <w:top w:val="none" w:sz="0" w:space="0" w:color="auto"/>
                        <w:left w:val="none" w:sz="0" w:space="0" w:color="auto"/>
                        <w:bottom w:val="none" w:sz="0" w:space="0" w:color="auto"/>
                        <w:right w:val="none" w:sz="0" w:space="0" w:color="auto"/>
                      </w:divBdr>
                    </w:div>
                    <w:div w:id="264727248">
                      <w:marLeft w:val="0"/>
                      <w:marRight w:val="0"/>
                      <w:marTop w:val="0"/>
                      <w:marBottom w:val="0"/>
                      <w:divBdr>
                        <w:top w:val="none" w:sz="0" w:space="0" w:color="auto"/>
                        <w:left w:val="none" w:sz="0" w:space="0" w:color="auto"/>
                        <w:bottom w:val="none" w:sz="0" w:space="0" w:color="auto"/>
                        <w:right w:val="none" w:sz="0" w:space="0" w:color="auto"/>
                      </w:divBdr>
                    </w:div>
                    <w:div w:id="533230826">
                      <w:marLeft w:val="0"/>
                      <w:marRight w:val="0"/>
                      <w:marTop w:val="0"/>
                      <w:marBottom w:val="0"/>
                      <w:divBdr>
                        <w:top w:val="none" w:sz="0" w:space="0" w:color="auto"/>
                        <w:left w:val="none" w:sz="0" w:space="0" w:color="auto"/>
                        <w:bottom w:val="none" w:sz="0" w:space="0" w:color="auto"/>
                        <w:right w:val="none" w:sz="0" w:space="0" w:color="auto"/>
                      </w:divBdr>
                    </w:div>
                    <w:div w:id="547184482">
                      <w:marLeft w:val="0"/>
                      <w:marRight w:val="0"/>
                      <w:marTop w:val="0"/>
                      <w:marBottom w:val="0"/>
                      <w:divBdr>
                        <w:top w:val="none" w:sz="0" w:space="0" w:color="auto"/>
                        <w:left w:val="none" w:sz="0" w:space="0" w:color="auto"/>
                        <w:bottom w:val="none" w:sz="0" w:space="0" w:color="auto"/>
                        <w:right w:val="none" w:sz="0" w:space="0" w:color="auto"/>
                      </w:divBdr>
                    </w:div>
                    <w:div w:id="574439261">
                      <w:marLeft w:val="0"/>
                      <w:marRight w:val="0"/>
                      <w:marTop w:val="0"/>
                      <w:marBottom w:val="0"/>
                      <w:divBdr>
                        <w:top w:val="none" w:sz="0" w:space="0" w:color="auto"/>
                        <w:left w:val="none" w:sz="0" w:space="0" w:color="auto"/>
                        <w:bottom w:val="none" w:sz="0" w:space="0" w:color="auto"/>
                        <w:right w:val="none" w:sz="0" w:space="0" w:color="auto"/>
                      </w:divBdr>
                    </w:div>
                    <w:div w:id="751245054">
                      <w:marLeft w:val="0"/>
                      <w:marRight w:val="0"/>
                      <w:marTop w:val="0"/>
                      <w:marBottom w:val="0"/>
                      <w:divBdr>
                        <w:top w:val="none" w:sz="0" w:space="0" w:color="auto"/>
                        <w:left w:val="none" w:sz="0" w:space="0" w:color="auto"/>
                        <w:bottom w:val="none" w:sz="0" w:space="0" w:color="auto"/>
                        <w:right w:val="none" w:sz="0" w:space="0" w:color="auto"/>
                      </w:divBdr>
                    </w:div>
                    <w:div w:id="1522279658">
                      <w:marLeft w:val="0"/>
                      <w:marRight w:val="0"/>
                      <w:marTop w:val="0"/>
                      <w:marBottom w:val="0"/>
                      <w:divBdr>
                        <w:top w:val="none" w:sz="0" w:space="0" w:color="auto"/>
                        <w:left w:val="none" w:sz="0" w:space="0" w:color="auto"/>
                        <w:bottom w:val="none" w:sz="0" w:space="0" w:color="auto"/>
                        <w:right w:val="none" w:sz="0" w:space="0" w:color="auto"/>
                      </w:divBdr>
                    </w:div>
                    <w:div w:id="1547451490">
                      <w:marLeft w:val="0"/>
                      <w:marRight w:val="0"/>
                      <w:marTop w:val="0"/>
                      <w:marBottom w:val="0"/>
                      <w:divBdr>
                        <w:top w:val="none" w:sz="0" w:space="0" w:color="auto"/>
                        <w:left w:val="none" w:sz="0" w:space="0" w:color="auto"/>
                        <w:bottom w:val="none" w:sz="0" w:space="0" w:color="auto"/>
                        <w:right w:val="none" w:sz="0" w:space="0" w:color="auto"/>
                      </w:divBdr>
                    </w:div>
                    <w:div w:id="1624531425">
                      <w:marLeft w:val="0"/>
                      <w:marRight w:val="0"/>
                      <w:marTop w:val="0"/>
                      <w:marBottom w:val="0"/>
                      <w:divBdr>
                        <w:top w:val="none" w:sz="0" w:space="0" w:color="auto"/>
                        <w:left w:val="none" w:sz="0" w:space="0" w:color="auto"/>
                        <w:bottom w:val="none" w:sz="0" w:space="0" w:color="auto"/>
                        <w:right w:val="none" w:sz="0" w:space="0" w:color="auto"/>
                      </w:divBdr>
                    </w:div>
                    <w:div w:id="1794250102">
                      <w:marLeft w:val="0"/>
                      <w:marRight w:val="0"/>
                      <w:marTop w:val="0"/>
                      <w:marBottom w:val="0"/>
                      <w:divBdr>
                        <w:top w:val="none" w:sz="0" w:space="0" w:color="auto"/>
                        <w:left w:val="none" w:sz="0" w:space="0" w:color="auto"/>
                        <w:bottom w:val="none" w:sz="0" w:space="0" w:color="auto"/>
                        <w:right w:val="none" w:sz="0" w:space="0" w:color="auto"/>
                      </w:divBdr>
                    </w:div>
                  </w:divsChild>
                </w:div>
                <w:div w:id="1154833438">
                  <w:marLeft w:val="0"/>
                  <w:marRight w:val="0"/>
                  <w:marTop w:val="0"/>
                  <w:marBottom w:val="0"/>
                  <w:divBdr>
                    <w:top w:val="none" w:sz="0" w:space="0" w:color="auto"/>
                    <w:left w:val="none" w:sz="0" w:space="0" w:color="auto"/>
                    <w:bottom w:val="none" w:sz="0" w:space="0" w:color="auto"/>
                    <w:right w:val="none" w:sz="0" w:space="0" w:color="auto"/>
                  </w:divBdr>
                  <w:divsChild>
                    <w:div w:id="488591898">
                      <w:marLeft w:val="0"/>
                      <w:marRight w:val="0"/>
                      <w:marTop w:val="0"/>
                      <w:marBottom w:val="0"/>
                      <w:divBdr>
                        <w:top w:val="none" w:sz="0" w:space="0" w:color="auto"/>
                        <w:left w:val="none" w:sz="0" w:space="0" w:color="auto"/>
                        <w:bottom w:val="none" w:sz="0" w:space="0" w:color="auto"/>
                        <w:right w:val="none" w:sz="0" w:space="0" w:color="auto"/>
                      </w:divBdr>
                    </w:div>
                  </w:divsChild>
                </w:div>
                <w:div w:id="1170410808">
                  <w:marLeft w:val="0"/>
                  <w:marRight w:val="0"/>
                  <w:marTop w:val="0"/>
                  <w:marBottom w:val="0"/>
                  <w:divBdr>
                    <w:top w:val="none" w:sz="0" w:space="0" w:color="auto"/>
                    <w:left w:val="none" w:sz="0" w:space="0" w:color="auto"/>
                    <w:bottom w:val="none" w:sz="0" w:space="0" w:color="auto"/>
                    <w:right w:val="none" w:sz="0" w:space="0" w:color="auto"/>
                  </w:divBdr>
                  <w:divsChild>
                    <w:div w:id="814614053">
                      <w:marLeft w:val="0"/>
                      <w:marRight w:val="0"/>
                      <w:marTop w:val="0"/>
                      <w:marBottom w:val="0"/>
                      <w:divBdr>
                        <w:top w:val="none" w:sz="0" w:space="0" w:color="auto"/>
                        <w:left w:val="none" w:sz="0" w:space="0" w:color="auto"/>
                        <w:bottom w:val="none" w:sz="0" w:space="0" w:color="auto"/>
                        <w:right w:val="none" w:sz="0" w:space="0" w:color="auto"/>
                      </w:divBdr>
                    </w:div>
                  </w:divsChild>
                </w:div>
                <w:div w:id="1193110792">
                  <w:marLeft w:val="0"/>
                  <w:marRight w:val="0"/>
                  <w:marTop w:val="0"/>
                  <w:marBottom w:val="0"/>
                  <w:divBdr>
                    <w:top w:val="none" w:sz="0" w:space="0" w:color="auto"/>
                    <w:left w:val="none" w:sz="0" w:space="0" w:color="auto"/>
                    <w:bottom w:val="none" w:sz="0" w:space="0" w:color="auto"/>
                    <w:right w:val="none" w:sz="0" w:space="0" w:color="auto"/>
                  </w:divBdr>
                  <w:divsChild>
                    <w:div w:id="1047024251">
                      <w:marLeft w:val="0"/>
                      <w:marRight w:val="0"/>
                      <w:marTop w:val="0"/>
                      <w:marBottom w:val="0"/>
                      <w:divBdr>
                        <w:top w:val="none" w:sz="0" w:space="0" w:color="auto"/>
                        <w:left w:val="none" w:sz="0" w:space="0" w:color="auto"/>
                        <w:bottom w:val="none" w:sz="0" w:space="0" w:color="auto"/>
                        <w:right w:val="none" w:sz="0" w:space="0" w:color="auto"/>
                      </w:divBdr>
                    </w:div>
                  </w:divsChild>
                </w:div>
                <w:div w:id="1207719873">
                  <w:marLeft w:val="0"/>
                  <w:marRight w:val="0"/>
                  <w:marTop w:val="0"/>
                  <w:marBottom w:val="0"/>
                  <w:divBdr>
                    <w:top w:val="none" w:sz="0" w:space="0" w:color="auto"/>
                    <w:left w:val="none" w:sz="0" w:space="0" w:color="auto"/>
                    <w:bottom w:val="none" w:sz="0" w:space="0" w:color="auto"/>
                    <w:right w:val="none" w:sz="0" w:space="0" w:color="auto"/>
                  </w:divBdr>
                  <w:divsChild>
                    <w:div w:id="1704206043">
                      <w:marLeft w:val="0"/>
                      <w:marRight w:val="0"/>
                      <w:marTop w:val="0"/>
                      <w:marBottom w:val="0"/>
                      <w:divBdr>
                        <w:top w:val="none" w:sz="0" w:space="0" w:color="auto"/>
                        <w:left w:val="none" w:sz="0" w:space="0" w:color="auto"/>
                        <w:bottom w:val="none" w:sz="0" w:space="0" w:color="auto"/>
                        <w:right w:val="none" w:sz="0" w:space="0" w:color="auto"/>
                      </w:divBdr>
                    </w:div>
                  </w:divsChild>
                </w:div>
                <w:div w:id="1345016496">
                  <w:marLeft w:val="0"/>
                  <w:marRight w:val="0"/>
                  <w:marTop w:val="0"/>
                  <w:marBottom w:val="0"/>
                  <w:divBdr>
                    <w:top w:val="none" w:sz="0" w:space="0" w:color="auto"/>
                    <w:left w:val="none" w:sz="0" w:space="0" w:color="auto"/>
                    <w:bottom w:val="none" w:sz="0" w:space="0" w:color="auto"/>
                    <w:right w:val="none" w:sz="0" w:space="0" w:color="auto"/>
                  </w:divBdr>
                  <w:divsChild>
                    <w:div w:id="1805125498">
                      <w:marLeft w:val="0"/>
                      <w:marRight w:val="0"/>
                      <w:marTop w:val="0"/>
                      <w:marBottom w:val="0"/>
                      <w:divBdr>
                        <w:top w:val="none" w:sz="0" w:space="0" w:color="auto"/>
                        <w:left w:val="none" w:sz="0" w:space="0" w:color="auto"/>
                        <w:bottom w:val="none" w:sz="0" w:space="0" w:color="auto"/>
                        <w:right w:val="none" w:sz="0" w:space="0" w:color="auto"/>
                      </w:divBdr>
                    </w:div>
                  </w:divsChild>
                </w:div>
                <w:div w:id="1455782550">
                  <w:marLeft w:val="0"/>
                  <w:marRight w:val="0"/>
                  <w:marTop w:val="0"/>
                  <w:marBottom w:val="0"/>
                  <w:divBdr>
                    <w:top w:val="none" w:sz="0" w:space="0" w:color="auto"/>
                    <w:left w:val="none" w:sz="0" w:space="0" w:color="auto"/>
                    <w:bottom w:val="none" w:sz="0" w:space="0" w:color="auto"/>
                    <w:right w:val="none" w:sz="0" w:space="0" w:color="auto"/>
                  </w:divBdr>
                  <w:divsChild>
                    <w:div w:id="908149260">
                      <w:marLeft w:val="0"/>
                      <w:marRight w:val="0"/>
                      <w:marTop w:val="0"/>
                      <w:marBottom w:val="0"/>
                      <w:divBdr>
                        <w:top w:val="none" w:sz="0" w:space="0" w:color="auto"/>
                        <w:left w:val="none" w:sz="0" w:space="0" w:color="auto"/>
                        <w:bottom w:val="none" w:sz="0" w:space="0" w:color="auto"/>
                        <w:right w:val="none" w:sz="0" w:space="0" w:color="auto"/>
                      </w:divBdr>
                    </w:div>
                  </w:divsChild>
                </w:div>
                <w:div w:id="1559826496">
                  <w:marLeft w:val="0"/>
                  <w:marRight w:val="0"/>
                  <w:marTop w:val="0"/>
                  <w:marBottom w:val="0"/>
                  <w:divBdr>
                    <w:top w:val="none" w:sz="0" w:space="0" w:color="auto"/>
                    <w:left w:val="none" w:sz="0" w:space="0" w:color="auto"/>
                    <w:bottom w:val="none" w:sz="0" w:space="0" w:color="auto"/>
                    <w:right w:val="none" w:sz="0" w:space="0" w:color="auto"/>
                  </w:divBdr>
                  <w:divsChild>
                    <w:div w:id="200828841">
                      <w:marLeft w:val="0"/>
                      <w:marRight w:val="0"/>
                      <w:marTop w:val="0"/>
                      <w:marBottom w:val="0"/>
                      <w:divBdr>
                        <w:top w:val="none" w:sz="0" w:space="0" w:color="auto"/>
                        <w:left w:val="none" w:sz="0" w:space="0" w:color="auto"/>
                        <w:bottom w:val="none" w:sz="0" w:space="0" w:color="auto"/>
                        <w:right w:val="none" w:sz="0" w:space="0" w:color="auto"/>
                      </w:divBdr>
                    </w:div>
                    <w:div w:id="493184968">
                      <w:marLeft w:val="0"/>
                      <w:marRight w:val="0"/>
                      <w:marTop w:val="0"/>
                      <w:marBottom w:val="0"/>
                      <w:divBdr>
                        <w:top w:val="none" w:sz="0" w:space="0" w:color="auto"/>
                        <w:left w:val="none" w:sz="0" w:space="0" w:color="auto"/>
                        <w:bottom w:val="none" w:sz="0" w:space="0" w:color="auto"/>
                        <w:right w:val="none" w:sz="0" w:space="0" w:color="auto"/>
                      </w:divBdr>
                    </w:div>
                    <w:div w:id="633875532">
                      <w:marLeft w:val="0"/>
                      <w:marRight w:val="0"/>
                      <w:marTop w:val="0"/>
                      <w:marBottom w:val="0"/>
                      <w:divBdr>
                        <w:top w:val="none" w:sz="0" w:space="0" w:color="auto"/>
                        <w:left w:val="none" w:sz="0" w:space="0" w:color="auto"/>
                        <w:bottom w:val="none" w:sz="0" w:space="0" w:color="auto"/>
                        <w:right w:val="none" w:sz="0" w:space="0" w:color="auto"/>
                      </w:divBdr>
                    </w:div>
                    <w:div w:id="1982230036">
                      <w:marLeft w:val="0"/>
                      <w:marRight w:val="0"/>
                      <w:marTop w:val="0"/>
                      <w:marBottom w:val="0"/>
                      <w:divBdr>
                        <w:top w:val="none" w:sz="0" w:space="0" w:color="auto"/>
                        <w:left w:val="none" w:sz="0" w:space="0" w:color="auto"/>
                        <w:bottom w:val="none" w:sz="0" w:space="0" w:color="auto"/>
                        <w:right w:val="none" w:sz="0" w:space="0" w:color="auto"/>
                      </w:divBdr>
                    </w:div>
                    <w:div w:id="2091416770">
                      <w:marLeft w:val="0"/>
                      <w:marRight w:val="0"/>
                      <w:marTop w:val="0"/>
                      <w:marBottom w:val="0"/>
                      <w:divBdr>
                        <w:top w:val="none" w:sz="0" w:space="0" w:color="auto"/>
                        <w:left w:val="none" w:sz="0" w:space="0" w:color="auto"/>
                        <w:bottom w:val="none" w:sz="0" w:space="0" w:color="auto"/>
                        <w:right w:val="none" w:sz="0" w:space="0" w:color="auto"/>
                      </w:divBdr>
                    </w:div>
                    <w:div w:id="2122331907">
                      <w:marLeft w:val="0"/>
                      <w:marRight w:val="0"/>
                      <w:marTop w:val="0"/>
                      <w:marBottom w:val="0"/>
                      <w:divBdr>
                        <w:top w:val="none" w:sz="0" w:space="0" w:color="auto"/>
                        <w:left w:val="none" w:sz="0" w:space="0" w:color="auto"/>
                        <w:bottom w:val="none" w:sz="0" w:space="0" w:color="auto"/>
                        <w:right w:val="none" w:sz="0" w:space="0" w:color="auto"/>
                      </w:divBdr>
                    </w:div>
                  </w:divsChild>
                </w:div>
                <w:div w:id="1646084298">
                  <w:marLeft w:val="0"/>
                  <w:marRight w:val="0"/>
                  <w:marTop w:val="0"/>
                  <w:marBottom w:val="0"/>
                  <w:divBdr>
                    <w:top w:val="none" w:sz="0" w:space="0" w:color="auto"/>
                    <w:left w:val="none" w:sz="0" w:space="0" w:color="auto"/>
                    <w:bottom w:val="none" w:sz="0" w:space="0" w:color="auto"/>
                    <w:right w:val="none" w:sz="0" w:space="0" w:color="auto"/>
                  </w:divBdr>
                  <w:divsChild>
                    <w:div w:id="672299810">
                      <w:marLeft w:val="0"/>
                      <w:marRight w:val="0"/>
                      <w:marTop w:val="0"/>
                      <w:marBottom w:val="0"/>
                      <w:divBdr>
                        <w:top w:val="none" w:sz="0" w:space="0" w:color="auto"/>
                        <w:left w:val="none" w:sz="0" w:space="0" w:color="auto"/>
                        <w:bottom w:val="none" w:sz="0" w:space="0" w:color="auto"/>
                        <w:right w:val="none" w:sz="0" w:space="0" w:color="auto"/>
                      </w:divBdr>
                    </w:div>
                  </w:divsChild>
                </w:div>
                <w:div w:id="1911692348">
                  <w:marLeft w:val="0"/>
                  <w:marRight w:val="0"/>
                  <w:marTop w:val="0"/>
                  <w:marBottom w:val="0"/>
                  <w:divBdr>
                    <w:top w:val="none" w:sz="0" w:space="0" w:color="auto"/>
                    <w:left w:val="none" w:sz="0" w:space="0" w:color="auto"/>
                    <w:bottom w:val="none" w:sz="0" w:space="0" w:color="auto"/>
                    <w:right w:val="none" w:sz="0" w:space="0" w:color="auto"/>
                  </w:divBdr>
                  <w:divsChild>
                    <w:div w:id="484855531">
                      <w:marLeft w:val="0"/>
                      <w:marRight w:val="0"/>
                      <w:marTop w:val="0"/>
                      <w:marBottom w:val="0"/>
                      <w:divBdr>
                        <w:top w:val="none" w:sz="0" w:space="0" w:color="auto"/>
                        <w:left w:val="none" w:sz="0" w:space="0" w:color="auto"/>
                        <w:bottom w:val="none" w:sz="0" w:space="0" w:color="auto"/>
                        <w:right w:val="none" w:sz="0" w:space="0" w:color="auto"/>
                      </w:divBdr>
                    </w:div>
                    <w:div w:id="1019040837">
                      <w:marLeft w:val="0"/>
                      <w:marRight w:val="0"/>
                      <w:marTop w:val="0"/>
                      <w:marBottom w:val="0"/>
                      <w:divBdr>
                        <w:top w:val="none" w:sz="0" w:space="0" w:color="auto"/>
                        <w:left w:val="none" w:sz="0" w:space="0" w:color="auto"/>
                        <w:bottom w:val="none" w:sz="0" w:space="0" w:color="auto"/>
                        <w:right w:val="none" w:sz="0" w:space="0" w:color="auto"/>
                      </w:divBdr>
                    </w:div>
                  </w:divsChild>
                </w:div>
                <w:div w:id="2102413995">
                  <w:marLeft w:val="0"/>
                  <w:marRight w:val="0"/>
                  <w:marTop w:val="0"/>
                  <w:marBottom w:val="0"/>
                  <w:divBdr>
                    <w:top w:val="none" w:sz="0" w:space="0" w:color="auto"/>
                    <w:left w:val="none" w:sz="0" w:space="0" w:color="auto"/>
                    <w:bottom w:val="none" w:sz="0" w:space="0" w:color="auto"/>
                    <w:right w:val="none" w:sz="0" w:space="0" w:color="auto"/>
                  </w:divBdr>
                  <w:divsChild>
                    <w:div w:id="4961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329417">
          <w:marLeft w:val="0"/>
          <w:marRight w:val="0"/>
          <w:marTop w:val="0"/>
          <w:marBottom w:val="0"/>
          <w:divBdr>
            <w:top w:val="none" w:sz="0" w:space="0" w:color="auto"/>
            <w:left w:val="none" w:sz="0" w:space="0" w:color="auto"/>
            <w:bottom w:val="none" w:sz="0" w:space="0" w:color="auto"/>
            <w:right w:val="none" w:sz="0" w:space="0" w:color="auto"/>
          </w:divBdr>
        </w:div>
      </w:divsChild>
    </w:div>
    <w:div w:id="2032105078">
      <w:bodyDiv w:val="1"/>
      <w:marLeft w:val="0"/>
      <w:marRight w:val="0"/>
      <w:marTop w:val="0"/>
      <w:marBottom w:val="0"/>
      <w:divBdr>
        <w:top w:val="none" w:sz="0" w:space="0" w:color="auto"/>
        <w:left w:val="none" w:sz="0" w:space="0" w:color="auto"/>
        <w:bottom w:val="none" w:sz="0" w:space="0" w:color="auto"/>
        <w:right w:val="none" w:sz="0" w:space="0" w:color="auto"/>
      </w:divBdr>
      <w:divsChild>
        <w:div w:id="1416122457">
          <w:marLeft w:val="0"/>
          <w:marRight w:val="0"/>
          <w:marTop w:val="0"/>
          <w:marBottom w:val="0"/>
          <w:divBdr>
            <w:top w:val="none" w:sz="0" w:space="0" w:color="auto"/>
            <w:left w:val="none" w:sz="0" w:space="0" w:color="auto"/>
            <w:bottom w:val="none" w:sz="0" w:space="0" w:color="auto"/>
            <w:right w:val="none" w:sz="0" w:space="0" w:color="auto"/>
          </w:divBdr>
          <w:divsChild>
            <w:div w:id="1468205262">
              <w:marLeft w:val="0"/>
              <w:marRight w:val="0"/>
              <w:marTop w:val="30"/>
              <w:marBottom w:val="30"/>
              <w:divBdr>
                <w:top w:val="none" w:sz="0" w:space="0" w:color="auto"/>
                <w:left w:val="none" w:sz="0" w:space="0" w:color="auto"/>
                <w:bottom w:val="none" w:sz="0" w:space="0" w:color="auto"/>
                <w:right w:val="none" w:sz="0" w:space="0" w:color="auto"/>
              </w:divBdr>
              <w:divsChild>
                <w:div w:id="8877171">
                  <w:marLeft w:val="0"/>
                  <w:marRight w:val="0"/>
                  <w:marTop w:val="0"/>
                  <w:marBottom w:val="0"/>
                  <w:divBdr>
                    <w:top w:val="none" w:sz="0" w:space="0" w:color="auto"/>
                    <w:left w:val="none" w:sz="0" w:space="0" w:color="auto"/>
                    <w:bottom w:val="none" w:sz="0" w:space="0" w:color="auto"/>
                    <w:right w:val="none" w:sz="0" w:space="0" w:color="auto"/>
                  </w:divBdr>
                  <w:divsChild>
                    <w:div w:id="2096825137">
                      <w:marLeft w:val="0"/>
                      <w:marRight w:val="0"/>
                      <w:marTop w:val="0"/>
                      <w:marBottom w:val="0"/>
                      <w:divBdr>
                        <w:top w:val="none" w:sz="0" w:space="0" w:color="auto"/>
                        <w:left w:val="none" w:sz="0" w:space="0" w:color="auto"/>
                        <w:bottom w:val="none" w:sz="0" w:space="0" w:color="auto"/>
                        <w:right w:val="none" w:sz="0" w:space="0" w:color="auto"/>
                      </w:divBdr>
                    </w:div>
                  </w:divsChild>
                </w:div>
                <w:div w:id="132606560">
                  <w:marLeft w:val="0"/>
                  <w:marRight w:val="0"/>
                  <w:marTop w:val="0"/>
                  <w:marBottom w:val="0"/>
                  <w:divBdr>
                    <w:top w:val="none" w:sz="0" w:space="0" w:color="auto"/>
                    <w:left w:val="none" w:sz="0" w:space="0" w:color="auto"/>
                    <w:bottom w:val="none" w:sz="0" w:space="0" w:color="auto"/>
                    <w:right w:val="none" w:sz="0" w:space="0" w:color="auto"/>
                  </w:divBdr>
                  <w:divsChild>
                    <w:div w:id="127162915">
                      <w:marLeft w:val="0"/>
                      <w:marRight w:val="0"/>
                      <w:marTop w:val="0"/>
                      <w:marBottom w:val="0"/>
                      <w:divBdr>
                        <w:top w:val="none" w:sz="0" w:space="0" w:color="auto"/>
                        <w:left w:val="none" w:sz="0" w:space="0" w:color="auto"/>
                        <w:bottom w:val="none" w:sz="0" w:space="0" w:color="auto"/>
                        <w:right w:val="none" w:sz="0" w:space="0" w:color="auto"/>
                      </w:divBdr>
                    </w:div>
                  </w:divsChild>
                </w:div>
                <w:div w:id="198517222">
                  <w:marLeft w:val="0"/>
                  <w:marRight w:val="0"/>
                  <w:marTop w:val="0"/>
                  <w:marBottom w:val="0"/>
                  <w:divBdr>
                    <w:top w:val="none" w:sz="0" w:space="0" w:color="auto"/>
                    <w:left w:val="none" w:sz="0" w:space="0" w:color="auto"/>
                    <w:bottom w:val="none" w:sz="0" w:space="0" w:color="auto"/>
                    <w:right w:val="none" w:sz="0" w:space="0" w:color="auto"/>
                  </w:divBdr>
                  <w:divsChild>
                    <w:div w:id="433983079">
                      <w:marLeft w:val="0"/>
                      <w:marRight w:val="0"/>
                      <w:marTop w:val="0"/>
                      <w:marBottom w:val="0"/>
                      <w:divBdr>
                        <w:top w:val="none" w:sz="0" w:space="0" w:color="auto"/>
                        <w:left w:val="none" w:sz="0" w:space="0" w:color="auto"/>
                        <w:bottom w:val="none" w:sz="0" w:space="0" w:color="auto"/>
                        <w:right w:val="none" w:sz="0" w:space="0" w:color="auto"/>
                      </w:divBdr>
                    </w:div>
                  </w:divsChild>
                </w:div>
                <w:div w:id="203643788">
                  <w:marLeft w:val="0"/>
                  <w:marRight w:val="0"/>
                  <w:marTop w:val="0"/>
                  <w:marBottom w:val="0"/>
                  <w:divBdr>
                    <w:top w:val="none" w:sz="0" w:space="0" w:color="auto"/>
                    <w:left w:val="none" w:sz="0" w:space="0" w:color="auto"/>
                    <w:bottom w:val="none" w:sz="0" w:space="0" w:color="auto"/>
                    <w:right w:val="none" w:sz="0" w:space="0" w:color="auto"/>
                  </w:divBdr>
                  <w:divsChild>
                    <w:div w:id="915092704">
                      <w:marLeft w:val="0"/>
                      <w:marRight w:val="0"/>
                      <w:marTop w:val="0"/>
                      <w:marBottom w:val="0"/>
                      <w:divBdr>
                        <w:top w:val="none" w:sz="0" w:space="0" w:color="auto"/>
                        <w:left w:val="none" w:sz="0" w:space="0" w:color="auto"/>
                        <w:bottom w:val="none" w:sz="0" w:space="0" w:color="auto"/>
                        <w:right w:val="none" w:sz="0" w:space="0" w:color="auto"/>
                      </w:divBdr>
                    </w:div>
                  </w:divsChild>
                </w:div>
                <w:div w:id="290483049">
                  <w:marLeft w:val="0"/>
                  <w:marRight w:val="0"/>
                  <w:marTop w:val="0"/>
                  <w:marBottom w:val="0"/>
                  <w:divBdr>
                    <w:top w:val="none" w:sz="0" w:space="0" w:color="auto"/>
                    <w:left w:val="none" w:sz="0" w:space="0" w:color="auto"/>
                    <w:bottom w:val="none" w:sz="0" w:space="0" w:color="auto"/>
                    <w:right w:val="none" w:sz="0" w:space="0" w:color="auto"/>
                  </w:divBdr>
                  <w:divsChild>
                    <w:div w:id="127671216">
                      <w:marLeft w:val="0"/>
                      <w:marRight w:val="0"/>
                      <w:marTop w:val="0"/>
                      <w:marBottom w:val="0"/>
                      <w:divBdr>
                        <w:top w:val="none" w:sz="0" w:space="0" w:color="auto"/>
                        <w:left w:val="none" w:sz="0" w:space="0" w:color="auto"/>
                        <w:bottom w:val="none" w:sz="0" w:space="0" w:color="auto"/>
                        <w:right w:val="none" w:sz="0" w:space="0" w:color="auto"/>
                      </w:divBdr>
                    </w:div>
                    <w:div w:id="317808879">
                      <w:marLeft w:val="0"/>
                      <w:marRight w:val="0"/>
                      <w:marTop w:val="0"/>
                      <w:marBottom w:val="0"/>
                      <w:divBdr>
                        <w:top w:val="none" w:sz="0" w:space="0" w:color="auto"/>
                        <w:left w:val="none" w:sz="0" w:space="0" w:color="auto"/>
                        <w:bottom w:val="none" w:sz="0" w:space="0" w:color="auto"/>
                        <w:right w:val="none" w:sz="0" w:space="0" w:color="auto"/>
                      </w:divBdr>
                    </w:div>
                    <w:div w:id="451175078">
                      <w:marLeft w:val="0"/>
                      <w:marRight w:val="0"/>
                      <w:marTop w:val="0"/>
                      <w:marBottom w:val="0"/>
                      <w:divBdr>
                        <w:top w:val="none" w:sz="0" w:space="0" w:color="auto"/>
                        <w:left w:val="none" w:sz="0" w:space="0" w:color="auto"/>
                        <w:bottom w:val="none" w:sz="0" w:space="0" w:color="auto"/>
                        <w:right w:val="none" w:sz="0" w:space="0" w:color="auto"/>
                      </w:divBdr>
                    </w:div>
                    <w:div w:id="669143908">
                      <w:marLeft w:val="0"/>
                      <w:marRight w:val="0"/>
                      <w:marTop w:val="0"/>
                      <w:marBottom w:val="0"/>
                      <w:divBdr>
                        <w:top w:val="none" w:sz="0" w:space="0" w:color="auto"/>
                        <w:left w:val="none" w:sz="0" w:space="0" w:color="auto"/>
                        <w:bottom w:val="none" w:sz="0" w:space="0" w:color="auto"/>
                        <w:right w:val="none" w:sz="0" w:space="0" w:color="auto"/>
                      </w:divBdr>
                    </w:div>
                    <w:div w:id="896012090">
                      <w:marLeft w:val="0"/>
                      <w:marRight w:val="0"/>
                      <w:marTop w:val="0"/>
                      <w:marBottom w:val="0"/>
                      <w:divBdr>
                        <w:top w:val="none" w:sz="0" w:space="0" w:color="auto"/>
                        <w:left w:val="none" w:sz="0" w:space="0" w:color="auto"/>
                        <w:bottom w:val="none" w:sz="0" w:space="0" w:color="auto"/>
                        <w:right w:val="none" w:sz="0" w:space="0" w:color="auto"/>
                      </w:divBdr>
                    </w:div>
                    <w:div w:id="1307126741">
                      <w:marLeft w:val="0"/>
                      <w:marRight w:val="0"/>
                      <w:marTop w:val="0"/>
                      <w:marBottom w:val="0"/>
                      <w:divBdr>
                        <w:top w:val="none" w:sz="0" w:space="0" w:color="auto"/>
                        <w:left w:val="none" w:sz="0" w:space="0" w:color="auto"/>
                        <w:bottom w:val="none" w:sz="0" w:space="0" w:color="auto"/>
                        <w:right w:val="none" w:sz="0" w:space="0" w:color="auto"/>
                      </w:divBdr>
                    </w:div>
                    <w:div w:id="1427309852">
                      <w:marLeft w:val="0"/>
                      <w:marRight w:val="0"/>
                      <w:marTop w:val="0"/>
                      <w:marBottom w:val="0"/>
                      <w:divBdr>
                        <w:top w:val="none" w:sz="0" w:space="0" w:color="auto"/>
                        <w:left w:val="none" w:sz="0" w:space="0" w:color="auto"/>
                        <w:bottom w:val="none" w:sz="0" w:space="0" w:color="auto"/>
                        <w:right w:val="none" w:sz="0" w:space="0" w:color="auto"/>
                      </w:divBdr>
                    </w:div>
                    <w:div w:id="1613970919">
                      <w:marLeft w:val="0"/>
                      <w:marRight w:val="0"/>
                      <w:marTop w:val="0"/>
                      <w:marBottom w:val="0"/>
                      <w:divBdr>
                        <w:top w:val="none" w:sz="0" w:space="0" w:color="auto"/>
                        <w:left w:val="none" w:sz="0" w:space="0" w:color="auto"/>
                        <w:bottom w:val="none" w:sz="0" w:space="0" w:color="auto"/>
                        <w:right w:val="none" w:sz="0" w:space="0" w:color="auto"/>
                      </w:divBdr>
                    </w:div>
                    <w:div w:id="1825391427">
                      <w:marLeft w:val="0"/>
                      <w:marRight w:val="0"/>
                      <w:marTop w:val="0"/>
                      <w:marBottom w:val="0"/>
                      <w:divBdr>
                        <w:top w:val="none" w:sz="0" w:space="0" w:color="auto"/>
                        <w:left w:val="none" w:sz="0" w:space="0" w:color="auto"/>
                        <w:bottom w:val="none" w:sz="0" w:space="0" w:color="auto"/>
                        <w:right w:val="none" w:sz="0" w:space="0" w:color="auto"/>
                      </w:divBdr>
                    </w:div>
                    <w:div w:id="1940481784">
                      <w:marLeft w:val="0"/>
                      <w:marRight w:val="0"/>
                      <w:marTop w:val="0"/>
                      <w:marBottom w:val="0"/>
                      <w:divBdr>
                        <w:top w:val="none" w:sz="0" w:space="0" w:color="auto"/>
                        <w:left w:val="none" w:sz="0" w:space="0" w:color="auto"/>
                        <w:bottom w:val="none" w:sz="0" w:space="0" w:color="auto"/>
                        <w:right w:val="none" w:sz="0" w:space="0" w:color="auto"/>
                      </w:divBdr>
                    </w:div>
                  </w:divsChild>
                </w:div>
                <w:div w:id="411397165">
                  <w:marLeft w:val="0"/>
                  <w:marRight w:val="0"/>
                  <w:marTop w:val="0"/>
                  <w:marBottom w:val="0"/>
                  <w:divBdr>
                    <w:top w:val="none" w:sz="0" w:space="0" w:color="auto"/>
                    <w:left w:val="none" w:sz="0" w:space="0" w:color="auto"/>
                    <w:bottom w:val="none" w:sz="0" w:space="0" w:color="auto"/>
                    <w:right w:val="none" w:sz="0" w:space="0" w:color="auto"/>
                  </w:divBdr>
                  <w:divsChild>
                    <w:div w:id="1034692231">
                      <w:marLeft w:val="0"/>
                      <w:marRight w:val="0"/>
                      <w:marTop w:val="0"/>
                      <w:marBottom w:val="0"/>
                      <w:divBdr>
                        <w:top w:val="none" w:sz="0" w:space="0" w:color="auto"/>
                        <w:left w:val="none" w:sz="0" w:space="0" w:color="auto"/>
                        <w:bottom w:val="none" w:sz="0" w:space="0" w:color="auto"/>
                        <w:right w:val="none" w:sz="0" w:space="0" w:color="auto"/>
                      </w:divBdr>
                    </w:div>
                  </w:divsChild>
                </w:div>
                <w:div w:id="661278943">
                  <w:marLeft w:val="0"/>
                  <w:marRight w:val="0"/>
                  <w:marTop w:val="0"/>
                  <w:marBottom w:val="0"/>
                  <w:divBdr>
                    <w:top w:val="none" w:sz="0" w:space="0" w:color="auto"/>
                    <w:left w:val="none" w:sz="0" w:space="0" w:color="auto"/>
                    <w:bottom w:val="none" w:sz="0" w:space="0" w:color="auto"/>
                    <w:right w:val="none" w:sz="0" w:space="0" w:color="auto"/>
                  </w:divBdr>
                  <w:divsChild>
                    <w:div w:id="271783285">
                      <w:marLeft w:val="0"/>
                      <w:marRight w:val="0"/>
                      <w:marTop w:val="0"/>
                      <w:marBottom w:val="0"/>
                      <w:divBdr>
                        <w:top w:val="none" w:sz="0" w:space="0" w:color="auto"/>
                        <w:left w:val="none" w:sz="0" w:space="0" w:color="auto"/>
                        <w:bottom w:val="none" w:sz="0" w:space="0" w:color="auto"/>
                        <w:right w:val="none" w:sz="0" w:space="0" w:color="auto"/>
                      </w:divBdr>
                    </w:div>
                  </w:divsChild>
                </w:div>
                <w:div w:id="766076680">
                  <w:marLeft w:val="0"/>
                  <w:marRight w:val="0"/>
                  <w:marTop w:val="0"/>
                  <w:marBottom w:val="0"/>
                  <w:divBdr>
                    <w:top w:val="none" w:sz="0" w:space="0" w:color="auto"/>
                    <w:left w:val="none" w:sz="0" w:space="0" w:color="auto"/>
                    <w:bottom w:val="none" w:sz="0" w:space="0" w:color="auto"/>
                    <w:right w:val="none" w:sz="0" w:space="0" w:color="auto"/>
                  </w:divBdr>
                  <w:divsChild>
                    <w:div w:id="1302466595">
                      <w:marLeft w:val="0"/>
                      <w:marRight w:val="0"/>
                      <w:marTop w:val="0"/>
                      <w:marBottom w:val="0"/>
                      <w:divBdr>
                        <w:top w:val="none" w:sz="0" w:space="0" w:color="auto"/>
                        <w:left w:val="none" w:sz="0" w:space="0" w:color="auto"/>
                        <w:bottom w:val="none" w:sz="0" w:space="0" w:color="auto"/>
                        <w:right w:val="none" w:sz="0" w:space="0" w:color="auto"/>
                      </w:divBdr>
                    </w:div>
                  </w:divsChild>
                </w:div>
                <w:div w:id="859047712">
                  <w:marLeft w:val="0"/>
                  <w:marRight w:val="0"/>
                  <w:marTop w:val="0"/>
                  <w:marBottom w:val="0"/>
                  <w:divBdr>
                    <w:top w:val="none" w:sz="0" w:space="0" w:color="auto"/>
                    <w:left w:val="none" w:sz="0" w:space="0" w:color="auto"/>
                    <w:bottom w:val="none" w:sz="0" w:space="0" w:color="auto"/>
                    <w:right w:val="none" w:sz="0" w:space="0" w:color="auto"/>
                  </w:divBdr>
                  <w:divsChild>
                    <w:div w:id="45421938">
                      <w:marLeft w:val="0"/>
                      <w:marRight w:val="0"/>
                      <w:marTop w:val="0"/>
                      <w:marBottom w:val="0"/>
                      <w:divBdr>
                        <w:top w:val="none" w:sz="0" w:space="0" w:color="auto"/>
                        <w:left w:val="none" w:sz="0" w:space="0" w:color="auto"/>
                        <w:bottom w:val="none" w:sz="0" w:space="0" w:color="auto"/>
                        <w:right w:val="none" w:sz="0" w:space="0" w:color="auto"/>
                      </w:divBdr>
                    </w:div>
                  </w:divsChild>
                </w:div>
                <w:div w:id="867566100">
                  <w:marLeft w:val="0"/>
                  <w:marRight w:val="0"/>
                  <w:marTop w:val="0"/>
                  <w:marBottom w:val="0"/>
                  <w:divBdr>
                    <w:top w:val="none" w:sz="0" w:space="0" w:color="auto"/>
                    <w:left w:val="none" w:sz="0" w:space="0" w:color="auto"/>
                    <w:bottom w:val="none" w:sz="0" w:space="0" w:color="auto"/>
                    <w:right w:val="none" w:sz="0" w:space="0" w:color="auto"/>
                  </w:divBdr>
                  <w:divsChild>
                    <w:div w:id="30344230">
                      <w:marLeft w:val="0"/>
                      <w:marRight w:val="0"/>
                      <w:marTop w:val="0"/>
                      <w:marBottom w:val="0"/>
                      <w:divBdr>
                        <w:top w:val="none" w:sz="0" w:space="0" w:color="auto"/>
                        <w:left w:val="none" w:sz="0" w:space="0" w:color="auto"/>
                        <w:bottom w:val="none" w:sz="0" w:space="0" w:color="auto"/>
                        <w:right w:val="none" w:sz="0" w:space="0" w:color="auto"/>
                      </w:divBdr>
                    </w:div>
                    <w:div w:id="536549222">
                      <w:marLeft w:val="0"/>
                      <w:marRight w:val="0"/>
                      <w:marTop w:val="0"/>
                      <w:marBottom w:val="0"/>
                      <w:divBdr>
                        <w:top w:val="none" w:sz="0" w:space="0" w:color="auto"/>
                        <w:left w:val="none" w:sz="0" w:space="0" w:color="auto"/>
                        <w:bottom w:val="none" w:sz="0" w:space="0" w:color="auto"/>
                        <w:right w:val="none" w:sz="0" w:space="0" w:color="auto"/>
                      </w:divBdr>
                    </w:div>
                    <w:div w:id="787548312">
                      <w:marLeft w:val="0"/>
                      <w:marRight w:val="0"/>
                      <w:marTop w:val="0"/>
                      <w:marBottom w:val="0"/>
                      <w:divBdr>
                        <w:top w:val="none" w:sz="0" w:space="0" w:color="auto"/>
                        <w:left w:val="none" w:sz="0" w:space="0" w:color="auto"/>
                        <w:bottom w:val="none" w:sz="0" w:space="0" w:color="auto"/>
                        <w:right w:val="none" w:sz="0" w:space="0" w:color="auto"/>
                      </w:divBdr>
                    </w:div>
                    <w:div w:id="888685035">
                      <w:marLeft w:val="0"/>
                      <w:marRight w:val="0"/>
                      <w:marTop w:val="0"/>
                      <w:marBottom w:val="0"/>
                      <w:divBdr>
                        <w:top w:val="none" w:sz="0" w:space="0" w:color="auto"/>
                        <w:left w:val="none" w:sz="0" w:space="0" w:color="auto"/>
                        <w:bottom w:val="none" w:sz="0" w:space="0" w:color="auto"/>
                        <w:right w:val="none" w:sz="0" w:space="0" w:color="auto"/>
                      </w:divBdr>
                    </w:div>
                    <w:div w:id="1120688402">
                      <w:marLeft w:val="0"/>
                      <w:marRight w:val="0"/>
                      <w:marTop w:val="0"/>
                      <w:marBottom w:val="0"/>
                      <w:divBdr>
                        <w:top w:val="none" w:sz="0" w:space="0" w:color="auto"/>
                        <w:left w:val="none" w:sz="0" w:space="0" w:color="auto"/>
                        <w:bottom w:val="none" w:sz="0" w:space="0" w:color="auto"/>
                        <w:right w:val="none" w:sz="0" w:space="0" w:color="auto"/>
                      </w:divBdr>
                    </w:div>
                    <w:div w:id="1679960861">
                      <w:marLeft w:val="0"/>
                      <w:marRight w:val="0"/>
                      <w:marTop w:val="0"/>
                      <w:marBottom w:val="0"/>
                      <w:divBdr>
                        <w:top w:val="none" w:sz="0" w:space="0" w:color="auto"/>
                        <w:left w:val="none" w:sz="0" w:space="0" w:color="auto"/>
                        <w:bottom w:val="none" w:sz="0" w:space="0" w:color="auto"/>
                        <w:right w:val="none" w:sz="0" w:space="0" w:color="auto"/>
                      </w:divBdr>
                    </w:div>
                  </w:divsChild>
                </w:div>
                <w:div w:id="870460216">
                  <w:marLeft w:val="0"/>
                  <w:marRight w:val="0"/>
                  <w:marTop w:val="0"/>
                  <w:marBottom w:val="0"/>
                  <w:divBdr>
                    <w:top w:val="none" w:sz="0" w:space="0" w:color="auto"/>
                    <w:left w:val="none" w:sz="0" w:space="0" w:color="auto"/>
                    <w:bottom w:val="none" w:sz="0" w:space="0" w:color="auto"/>
                    <w:right w:val="none" w:sz="0" w:space="0" w:color="auto"/>
                  </w:divBdr>
                  <w:divsChild>
                    <w:div w:id="930040258">
                      <w:marLeft w:val="0"/>
                      <w:marRight w:val="0"/>
                      <w:marTop w:val="0"/>
                      <w:marBottom w:val="0"/>
                      <w:divBdr>
                        <w:top w:val="none" w:sz="0" w:space="0" w:color="auto"/>
                        <w:left w:val="none" w:sz="0" w:space="0" w:color="auto"/>
                        <w:bottom w:val="none" w:sz="0" w:space="0" w:color="auto"/>
                        <w:right w:val="none" w:sz="0" w:space="0" w:color="auto"/>
                      </w:divBdr>
                    </w:div>
                  </w:divsChild>
                </w:div>
                <w:div w:id="888762711">
                  <w:marLeft w:val="0"/>
                  <w:marRight w:val="0"/>
                  <w:marTop w:val="0"/>
                  <w:marBottom w:val="0"/>
                  <w:divBdr>
                    <w:top w:val="none" w:sz="0" w:space="0" w:color="auto"/>
                    <w:left w:val="none" w:sz="0" w:space="0" w:color="auto"/>
                    <w:bottom w:val="none" w:sz="0" w:space="0" w:color="auto"/>
                    <w:right w:val="none" w:sz="0" w:space="0" w:color="auto"/>
                  </w:divBdr>
                  <w:divsChild>
                    <w:div w:id="1116096465">
                      <w:marLeft w:val="0"/>
                      <w:marRight w:val="0"/>
                      <w:marTop w:val="0"/>
                      <w:marBottom w:val="0"/>
                      <w:divBdr>
                        <w:top w:val="none" w:sz="0" w:space="0" w:color="auto"/>
                        <w:left w:val="none" w:sz="0" w:space="0" w:color="auto"/>
                        <w:bottom w:val="none" w:sz="0" w:space="0" w:color="auto"/>
                        <w:right w:val="none" w:sz="0" w:space="0" w:color="auto"/>
                      </w:divBdr>
                    </w:div>
                  </w:divsChild>
                </w:div>
                <w:div w:id="997223904">
                  <w:marLeft w:val="0"/>
                  <w:marRight w:val="0"/>
                  <w:marTop w:val="0"/>
                  <w:marBottom w:val="0"/>
                  <w:divBdr>
                    <w:top w:val="none" w:sz="0" w:space="0" w:color="auto"/>
                    <w:left w:val="none" w:sz="0" w:space="0" w:color="auto"/>
                    <w:bottom w:val="none" w:sz="0" w:space="0" w:color="auto"/>
                    <w:right w:val="none" w:sz="0" w:space="0" w:color="auto"/>
                  </w:divBdr>
                  <w:divsChild>
                    <w:div w:id="798647271">
                      <w:marLeft w:val="0"/>
                      <w:marRight w:val="0"/>
                      <w:marTop w:val="0"/>
                      <w:marBottom w:val="0"/>
                      <w:divBdr>
                        <w:top w:val="none" w:sz="0" w:space="0" w:color="auto"/>
                        <w:left w:val="none" w:sz="0" w:space="0" w:color="auto"/>
                        <w:bottom w:val="none" w:sz="0" w:space="0" w:color="auto"/>
                        <w:right w:val="none" w:sz="0" w:space="0" w:color="auto"/>
                      </w:divBdr>
                    </w:div>
                    <w:div w:id="1368218201">
                      <w:marLeft w:val="0"/>
                      <w:marRight w:val="0"/>
                      <w:marTop w:val="0"/>
                      <w:marBottom w:val="0"/>
                      <w:divBdr>
                        <w:top w:val="none" w:sz="0" w:space="0" w:color="auto"/>
                        <w:left w:val="none" w:sz="0" w:space="0" w:color="auto"/>
                        <w:bottom w:val="none" w:sz="0" w:space="0" w:color="auto"/>
                        <w:right w:val="none" w:sz="0" w:space="0" w:color="auto"/>
                      </w:divBdr>
                    </w:div>
                  </w:divsChild>
                </w:div>
                <w:div w:id="1238442796">
                  <w:marLeft w:val="0"/>
                  <w:marRight w:val="0"/>
                  <w:marTop w:val="0"/>
                  <w:marBottom w:val="0"/>
                  <w:divBdr>
                    <w:top w:val="none" w:sz="0" w:space="0" w:color="auto"/>
                    <w:left w:val="none" w:sz="0" w:space="0" w:color="auto"/>
                    <w:bottom w:val="none" w:sz="0" w:space="0" w:color="auto"/>
                    <w:right w:val="none" w:sz="0" w:space="0" w:color="auto"/>
                  </w:divBdr>
                  <w:divsChild>
                    <w:div w:id="1319650050">
                      <w:marLeft w:val="0"/>
                      <w:marRight w:val="0"/>
                      <w:marTop w:val="0"/>
                      <w:marBottom w:val="0"/>
                      <w:divBdr>
                        <w:top w:val="none" w:sz="0" w:space="0" w:color="auto"/>
                        <w:left w:val="none" w:sz="0" w:space="0" w:color="auto"/>
                        <w:bottom w:val="none" w:sz="0" w:space="0" w:color="auto"/>
                        <w:right w:val="none" w:sz="0" w:space="0" w:color="auto"/>
                      </w:divBdr>
                    </w:div>
                  </w:divsChild>
                </w:div>
                <w:div w:id="1529636690">
                  <w:marLeft w:val="0"/>
                  <w:marRight w:val="0"/>
                  <w:marTop w:val="0"/>
                  <w:marBottom w:val="0"/>
                  <w:divBdr>
                    <w:top w:val="none" w:sz="0" w:space="0" w:color="auto"/>
                    <w:left w:val="none" w:sz="0" w:space="0" w:color="auto"/>
                    <w:bottom w:val="none" w:sz="0" w:space="0" w:color="auto"/>
                    <w:right w:val="none" w:sz="0" w:space="0" w:color="auto"/>
                  </w:divBdr>
                  <w:divsChild>
                    <w:div w:id="362368174">
                      <w:marLeft w:val="0"/>
                      <w:marRight w:val="0"/>
                      <w:marTop w:val="0"/>
                      <w:marBottom w:val="0"/>
                      <w:divBdr>
                        <w:top w:val="none" w:sz="0" w:space="0" w:color="auto"/>
                        <w:left w:val="none" w:sz="0" w:space="0" w:color="auto"/>
                        <w:bottom w:val="none" w:sz="0" w:space="0" w:color="auto"/>
                        <w:right w:val="none" w:sz="0" w:space="0" w:color="auto"/>
                      </w:divBdr>
                    </w:div>
                  </w:divsChild>
                </w:div>
                <w:div w:id="1773043155">
                  <w:marLeft w:val="0"/>
                  <w:marRight w:val="0"/>
                  <w:marTop w:val="0"/>
                  <w:marBottom w:val="0"/>
                  <w:divBdr>
                    <w:top w:val="none" w:sz="0" w:space="0" w:color="auto"/>
                    <w:left w:val="none" w:sz="0" w:space="0" w:color="auto"/>
                    <w:bottom w:val="none" w:sz="0" w:space="0" w:color="auto"/>
                    <w:right w:val="none" w:sz="0" w:space="0" w:color="auto"/>
                  </w:divBdr>
                  <w:divsChild>
                    <w:div w:id="1694266792">
                      <w:marLeft w:val="0"/>
                      <w:marRight w:val="0"/>
                      <w:marTop w:val="0"/>
                      <w:marBottom w:val="0"/>
                      <w:divBdr>
                        <w:top w:val="none" w:sz="0" w:space="0" w:color="auto"/>
                        <w:left w:val="none" w:sz="0" w:space="0" w:color="auto"/>
                        <w:bottom w:val="none" w:sz="0" w:space="0" w:color="auto"/>
                        <w:right w:val="none" w:sz="0" w:space="0" w:color="auto"/>
                      </w:divBdr>
                    </w:div>
                  </w:divsChild>
                </w:div>
                <w:div w:id="1825197438">
                  <w:marLeft w:val="0"/>
                  <w:marRight w:val="0"/>
                  <w:marTop w:val="0"/>
                  <w:marBottom w:val="0"/>
                  <w:divBdr>
                    <w:top w:val="none" w:sz="0" w:space="0" w:color="auto"/>
                    <w:left w:val="none" w:sz="0" w:space="0" w:color="auto"/>
                    <w:bottom w:val="none" w:sz="0" w:space="0" w:color="auto"/>
                    <w:right w:val="none" w:sz="0" w:space="0" w:color="auto"/>
                  </w:divBdr>
                  <w:divsChild>
                    <w:div w:id="2078164409">
                      <w:marLeft w:val="0"/>
                      <w:marRight w:val="0"/>
                      <w:marTop w:val="0"/>
                      <w:marBottom w:val="0"/>
                      <w:divBdr>
                        <w:top w:val="none" w:sz="0" w:space="0" w:color="auto"/>
                        <w:left w:val="none" w:sz="0" w:space="0" w:color="auto"/>
                        <w:bottom w:val="none" w:sz="0" w:space="0" w:color="auto"/>
                        <w:right w:val="none" w:sz="0" w:space="0" w:color="auto"/>
                      </w:divBdr>
                    </w:div>
                  </w:divsChild>
                </w:div>
                <w:div w:id="1854563634">
                  <w:marLeft w:val="0"/>
                  <w:marRight w:val="0"/>
                  <w:marTop w:val="0"/>
                  <w:marBottom w:val="0"/>
                  <w:divBdr>
                    <w:top w:val="none" w:sz="0" w:space="0" w:color="auto"/>
                    <w:left w:val="none" w:sz="0" w:space="0" w:color="auto"/>
                    <w:bottom w:val="none" w:sz="0" w:space="0" w:color="auto"/>
                    <w:right w:val="none" w:sz="0" w:space="0" w:color="auto"/>
                  </w:divBdr>
                  <w:divsChild>
                    <w:div w:id="1105077543">
                      <w:marLeft w:val="0"/>
                      <w:marRight w:val="0"/>
                      <w:marTop w:val="0"/>
                      <w:marBottom w:val="0"/>
                      <w:divBdr>
                        <w:top w:val="none" w:sz="0" w:space="0" w:color="auto"/>
                        <w:left w:val="none" w:sz="0" w:space="0" w:color="auto"/>
                        <w:bottom w:val="none" w:sz="0" w:space="0" w:color="auto"/>
                        <w:right w:val="none" w:sz="0" w:space="0" w:color="auto"/>
                      </w:divBdr>
                    </w:div>
                  </w:divsChild>
                </w:div>
                <w:div w:id="1964917164">
                  <w:marLeft w:val="0"/>
                  <w:marRight w:val="0"/>
                  <w:marTop w:val="0"/>
                  <w:marBottom w:val="0"/>
                  <w:divBdr>
                    <w:top w:val="none" w:sz="0" w:space="0" w:color="auto"/>
                    <w:left w:val="none" w:sz="0" w:space="0" w:color="auto"/>
                    <w:bottom w:val="none" w:sz="0" w:space="0" w:color="auto"/>
                    <w:right w:val="none" w:sz="0" w:space="0" w:color="auto"/>
                  </w:divBdr>
                  <w:divsChild>
                    <w:div w:id="735664808">
                      <w:marLeft w:val="0"/>
                      <w:marRight w:val="0"/>
                      <w:marTop w:val="0"/>
                      <w:marBottom w:val="0"/>
                      <w:divBdr>
                        <w:top w:val="none" w:sz="0" w:space="0" w:color="auto"/>
                        <w:left w:val="none" w:sz="0" w:space="0" w:color="auto"/>
                        <w:bottom w:val="none" w:sz="0" w:space="0" w:color="auto"/>
                        <w:right w:val="none" w:sz="0" w:space="0" w:color="auto"/>
                      </w:divBdr>
                    </w:div>
                  </w:divsChild>
                </w:div>
                <w:div w:id="2115439907">
                  <w:marLeft w:val="0"/>
                  <w:marRight w:val="0"/>
                  <w:marTop w:val="0"/>
                  <w:marBottom w:val="0"/>
                  <w:divBdr>
                    <w:top w:val="none" w:sz="0" w:space="0" w:color="auto"/>
                    <w:left w:val="none" w:sz="0" w:space="0" w:color="auto"/>
                    <w:bottom w:val="none" w:sz="0" w:space="0" w:color="auto"/>
                    <w:right w:val="none" w:sz="0" w:space="0" w:color="auto"/>
                  </w:divBdr>
                  <w:divsChild>
                    <w:div w:id="164616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21259">
          <w:marLeft w:val="0"/>
          <w:marRight w:val="0"/>
          <w:marTop w:val="0"/>
          <w:marBottom w:val="0"/>
          <w:divBdr>
            <w:top w:val="none" w:sz="0" w:space="0" w:color="auto"/>
            <w:left w:val="none" w:sz="0" w:space="0" w:color="auto"/>
            <w:bottom w:val="none" w:sz="0" w:space="0" w:color="auto"/>
            <w:right w:val="none" w:sz="0" w:space="0" w:color="auto"/>
          </w:divBdr>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insights@health.vic.gov.au" TargetMode="External"/><Relationship Id="rId26" Type="http://schemas.openxmlformats.org/officeDocument/2006/relationships/footer" Target="footer7.xml"/><Relationship Id="rId39" Type="http://schemas.openxmlformats.org/officeDocument/2006/relationships/fontTable" Target="fontTable.xml"/><Relationship Id="rId21" Type="http://schemas.openxmlformats.org/officeDocument/2006/relationships/header" Target="header4.xml"/><Relationship Id="rId34" Type="http://schemas.openxmlformats.org/officeDocument/2006/relationships/hyperlink" Target="https://www.ambulance.vic.gov.au/paramedics/clinical-practice-guideline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3.xml"/><Relationship Id="rId29" Type="http://schemas.openxmlformats.org/officeDocument/2006/relationships/footer" Target="footer9.xm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5.xml"/><Relationship Id="rId32" Type="http://schemas.openxmlformats.org/officeDocument/2006/relationships/hyperlink" Target="https://www.safercare.vic.gov.au/best-practice-improvement/publications/sentinel-events-guide" TargetMode="Externa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6.xml"/><Relationship Id="rId36"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s://www.health.vic.gov.au/hospitals-and-health-services/funding-performance-and-accountability" TargetMode="External"/><Relationship Id="rId31" Type="http://schemas.openxmlformats.org/officeDocument/2006/relationships/hyperlink" Target="http://www.vicniss.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8.xml"/><Relationship Id="rId30" Type="http://schemas.openxmlformats.org/officeDocument/2006/relationships/hyperlink" Target="https://www.health.vic.gov.au/immunisation/vaccination-for-healthcare-workers" TargetMode="External"/><Relationship Id="rId35" Type="http://schemas.openxmlformats.org/officeDocument/2006/relationships/hyperlink" Target="https://www2.health.vic.gov.au/hospitals-and-health-services/quality-safety-service/clinical-networks/clinical-network-stroke/stroke-statewide-frameworks"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sights@health.vic.gov.au" TargetMode="External"/><Relationship Id="rId25" Type="http://schemas.openxmlformats.org/officeDocument/2006/relationships/footer" Target="footer6.xml"/><Relationship Id="rId33" Type="http://schemas.openxmlformats.org/officeDocument/2006/relationships/hyperlink" Target="https://www.health.gov.au/resources/publications/star-ratings-provider-manual?language=en" TargetMode="External"/><Relationship Id="rId38"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005034-34e4-44ed-9116-8e8166eeccdd">
      <Terms xmlns="http://schemas.microsoft.com/office/infopath/2007/PartnerControls"/>
    </lcf76f155ced4ddcb4097134ff3c332f>
    <Shared xmlns="f6005034-34e4-44ed-9116-8e8166eeccdd">
      <UserInfo>
        <DisplayName/>
        <AccountId xsi:nil="true"/>
        <AccountType/>
      </UserInfo>
    </Shared>
    <Priority xmlns="f6005034-34e4-44ed-9116-8e8166eeccdd" xsi:nil="true"/>
    <Reviewed_x003f_ xmlns="f6005034-34e4-44ed-9116-8e8166eeccdd" xsi:nil="true"/>
    <TaxCatchAll xmlns="5ce0f2b5-5be5-4508-bce9-d7011ece0659" xsi:nil="true"/>
    <versionnumber xmlns="f6005034-34e4-44ed-9116-8e8166eeccdd">1</versionnumber>
    <Info xmlns="f6005034-34e4-44ed-9116-8e8166eecc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D93CC960831D43BCE240AB9FD170A2" ma:contentTypeVersion="23" ma:contentTypeDescription="Create a new document." ma:contentTypeScope="" ma:versionID="b7cf1f8a24ea241d608f92fb6930758a">
  <xsd:schema xmlns:xsd="http://www.w3.org/2001/XMLSchema" xmlns:xs="http://www.w3.org/2001/XMLSchema" xmlns:p="http://schemas.microsoft.com/office/2006/metadata/properties" xmlns:ns2="f6005034-34e4-44ed-9116-8e8166eeccdd" xmlns:ns3="fa2310a6-bbba-42df-97d4-fdd9085cfb05" xmlns:ns4="5ce0f2b5-5be5-4508-bce9-d7011ece0659" targetNamespace="http://schemas.microsoft.com/office/2006/metadata/properties" ma:root="true" ma:fieldsID="7dc98e378833aa78c728cf152c5238ab" ns2:_="" ns3:_="" ns4:_="">
    <xsd:import namespace="f6005034-34e4-44ed-9116-8e8166eeccdd"/>
    <xsd:import namespace="fa2310a6-bbba-42df-97d4-fdd9085cfb05"/>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Priority" minOccurs="0"/>
                <xsd:element ref="ns2:Reviewed_x003f_" minOccurs="0"/>
                <xsd:element ref="ns2:MediaServiceLocation" minOccurs="0"/>
                <xsd:element ref="ns2:MediaLengthInSeconds" minOccurs="0"/>
                <xsd:element ref="ns2:MediaServiceObjectDetectorVersions" minOccurs="0"/>
                <xsd:element ref="ns2:MediaServiceSearchProperties" minOccurs="0"/>
                <xsd:element ref="ns2:Shared" minOccurs="0"/>
                <xsd:element ref="ns2:Info" minOccurs="0"/>
                <xsd:element ref="ns2:vers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05034-34e4-44ed-9116-8e8166eecc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Priority" ma:index="22" nillable="true" ma:displayName="Review Priority" ma:format="Dropdown" ma:internalName="Priority">
      <xsd:simpleType>
        <xsd:restriction base="dms:Choice">
          <xsd:enumeration value="1. High"/>
          <xsd:enumeration value="2. Medium"/>
          <xsd:enumeration value="3. Low"/>
          <xsd:enumeration value="n/a"/>
        </xsd:restriction>
      </xsd:simpleType>
    </xsd:element>
    <xsd:element name="Reviewed_x003f_" ma:index="23" nillable="true" ma:displayName="Reviewed?" ma:format="Dropdown" ma:internalName="Reviewed_x003f_">
      <xsd:simpleType>
        <xsd:restriction base="dms:Choice">
          <xsd:enumeration value="Yes"/>
          <xsd:enumeration value="No"/>
          <xsd:enumeration value="n/a"/>
        </xsd:restrict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hared" ma:index="28" nillable="true" ma:displayName="Shared" ma:format="Dropdown" ma:list="UserInfo" ma:SharePointGroup="0" ma:internalName="Shar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 ma:index="29" nillable="true" ma:displayName="Info" ma:format="Dropdown" ma:internalName="Info">
      <xsd:simpleType>
        <xsd:restriction base="dms:Text">
          <xsd:maxLength value="255"/>
        </xsd:restriction>
      </xsd:simpleType>
    </xsd:element>
    <xsd:element name="versionnumber" ma:index="30" nillable="true" ma:displayName="version number" ma:default="1" ma:description="User-controlled version number" ma:format="Dropdown" ma:internalName="version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a2310a6-bbba-42df-97d4-fdd9085cfb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65a574-0bf3-4ffd-b32e-f7b3777ba1c6}" ma:internalName="TaxCatchAll" ma:showField="CatchAllData" ma:web="fa2310a6-bbba-42df-97d4-fdd9085cfb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9C2BC5-1332-485C-8298-16902CEB856E}">
  <ds:schemaRefs>
    <ds:schemaRef ds:uri="http://schemas.microsoft.com/office/2006/metadata/properties"/>
    <ds:schemaRef ds:uri="http://schemas.microsoft.com/office/infopath/2007/PartnerControls"/>
    <ds:schemaRef ds:uri="f6005034-34e4-44ed-9116-8e8166eeccdd"/>
    <ds:schemaRef ds:uri="5ce0f2b5-5be5-4508-bce9-d7011ece0659"/>
  </ds:schemaRefs>
</ds:datastoreItem>
</file>

<file path=customXml/itemProps2.xml><?xml version="1.0" encoding="utf-8"?>
<ds:datastoreItem xmlns:ds="http://schemas.openxmlformats.org/officeDocument/2006/customXml" ds:itemID="{D3FA67DB-F7E7-4502-B8AD-28C3568F5F1D}">
  <ds:schemaRefs>
    <ds:schemaRef ds:uri="http://schemas.microsoft.com/sharepoint/v3/contenttype/forms"/>
  </ds:schemaRefs>
</ds:datastoreItem>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41FB8BF-9355-45BF-8024-E22D04DEA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05034-34e4-44ed-9116-8e8166eeccdd"/>
    <ds:schemaRef ds:uri="fa2310a6-bbba-42df-97d4-fdd9085cfb05"/>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23370</Words>
  <Characters>133211</Characters>
  <Application>Microsoft Office Word</Application>
  <DocSecurity>0</DocSecurity>
  <Lines>1110</Lines>
  <Paragraphs>312</Paragraphs>
  <ScaleCrop>false</ScaleCrop>
  <HeadingPairs>
    <vt:vector size="2" baseType="variant">
      <vt:variant>
        <vt:lpstr>Title</vt:lpstr>
      </vt:variant>
      <vt:variant>
        <vt:i4>1</vt:i4>
      </vt:variant>
    </vt:vector>
  </HeadingPairs>
  <TitlesOfParts>
    <vt:vector size="1" baseType="lpstr">
      <vt:lpstr>Revised Victorian health services performance monitoring framework 25-26 business rules</vt:lpstr>
    </vt:vector>
  </TitlesOfParts>
  <Manager/>
  <Company/>
  <LinksUpToDate>false</LinksUpToDate>
  <CharactersWithSpaces>156269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Victorian health services performance monitoring framework 25-26 business rules</dc:title>
  <dc:subject/>
  <dc:creator>insights@health.vic.gov.au</dc:creator>
  <cp:keywords/>
  <dc:description/>
  <cp:lastModifiedBy>Sarah Luscombe (Health)</cp:lastModifiedBy>
  <cp:revision>346</cp:revision>
  <dcterms:created xsi:type="dcterms:W3CDTF">2026-05-14T03:42:00Z</dcterms:created>
  <dcterms:modified xsi:type="dcterms:W3CDTF">2026-07-28T23:49:00Z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2ce2db50,465e75e0,573d92b9,5fa7b733,2193cc9,e403378,68aac46,a3382b4,4099c0af,6778e87b,c4ca553,147f1efc,675cd5a4,7ff3e14b,712d4eb1</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2025-07-31T02:14:05Z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19e002aa-edb7-4409-bf19-9f98e48f771b</vt:lpwstr>
  </property>
  <property fmtid="{D5CDD505-2E9C-101B-9397-08002B2CF9AE}" pid="11" name="MSIP_Label_43e64453-338c-4f93-8a4d-0039a0a41f2a_ContentBits">
    <vt:lpwstr>2</vt:lpwstr>
  </property>
  <property fmtid="{D5CDD505-2E9C-101B-9397-08002B2CF9AE}" pid="12" name="MSIP_Label_43e64453-338c-4f93-8a4d-0039a0a41f2a_Tag">
    <vt:lpwstr>10, 0, 1, 1</vt:lpwstr>
  </property>
  <property fmtid="{D5CDD505-2E9C-101B-9397-08002B2CF9AE}" pid="13" name="ContentTypeId">
    <vt:lpwstr>0x01010075D93CC960831D43BCE240AB9FD170A2</vt:lpwstr>
  </property>
  <property fmtid="{D5CDD505-2E9C-101B-9397-08002B2CF9AE}" pid="14" name="MediaServiceImageTags">
    <vt:lpwstr/>
  </property>
  <property fmtid="{D5CDD505-2E9C-101B-9397-08002B2CF9AE}" pid="15" name="docLang">
    <vt:lpwstr>en</vt:lpwstr>
  </property>
</Properties>
</file>