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7067F" w14:textId="77777777" w:rsidR="00056EC4" w:rsidRDefault="00E9042A" w:rsidP="00977D59">
      <w:pPr>
        <w:pStyle w:val="Heading1"/>
      </w:pPr>
      <w:bookmarkStart w:id="0" w:name="_Toc233880770"/>
      <w:r w:rsidRPr="00977D59">
        <w:rPr>
          <w:noProof/>
        </w:rPr>
        <w:drawing>
          <wp:anchor distT="0" distB="0" distL="114300" distR="114300" simplePos="0" relativeHeight="251658240" behindDoc="1" locked="1" layoutInCell="1" allowOverlap="0" wp14:anchorId="3FFAB063" wp14:editId="0F4D9EAF">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4B3CF17" w14:textId="77777777" w:rsidTr="00431F42">
        <w:trPr>
          <w:cantSplit/>
        </w:trPr>
        <w:tc>
          <w:tcPr>
            <w:tcW w:w="0" w:type="auto"/>
            <w:tcMar>
              <w:top w:w="0" w:type="dxa"/>
              <w:left w:w="0" w:type="dxa"/>
              <w:right w:w="0" w:type="dxa"/>
            </w:tcMar>
          </w:tcPr>
          <w:p w14:paraId="74E0F214" w14:textId="0C7FF83D" w:rsidR="00AD784C" w:rsidRPr="00431F42" w:rsidRDefault="00442278" w:rsidP="00431F42">
            <w:pPr>
              <w:pStyle w:val="Documenttitle"/>
            </w:pPr>
            <w:r>
              <w:t>Recognition of Prior Learning Framework</w:t>
            </w:r>
          </w:p>
        </w:tc>
      </w:tr>
      <w:tr w:rsidR="00AD784C" w14:paraId="322DBA87" w14:textId="77777777" w:rsidTr="00431F42">
        <w:trPr>
          <w:cantSplit/>
        </w:trPr>
        <w:tc>
          <w:tcPr>
            <w:tcW w:w="0" w:type="auto"/>
          </w:tcPr>
          <w:p w14:paraId="311C9FDD" w14:textId="675FC6F8" w:rsidR="00386109" w:rsidRPr="00A1389F" w:rsidRDefault="00442278" w:rsidP="009315BE">
            <w:pPr>
              <w:pStyle w:val="Documentsubtitle"/>
            </w:pPr>
            <w:r>
              <w:t>June 2026</w:t>
            </w:r>
          </w:p>
        </w:tc>
      </w:tr>
      <w:tr w:rsidR="00430393" w14:paraId="498FC9E0" w14:textId="77777777" w:rsidTr="00431F42">
        <w:trPr>
          <w:cantSplit/>
        </w:trPr>
        <w:tc>
          <w:tcPr>
            <w:tcW w:w="0" w:type="auto"/>
          </w:tcPr>
          <w:p w14:paraId="1F598D55" w14:textId="77777777" w:rsidR="00430393" w:rsidRDefault="005D296D" w:rsidP="00430393">
            <w:pPr>
              <w:pStyle w:val="Bannermarking"/>
            </w:pPr>
            <w:fldSimple w:instr=" FILLIN  &quot;Type the protective marking&quot; \d OFFICIAL \o  \* MERGEFORMAT ">
              <w:r>
                <w:t>OFFICIAL</w:t>
              </w:r>
            </w:fldSimple>
          </w:p>
        </w:tc>
      </w:tr>
    </w:tbl>
    <w:p w14:paraId="3CED38D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EBABA" w14:textId="77777777" w:rsidTr="00562507">
        <w:trPr>
          <w:cantSplit/>
          <w:trHeight w:val="7088"/>
        </w:trPr>
        <w:tc>
          <w:tcPr>
            <w:tcW w:w="9288" w:type="dxa"/>
          </w:tcPr>
          <w:p w14:paraId="790D1580" w14:textId="623EB02B" w:rsidR="009F2182" w:rsidRPr="00BA26F6" w:rsidRDefault="009F2182" w:rsidP="00BA26F6">
            <w:pPr>
              <w:pStyle w:val="Body"/>
              <w:rPr>
                <w:rFonts w:eastAsia="Times New Roman"/>
                <w:color w:val="87189D"/>
                <w:sz w:val="24"/>
                <w:szCs w:val="24"/>
              </w:rPr>
            </w:pPr>
          </w:p>
        </w:tc>
      </w:tr>
      <w:tr w:rsidR="009F2182" w14:paraId="11DA3075" w14:textId="77777777" w:rsidTr="00562507">
        <w:trPr>
          <w:cantSplit/>
          <w:trHeight w:val="5103"/>
        </w:trPr>
        <w:tc>
          <w:tcPr>
            <w:tcW w:w="9288" w:type="dxa"/>
            <w:vAlign w:val="bottom"/>
          </w:tcPr>
          <w:p w14:paraId="184E225A" w14:textId="19444C0D" w:rsidR="009F2182" w:rsidRPr="0055119B" w:rsidRDefault="009F2182" w:rsidP="009F2182">
            <w:pPr>
              <w:pStyle w:val="Accessibilitypara"/>
            </w:pPr>
            <w:r w:rsidRPr="0055119B">
              <w:t>To receive this document in another format</w:t>
            </w:r>
            <w:r>
              <w:t>,</w:t>
            </w:r>
            <w:r w:rsidRPr="0055119B">
              <w:t xml:space="preserve"> </w:t>
            </w:r>
            <w:r w:rsidRPr="006C661A">
              <w:t>email</w:t>
            </w:r>
            <w:r w:rsidR="00CA1E44" w:rsidRPr="006C661A">
              <w:t xml:space="preserve"> </w:t>
            </w:r>
            <w:r w:rsidR="005677D3">
              <w:t xml:space="preserve">the </w:t>
            </w:r>
            <w:hyperlink r:id="rId18" w:history="1">
              <w:r w:rsidR="005677D3" w:rsidRPr="005677D3">
                <w:rPr>
                  <w:rStyle w:val="Hyperlink"/>
                </w:rPr>
                <w:t>Workforce Innovation team</w:t>
              </w:r>
            </w:hyperlink>
            <w:r w:rsidRPr="0055119B">
              <w:t xml:space="preserve"> &lt;</w:t>
            </w:r>
            <w:r w:rsidR="006046C2" w:rsidRPr="006046C2">
              <w:t>workforceinnovation@health.vic.gov.au</w:t>
            </w:r>
            <w:r w:rsidRPr="0055119B">
              <w:t>&gt;.</w:t>
            </w:r>
          </w:p>
          <w:p w14:paraId="088893B1" w14:textId="77777777" w:rsidR="009F2182" w:rsidRPr="0055119B" w:rsidRDefault="009F2182" w:rsidP="009F2182">
            <w:pPr>
              <w:pStyle w:val="Imprint"/>
            </w:pPr>
            <w:r w:rsidRPr="0055119B">
              <w:t>Authorised and published by the Victorian Government, 1 Treasury Place, Melbourne.</w:t>
            </w:r>
          </w:p>
          <w:p w14:paraId="7A969B3B" w14:textId="046BB148"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910323">
              <w:rPr>
                <w:color w:val="auto"/>
              </w:rPr>
              <w:t>June 2026</w:t>
            </w:r>
            <w:r w:rsidRPr="0055119B">
              <w:t>.</w:t>
            </w:r>
          </w:p>
          <w:p w14:paraId="2BDA070E" w14:textId="77777777" w:rsidR="006C661A" w:rsidRDefault="006C661A" w:rsidP="009F2182">
            <w:pPr>
              <w:pStyle w:val="Imprint"/>
            </w:pPr>
            <w:bookmarkStart w:id="1" w:name="_Hlk62746129"/>
            <w:r w:rsidRPr="006C661A">
              <w:rPr>
                <w:b/>
                <w:bCs/>
              </w:rPr>
              <w:t xml:space="preserve">ISBN </w:t>
            </w:r>
            <w:r w:rsidRPr="006C661A">
              <w:t>978-1-76195-023-0 (</w:t>
            </w:r>
            <w:r w:rsidRPr="006C661A">
              <w:rPr>
                <w:b/>
                <w:bCs/>
              </w:rPr>
              <w:t>pdf/online/MS word)</w:t>
            </w:r>
            <w:r w:rsidRPr="006C661A">
              <w:t xml:space="preserve"> </w:t>
            </w:r>
          </w:p>
          <w:p w14:paraId="47DA040D" w14:textId="1BEB7AC5" w:rsidR="009F2182" w:rsidRPr="009B0031" w:rsidRDefault="009F2182" w:rsidP="009B0031">
            <w:pPr>
              <w:pStyle w:val="Imprint"/>
              <w:rPr>
                <w:i/>
                <w:iCs/>
                <w:color w:val="004C97"/>
              </w:rPr>
            </w:pPr>
            <w:r w:rsidRPr="00E504C8">
              <w:t xml:space="preserve">Available at </w:t>
            </w:r>
            <w:hyperlink r:id="rId19" w:history="1">
              <w:r w:rsidR="00F11395" w:rsidRPr="00E504C8">
                <w:rPr>
                  <w:rStyle w:val="Hyperlink"/>
                </w:rPr>
                <w:t>Recognition of Prior Learning Framework</w:t>
              </w:r>
            </w:hyperlink>
            <w:r w:rsidRPr="00E504C8">
              <w:t xml:space="preserve"> &lt;</w:t>
            </w:r>
            <w:r w:rsidR="00F11395" w:rsidRPr="00E504C8">
              <w:t>https://www.health.vic.gov.au/health-workforce/recognition-of-prior-learning-framework</w:t>
            </w:r>
            <w:r w:rsidRPr="00E504C8">
              <w:t>&gt;</w:t>
            </w:r>
            <w:bookmarkEnd w:id="1"/>
          </w:p>
        </w:tc>
      </w:tr>
      <w:tr w:rsidR="0008204A" w14:paraId="5A289F71" w14:textId="77777777" w:rsidTr="0008204A">
        <w:trPr>
          <w:cantSplit/>
        </w:trPr>
        <w:tc>
          <w:tcPr>
            <w:tcW w:w="9288" w:type="dxa"/>
          </w:tcPr>
          <w:p w14:paraId="7A81A1C9" w14:textId="77777777" w:rsidR="0008204A" w:rsidRPr="0055119B" w:rsidRDefault="0008204A" w:rsidP="0008204A">
            <w:pPr>
              <w:pStyle w:val="Body"/>
            </w:pPr>
          </w:p>
        </w:tc>
      </w:tr>
    </w:tbl>
    <w:p w14:paraId="6379A2F7" w14:textId="77777777" w:rsidR="0008204A" w:rsidRPr="0008204A" w:rsidRDefault="0008204A" w:rsidP="0008204A">
      <w:pPr>
        <w:pStyle w:val="Body"/>
      </w:pPr>
      <w:r w:rsidRPr="0008204A">
        <w:br w:type="page"/>
      </w:r>
    </w:p>
    <w:p w14:paraId="4C6DD3AB" w14:textId="77777777" w:rsidR="00AD784C" w:rsidRPr="00B57329" w:rsidRDefault="00AD784C" w:rsidP="002365B4">
      <w:pPr>
        <w:pStyle w:val="TOCheadingreport"/>
      </w:pPr>
      <w:r w:rsidRPr="00B57329">
        <w:lastRenderedPageBreak/>
        <w:t>Contents</w:t>
      </w:r>
    </w:p>
    <w:p w14:paraId="31AB8570" w14:textId="271A0367" w:rsidR="0013098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880770" w:history="1">
        <w:r w:rsidR="0013098A">
          <w:rPr>
            <w:webHidden/>
          </w:rPr>
          <w:tab/>
        </w:r>
        <w:r w:rsidR="0013098A">
          <w:rPr>
            <w:webHidden/>
          </w:rPr>
          <w:fldChar w:fldCharType="begin"/>
        </w:r>
        <w:r w:rsidR="0013098A">
          <w:rPr>
            <w:webHidden/>
          </w:rPr>
          <w:instrText xml:space="preserve"> PAGEREF _Toc233880770 \h </w:instrText>
        </w:r>
        <w:r w:rsidR="0013098A">
          <w:rPr>
            <w:webHidden/>
          </w:rPr>
        </w:r>
        <w:r w:rsidR="0013098A">
          <w:rPr>
            <w:webHidden/>
          </w:rPr>
          <w:fldChar w:fldCharType="separate"/>
        </w:r>
        <w:r w:rsidR="0013098A">
          <w:rPr>
            <w:webHidden/>
          </w:rPr>
          <w:t>1</w:t>
        </w:r>
        <w:r w:rsidR="0013098A">
          <w:rPr>
            <w:webHidden/>
          </w:rPr>
          <w:fldChar w:fldCharType="end"/>
        </w:r>
      </w:hyperlink>
    </w:p>
    <w:p w14:paraId="1C2ADB67" w14:textId="4A4427C1" w:rsidR="0013098A" w:rsidRDefault="0013098A">
      <w:pPr>
        <w:pStyle w:val="TOC1"/>
        <w:rPr>
          <w:rFonts w:asciiTheme="minorHAnsi" w:eastAsiaTheme="minorEastAsia" w:hAnsiTheme="minorHAnsi" w:cstheme="minorBidi"/>
          <w:b w:val="0"/>
          <w:kern w:val="2"/>
          <w:sz w:val="24"/>
          <w:szCs w:val="24"/>
          <w:lang w:eastAsia="en-AU"/>
          <w14:ligatures w14:val="standardContextual"/>
        </w:rPr>
      </w:pPr>
      <w:hyperlink w:anchor="_Toc233880771" w:history="1">
        <w:r w:rsidRPr="005A7757">
          <w:rPr>
            <w:rStyle w:val="Hyperlink"/>
          </w:rPr>
          <w:t>Executive Summary</w:t>
        </w:r>
        <w:r>
          <w:rPr>
            <w:webHidden/>
          </w:rPr>
          <w:tab/>
        </w:r>
        <w:r>
          <w:rPr>
            <w:webHidden/>
          </w:rPr>
          <w:fldChar w:fldCharType="begin"/>
        </w:r>
        <w:r>
          <w:rPr>
            <w:webHidden/>
          </w:rPr>
          <w:instrText xml:space="preserve"> PAGEREF _Toc233880771 \h </w:instrText>
        </w:r>
        <w:r>
          <w:rPr>
            <w:webHidden/>
          </w:rPr>
        </w:r>
        <w:r>
          <w:rPr>
            <w:webHidden/>
          </w:rPr>
          <w:fldChar w:fldCharType="separate"/>
        </w:r>
        <w:r>
          <w:rPr>
            <w:webHidden/>
          </w:rPr>
          <w:t>4</w:t>
        </w:r>
        <w:r>
          <w:rPr>
            <w:webHidden/>
          </w:rPr>
          <w:fldChar w:fldCharType="end"/>
        </w:r>
      </w:hyperlink>
    </w:p>
    <w:p w14:paraId="332FBD5C" w14:textId="6611D080"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72" w:history="1">
        <w:r w:rsidRPr="005A7757">
          <w:rPr>
            <w:rStyle w:val="Hyperlink"/>
          </w:rPr>
          <w:t>Why this matters</w:t>
        </w:r>
        <w:r>
          <w:rPr>
            <w:webHidden/>
          </w:rPr>
          <w:tab/>
        </w:r>
        <w:r>
          <w:rPr>
            <w:webHidden/>
          </w:rPr>
          <w:fldChar w:fldCharType="begin"/>
        </w:r>
        <w:r>
          <w:rPr>
            <w:webHidden/>
          </w:rPr>
          <w:instrText xml:space="preserve"> PAGEREF _Toc233880772 \h </w:instrText>
        </w:r>
        <w:r>
          <w:rPr>
            <w:webHidden/>
          </w:rPr>
        </w:r>
        <w:r>
          <w:rPr>
            <w:webHidden/>
          </w:rPr>
          <w:fldChar w:fldCharType="separate"/>
        </w:r>
        <w:r>
          <w:rPr>
            <w:webHidden/>
          </w:rPr>
          <w:t>4</w:t>
        </w:r>
        <w:r>
          <w:rPr>
            <w:webHidden/>
          </w:rPr>
          <w:fldChar w:fldCharType="end"/>
        </w:r>
      </w:hyperlink>
    </w:p>
    <w:p w14:paraId="49803C13" w14:textId="3441F335"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73" w:history="1">
        <w:r w:rsidRPr="005A7757">
          <w:rPr>
            <w:rStyle w:val="Hyperlink"/>
          </w:rPr>
          <w:t>What’s included</w:t>
        </w:r>
        <w:r>
          <w:rPr>
            <w:webHidden/>
          </w:rPr>
          <w:tab/>
        </w:r>
        <w:r>
          <w:rPr>
            <w:webHidden/>
          </w:rPr>
          <w:fldChar w:fldCharType="begin"/>
        </w:r>
        <w:r>
          <w:rPr>
            <w:webHidden/>
          </w:rPr>
          <w:instrText xml:space="preserve"> PAGEREF _Toc233880773 \h </w:instrText>
        </w:r>
        <w:r>
          <w:rPr>
            <w:webHidden/>
          </w:rPr>
        </w:r>
        <w:r>
          <w:rPr>
            <w:webHidden/>
          </w:rPr>
          <w:fldChar w:fldCharType="separate"/>
        </w:r>
        <w:r>
          <w:rPr>
            <w:webHidden/>
          </w:rPr>
          <w:t>4</w:t>
        </w:r>
        <w:r>
          <w:rPr>
            <w:webHidden/>
          </w:rPr>
          <w:fldChar w:fldCharType="end"/>
        </w:r>
      </w:hyperlink>
    </w:p>
    <w:p w14:paraId="578D93F2" w14:textId="092EDF97"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74" w:history="1">
        <w:r w:rsidRPr="005A7757">
          <w:rPr>
            <w:rStyle w:val="Hyperlink"/>
          </w:rPr>
          <w:t>How do we implement</w:t>
        </w:r>
        <w:r>
          <w:rPr>
            <w:webHidden/>
          </w:rPr>
          <w:tab/>
        </w:r>
        <w:r>
          <w:rPr>
            <w:webHidden/>
          </w:rPr>
          <w:fldChar w:fldCharType="begin"/>
        </w:r>
        <w:r>
          <w:rPr>
            <w:webHidden/>
          </w:rPr>
          <w:instrText xml:space="preserve"> PAGEREF _Toc233880774 \h </w:instrText>
        </w:r>
        <w:r>
          <w:rPr>
            <w:webHidden/>
          </w:rPr>
        </w:r>
        <w:r>
          <w:rPr>
            <w:webHidden/>
          </w:rPr>
          <w:fldChar w:fldCharType="separate"/>
        </w:r>
        <w:r>
          <w:rPr>
            <w:webHidden/>
          </w:rPr>
          <w:t>4</w:t>
        </w:r>
        <w:r>
          <w:rPr>
            <w:webHidden/>
          </w:rPr>
          <w:fldChar w:fldCharType="end"/>
        </w:r>
      </w:hyperlink>
    </w:p>
    <w:p w14:paraId="6D718C18" w14:textId="6613B258"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75" w:history="1">
        <w:r w:rsidRPr="005A7757">
          <w:rPr>
            <w:rStyle w:val="Hyperlink"/>
          </w:rPr>
          <w:t>What’s the ask</w:t>
        </w:r>
        <w:r>
          <w:rPr>
            <w:webHidden/>
          </w:rPr>
          <w:tab/>
        </w:r>
        <w:r>
          <w:rPr>
            <w:webHidden/>
          </w:rPr>
          <w:fldChar w:fldCharType="begin"/>
        </w:r>
        <w:r>
          <w:rPr>
            <w:webHidden/>
          </w:rPr>
          <w:instrText xml:space="preserve"> PAGEREF _Toc233880775 \h </w:instrText>
        </w:r>
        <w:r>
          <w:rPr>
            <w:webHidden/>
          </w:rPr>
        </w:r>
        <w:r>
          <w:rPr>
            <w:webHidden/>
          </w:rPr>
          <w:fldChar w:fldCharType="separate"/>
        </w:r>
        <w:r>
          <w:rPr>
            <w:webHidden/>
          </w:rPr>
          <w:t>4</w:t>
        </w:r>
        <w:r>
          <w:rPr>
            <w:webHidden/>
          </w:rPr>
          <w:fldChar w:fldCharType="end"/>
        </w:r>
      </w:hyperlink>
    </w:p>
    <w:p w14:paraId="3818651D" w14:textId="50870A79"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76" w:history="1">
        <w:r w:rsidRPr="005A7757">
          <w:rPr>
            <w:rStyle w:val="Hyperlink"/>
          </w:rPr>
          <w:t>Proven ways to implement</w:t>
        </w:r>
        <w:r>
          <w:rPr>
            <w:webHidden/>
          </w:rPr>
          <w:tab/>
        </w:r>
        <w:r>
          <w:rPr>
            <w:webHidden/>
          </w:rPr>
          <w:fldChar w:fldCharType="begin"/>
        </w:r>
        <w:r>
          <w:rPr>
            <w:webHidden/>
          </w:rPr>
          <w:instrText xml:space="preserve"> PAGEREF _Toc233880776 \h </w:instrText>
        </w:r>
        <w:r>
          <w:rPr>
            <w:webHidden/>
          </w:rPr>
        </w:r>
        <w:r>
          <w:rPr>
            <w:webHidden/>
          </w:rPr>
          <w:fldChar w:fldCharType="separate"/>
        </w:r>
        <w:r>
          <w:rPr>
            <w:webHidden/>
          </w:rPr>
          <w:t>4</w:t>
        </w:r>
        <w:r>
          <w:rPr>
            <w:webHidden/>
          </w:rPr>
          <w:fldChar w:fldCharType="end"/>
        </w:r>
      </w:hyperlink>
    </w:p>
    <w:p w14:paraId="1AEBCEB2" w14:textId="705F750E" w:rsidR="0013098A" w:rsidRDefault="0013098A">
      <w:pPr>
        <w:pStyle w:val="TOC1"/>
        <w:rPr>
          <w:rFonts w:asciiTheme="minorHAnsi" w:eastAsiaTheme="minorEastAsia" w:hAnsiTheme="minorHAnsi" w:cstheme="minorBidi"/>
          <w:b w:val="0"/>
          <w:kern w:val="2"/>
          <w:sz w:val="24"/>
          <w:szCs w:val="24"/>
          <w:lang w:eastAsia="en-AU"/>
          <w14:ligatures w14:val="standardContextual"/>
        </w:rPr>
      </w:pPr>
      <w:hyperlink w:anchor="_Toc233880777" w:history="1">
        <w:r w:rsidRPr="005A7757">
          <w:rPr>
            <w:rStyle w:val="Hyperlink"/>
          </w:rPr>
          <w:t>Glossary of terms</w:t>
        </w:r>
        <w:r>
          <w:rPr>
            <w:webHidden/>
          </w:rPr>
          <w:tab/>
        </w:r>
        <w:r>
          <w:rPr>
            <w:webHidden/>
          </w:rPr>
          <w:fldChar w:fldCharType="begin"/>
        </w:r>
        <w:r>
          <w:rPr>
            <w:webHidden/>
          </w:rPr>
          <w:instrText xml:space="preserve"> PAGEREF _Toc233880777 \h </w:instrText>
        </w:r>
        <w:r>
          <w:rPr>
            <w:webHidden/>
          </w:rPr>
        </w:r>
        <w:r>
          <w:rPr>
            <w:webHidden/>
          </w:rPr>
          <w:fldChar w:fldCharType="separate"/>
        </w:r>
        <w:r>
          <w:rPr>
            <w:webHidden/>
          </w:rPr>
          <w:t>5</w:t>
        </w:r>
        <w:r>
          <w:rPr>
            <w:webHidden/>
          </w:rPr>
          <w:fldChar w:fldCharType="end"/>
        </w:r>
      </w:hyperlink>
    </w:p>
    <w:p w14:paraId="63654F3D" w14:textId="2BD4A3AF" w:rsidR="0013098A" w:rsidRDefault="0013098A">
      <w:pPr>
        <w:pStyle w:val="TOC1"/>
        <w:rPr>
          <w:rFonts w:asciiTheme="minorHAnsi" w:eastAsiaTheme="minorEastAsia" w:hAnsiTheme="minorHAnsi" w:cstheme="minorBidi"/>
          <w:b w:val="0"/>
          <w:kern w:val="2"/>
          <w:sz w:val="24"/>
          <w:szCs w:val="24"/>
          <w:lang w:eastAsia="en-AU"/>
          <w14:ligatures w14:val="standardContextual"/>
        </w:rPr>
      </w:pPr>
      <w:hyperlink w:anchor="_Toc233880778" w:history="1">
        <w:r w:rsidRPr="005A7757">
          <w:rPr>
            <w:rStyle w:val="Hyperlink"/>
          </w:rPr>
          <w:t>Part A – Direction setting</w:t>
        </w:r>
        <w:r>
          <w:rPr>
            <w:webHidden/>
          </w:rPr>
          <w:tab/>
        </w:r>
        <w:r>
          <w:rPr>
            <w:webHidden/>
          </w:rPr>
          <w:fldChar w:fldCharType="begin"/>
        </w:r>
        <w:r>
          <w:rPr>
            <w:webHidden/>
          </w:rPr>
          <w:instrText xml:space="preserve"> PAGEREF _Toc233880778 \h </w:instrText>
        </w:r>
        <w:r>
          <w:rPr>
            <w:webHidden/>
          </w:rPr>
        </w:r>
        <w:r>
          <w:rPr>
            <w:webHidden/>
          </w:rPr>
          <w:fldChar w:fldCharType="separate"/>
        </w:r>
        <w:r>
          <w:rPr>
            <w:webHidden/>
          </w:rPr>
          <w:t>5</w:t>
        </w:r>
        <w:r>
          <w:rPr>
            <w:webHidden/>
          </w:rPr>
          <w:fldChar w:fldCharType="end"/>
        </w:r>
      </w:hyperlink>
    </w:p>
    <w:p w14:paraId="409DC96D" w14:textId="46A28ABE"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79" w:history="1">
        <w:r w:rsidRPr="005A7757">
          <w:rPr>
            <w:rStyle w:val="Hyperlink"/>
          </w:rPr>
          <w:t>Purpose</w:t>
        </w:r>
        <w:r>
          <w:rPr>
            <w:webHidden/>
          </w:rPr>
          <w:tab/>
        </w:r>
        <w:r>
          <w:rPr>
            <w:webHidden/>
          </w:rPr>
          <w:fldChar w:fldCharType="begin"/>
        </w:r>
        <w:r>
          <w:rPr>
            <w:webHidden/>
          </w:rPr>
          <w:instrText xml:space="preserve"> PAGEREF _Toc233880779 \h </w:instrText>
        </w:r>
        <w:r>
          <w:rPr>
            <w:webHidden/>
          </w:rPr>
        </w:r>
        <w:r>
          <w:rPr>
            <w:webHidden/>
          </w:rPr>
          <w:fldChar w:fldCharType="separate"/>
        </w:r>
        <w:r>
          <w:rPr>
            <w:webHidden/>
          </w:rPr>
          <w:t>5</w:t>
        </w:r>
        <w:r>
          <w:rPr>
            <w:webHidden/>
          </w:rPr>
          <w:fldChar w:fldCharType="end"/>
        </w:r>
      </w:hyperlink>
    </w:p>
    <w:p w14:paraId="00453484" w14:textId="0741AF6F"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80" w:history="1">
        <w:r w:rsidRPr="005A7757">
          <w:rPr>
            <w:rStyle w:val="Hyperlink"/>
          </w:rPr>
          <w:t>Scope</w:t>
        </w:r>
        <w:r>
          <w:rPr>
            <w:webHidden/>
          </w:rPr>
          <w:tab/>
        </w:r>
        <w:r>
          <w:rPr>
            <w:webHidden/>
          </w:rPr>
          <w:fldChar w:fldCharType="begin"/>
        </w:r>
        <w:r>
          <w:rPr>
            <w:webHidden/>
          </w:rPr>
          <w:instrText xml:space="preserve"> PAGEREF _Toc233880780 \h </w:instrText>
        </w:r>
        <w:r>
          <w:rPr>
            <w:webHidden/>
          </w:rPr>
        </w:r>
        <w:r>
          <w:rPr>
            <w:webHidden/>
          </w:rPr>
          <w:fldChar w:fldCharType="separate"/>
        </w:r>
        <w:r>
          <w:rPr>
            <w:webHidden/>
          </w:rPr>
          <w:t>6</w:t>
        </w:r>
        <w:r>
          <w:rPr>
            <w:webHidden/>
          </w:rPr>
          <w:fldChar w:fldCharType="end"/>
        </w:r>
      </w:hyperlink>
    </w:p>
    <w:p w14:paraId="79FC5E3A" w14:textId="12872304"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81" w:history="1">
        <w:r w:rsidRPr="005A7757">
          <w:rPr>
            <w:rStyle w:val="Hyperlink"/>
          </w:rPr>
          <w:t>RPL Framework Policy Statement</w:t>
        </w:r>
        <w:r>
          <w:rPr>
            <w:webHidden/>
          </w:rPr>
          <w:tab/>
        </w:r>
        <w:r>
          <w:rPr>
            <w:webHidden/>
          </w:rPr>
          <w:fldChar w:fldCharType="begin"/>
        </w:r>
        <w:r>
          <w:rPr>
            <w:webHidden/>
          </w:rPr>
          <w:instrText xml:space="preserve"> PAGEREF _Toc233880781 \h </w:instrText>
        </w:r>
        <w:r>
          <w:rPr>
            <w:webHidden/>
          </w:rPr>
        </w:r>
        <w:r>
          <w:rPr>
            <w:webHidden/>
          </w:rPr>
          <w:fldChar w:fldCharType="separate"/>
        </w:r>
        <w:r>
          <w:rPr>
            <w:webHidden/>
          </w:rPr>
          <w:t>6</w:t>
        </w:r>
        <w:r>
          <w:rPr>
            <w:webHidden/>
          </w:rPr>
          <w:fldChar w:fldCharType="end"/>
        </w:r>
      </w:hyperlink>
    </w:p>
    <w:p w14:paraId="61B7D2B4" w14:textId="58AB7732"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82" w:history="1">
        <w:r w:rsidRPr="005A7757">
          <w:rPr>
            <w:rStyle w:val="Hyperlink"/>
          </w:rPr>
          <w:t>Principles</w:t>
        </w:r>
        <w:r>
          <w:rPr>
            <w:webHidden/>
          </w:rPr>
          <w:tab/>
        </w:r>
        <w:r>
          <w:rPr>
            <w:webHidden/>
          </w:rPr>
          <w:fldChar w:fldCharType="begin"/>
        </w:r>
        <w:r>
          <w:rPr>
            <w:webHidden/>
          </w:rPr>
          <w:instrText xml:space="preserve"> PAGEREF _Toc233880782 \h </w:instrText>
        </w:r>
        <w:r>
          <w:rPr>
            <w:webHidden/>
          </w:rPr>
        </w:r>
        <w:r>
          <w:rPr>
            <w:webHidden/>
          </w:rPr>
          <w:fldChar w:fldCharType="separate"/>
        </w:r>
        <w:r>
          <w:rPr>
            <w:webHidden/>
          </w:rPr>
          <w:t>6</w:t>
        </w:r>
        <w:r>
          <w:rPr>
            <w:webHidden/>
          </w:rPr>
          <w:fldChar w:fldCharType="end"/>
        </w:r>
      </w:hyperlink>
    </w:p>
    <w:p w14:paraId="641B2060" w14:textId="797FEB0B" w:rsidR="0013098A" w:rsidRDefault="0013098A">
      <w:pPr>
        <w:pStyle w:val="TOC1"/>
        <w:rPr>
          <w:rFonts w:asciiTheme="minorHAnsi" w:eastAsiaTheme="minorEastAsia" w:hAnsiTheme="minorHAnsi" w:cstheme="minorBidi"/>
          <w:b w:val="0"/>
          <w:kern w:val="2"/>
          <w:sz w:val="24"/>
          <w:szCs w:val="24"/>
          <w:lang w:eastAsia="en-AU"/>
          <w14:ligatures w14:val="standardContextual"/>
        </w:rPr>
      </w:pPr>
      <w:hyperlink w:anchor="_Toc233880783" w:history="1">
        <w:r w:rsidRPr="005A7757">
          <w:rPr>
            <w:rStyle w:val="Hyperlink"/>
          </w:rPr>
          <w:t>RPL Roles and Responsibilities</w:t>
        </w:r>
        <w:r>
          <w:rPr>
            <w:webHidden/>
          </w:rPr>
          <w:tab/>
        </w:r>
        <w:r>
          <w:rPr>
            <w:webHidden/>
          </w:rPr>
          <w:fldChar w:fldCharType="begin"/>
        </w:r>
        <w:r>
          <w:rPr>
            <w:webHidden/>
          </w:rPr>
          <w:instrText xml:space="preserve"> PAGEREF _Toc233880783 \h </w:instrText>
        </w:r>
        <w:r>
          <w:rPr>
            <w:webHidden/>
          </w:rPr>
        </w:r>
        <w:r>
          <w:rPr>
            <w:webHidden/>
          </w:rPr>
          <w:fldChar w:fldCharType="separate"/>
        </w:r>
        <w:r>
          <w:rPr>
            <w:webHidden/>
          </w:rPr>
          <w:t>7</w:t>
        </w:r>
        <w:r>
          <w:rPr>
            <w:webHidden/>
          </w:rPr>
          <w:fldChar w:fldCharType="end"/>
        </w:r>
      </w:hyperlink>
    </w:p>
    <w:p w14:paraId="7FB5ECAC" w14:textId="45D9D435" w:rsidR="0013098A" w:rsidRDefault="0013098A">
      <w:pPr>
        <w:pStyle w:val="TOC1"/>
        <w:rPr>
          <w:rFonts w:asciiTheme="minorHAnsi" w:eastAsiaTheme="minorEastAsia" w:hAnsiTheme="minorHAnsi" w:cstheme="minorBidi"/>
          <w:b w:val="0"/>
          <w:kern w:val="2"/>
          <w:sz w:val="24"/>
          <w:szCs w:val="24"/>
          <w:lang w:eastAsia="en-AU"/>
          <w14:ligatures w14:val="standardContextual"/>
        </w:rPr>
      </w:pPr>
      <w:hyperlink w:anchor="_Toc233880784" w:history="1">
        <w:r w:rsidRPr="005A7757">
          <w:rPr>
            <w:rStyle w:val="Hyperlink"/>
          </w:rPr>
          <w:t>Align content with learning outcomes</w:t>
        </w:r>
        <w:r>
          <w:rPr>
            <w:webHidden/>
          </w:rPr>
          <w:tab/>
        </w:r>
        <w:r>
          <w:rPr>
            <w:webHidden/>
          </w:rPr>
          <w:fldChar w:fldCharType="begin"/>
        </w:r>
        <w:r>
          <w:rPr>
            <w:webHidden/>
          </w:rPr>
          <w:instrText xml:space="preserve"> PAGEREF _Toc233880784 \h </w:instrText>
        </w:r>
        <w:r>
          <w:rPr>
            <w:webHidden/>
          </w:rPr>
        </w:r>
        <w:r>
          <w:rPr>
            <w:webHidden/>
          </w:rPr>
          <w:fldChar w:fldCharType="separate"/>
        </w:r>
        <w:r>
          <w:rPr>
            <w:webHidden/>
          </w:rPr>
          <w:t>8</w:t>
        </w:r>
        <w:r>
          <w:rPr>
            <w:webHidden/>
          </w:rPr>
          <w:fldChar w:fldCharType="end"/>
        </w:r>
      </w:hyperlink>
    </w:p>
    <w:p w14:paraId="01456E9C" w14:textId="5CCA4335" w:rsidR="0013098A" w:rsidRDefault="0013098A">
      <w:pPr>
        <w:pStyle w:val="TOC1"/>
        <w:rPr>
          <w:rFonts w:asciiTheme="minorHAnsi" w:eastAsiaTheme="minorEastAsia" w:hAnsiTheme="minorHAnsi" w:cstheme="minorBidi"/>
          <w:b w:val="0"/>
          <w:kern w:val="2"/>
          <w:sz w:val="24"/>
          <w:szCs w:val="24"/>
          <w:lang w:eastAsia="en-AU"/>
          <w14:ligatures w14:val="standardContextual"/>
        </w:rPr>
      </w:pPr>
      <w:hyperlink w:anchor="_Toc233880785" w:history="1">
        <w:r w:rsidRPr="005A7757">
          <w:rPr>
            <w:rStyle w:val="Hyperlink"/>
          </w:rPr>
          <w:t>Align on training design and assessment</w:t>
        </w:r>
        <w:r>
          <w:rPr>
            <w:webHidden/>
          </w:rPr>
          <w:tab/>
        </w:r>
        <w:r>
          <w:rPr>
            <w:webHidden/>
          </w:rPr>
          <w:fldChar w:fldCharType="begin"/>
        </w:r>
        <w:r>
          <w:rPr>
            <w:webHidden/>
          </w:rPr>
          <w:instrText xml:space="preserve"> PAGEREF _Toc233880785 \h </w:instrText>
        </w:r>
        <w:r>
          <w:rPr>
            <w:webHidden/>
          </w:rPr>
        </w:r>
        <w:r>
          <w:rPr>
            <w:webHidden/>
          </w:rPr>
          <w:fldChar w:fldCharType="separate"/>
        </w:r>
        <w:r>
          <w:rPr>
            <w:webHidden/>
          </w:rPr>
          <w:t>8</w:t>
        </w:r>
        <w:r>
          <w:rPr>
            <w:webHidden/>
          </w:rPr>
          <w:fldChar w:fldCharType="end"/>
        </w:r>
      </w:hyperlink>
    </w:p>
    <w:p w14:paraId="5FB10E58" w14:textId="37BFEDF2" w:rsidR="0013098A" w:rsidRDefault="0013098A">
      <w:pPr>
        <w:pStyle w:val="TOC1"/>
        <w:rPr>
          <w:rFonts w:asciiTheme="minorHAnsi" w:eastAsiaTheme="minorEastAsia" w:hAnsiTheme="minorHAnsi" w:cstheme="minorBidi"/>
          <w:b w:val="0"/>
          <w:kern w:val="2"/>
          <w:sz w:val="24"/>
          <w:szCs w:val="24"/>
          <w:lang w:eastAsia="en-AU"/>
          <w14:ligatures w14:val="standardContextual"/>
        </w:rPr>
      </w:pPr>
      <w:hyperlink w:anchor="_Toc233880786" w:history="1">
        <w:r w:rsidRPr="005A7757">
          <w:rPr>
            <w:rStyle w:val="Hyperlink"/>
          </w:rPr>
          <w:t>Align on frequency of training</w:t>
        </w:r>
        <w:r>
          <w:rPr>
            <w:webHidden/>
          </w:rPr>
          <w:tab/>
        </w:r>
        <w:r>
          <w:rPr>
            <w:webHidden/>
          </w:rPr>
          <w:fldChar w:fldCharType="begin"/>
        </w:r>
        <w:r>
          <w:rPr>
            <w:webHidden/>
          </w:rPr>
          <w:instrText xml:space="preserve"> PAGEREF _Toc233880786 \h </w:instrText>
        </w:r>
        <w:r>
          <w:rPr>
            <w:webHidden/>
          </w:rPr>
        </w:r>
        <w:r>
          <w:rPr>
            <w:webHidden/>
          </w:rPr>
          <w:fldChar w:fldCharType="separate"/>
        </w:r>
        <w:r>
          <w:rPr>
            <w:webHidden/>
          </w:rPr>
          <w:t>10</w:t>
        </w:r>
        <w:r>
          <w:rPr>
            <w:webHidden/>
          </w:rPr>
          <w:fldChar w:fldCharType="end"/>
        </w:r>
      </w:hyperlink>
    </w:p>
    <w:p w14:paraId="26801E3D" w14:textId="0F9D8B70" w:rsidR="0013098A" w:rsidRDefault="0013098A">
      <w:pPr>
        <w:pStyle w:val="TOC1"/>
        <w:rPr>
          <w:rFonts w:asciiTheme="minorHAnsi" w:eastAsiaTheme="minorEastAsia" w:hAnsiTheme="minorHAnsi" w:cstheme="minorBidi"/>
          <w:b w:val="0"/>
          <w:kern w:val="2"/>
          <w:sz w:val="24"/>
          <w:szCs w:val="24"/>
          <w:lang w:eastAsia="en-AU"/>
          <w14:ligatures w14:val="standardContextual"/>
        </w:rPr>
      </w:pPr>
      <w:hyperlink w:anchor="_Toc233880787" w:history="1">
        <w:r w:rsidRPr="005A7757">
          <w:rPr>
            <w:rStyle w:val="Hyperlink"/>
          </w:rPr>
          <w:t>Implement standardised modules</w:t>
        </w:r>
        <w:r>
          <w:rPr>
            <w:webHidden/>
          </w:rPr>
          <w:tab/>
        </w:r>
        <w:r>
          <w:rPr>
            <w:webHidden/>
          </w:rPr>
          <w:fldChar w:fldCharType="begin"/>
        </w:r>
        <w:r>
          <w:rPr>
            <w:webHidden/>
          </w:rPr>
          <w:instrText xml:space="preserve"> PAGEREF _Toc233880787 \h </w:instrText>
        </w:r>
        <w:r>
          <w:rPr>
            <w:webHidden/>
          </w:rPr>
        </w:r>
        <w:r>
          <w:rPr>
            <w:webHidden/>
          </w:rPr>
          <w:fldChar w:fldCharType="separate"/>
        </w:r>
        <w:r>
          <w:rPr>
            <w:webHidden/>
          </w:rPr>
          <w:t>11</w:t>
        </w:r>
        <w:r>
          <w:rPr>
            <w:webHidden/>
          </w:rPr>
          <w:fldChar w:fldCharType="end"/>
        </w:r>
      </w:hyperlink>
    </w:p>
    <w:p w14:paraId="1C14C80E" w14:textId="1C6E2CD6" w:rsidR="0013098A" w:rsidRDefault="0013098A">
      <w:pPr>
        <w:pStyle w:val="TOC1"/>
        <w:rPr>
          <w:rFonts w:asciiTheme="minorHAnsi" w:eastAsiaTheme="minorEastAsia" w:hAnsiTheme="minorHAnsi" w:cstheme="minorBidi"/>
          <w:b w:val="0"/>
          <w:kern w:val="2"/>
          <w:sz w:val="24"/>
          <w:szCs w:val="24"/>
          <w:lang w:eastAsia="en-AU"/>
          <w14:ligatures w14:val="standardContextual"/>
        </w:rPr>
      </w:pPr>
      <w:hyperlink w:anchor="_Toc233880788" w:history="1">
        <w:r w:rsidRPr="005A7757">
          <w:rPr>
            <w:rStyle w:val="Hyperlink"/>
          </w:rPr>
          <w:t>Implement automated RPL processes</w:t>
        </w:r>
        <w:r>
          <w:rPr>
            <w:webHidden/>
          </w:rPr>
          <w:tab/>
        </w:r>
        <w:r>
          <w:rPr>
            <w:webHidden/>
          </w:rPr>
          <w:fldChar w:fldCharType="begin"/>
        </w:r>
        <w:r>
          <w:rPr>
            <w:webHidden/>
          </w:rPr>
          <w:instrText xml:space="preserve"> PAGEREF _Toc233880788 \h </w:instrText>
        </w:r>
        <w:r>
          <w:rPr>
            <w:webHidden/>
          </w:rPr>
        </w:r>
        <w:r>
          <w:rPr>
            <w:webHidden/>
          </w:rPr>
          <w:fldChar w:fldCharType="separate"/>
        </w:r>
        <w:r>
          <w:rPr>
            <w:webHidden/>
          </w:rPr>
          <w:t>12</w:t>
        </w:r>
        <w:r>
          <w:rPr>
            <w:webHidden/>
          </w:rPr>
          <w:fldChar w:fldCharType="end"/>
        </w:r>
      </w:hyperlink>
    </w:p>
    <w:p w14:paraId="644B75E9" w14:textId="20D4C201" w:rsidR="0013098A" w:rsidRDefault="0013098A">
      <w:pPr>
        <w:pStyle w:val="TOC1"/>
        <w:rPr>
          <w:rFonts w:asciiTheme="minorHAnsi" w:eastAsiaTheme="minorEastAsia" w:hAnsiTheme="minorHAnsi" w:cstheme="minorBidi"/>
          <w:b w:val="0"/>
          <w:kern w:val="2"/>
          <w:sz w:val="24"/>
          <w:szCs w:val="24"/>
          <w:lang w:eastAsia="en-AU"/>
          <w14:ligatures w14:val="standardContextual"/>
        </w:rPr>
      </w:pPr>
      <w:hyperlink w:anchor="_Toc233880789" w:history="1">
        <w:r w:rsidRPr="005A7757">
          <w:rPr>
            <w:rStyle w:val="Hyperlink"/>
          </w:rPr>
          <w:t>Checklist to support implementation</w:t>
        </w:r>
        <w:r>
          <w:rPr>
            <w:webHidden/>
          </w:rPr>
          <w:tab/>
        </w:r>
        <w:r>
          <w:rPr>
            <w:webHidden/>
          </w:rPr>
          <w:fldChar w:fldCharType="begin"/>
        </w:r>
        <w:r>
          <w:rPr>
            <w:webHidden/>
          </w:rPr>
          <w:instrText xml:space="preserve"> PAGEREF _Toc233880789 \h </w:instrText>
        </w:r>
        <w:r>
          <w:rPr>
            <w:webHidden/>
          </w:rPr>
        </w:r>
        <w:r>
          <w:rPr>
            <w:webHidden/>
          </w:rPr>
          <w:fldChar w:fldCharType="separate"/>
        </w:r>
        <w:r>
          <w:rPr>
            <w:webHidden/>
          </w:rPr>
          <w:t>14</w:t>
        </w:r>
        <w:r>
          <w:rPr>
            <w:webHidden/>
          </w:rPr>
          <w:fldChar w:fldCharType="end"/>
        </w:r>
      </w:hyperlink>
    </w:p>
    <w:p w14:paraId="3DF747A8" w14:textId="70E97E8A" w:rsidR="0013098A" w:rsidRDefault="0013098A">
      <w:pPr>
        <w:pStyle w:val="TOC1"/>
        <w:rPr>
          <w:rFonts w:asciiTheme="minorHAnsi" w:eastAsiaTheme="minorEastAsia" w:hAnsiTheme="minorHAnsi" w:cstheme="minorBidi"/>
          <w:b w:val="0"/>
          <w:kern w:val="2"/>
          <w:sz w:val="24"/>
          <w:szCs w:val="24"/>
          <w:lang w:eastAsia="en-AU"/>
          <w14:ligatures w14:val="standardContextual"/>
        </w:rPr>
      </w:pPr>
      <w:hyperlink w:anchor="_Toc233880790" w:history="1">
        <w:r w:rsidRPr="005A7757">
          <w:rPr>
            <w:rStyle w:val="Hyperlink"/>
          </w:rPr>
          <w:t>Part B – Detailed learning outcomes</w:t>
        </w:r>
        <w:r>
          <w:rPr>
            <w:webHidden/>
          </w:rPr>
          <w:tab/>
        </w:r>
        <w:r>
          <w:rPr>
            <w:webHidden/>
          </w:rPr>
          <w:fldChar w:fldCharType="begin"/>
        </w:r>
        <w:r>
          <w:rPr>
            <w:webHidden/>
          </w:rPr>
          <w:instrText xml:space="preserve"> PAGEREF _Toc233880790 \h </w:instrText>
        </w:r>
        <w:r>
          <w:rPr>
            <w:webHidden/>
          </w:rPr>
        </w:r>
        <w:r>
          <w:rPr>
            <w:webHidden/>
          </w:rPr>
          <w:fldChar w:fldCharType="separate"/>
        </w:r>
        <w:r>
          <w:rPr>
            <w:webHidden/>
          </w:rPr>
          <w:t>15</w:t>
        </w:r>
        <w:r>
          <w:rPr>
            <w:webHidden/>
          </w:rPr>
          <w:fldChar w:fldCharType="end"/>
        </w:r>
      </w:hyperlink>
    </w:p>
    <w:p w14:paraId="5284D3F8" w14:textId="009B038B"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91" w:history="1">
        <w:r w:rsidRPr="005A7757">
          <w:rPr>
            <w:rStyle w:val="Hyperlink"/>
          </w:rPr>
          <w:t>Introduction</w:t>
        </w:r>
        <w:r>
          <w:rPr>
            <w:webHidden/>
          </w:rPr>
          <w:tab/>
        </w:r>
        <w:r>
          <w:rPr>
            <w:webHidden/>
          </w:rPr>
          <w:fldChar w:fldCharType="begin"/>
        </w:r>
        <w:r>
          <w:rPr>
            <w:webHidden/>
          </w:rPr>
          <w:instrText xml:space="preserve"> PAGEREF _Toc233880791 \h </w:instrText>
        </w:r>
        <w:r>
          <w:rPr>
            <w:webHidden/>
          </w:rPr>
        </w:r>
        <w:r>
          <w:rPr>
            <w:webHidden/>
          </w:rPr>
          <w:fldChar w:fldCharType="separate"/>
        </w:r>
        <w:r>
          <w:rPr>
            <w:webHidden/>
          </w:rPr>
          <w:t>15</w:t>
        </w:r>
        <w:r>
          <w:rPr>
            <w:webHidden/>
          </w:rPr>
          <w:fldChar w:fldCharType="end"/>
        </w:r>
      </w:hyperlink>
    </w:p>
    <w:p w14:paraId="4CC4A610" w14:textId="18A424A4"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92" w:history="1">
        <w:r w:rsidRPr="005A7757">
          <w:rPr>
            <w:rStyle w:val="Hyperlink"/>
          </w:rPr>
          <w:t>Hand hygiene – Learning outcomes</w:t>
        </w:r>
        <w:r>
          <w:rPr>
            <w:webHidden/>
          </w:rPr>
          <w:tab/>
        </w:r>
        <w:r>
          <w:rPr>
            <w:webHidden/>
          </w:rPr>
          <w:fldChar w:fldCharType="begin"/>
        </w:r>
        <w:r>
          <w:rPr>
            <w:webHidden/>
          </w:rPr>
          <w:instrText xml:space="preserve"> PAGEREF _Toc233880792 \h </w:instrText>
        </w:r>
        <w:r>
          <w:rPr>
            <w:webHidden/>
          </w:rPr>
        </w:r>
        <w:r>
          <w:rPr>
            <w:webHidden/>
          </w:rPr>
          <w:fldChar w:fldCharType="separate"/>
        </w:r>
        <w:r>
          <w:rPr>
            <w:webHidden/>
          </w:rPr>
          <w:t>15</w:t>
        </w:r>
        <w:r>
          <w:rPr>
            <w:webHidden/>
          </w:rPr>
          <w:fldChar w:fldCharType="end"/>
        </w:r>
      </w:hyperlink>
    </w:p>
    <w:p w14:paraId="2F238CE7" w14:textId="65D12026"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93" w:history="1">
        <w:r w:rsidRPr="005A7757">
          <w:rPr>
            <w:rStyle w:val="Hyperlink"/>
          </w:rPr>
          <w:t>Cybersecurity – Learning outcomes</w:t>
        </w:r>
        <w:r>
          <w:rPr>
            <w:webHidden/>
          </w:rPr>
          <w:tab/>
        </w:r>
        <w:r>
          <w:rPr>
            <w:webHidden/>
          </w:rPr>
          <w:fldChar w:fldCharType="begin"/>
        </w:r>
        <w:r>
          <w:rPr>
            <w:webHidden/>
          </w:rPr>
          <w:instrText xml:space="preserve"> PAGEREF _Toc233880793 \h </w:instrText>
        </w:r>
        <w:r>
          <w:rPr>
            <w:webHidden/>
          </w:rPr>
        </w:r>
        <w:r>
          <w:rPr>
            <w:webHidden/>
          </w:rPr>
          <w:fldChar w:fldCharType="separate"/>
        </w:r>
        <w:r>
          <w:rPr>
            <w:webHidden/>
          </w:rPr>
          <w:t>16</w:t>
        </w:r>
        <w:r>
          <w:rPr>
            <w:webHidden/>
          </w:rPr>
          <w:fldChar w:fldCharType="end"/>
        </w:r>
      </w:hyperlink>
    </w:p>
    <w:p w14:paraId="01E152A3" w14:textId="6B77FB05"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94" w:history="1">
        <w:r w:rsidRPr="005A7757">
          <w:rPr>
            <w:rStyle w:val="Hyperlink"/>
          </w:rPr>
          <w:t>Occupational violence and aggression – Learning outcomes</w:t>
        </w:r>
        <w:r>
          <w:rPr>
            <w:webHidden/>
          </w:rPr>
          <w:tab/>
        </w:r>
        <w:r>
          <w:rPr>
            <w:webHidden/>
          </w:rPr>
          <w:fldChar w:fldCharType="begin"/>
        </w:r>
        <w:r>
          <w:rPr>
            <w:webHidden/>
          </w:rPr>
          <w:instrText xml:space="preserve"> PAGEREF _Toc233880794 \h </w:instrText>
        </w:r>
        <w:r>
          <w:rPr>
            <w:webHidden/>
          </w:rPr>
        </w:r>
        <w:r>
          <w:rPr>
            <w:webHidden/>
          </w:rPr>
          <w:fldChar w:fldCharType="separate"/>
        </w:r>
        <w:r>
          <w:rPr>
            <w:webHidden/>
          </w:rPr>
          <w:t>17</w:t>
        </w:r>
        <w:r>
          <w:rPr>
            <w:webHidden/>
          </w:rPr>
          <w:fldChar w:fldCharType="end"/>
        </w:r>
      </w:hyperlink>
    </w:p>
    <w:p w14:paraId="3C2BED17" w14:textId="30F04884"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95" w:history="1">
        <w:r w:rsidRPr="005A7757">
          <w:rPr>
            <w:rStyle w:val="Hyperlink"/>
          </w:rPr>
          <w:t>Occupational health and safety – Learning outcomes</w:t>
        </w:r>
        <w:r>
          <w:rPr>
            <w:webHidden/>
          </w:rPr>
          <w:tab/>
        </w:r>
        <w:r>
          <w:rPr>
            <w:webHidden/>
          </w:rPr>
          <w:fldChar w:fldCharType="begin"/>
        </w:r>
        <w:r>
          <w:rPr>
            <w:webHidden/>
          </w:rPr>
          <w:instrText xml:space="preserve"> PAGEREF _Toc233880795 \h </w:instrText>
        </w:r>
        <w:r>
          <w:rPr>
            <w:webHidden/>
          </w:rPr>
        </w:r>
        <w:r>
          <w:rPr>
            <w:webHidden/>
          </w:rPr>
          <w:fldChar w:fldCharType="separate"/>
        </w:r>
        <w:r>
          <w:rPr>
            <w:webHidden/>
          </w:rPr>
          <w:t>18</w:t>
        </w:r>
        <w:r>
          <w:rPr>
            <w:webHidden/>
          </w:rPr>
          <w:fldChar w:fldCharType="end"/>
        </w:r>
      </w:hyperlink>
    </w:p>
    <w:p w14:paraId="7C3355D5" w14:textId="57F00017"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96" w:history="1">
        <w:r w:rsidRPr="005A7757">
          <w:rPr>
            <w:rStyle w:val="Hyperlink"/>
          </w:rPr>
          <w:t>Respectful Workplace Behaviours – Learning outcomes</w:t>
        </w:r>
        <w:r>
          <w:rPr>
            <w:webHidden/>
          </w:rPr>
          <w:tab/>
        </w:r>
        <w:r>
          <w:rPr>
            <w:webHidden/>
          </w:rPr>
          <w:fldChar w:fldCharType="begin"/>
        </w:r>
        <w:r>
          <w:rPr>
            <w:webHidden/>
          </w:rPr>
          <w:instrText xml:space="preserve"> PAGEREF _Toc233880796 \h </w:instrText>
        </w:r>
        <w:r>
          <w:rPr>
            <w:webHidden/>
          </w:rPr>
        </w:r>
        <w:r>
          <w:rPr>
            <w:webHidden/>
          </w:rPr>
          <w:fldChar w:fldCharType="separate"/>
        </w:r>
        <w:r>
          <w:rPr>
            <w:webHidden/>
          </w:rPr>
          <w:t>19</w:t>
        </w:r>
        <w:r>
          <w:rPr>
            <w:webHidden/>
          </w:rPr>
          <w:fldChar w:fldCharType="end"/>
        </w:r>
      </w:hyperlink>
    </w:p>
    <w:p w14:paraId="5870D259" w14:textId="17086838" w:rsidR="0013098A" w:rsidRDefault="0013098A">
      <w:pPr>
        <w:pStyle w:val="TOC2"/>
        <w:rPr>
          <w:rFonts w:asciiTheme="minorHAnsi" w:eastAsiaTheme="minorEastAsia" w:hAnsiTheme="minorHAnsi" w:cstheme="minorBidi"/>
          <w:kern w:val="2"/>
          <w:sz w:val="24"/>
          <w:szCs w:val="24"/>
          <w:lang w:eastAsia="en-AU"/>
          <w14:ligatures w14:val="standardContextual"/>
        </w:rPr>
      </w:pPr>
      <w:hyperlink w:anchor="_Toc233880797" w:history="1">
        <w:r w:rsidRPr="005A7757">
          <w:rPr>
            <w:rStyle w:val="Hyperlink"/>
          </w:rPr>
          <w:t>Manual Handling – Learning outcomes</w:t>
        </w:r>
        <w:r>
          <w:rPr>
            <w:webHidden/>
          </w:rPr>
          <w:tab/>
        </w:r>
        <w:r>
          <w:rPr>
            <w:webHidden/>
          </w:rPr>
          <w:fldChar w:fldCharType="begin"/>
        </w:r>
        <w:r>
          <w:rPr>
            <w:webHidden/>
          </w:rPr>
          <w:instrText xml:space="preserve"> PAGEREF _Toc233880797 \h </w:instrText>
        </w:r>
        <w:r>
          <w:rPr>
            <w:webHidden/>
          </w:rPr>
        </w:r>
        <w:r>
          <w:rPr>
            <w:webHidden/>
          </w:rPr>
          <w:fldChar w:fldCharType="separate"/>
        </w:r>
        <w:r>
          <w:rPr>
            <w:webHidden/>
          </w:rPr>
          <w:t>20</w:t>
        </w:r>
        <w:r>
          <w:rPr>
            <w:webHidden/>
          </w:rPr>
          <w:fldChar w:fldCharType="end"/>
        </w:r>
      </w:hyperlink>
    </w:p>
    <w:p w14:paraId="49F00F6D" w14:textId="7B4297D7" w:rsidR="00FB1F6E" w:rsidRDefault="00AD784C" w:rsidP="00D079AA">
      <w:pPr>
        <w:pStyle w:val="Body"/>
      </w:pPr>
      <w:r>
        <w:fldChar w:fldCharType="end"/>
      </w:r>
    </w:p>
    <w:p w14:paraId="198C988C" w14:textId="77777777" w:rsidR="00FB1F6E" w:rsidRDefault="00FB1F6E">
      <w:pPr>
        <w:spacing w:after="0" w:line="240" w:lineRule="auto"/>
        <w:rPr>
          <w:rFonts w:eastAsia="Times"/>
        </w:rPr>
      </w:pPr>
      <w:r>
        <w:br w:type="page"/>
      </w:r>
    </w:p>
    <w:p w14:paraId="7528E654" w14:textId="4589619C" w:rsidR="003A2DC1" w:rsidRPr="003A2DC1" w:rsidRDefault="003A2DC1" w:rsidP="003A2DC1">
      <w:pPr>
        <w:pStyle w:val="Heading1"/>
      </w:pPr>
      <w:bookmarkStart w:id="2" w:name="_Toc232598190"/>
      <w:bookmarkStart w:id="3" w:name="_Toc233880771"/>
      <w:r w:rsidRPr="003A2DC1">
        <w:lastRenderedPageBreak/>
        <w:t>Executive Summary</w:t>
      </w:r>
      <w:bookmarkEnd w:id="2"/>
      <w:bookmarkEnd w:id="3"/>
    </w:p>
    <w:p w14:paraId="3D191489" w14:textId="77777777" w:rsidR="003A2DC1" w:rsidRPr="003A2DC1" w:rsidRDefault="003A2DC1" w:rsidP="0098427D">
      <w:pPr>
        <w:pStyle w:val="Body"/>
      </w:pPr>
      <w:r w:rsidRPr="003A2DC1">
        <w:t>The Recognition of Prior Learning (RPL) Framework (the Framework) sets a simple approach to reduce duplicated training, improve workforce mobility and free up clinical time across Victorian public health services statewide.</w:t>
      </w:r>
    </w:p>
    <w:p w14:paraId="06359487" w14:textId="77777777" w:rsidR="003A2DC1" w:rsidRPr="003A2DC1" w:rsidRDefault="003A2DC1" w:rsidP="003A2DC1">
      <w:pPr>
        <w:pStyle w:val="Heading2"/>
      </w:pPr>
      <w:bookmarkStart w:id="4" w:name="_Toc232598191"/>
      <w:bookmarkStart w:id="5" w:name="_Toc233880772"/>
      <w:r w:rsidRPr="003A2DC1">
        <w:t>Why this matters</w:t>
      </w:r>
      <w:bookmarkEnd w:id="4"/>
      <w:bookmarkEnd w:id="5"/>
    </w:p>
    <w:p w14:paraId="508FC0D4" w14:textId="77777777" w:rsidR="003A2DC1" w:rsidRPr="003A2DC1" w:rsidRDefault="003A2DC1" w:rsidP="0098427D">
      <w:pPr>
        <w:pStyle w:val="Body"/>
      </w:pPr>
      <w:r w:rsidRPr="003A2DC1">
        <w:t>The Framework includes statewide learning outcomes for six priority education topics and guidance on training design and frequency, with pragmatic options to accelerate adoption.</w:t>
      </w:r>
    </w:p>
    <w:p w14:paraId="35E5714A" w14:textId="77777777" w:rsidR="003A2DC1" w:rsidRPr="003A2DC1" w:rsidRDefault="003A2DC1" w:rsidP="003A2DC1">
      <w:pPr>
        <w:pStyle w:val="Heading2"/>
      </w:pPr>
      <w:bookmarkStart w:id="6" w:name="_Toc233880773"/>
      <w:r w:rsidRPr="003A2DC1">
        <w:t>What’s included</w:t>
      </w:r>
      <w:bookmarkEnd w:id="6"/>
    </w:p>
    <w:p w14:paraId="3E37E96B" w14:textId="77777777" w:rsidR="003A2DC1" w:rsidRPr="003A2DC1" w:rsidRDefault="003A2DC1" w:rsidP="0098427D">
      <w:pPr>
        <w:pStyle w:val="Body"/>
      </w:pPr>
      <w:r w:rsidRPr="003A2DC1">
        <w:t>It is designed to be practical: health services participate in implementation locally, Local Health Service Networks (LHSNs) support regional roll-out, and the Department of Health monitors progress and provides sector-wide guidance.</w:t>
      </w:r>
    </w:p>
    <w:p w14:paraId="020276EE" w14:textId="77777777" w:rsidR="003A2DC1" w:rsidRPr="003A2DC1" w:rsidRDefault="003A2DC1" w:rsidP="0098427D">
      <w:pPr>
        <w:pStyle w:val="Heading2"/>
      </w:pPr>
      <w:bookmarkStart w:id="7" w:name="_Toc232598192"/>
      <w:bookmarkStart w:id="8" w:name="_Toc233880774"/>
      <w:r w:rsidRPr="003A2DC1">
        <w:t>How do we implement</w:t>
      </w:r>
      <w:bookmarkEnd w:id="7"/>
      <w:bookmarkEnd w:id="8"/>
    </w:p>
    <w:p w14:paraId="33993FC2" w14:textId="77777777" w:rsidR="003A2DC1" w:rsidRPr="003A2DC1" w:rsidRDefault="003A2DC1" w:rsidP="0098427D">
      <w:pPr>
        <w:pStyle w:val="Body"/>
      </w:pPr>
      <w:r w:rsidRPr="003A2DC1">
        <w:t>Health services are expected to recognise learning undertaken at other health services in order to reduce duplication of training by employees, and align existing training materials with the statewide learning outcomes. They will also identify opportunities to align training design and frequency and share these materials with other health services.</w:t>
      </w:r>
    </w:p>
    <w:p w14:paraId="192FD145" w14:textId="77777777" w:rsidR="003A2DC1" w:rsidRPr="003A2DC1" w:rsidRDefault="003A2DC1" w:rsidP="003A2DC1">
      <w:pPr>
        <w:pStyle w:val="Heading2"/>
      </w:pPr>
      <w:bookmarkStart w:id="9" w:name="_Toc232598193"/>
      <w:bookmarkStart w:id="10" w:name="_Toc233880775"/>
      <w:r w:rsidRPr="003A2DC1">
        <w:t>What’s the ask</w:t>
      </w:r>
      <w:bookmarkEnd w:id="9"/>
      <w:bookmarkEnd w:id="10"/>
    </w:p>
    <w:p w14:paraId="5A7BFBBD" w14:textId="77777777" w:rsidR="003A2DC1" w:rsidRPr="003A2DC1" w:rsidRDefault="003A2DC1" w:rsidP="0098427D">
      <w:pPr>
        <w:pStyle w:val="Body"/>
      </w:pPr>
      <w:r w:rsidRPr="003A2DC1">
        <w:t>The Framework provides a starting point on which to progress work on a potential digitally enabled statewide solution for shared content and automated RPL, noting that detailed design and delivery will be progressed as government priorities and funding allow.</w:t>
      </w:r>
    </w:p>
    <w:p w14:paraId="617559ED" w14:textId="77777777" w:rsidR="003A2DC1" w:rsidRPr="003A2DC1" w:rsidRDefault="003A2DC1" w:rsidP="003A2DC1">
      <w:pPr>
        <w:pStyle w:val="Heading2"/>
      </w:pPr>
      <w:bookmarkStart w:id="11" w:name="_Toc232598194"/>
      <w:bookmarkStart w:id="12" w:name="_Toc233880776"/>
      <w:r w:rsidRPr="003A2DC1">
        <w:t>Proven ways to implement</w:t>
      </w:r>
      <w:bookmarkEnd w:id="11"/>
      <w:bookmarkEnd w:id="12"/>
    </w:p>
    <w:p w14:paraId="37AA1B5B" w14:textId="69635613" w:rsidR="003A2DC1" w:rsidRPr="0098427D" w:rsidRDefault="003A2DC1" w:rsidP="0098427D">
      <w:pPr>
        <w:pStyle w:val="Body"/>
      </w:pPr>
      <w:r w:rsidRPr="003A2DC1">
        <w:t>Parts of the sector are already implementing this work. Collaborative approaches in Parkville Precinct and Loddon Mallee demonstrate how services can partner to streamline RPL, reduce duplication and support workforce mobility.</w:t>
      </w:r>
      <w:bookmarkStart w:id="13" w:name="_Toc232598195"/>
    </w:p>
    <w:p w14:paraId="5EEAC33D" w14:textId="08321F95" w:rsidR="008A3E0D" w:rsidRDefault="008A3E0D">
      <w:pPr>
        <w:spacing w:after="0" w:line="240" w:lineRule="auto"/>
        <w:rPr>
          <w:rFonts w:eastAsia="Times"/>
        </w:rPr>
      </w:pPr>
      <w:r>
        <w:br w:type="page"/>
      </w:r>
    </w:p>
    <w:p w14:paraId="384034AC" w14:textId="2C64F224" w:rsidR="003A2DC1" w:rsidRPr="003A2DC1" w:rsidRDefault="003A2DC1" w:rsidP="003A2DC1">
      <w:pPr>
        <w:pStyle w:val="Heading1"/>
        <w:rPr>
          <w:lang w:val="en-US"/>
        </w:rPr>
      </w:pPr>
      <w:bookmarkStart w:id="14" w:name="_Toc233880777"/>
      <w:r w:rsidRPr="003A2DC1">
        <w:lastRenderedPageBreak/>
        <w:t>Glossary of terms</w:t>
      </w:r>
      <w:bookmarkEnd w:id="13"/>
      <w:bookmarkEnd w:id="14"/>
    </w:p>
    <w:p w14:paraId="123170D8" w14:textId="77777777" w:rsidR="003A2DC1" w:rsidRPr="003A2DC1" w:rsidRDefault="003A2DC1" w:rsidP="003A2DC1">
      <w:pPr>
        <w:pStyle w:val="Bullet1"/>
      </w:pPr>
      <w:r w:rsidRPr="00AE0F37">
        <w:rPr>
          <w:b/>
          <w:bCs/>
        </w:rPr>
        <w:t>Application Programming Interface (API):</w:t>
      </w:r>
      <w:r w:rsidRPr="003A2DC1">
        <w:t xml:space="preserve"> A set of protocols and tools that allows different software applications to communicate with each other, enabling integration and data exchange between systems (e.g., between a Learning Management System and a Centralised Learning Record Store).</w:t>
      </w:r>
    </w:p>
    <w:p w14:paraId="0DC2D774" w14:textId="77777777" w:rsidR="003A2DC1" w:rsidRPr="003A2DC1" w:rsidRDefault="003A2DC1" w:rsidP="003A2DC1">
      <w:pPr>
        <w:pStyle w:val="Bullet1"/>
      </w:pPr>
      <w:r w:rsidRPr="00AE0F37">
        <w:rPr>
          <w:b/>
          <w:bCs/>
        </w:rPr>
        <w:t>Centralised Learning Record Store (CLRS):</w:t>
      </w:r>
      <w:r w:rsidRPr="003A2DC1">
        <w:t xml:space="preserve"> A precinct-wide system for storing and sharing learning records across multiple health services, enabling mutual recognition of training.</w:t>
      </w:r>
    </w:p>
    <w:p w14:paraId="06D02D79" w14:textId="77777777" w:rsidR="003A2DC1" w:rsidRPr="003A2DC1" w:rsidRDefault="003A2DC1" w:rsidP="003A2DC1">
      <w:pPr>
        <w:pStyle w:val="Bullet1"/>
      </w:pPr>
      <w:r w:rsidRPr="00907F35">
        <w:rPr>
          <w:b/>
          <w:bCs/>
        </w:rPr>
        <w:t>Learning Content Management System (LCMS):</w:t>
      </w:r>
      <w:r w:rsidRPr="003A2DC1">
        <w:t xml:space="preserve"> A tool for content authors and instructional designers to create, manage and organise learning materials.</w:t>
      </w:r>
    </w:p>
    <w:p w14:paraId="7B6D3480" w14:textId="77777777" w:rsidR="003A2DC1" w:rsidRPr="003A2DC1" w:rsidRDefault="003A2DC1" w:rsidP="003A2DC1">
      <w:pPr>
        <w:pStyle w:val="Bullet1"/>
      </w:pPr>
      <w:r w:rsidRPr="00907F35">
        <w:rPr>
          <w:b/>
          <w:bCs/>
        </w:rPr>
        <w:t>Learning Management System (LMS):</w:t>
      </w:r>
      <w:r w:rsidRPr="003A2DC1">
        <w:t xml:space="preserve"> A software application used to administer, document, track, report, and deliver educational courses or training programs.</w:t>
      </w:r>
    </w:p>
    <w:p w14:paraId="2783FF86" w14:textId="5539DA01" w:rsidR="003A2DC1" w:rsidRPr="003A2DC1" w:rsidRDefault="003A2DC1" w:rsidP="00B30518">
      <w:pPr>
        <w:pStyle w:val="Bullet1"/>
      </w:pPr>
      <w:r w:rsidRPr="00907F35">
        <w:rPr>
          <w:b/>
          <w:bCs/>
        </w:rPr>
        <w:t>Local Health Service Network (LHSN):</w:t>
      </w:r>
      <w:r w:rsidR="00B30518" w:rsidRPr="00B30518">
        <w:rPr>
          <w:rFonts w:asciiTheme="minorHAnsi" w:eastAsiaTheme="minorEastAsia" w:hAnsi="VIC" w:cstheme="minorBidi"/>
          <w:color w:val="000000" w:themeColor="text1"/>
          <w:kern w:val="24"/>
          <w:sz w:val="24"/>
          <w:szCs w:val="24"/>
          <w:lang w:val="en-US" w:eastAsia="en-AU"/>
        </w:rPr>
        <w:t xml:space="preserve"> </w:t>
      </w:r>
      <w:r w:rsidR="00B30518" w:rsidRPr="00B30518">
        <w:rPr>
          <w:lang w:val="en-US"/>
        </w:rPr>
        <w:t xml:space="preserve">Networks that support collaboration, coordinate shared approaches where appropriate, support </w:t>
      </w:r>
      <w:proofErr w:type="spellStart"/>
      <w:r w:rsidR="00B30518" w:rsidRPr="00B30518">
        <w:rPr>
          <w:lang w:val="en-US"/>
        </w:rPr>
        <w:t>standardised</w:t>
      </w:r>
      <w:proofErr w:type="spellEnd"/>
      <w:r w:rsidR="00B30518" w:rsidRPr="00B30518">
        <w:rPr>
          <w:lang w:val="en-US"/>
        </w:rPr>
        <w:t xml:space="preserve"> modules and topics, share insights, and develop strategies within the health services sector.</w:t>
      </w:r>
    </w:p>
    <w:p w14:paraId="0DEE7640" w14:textId="77777777" w:rsidR="003A2DC1" w:rsidRPr="003A2DC1" w:rsidRDefault="003A2DC1" w:rsidP="003A2DC1">
      <w:pPr>
        <w:pStyle w:val="Bullet1"/>
      </w:pPr>
      <w:r w:rsidRPr="00907F35">
        <w:rPr>
          <w:b/>
          <w:bCs/>
        </w:rPr>
        <w:t>Recognition of Prior Learning (RPL):</w:t>
      </w:r>
      <w:r w:rsidRPr="003A2DC1">
        <w:t xml:space="preserve"> The formal acknowledgment by a health service of education and training previously completed by a health professional at another Victorian public health service, based on evidence such as certificates of completion or learning records.</w:t>
      </w:r>
    </w:p>
    <w:p w14:paraId="103B1C11" w14:textId="77777777" w:rsidR="003A2DC1" w:rsidRPr="003A2DC1" w:rsidRDefault="003A2DC1" w:rsidP="003A2DC1">
      <w:pPr>
        <w:pStyle w:val="Bullet1"/>
      </w:pPr>
      <w:r w:rsidRPr="00907F35">
        <w:rPr>
          <w:b/>
          <w:bCs/>
        </w:rPr>
        <w:t>Service Level Agreement (SLA):</w:t>
      </w:r>
      <w:r w:rsidRPr="003A2DC1">
        <w:t xml:space="preserve"> A formal agreement between organisations (e.g., health services) outlining the terms for sharing content, responsibilities, and intellectual property management.</w:t>
      </w:r>
    </w:p>
    <w:p w14:paraId="46B06F19" w14:textId="77777777" w:rsidR="003A2DC1" w:rsidRPr="003A2DC1" w:rsidRDefault="003A2DC1" w:rsidP="003A2DC1">
      <w:pPr>
        <w:pStyle w:val="Bullet1"/>
      </w:pPr>
      <w:r w:rsidRPr="00907F35">
        <w:rPr>
          <w:b/>
          <w:bCs/>
        </w:rPr>
        <w:t>Sharable Content Object Reference Model (SCORM):</w:t>
      </w:r>
      <w:r w:rsidRPr="003A2DC1">
        <w:t xml:space="preserve"> A set of technical standards for eLearning software products. SCORM packages allow training topics or modules to be shared, tracked, and reused across different LMSs.</w:t>
      </w:r>
    </w:p>
    <w:p w14:paraId="79A2F163" w14:textId="77777777" w:rsidR="003A2DC1" w:rsidRPr="003A2DC1" w:rsidRDefault="003A2DC1" w:rsidP="003A2DC1">
      <w:pPr>
        <w:pStyle w:val="Bullet1"/>
      </w:pPr>
      <w:r w:rsidRPr="00907F35">
        <w:rPr>
          <w:b/>
          <w:bCs/>
        </w:rPr>
        <w:t>Subject Matter Expert (SME):</w:t>
      </w:r>
      <w:r w:rsidRPr="003A2DC1">
        <w:t xml:space="preserve"> An individual with expert knowledge in a particular area, engaged to review and endorse learning content and outcomes.</w:t>
      </w:r>
    </w:p>
    <w:p w14:paraId="7B1364F6" w14:textId="77777777" w:rsidR="003A2DC1" w:rsidRPr="003A2DC1" w:rsidRDefault="003A2DC1" w:rsidP="003A2DC1">
      <w:pPr>
        <w:pStyle w:val="Heading1"/>
        <w:rPr>
          <w:lang w:val="en-US"/>
        </w:rPr>
      </w:pPr>
      <w:bookmarkStart w:id="15" w:name="_Toc232598196"/>
      <w:bookmarkStart w:id="16" w:name="_Toc233880778"/>
      <w:r w:rsidRPr="003A2DC1">
        <w:t>Part A – Direction setting</w:t>
      </w:r>
      <w:bookmarkEnd w:id="15"/>
      <w:bookmarkEnd w:id="16"/>
    </w:p>
    <w:p w14:paraId="32153744" w14:textId="77777777" w:rsidR="003A2DC1" w:rsidRPr="003A2DC1" w:rsidRDefault="003A2DC1" w:rsidP="003A2DC1">
      <w:pPr>
        <w:pStyle w:val="Heading2"/>
        <w:rPr>
          <w:lang w:val="en-US"/>
        </w:rPr>
      </w:pPr>
      <w:bookmarkStart w:id="17" w:name="_Toc232598197"/>
      <w:bookmarkStart w:id="18" w:name="_Toc233880779"/>
      <w:r w:rsidRPr="003A2DC1">
        <w:t>Purpose</w:t>
      </w:r>
      <w:bookmarkEnd w:id="17"/>
      <w:bookmarkEnd w:id="18"/>
    </w:p>
    <w:p w14:paraId="72F5F5F4" w14:textId="77777777" w:rsidR="003A2DC1" w:rsidRPr="003A2DC1" w:rsidRDefault="003A2DC1" w:rsidP="007E0BE4">
      <w:pPr>
        <w:pStyle w:val="Body"/>
      </w:pPr>
      <w:r w:rsidRPr="003A2DC1">
        <w:t>The RPL Framework (the Framework) provides a best practice approach for recognising priority education completed by health professionals across Victorian public health services statewide.</w:t>
      </w:r>
    </w:p>
    <w:p w14:paraId="6DA4AEE5" w14:textId="7B89F61A" w:rsidR="007E0BE4" w:rsidRDefault="003A2DC1" w:rsidP="007E0BE4">
      <w:pPr>
        <w:pStyle w:val="Body"/>
      </w:pPr>
      <w:r w:rsidRPr="003A2DC1">
        <w:t>The Framework aims to enable a more mobile, efficient, and productive health workforce by reducing duplication of training and supporting mutual recognition of learning aligned.</w:t>
      </w:r>
    </w:p>
    <w:p w14:paraId="7B957CE6" w14:textId="03D71747" w:rsidR="003A2DC1" w:rsidRPr="003A2DC1" w:rsidRDefault="003A2DC1" w:rsidP="007E0BE4">
      <w:pPr>
        <w:pStyle w:val="Bullet1"/>
        <w:numPr>
          <w:ilvl w:val="0"/>
          <w:numId w:val="0"/>
        </w:numPr>
      </w:pPr>
      <w:r w:rsidRPr="003A2DC1">
        <w:t>Specifically, the Framework seeks to:</w:t>
      </w:r>
    </w:p>
    <w:p w14:paraId="1062D160" w14:textId="77777777" w:rsidR="00A04F55" w:rsidRPr="00A04F55" w:rsidRDefault="00A04F55" w:rsidP="00A04F55">
      <w:pPr>
        <w:pStyle w:val="Bullet1"/>
      </w:pPr>
      <w:r w:rsidRPr="00A04F55">
        <w:t>Support health services to recognise prior learning completed within their areas, networks and at other services.</w:t>
      </w:r>
    </w:p>
    <w:p w14:paraId="7027995B" w14:textId="61861835" w:rsidR="003A2DC1" w:rsidRPr="00A04F55" w:rsidRDefault="003A2DC1" w:rsidP="00A04F55">
      <w:pPr>
        <w:pStyle w:val="Bullet1"/>
      </w:pPr>
      <w:r w:rsidRPr="00A04F55">
        <w:t>Reduce duplication of common education for healthcare professionals transitioning between services.</w:t>
      </w:r>
    </w:p>
    <w:p w14:paraId="3A332E4C" w14:textId="77777777" w:rsidR="003A2DC1" w:rsidRPr="003A2DC1" w:rsidRDefault="003A2DC1" w:rsidP="0098427D">
      <w:pPr>
        <w:pStyle w:val="Bullet1"/>
      </w:pPr>
      <w:r w:rsidRPr="003A2DC1">
        <w:t>Promote workforce mobility, particularly for staff working across multiple employers or in rural and regional areas.</w:t>
      </w:r>
    </w:p>
    <w:p w14:paraId="5883E55C" w14:textId="77777777" w:rsidR="003A2DC1" w:rsidRPr="003A2DC1" w:rsidRDefault="003A2DC1" w:rsidP="0098427D">
      <w:pPr>
        <w:pStyle w:val="Bullet1"/>
      </w:pPr>
      <w:r w:rsidRPr="003A2DC1">
        <w:t>Enhance consistency and quality in education delivery across the sector.</w:t>
      </w:r>
    </w:p>
    <w:p w14:paraId="5702ECC3" w14:textId="77777777" w:rsidR="003A2DC1" w:rsidRPr="003A2DC1" w:rsidRDefault="003A2DC1" w:rsidP="0098427D">
      <w:pPr>
        <w:pStyle w:val="Bullet1"/>
      </w:pPr>
      <w:r w:rsidRPr="003A2DC1">
        <w:t>Lay the foundation for a centralised and digitally enabled approach to education and RPL.</w:t>
      </w:r>
    </w:p>
    <w:p w14:paraId="2641D5B9" w14:textId="77777777" w:rsidR="003A2DC1" w:rsidRPr="003A2DC1" w:rsidRDefault="003A2DC1" w:rsidP="0098427D">
      <w:pPr>
        <w:pStyle w:val="Bullet1"/>
      </w:pPr>
      <w:r w:rsidRPr="003A2DC1">
        <w:lastRenderedPageBreak/>
        <w:t>Enable scalable, system-wide approaches to education that strengthen long-term workforce resilience.</w:t>
      </w:r>
    </w:p>
    <w:p w14:paraId="46B0EEBA" w14:textId="77777777" w:rsidR="003A2DC1" w:rsidRPr="003A2DC1" w:rsidRDefault="003A2DC1" w:rsidP="0098427D">
      <w:pPr>
        <w:pStyle w:val="Heading2"/>
      </w:pPr>
      <w:bookmarkStart w:id="19" w:name="_Toc232598198"/>
      <w:bookmarkStart w:id="20" w:name="_Toc233880780"/>
      <w:r w:rsidRPr="003A2DC1">
        <w:t>Scope</w:t>
      </w:r>
      <w:bookmarkEnd w:id="19"/>
      <w:bookmarkEnd w:id="20"/>
    </w:p>
    <w:p w14:paraId="0CC32B38" w14:textId="77777777" w:rsidR="003A2DC1" w:rsidRPr="003A2DC1" w:rsidRDefault="003A2DC1" w:rsidP="005E176E">
      <w:pPr>
        <w:pStyle w:val="Body"/>
      </w:pPr>
      <w:r w:rsidRPr="003A2DC1">
        <w:t>This Framework applies to all Victorian public health services and supports RPL for six priority education topics aligned to standardised learning outcomes statewide.</w:t>
      </w:r>
    </w:p>
    <w:p w14:paraId="365DA80F" w14:textId="77777777" w:rsidR="003A2DC1" w:rsidRPr="003A2DC1" w:rsidRDefault="003A2DC1" w:rsidP="005E176E">
      <w:pPr>
        <w:pStyle w:val="Body"/>
      </w:pPr>
      <w:r w:rsidRPr="003A2DC1">
        <w:t>RPL refers to the formal acknowledgement by a health service of education and training previously completed by a health professional at another Victorian public health service, based on evidence such as certificates of completion or learning records.</w:t>
      </w:r>
    </w:p>
    <w:p w14:paraId="42052170" w14:textId="77777777" w:rsidR="003A2DC1" w:rsidRPr="003A2DC1" w:rsidRDefault="003A2DC1" w:rsidP="0098427D">
      <w:pPr>
        <w:pStyle w:val="Body"/>
      </w:pPr>
      <w:r w:rsidRPr="003A2DC1">
        <w:t>The scope of workers includes all clinical staff, including nurses, midwives, medical practitioners, allied health professionals, dental professionals and clinical support staff.</w:t>
      </w:r>
    </w:p>
    <w:p w14:paraId="4E4CA6BA" w14:textId="77777777" w:rsidR="001E2725" w:rsidRPr="001E2725" w:rsidRDefault="001E2725" w:rsidP="001E2725">
      <w:pPr>
        <w:pStyle w:val="Body"/>
      </w:pPr>
      <w:r w:rsidRPr="001E2725">
        <w:t>The Framework is designed to be flexible, supporting current work to standardise six priority education topics while being applicable to other learning domains and topics identified by individual services and networks.</w:t>
      </w:r>
    </w:p>
    <w:p w14:paraId="1A3225C2" w14:textId="1E7E2ABE" w:rsidR="003A2DC1" w:rsidRPr="003A2DC1" w:rsidRDefault="003A2DC1" w:rsidP="0098427D">
      <w:pPr>
        <w:pStyle w:val="Body"/>
      </w:pPr>
      <w:r w:rsidRPr="003A2DC1">
        <w:t>The six priority education topics of focus are:</w:t>
      </w:r>
    </w:p>
    <w:p w14:paraId="10DF5274" w14:textId="77777777" w:rsidR="003A2DC1" w:rsidRPr="003A2DC1" w:rsidRDefault="003A2DC1" w:rsidP="005E176E">
      <w:pPr>
        <w:pStyle w:val="Bullet1"/>
      </w:pPr>
      <w:r w:rsidRPr="003A2DC1">
        <w:t>Hand hygiene</w:t>
      </w:r>
    </w:p>
    <w:p w14:paraId="626AF0D9" w14:textId="77777777" w:rsidR="003A2DC1" w:rsidRPr="003A2DC1" w:rsidRDefault="003A2DC1" w:rsidP="005E176E">
      <w:pPr>
        <w:pStyle w:val="Bullet1"/>
      </w:pPr>
      <w:r w:rsidRPr="003A2DC1">
        <w:t>Cybersecurity</w:t>
      </w:r>
    </w:p>
    <w:p w14:paraId="3BA6A453" w14:textId="77777777" w:rsidR="003A2DC1" w:rsidRPr="003A2DC1" w:rsidRDefault="003A2DC1" w:rsidP="005E176E">
      <w:pPr>
        <w:pStyle w:val="Bullet1"/>
      </w:pPr>
      <w:r w:rsidRPr="003A2DC1">
        <w:t>Occupational violence and aggression</w:t>
      </w:r>
    </w:p>
    <w:p w14:paraId="02FAE8C9" w14:textId="77777777" w:rsidR="003A2DC1" w:rsidRPr="003A2DC1" w:rsidRDefault="003A2DC1" w:rsidP="005E176E">
      <w:pPr>
        <w:pStyle w:val="Bullet1"/>
      </w:pPr>
      <w:r w:rsidRPr="003A2DC1">
        <w:t>Occupational health and safety</w:t>
      </w:r>
    </w:p>
    <w:p w14:paraId="6EC11852" w14:textId="77777777" w:rsidR="003A2DC1" w:rsidRPr="003A2DC1" w:rsidRDefault="003A2DC1" w:rsidP="005E176E">
      <w:pPr>
        <w:pStyle w:val="Bullet1"/>
      </w:pPr>
      <w:r w:rsidRPr="003A2DC1">
        <w:t>Respectful workplace behaviours</w:t>
      </w:r>
    </w:p>
    <w:p w14:paraId="00CEEF91" w14:textId="77777777" w:rsidR="003A2DC1" w:rsidRPr="003A2DC1" w:rsidRDefault="003A2DC1" w:rsidP="005E176E">
      <w:pPr>
        <w:pStyle w:val="Bullet1"/>
      </w:pPr>
      <w:r w:rsidRPr="003A2DC1">
        <w:t>Manual handing</w:t>
      </w:r>
    </w:p>
    <w:p w14:paraId="1DC935C4" w14:textId="77777777" w:rsidR="003A2DC1" w:rsidRPr="003A2DC1" w:rsidRDefault="003A2DC1" w:rsidP="0098427D">
      <w:pPr>
        <w:pStyle w:val="Body"/>
      </w:pPr>
      <w:r w:rsidRPr="003A2DC1">
        <w:t>Credentialing and employment checks are out of scope for this framework.</w:t>
      </w:r>
    </w:p>
    <w:p w14:paraId="4B205A80" w14:textId="77777777" w:rsidR="003A2DC1" w:rsidRPr="003A2DC1" w:rsidRDefault="003A2DC1" w:rsidP="005E176E">
      <w:pPr>
        <w:pStyle w:val="Heading2"/>
      </w:pPr>
      <w:bookmarkStart w:id="21" w:name="_Toc232598199"/>
      <w:bookmarkStart w:id="22" w:name="_Toc233880781"/>
      <w:r w:rsidRPr="003A2DC1">
        <w:t>RPL Framework Policy Statement</w:t>
      </w:r>
      <w:bookmarkEnd w:id="21"/>
      <w:bookmarkEnd w:id="22"/>
    </w:p>
    <w:p w14:paraId="333CAB9E" w14:textId="77777777" w:rsidR="003A2DC1" w:rsidRPr="003A2DC1" w:rsidRDefault="003A2DC1" w:rsidP="0098427D">
      <w:pPr>
        <w:pStyle w:val="Body"/>
      </w:pPr>
      <w:r w:rsidRPr="003A2DC1">
        <w:t>The Department of Health (the department) supports the implementation of a statewide approach to RPL to improve consistency, transparency, and efficiency in workforce education.</w:t>
      </w:r>
    </w:p>
    <w:p w14:paraId="399096BA" w14:textId="77777777" w:rsidR="003A2DC1" w:rsidRPr="003A2DC1" w:rsidRDefault="003A2DC1" w:rsidP="0098427D">
      <w:pPr>
        <w:pStyle w:val="Body"/>
      </w:pPr>
      <w:r w:rsidRPr="003A2DC1">
        <w:t>This framework provides a common foundation to guide health services in recognising prior learning and to support closer collaboration across the sector.</w:t>
      </w:r>
    </w:p>
    <w:p w14:paraId="7AF33E99" w14:textId="77777777" w:rsidR="003A2DC1" w:rsidRPr="003A2DC1" w:rsidRDefault="003A2DC1" w:rsidP="0098427D">
      <w:pPr>
        <w:pStyle w:val="Body"/>
      </w:pPr>
      <w:r w:rsidRPr="003A2DC1">
        <w:t>The department supports local participation by all health services, with regional coordination also supported through health services.</w:t>
      </w:r>
    </w:p>
    <w:p w14:paraId="60B57C66" w14:textId="77777777" w:rsidR="003A2DC1" w:rsidRPr="003A2DC1" w:rsidRDefault="003A2DC1" w:rsidP="0098427D">
      <w:pPr>
        <w:pStyle w:val="Body"/>
      </w:pPr>
      <w:r w:rsidRPr="003A2DC1">
        <w:t>The department will continue to support sector-wide coordination and ensure alignment with broader workforce, policy, and digital health strategies.</w:t>
      </w:r>
    </w:p>
    <w:p w14:paraId="2D7248F8" w14:textId="77777777" w:rsidR="003A2DC1" w:rsidRPr="003A2DC1" w:rsidRDefault="003A2DC1" w:rsidP="005E176E">
      <w:pPr>
        <w:pStyle w:val="Heading2"/>
      </w:pPr>
      <w:bookmarkStart w:id="23" w:name="_Toc233880782"/>
      <w:r w:rsidRPr="003A2DC1">
        <w:t>Principles</w:t>
      </w:r>
      <w:bookmarkEnd w:id="23"/>
    </w:p>
    <w:p w14:paraId="14662BDC" w14:textId="77777777" w:rsidR="003A2DC1" w:rsidRPr="003A2DC1" w:rsidRDefault="003A2DC1" w:rsidP="005E176E">
      <w:pPr>
        <w:pStyle w:val="Bullet1"/>
      </w:pPr>
      <w:r w:rsidRPr="003A2DC1">
        <w:rPr>
          <w:b/>
          <w:bCs/>
        </w:rPr>
        <w:t>Standardisation –</w:t>
      </w:r>
      <w:r w:rsidRPr="003A2DC1">
        <w:t xml:space="preserve"> RPL decisions should be based on statewide learning outcomes and shared health service topic or module content to enable mutual recognition across services.</w:t>
      </w:r>
    </w:p>
    <w:p w14:paraId="2EAD61A0" w14:textId="77777777" w:rsidR="003A2DC1" w:rsidRPr="003A2DC1" w:rsidRDefault="003A2DC1" w:rsidP="005E176E">
      <w:pPr>
        <w:pStyle w:val="Bullet1"/>
      </w:pPr>
      <w:r w:rsidRPr="003A2DC1">
        <w:rPr>
          <w:b/>
          <w:bCs/>
        </w:rPr>
        <w:t xml:space="preserve">Design quality – </w:t>
      </w:r>
      <w:r w:rsidRPr="003A2DC1">
        <w:t>Learning topics and modules should follow consistent design standards, including the use of pre-assessment to identify existing knowledge, embedded knowledge checks, scenario-based assessments, and interactivity. Modules and topics should be maintained to contemporary standards and embedded in evidence to support adult learning.</w:t>
      </w:r>
    </w:p>
    <w:p w14:paraId="4C8714A3" w14:textId="77777777" w:rsidR="003A2DC1" w:rsidRPr="003A2DC1" w:rsidRDefault="003A2DC1" w:rsidP="005E176E">
      <w:pPr>
        <w:pStyle w:val="Bullet1"/>
      </w:pPr>
      <w:r w:rsidRPr="003A2DC1">
        <w:rPr>
          <w:b/>
          <w:bCs/>
        </w:rPr>
        <w:lastRenderedPageBreak/>
        <w:t>Assessment –</w:t>
      </w:r>
      <w:r w:rsidRPr="003A2DC1">
        <w:t xml:space="preserve"> Assessment criteria should be clearly defined, with pass thresholds (100% vs 80%) and flexible attempts (once or multiple) appropriate to the type of assessment and the topic or module purpose.</w:t>
      </w:r>
    </w:p>
    <w:p w14:paraId="752F7F10" w14:textId="77777777" w:rsidR="003A2DC1" w:rsidRPr="003A2DC1" w:rsidRDefault="003A2DC1" w:rsidP="005E176E">
      <w:pPr>
        <w:pStyle w:val="Bullet1"/>
      </w:pPr>
      <w:r w:rsidRPr="003A2DC1">
        <w:rPr>
          <w:b/>
          <w:bCs/>
        </w:rPr>
        <w:t>Frequency –</w:t>
      </w:r>
      <w:r w:rsidRPr="003A2DC1">
        <w:t xml:space="preserve"> Training frequency should be reviewed regularly, with a focus on reducing unnecessary repetition. Legislative and other requirements must be met, but local risk assessments should guide efficient and appropriate scheduling.</w:t>
      </w:r>
    </w:p>
    <w:p w14:paraId="3A2A7E73" w14:textId="77777777" w:rsidR="003A2DC1" w:rsidRPr="003A2DC1" w:rsidRDefault="003A2DC1" w:rsidP="005E176E">
      <w:pPr>
        <w:pStyle w:val="Bullet1"/>
      </w:pPr>
      <w:r w:rsidRPr="003A2DC1">
        <w:rPr>
          <w:b/>
          <w:bCs/>
        </w:rPr>
        <w:t>Automation and integration –</w:t>
      </w:r>
      <w:r w:rsidRPr="003A2DC1">
        <w:t xml:space="preserve"> RPL systems should minimise manual effort through Learning Management System (LMS) integration, automated record syncing, and shared platforms to reduce burden on clinical and Human Resources staff.</w:t>
      </w:r>
    </w:p>
    <w:p w14:paraId="0B41E283" w14:textId="77777777" w:rsidR="003A2DC1" w:rsidRPr="003A2DC1" w:rsidRDefault="003A2DC1" w:rsidP="005E176E">
      <w:pPr>
        <w:pStyle w:val="Bullet1"/>
      </w:pPr>
      <w:r w:rsidRPr="003A2DC1">
        <w:rPr>
          <w:b/>
          <w:bCs/>
        </w:rPr>
        <w:t>Usability –</w:t>
      </w:r>
      <w:r w:rsidRPr="003A2DC1">
        <w:t xml:space="preserve"> RPL processes should be easy to understand, well documented, and accessible to staff, with clear guidance on evidence requirements and decision pathways.</w:t>
      </w:r>
    </w:p>
    <w:p w14:paraId="5DDDAFDE" w14:textId="77777777" w:rsidR="003A2DC1" w:rsidRPr="003A2DC1" w:rsidRDefault="003A2DC1" w:rsidP="005E176E">
      <w:pPr>
        <w:pStyle w:val="Heading1"/>
      </w:pPr>
      <w:bookmarkStart w:id="24" w:name="_Toc233880783"/>
      <w:r w:rsidRPr="003A2DC1">
        <w:t>RPL Roles and Responsibilities</w:t>
      </w:r>
      <w:bookmarkEnd w:id="24"/>
    </w:p>
    <w:p w14:paraId="1CB0C86B" w14:textId="77777777" w:rsidR="003A2DC1" w:rsidRPr="003A2DC1" w:rsidRDefault="003A2DC1" w:rsidP="005E176E">
      <w:pPr>
        <w:pStyle w:val="Heading3"/>
      </w:pPr>
      <w:r w:rsidRPr="003A2DC1">
        <w:t>Department of Health</w:t>
      </w:r>
    </w:p>
    <w:p w14:paraId="45057282" w14:textId="77777777" w:rsidR="003A2DC1" w:rsidRPr="003A2DC1" w:rsidRDefault="003A2DC1" w:rsidP="00582AFE">
      <w:pPr>
        <w:pStyle w:val="Bullet1"/>
      </w:pPr>
      <w:r w:rsidRPr="003A2DC1">
        <w:t>Develop and maintain the Framework to guide consistent recognition practices across Victorian public health services.</w:t>
      </w:r>
    </w:p>
    <w:p w14:paraId="7D06C38F" w14:textId="77777777" w:rsidR="003A2DC1" w:rsidRPr="003A2DC1" w:rsidRDefault="003A2DC1" w:rsidP="00582AFE">
      <w:pPr>
        <w:pStyle w:val="Bullet1"/>
      </w:pPr>
      <w:r w:rsidRPr="003A2DC1">
        <w:t>Oversee sector-wide coordination and implementation through health services to support mutual recognition and alignment.</w:t>
      </w:r>
    </w:p>
    <w:p w14:paraId="07893918" w14:textId="77777777" w:rsidR="003A2DC1" w:rsidRPr="003A2DC1" w:rsidRDefault="003A2DC1" w:rsidP="00582AFE">
      <w:pPr>
        <w:pStyle w:val="Bullet1"/>
      </w:pPr>
      <w:r w:rsidRPr="003A2DC1">
        <w:t>Ensure alignment with broader workforce, policy, and digital health strategies.</w:t>
      </w:r>
    </w:p>
    <w:p w14:paraId="365FEFD0" w14:textId="77777777" w:rsidR="003A2DC1" w:rsidRPr="003A2DC1" w:rsidRDefault="003A2DC1" w:rsidP="00582AFE">
      <w:pPr>
        <w:pStyle w:val="Bullet1"/>
      </w:pPr>
      <w:r w:rsidRPr="003A2DC1">
        <w:t>Lead strategic work to explore a statewide digital solution for RPL and learning content sharing.</w:t>
      </w:r>
    </w:p>
    <w:p w14:paraId="197FCAD8" w14:textId="77777777" w:rsidR="003A2DC1" w:rsidRPr="003A2DC1" w:rsidRDefault="003A2DC1" w:rsidP="005E176E">
      <w:pPr>
        <w:pStyle w:val="Heading3"/>
      </w:pPr>
      <w:r w:rsidRPr="003A2DC1">
        <w:t>Health Services</w:t>
      </w:r>
    </w:p>
    <w:p w14:paraId="5695707F" w14:textId="77777777" w:rsidR="003A2DC1" w:rsidRPr="003A2DC1" w:rsidRDefault="003A2DC1" w:rsidP="00582AFE">
      <w:pPr>
        <w:pStyle w:val="Bullet1"/>
      </w:pPr>
      <w:r w:rsidRPr="003A2DC1">
        <w:t>Review and align existing content with statewide learning outcomes.</w:t>
      </w:r>
    </w:p>
    <w:p w14:paraId="3E09A289" w14:textId="77777777" w:rsidR="003A2DC1" w:rsidRPr="003A2DC1" w:rsidRDefault="003A2DC1" w:rsidP="00582AFE">
      <w:pPr>
        <w:pStyle w:val="Bullet1"/>
      </w:pPr>
      <w:r w:rsidRPr="003A2DC1">
        <w:t>Implement RPL in accordance with this framework and local policies and procedures, including recognising learning modules from other services.</w:t>
      </w:r>
    </w:p>
    <w:p w14:paraId="12AD38EA" w14:textId="77777777" w:rsidR="003A2DC1" w:rsidRPr="003A2DC1" w:rsidRDefault="003A2DC1" w:rsidP="00582AFE">
      <w:pPr>
        <w:pStyle w:val="Bullet1"/>
      </w:pPr>
      <w:r w:rsidRPr="003A2DC1">
        <w:t>Maintain accurate records of RPL decisions and supporting evidence.</w:t>
      </w:r>
    </w:p>
    <w:p w14:paraId="1A6D2601" w14:textId="77777777" w:rsidR="003A2DC1" w:rsidRPr="003A2DC1" w:rsidRDefault="003A2DC1" w:rsidP="00582AFE">
      <w:pPr>
        <w:pStyle w:val="Bullet1"/>
      </w:pPr>
      <w:r w:rsidRPr="003A2DC1">
        <w:t>Communicate RPL processes clearly to staff and support consistent application.</w:t>
      </w:r>
    </w:p>
    <w:p w14:paraId="6857A24B" w14:textId="77777777" w:rsidR="003A2DC1" w:rsidRPr="003A2DC1" w:rsidRDefault="003A2DC1" w:rsidP="00582AFE">
      <w:pPr>
        <w:pStyle w:val="Bullet1"/>
      </w:pPr>
      <w:r w:rsidRPr="003A2DC1">
        <w:t>Collaborate with other health services to strengthen mutual recognition practices and build shared approaches to education and workforce development.</w:t>
      </w:r>
    </w:p>
    <w:p w14:paraId="04F9FE5A" w14:textId="77777777" w:rsidR="003A2DC1" w:rsidRPr="003A2DC1" w:rsidRDefault="003A2DC1" w:rsidP="005E176E">
      <w:pPr>
        <w:pStyle w:val="Heading3"/>
      </w:pPr>
      <w:r w:rsidRPr="003A2DC1">
        <w:t>Local Health Service Networks</w:t>
      </w:r>
    </w:p>
    <w:p w14:paraId="059F73C7" w14:textId="77777777" w:rsidR="003A2DC1" w:rsidRPr="003A2DC1" w:rsidRDefault="003A2DC1" w:rsidP="00582AFE">
      <w:pPr>
        <w:pStyle w:val="Bullet1"/>
      </w:pPr>
      <w:r w:rsidRPr="003A2DC1">
        <w:t>Facilitate collaboration between member services to share learnings and explore consistent, locally led RPL practices.</w:t>
      </w:r>
    </w:p>
    <w:p w14:paraId="51294BCB" w14:textId="77777777" w:rsidR="003A2DC1" w:rsidRPr="003A2DC1" w:rsidRDefault="003A2DC1" w:rsidP="00582AFE">
      <w:pPr>
        <w:pStyle w:val="Bullet1"/>
      </w:pPr>
      <w:r w:rsidRPr="003A2DC1">
        <w:t>Where possible coordinate shared approaches to content mapping and endorsement for priority topics and modules, to support mutual recognition.</w:t>
      </w:r>
    </w:p>
    <w:p w14:paraId="384D94EC" w14:textId="77777777" w:rsidR="003A2DC1" w:rsidRPr="003A2DC1" w:rsidRDefault="003A2DC1" w:rsidP="00582AFE">
      <w:pPr>
        <w:pStyle w:val="Bullet1"/>
      </w:pPr>
      <w:r w:rsidRPr="003A2DC1">
        <w:t>Where feasible support the adoption of standardised learning domains and common assessment approaches including pre-assessment.</w:t>
      </w:r>
    </w:p>
    <w:p w14:paraId="1356E3F9" w14:textId="77777777" w:rsidR="003A2DC1" w:rsidRPr="003A2DC1" w:rsidRDefault="003A2DC1" w:rsidP="00582AFE">
      <w:pPr>
        <w:pStyle w:val="Bullet1"/>
      </w:pPr>
      <w:r w:rsidRPr="003A2DC1">
        <w:t>Share insights on opportunities, risks and sector readiness through LHSN forums, and contribute to ongoing monitoring, reporting and evaluation mechanisms where possible.</w:t>
      </w:r>
    </w:p>
    <w:p w14:paraId="077490D1" w14:textId="77777777" w:rsidR="003A2DC1" w:rsidRPr="003A2DC1" w:rsidRDefault="003A2DC1" w:rsidP="00582AFE">
      <w:pPr>
        <w:pStyle w:val="Bullet1"/>
      </w:pPr>
      <w:r w:rsidRPr="003A2DC1">
        <w:t>Consider the above actions when implementing the 3-year LHSN strategy.</w:t>
      </w:r>
    </w:p>
    <w:p w14:paraId="1DE44EBC" w14:textId="77777777" w:rsidR="003A2DC1" w:rsidRPr="003A2DC1" w:rsidRDefault="003A2DC1" w:rsidP="008470AF">
      <w:pPr>
        <w:pStyle w:val="Heading1"/>
      </w:pPr>
      <w:bookmarkStart w:id="25" w:name="_Toc233880784"/>
      <w:r w:rsidRPr="003A2DC1">
        <w:lastRenderedPageBreak/>
        <w:t>Align content with learning outcomes</w:t>
      </w:r>
      <w:bookmarkEnd w:id="25"/>
    </w:p>
    <w:p w14:paraId="5AAD4D99" w14:textId="77777777" w:rsidR="003A2DC1" w:rsidRPr="003A2DC1" w:rsidRDefault="003A2DC1" w:rsidP="0098427D">
      <w:pPr>
        <w:pStyle w:val="Body"/>
      </w:pPr>
      <w:r w:rsidRPr="003A2DC1">
        <w:t>Consistent learning outcomes have been established for 6 priority education topics to support standardisation across services.</w:t>
      </w:r>
    </w:p>
    <w:p w14:paraId="4586D57A" w14:textId="77777777" w:rsidR="003A2DC1" w:rsidRPr="008470AF" w:rsidRDefault="003A2DC1" w:rsidP="008470AF">
      <w:pPr>
        <w:pStyle w:val="Body"/>
        <w:rPr>
          <w:b/>
          <w:bCs/>
        </w:rPr>
      </w:pPr>
      <w:r w:rsidRPr="008470AF">
        <w:rPr>
          <w:b/>
          <w:bCs/>
        </w:rPr>
        <w:t>The priority topics include:</w:t>
      </w:r>
    </w:p>
    <w:p w14:paraId="60B87C90" w14:textId="77777777" w:rsidR="003A2DC1" w:rsidRPr="003A2DC1" w:rsidRDefault="003A2DC1" w:rsidP="005E176E">
      <w:pPr>
        <w:pStyle w:val="Bullet1"/>
      </w:pPr>
      <w:r w:rsidRPr="003A2DC1">
        <w:t>Hand hygiene</w:t>
      </w:r>
    </w:p>
    <w:p w14:paraId="208F98F3" w14:textId="77777777" w:rsidR="003A2DC1" w:rsidRPr="003A2DC1" w:rsidRDefault="003A2DC1" w:rsidP="005E176E">
      <w:pPr>
        <w:pStyle w:val="Bullet1"/>
      </w:pPr>
      <w:r w:rsidRPr="003A2DC1">
        <w:t>Cybersecurity</w:t>
      </w:r>
    </w:p>
    <w:p w14:paraId="3FEB66B0" w14:textId="77777777" w:rsidR="003A2DC1" w:rsidRPr="003A2DC1" w:rsidRDefault="003A2DC1" w:rsidP="005E176E">
      <w:pPr>
        <w:pStyle w:val="Bullet1"/>
      </w:pPr>
      <w:r w:rsidRPr="003A2DC1">
        <w:t>Occupational health and safety</w:t>
      </w:r>
    </w:p>
    <w:p w14:paraId="44CF418F" w14:textId="77777777" w:rsidR="003A2DC1" w:rsidRPr="003A2DC1" w:rsidRDefault="003A2DC1" w:rsidP="005E176E">
      <w:pPr>
        <w:pStyle w:val="Bullet1"/>
      </w:pPr>
      <w:r w:rsidRPr="003A2DC1">
        <w:t>Manual handling</w:t>
      </w:r>
    </w:p>
    <w:p w14:paraId="5E12D9B3" w14:textId="77777777" w:rsidR="003A2DC1" w:rsidRPr="003A2DC1" w:rsidRDefault="003A2DC1" w:rsidP="005E176E">
      <w:pPr>
        <w:pStyle w:val="Bullet1"/>
      </w:pPr>
      <w:r w:rsidRPr="003A2DC1">
        <w:t>Respectful workplace behaviours</w:t>
      </w:r>
    </w:p>
    <w:p w14:paraId="14367E33" w14:textId="77777777" w:rsidR="003A2DC1" w:rsidRPr="003A2DC1" w:rsidRDefault="003A2DC1" w:rsidP="005E176E">
      <w:pPr>
        <w:pStyle w:val="Bullet1"/>
      </w:pPr>
      <w:r w:rsidRPr="003A2DC1">
        <w:t>Occupational violence and aggression</w:t>
      </w:r>
    </w:p>
    <w:p w14:paraId="099419A9" w14:textId="77777777" w:rsidR="003A2DC1" w:rsidRPr="003A2DC1" w:rsidRDefault="003A2DC1" w:rsidP="0098427D">
      <w:pPr>
        <w:pStyle w:val="Body"/>
      </w:pPr>
      <w:r w:rsidRPr="003A2DC1">
        <w:t>The Department of Health has developed the learning outcomes in consultation with a representative group of health services and subject matter experts. They are designed for healthcare professionals working in Victorian public health services.</w:t>
      </w:r>
    </w:p>
    <w:p w14:paraId="11A9258A" w14:textId="77777777" w:rsidR="003A2DC1" w:rsidRPr="003A2DC1" w:rsidRDefault="003A2DC1" w:rsidP="0098427D">
      <w:pPr>
        <w:pStyle w:val="Body"/>
      </w:pPr>
      <w:r w:rsidRPr="003A2DC1">
        <w:t>The focus is on employee learning requirements rather than employer obligations under legislative and accreditation requirements.</w:t>
      </w:r>
    </w:p>
    <w:p w14:paraId="2111DB01" w14:textId="77777777" w:rsidR="003A2DC1" w:rsidRPr="003A2DC1" w:rsidRDefault="003A2DC1" w:rsidP="0098427D">
      <w:pPr>
        <w:pStyle w:val="Body"/>
      </w:pPr>
      <w:r w:rsidRPr="003A2DC1">
        <w:t>A key focus has been to cover the critical elements of the training and ensure they are sufficient for recognition of prior learning. They will not be sufficient for all people in all areas, and will need to be supplemented with additional, tailored content.</w:t>
      </w:r>
    </w:p>
    <w:p w14:paraId="450B6DDC" w14:textId="77777777" w:rsidR="003A2DC1" w:rsidRPr="003A2DC1" w:rsidRDefault="003A2DC1" w:rsidP="0098427D">
      <w:pPr>
        <w:pStyle w:val="Body"/>
      </w:pPr>
      <w:r w:rsidRPr="003A2DC1">
        <w:t>In recognition of the variation in how training is delivered across health services, Occupational Health and Safety has been separated into 3 subcategories of learning outcomes (general training on occupational health and safety, respectful workplace behaviours and manual handling).</w:t>
      </w:r>
    </w:p>
    <w:p w14:paraId="76305870" w14:textId="61881650" w:rsidR="002B62CB" w:rsidRDefault="002B62CB" w:rsidP="002B62CB">
      <w:pPr>
        <w:pStyle w:val="Body"/>
        <w:rPr>
          <w:bCs/>
        </w:rPr>
      </w:pPr>
      <w:r w:rsidRPr="002B62CB">
        <w:t xml:space="preserve">In addition to these learning outcomes, health services and networks may choose to implement RPL for other priority learning topics. </w:t>
      </w:r>
    </w:p>
    <w:p w14:paraId="40074F5B" w14:textId="0596686A" w:rsidR="003A2DC1" w:rsidRPr="003A2DC1" w:rsidRDefault="003A2DC1" w:rsidP="005B2341">
      <w:pPr>
        <w:pStyle w:val="Heading1"/>
      </w:pPr>
      <w:bookmarkStart w:id="26" w:name="_Toc233880785"/>
      <w:r w:rsidRPr="003A2DC1">
        <w:t>Align on training design and assessment</w:t>
      </w:r>
      <w:bookmarkEnd w:id="26"/>
    </w:p>
    <w:p w14:paraId="737C3D62" w14:textId="77777777" w:rsidR="003A2DC1" w:rsidRPr="003A2DC1" w:rsidRDefault="003A2DC1" w:rsidP="0098427D">
      <w:pPr>
        <w:pStyle w:val="Body"/>
      </w:pPr>
      <w:r w:rsidRPr="003A2DC1">
        <w:t xml:space="preserve">This guidance outlines best practice for learning domain design and assessment across Victorian public health services. </w:t>
      </w:r>
    </w:p>
    <w:p w14:paraId="004BC4F4" w14:textId="77777777" w:rsidR="003A2DC1" w:rsidRPr="003A2DC1" w:rsidRDefault="003A2DC1" w:rsidP="0098427D">
      <w:pPr>
        <w:pStyle w:val="Body"/>
      </w:pPr>
      <w:r w:rsidRPr="003A2DC1">
        <w:t xml:space="preserve">Health services are encouraged to adopt these approaches where feasible, recognising that local capability, systems and resources may require adaptation. </w:t>
      </w:r>
    </w:p>
    <w:p w14:paraId="75CF6AED" w14:textId="77777777" w:rsidR="003A2DC1" w:rsidRPr="003A2DC1" w:rsidRDefault="003A2DC1" w:rsidP="0098427D">
      <w:pPr>
        <w:pStyle w:val="Body"/>
      </w:pPr>
      <w:r w:rsidRPr="003A2DC1">
        <w:t xml:space="preserve">Services without dedicated design resources are to partner with other health services or source content through networks. </w:t>
      </w:r>
    </w:p>
    <w:p w14:paraId="3145FF56" w14:textId="77777777" w:rsidR="003A2DC1" w:rsidRPr="003A2DC1" w:rsidRDefault="003A2DC1" w:rsidP="0098427D">
      <w:pPr>
        <w:pStyle w:val="Body"/>
      </w:pPr>
      <w:r w:rsidRPr="003A2DC1">
        <w:t>The steps below provide practical guidance to support health services in adopting consistent, high-quality approaches to training design and assessment.</w:t>
      </w:r>
    </w:p>
    <w:p w14:paraId="6561440E" w14:textId="08ADE376" w:rsidR="003A2DC1" w:rsidRPr="005B2341" w:rsidRDefault="003A2DC1" w:rsidP="005B2341">
      <w:pPr>
        <w:pStyle w:val="Bullet1"/>
        <w:rPr>
          <w:b/>
          <w:bCs/>
        </w:rPr>
      </w:pPr>
      <w:r w:rsidRPr="005B2341">
        <w:rPr>
          <w:b/>
          <w:bCs/>
        </w:rPr>
        <w:t>Audience and context</w:t>
      </w:r>
    </w:p>
    <w:p w14:paraId="5F7CC7AB" w14:textId="77777777" w:rsidR="003A2DC1" w:rsidRPr="003A2DC1" w:rsidRDefault="003A2DC1" w:rsidP="005B2341">
      <w:pPr>
        <w:pStyle w:val="Bullet2"/>
      </w:pPr>
      <w:r w:rsidRPr="003A2DC1">
        <w:t>Define primary learner personas</w:t>
      </w:r>
    </w:p>
    <w:p w14:paraId="5104CB41" w14:textId="77777777" w:rsidR="003A2DC1" w:rsidRPr="003A2DC1" w:rsidRDefault="003A2DC1" w:rsidP="005B2341">
      <w:pPr>
        <w:pStyle w:val="Bullet2"/>
      </w:pPr>
      <w:r w:rsidRPr="003A2DC1">
        <w:t>Document device access, shift patterns, digital literacy, and risk contexts</w:t>
      </w:r>
    </w:p>
    <w:p w14:paraId="3FF6582D" w14:textId="77777777" w:rsidR="003A2DC1" w:rsidRPr="003A2DC1" w:rsidRDefault="003A2DC1" w:rsidP="005B2341">
      <w:pPr>
        <w:pStyle w:val="Bullet2"/>
      </w:pPr>
      <w:r w:rsidRPr="003A2DC1">
        <w:t>Set a maximum run-time per topic or module and confirm the delivery mode mix</w:t>
      </w:r>
    </w:p>
    <w:p w14:paraId="68A18ED6" w14:textId="77777777" w:rsidR="003A2DC1" w:rsidRPr="005B2341" w:rsidRDefault="003A2DC1" w:rsidP="005B2341">
      <w:pPr>
        <w:pStyle w:val="Bullet1"/>
        <w:rPr>
          <w:b/>
          <w:bCs/>
        </w:rPr>
      </w:pPr>
      <w:r w:rsidRPr="005B2341">
        <w:rPr>
          <w:b/>
          <w:bCs/>
        </w:rPr>
        <w:t>Pedagogical approach</w:t>
      </w:r>
    </w:p>
    <w:p w14:paraId="18F19571" w14:textId="77777777" w:rsidR="003A2DC1" w:rsidRPr="003A2DC1" w:rsidRDefault="003A2DC1" w:rsidP="005B2341">
      <w:pPr>
        <w:pStyle w:val="Bullet2"/>
      </w:pPr>
      <w:r w:rsidRPr="003A2DC1">
        <w:t>Adopt a competency-based, mastery-learning approach</w:t>
      </w:r>
    </w:p>
    <w:p w14:paraId="06FEC088" w14:textId="77777777" w:rsidR="003A2DC1" w:rsidRPr="003A2DC1" w:rsidRDefault="003A2DC1" w:rsidP="005B2341">
      <w:pPr>
        <w:pStyle w:val="Bullet2"/>
      </w:pPr>
      <w:r w:rsidRPr="003A2DC1">
        <w:lastRenderedPageBreak/>
        <w:t>Record approach in a 1-page design brief (goals, outcomes, scenario types, assessment rules)</w:t>
      </w:r>
    </w:p>
    <w:p w14:paraId="762CE8E3" w14:textId="77777777" w:rsidR="003A2DC1" w:rsidRPr="005B2341" w:rsidRDefault="003A2DC1" w:rsidP="005B2341">
      <w:pPr>
        <w:pStyle w:val="Bullet1"/>
        <w:rPr>
          <w:b/>
          <w:bCs/>
        </w:rPr>
      </w:pPr>
      <w:r w:rsidRPr="005B2341">
        <w:rPr>
          <w:b/>
          <w:bCs/>
        </w:rPr>
        <w:t>Learning architecture</w:t>
      </w:r>
    </w:p>
    <w:p w14:paraId="33EF313F" w14:textId="77777777" w:rsidR="003A2DC1" w:rsidRPr="003A2DC1" w:rsidRDefault="003A2DC1" w:rsidP="005B2341">
      <w:pPr>
        <w:pStyle w:val="Bullet2"/>
      </w:pPr>
      <w:r w:rsidRPr="003A2DC1">
        <w:t>Structure topics and modules as Why → Essentials → Scenarios → Assessment → Job aids</w:t>
      </w:r>
    </w:p>
    <w:p w14:paraId="7A40FD33" w14:textId="77777777" w:rsidR="003A2DC1" w:rsidRPr="003A2DC1" w:rsidRDefault="003A2DC1" w:rsidP="005B2341">
      <w:pPr>
        <w:pStyle w:val="Bullet2"/>
      </w:pPr>
      <w:r w:rsidRPr="003A2DC1">
        <w:t>Consider including a “What’s changed?” section to support learners</w:t>
      </w:r>
    </w:p>
    <w:p w14:paraId="2A3E7A06" w14:textId="77777777" w:rsidR="003A2DC1" w:rsidRPr="005B2341" w:rsidRDefault="003A2DC1" w:rsidP="005B2341">
      <w:pPr>
        <w:pStyle w:val="Bullet1"/>
        <w:rPr>
          <w:b/>
          <w:bCs/>
        </w:rPr>
      </w:pPr>
      <w:r w:rsidRPr="005B2341">
        <w:rPr>
          <w:b/>
          <w:bCs/>
        </w:rPr>
        <w:t>Accessibility &amp; inclusivity</w:t>
      </w:r>
    </w:p>
    <w:p w14:paraId="39DC129E" w14:textId="77777777" w:rsidR="003A2DC1" w:rsidRPr="003A2DC1" w:rsidRDefault="003A2DC1" w:rsidP="005B2341">
      <w:pPr>
        <w:pStyle w:val="Bullet2"/>
      </w:pPr>
      <w:r w:rsidRPr="003A2DC1">
        <w:t>Meet WCAG 2.2 AA accessibility standards and aim for plain English (Year 8 reading level)</w:t>
      </w:r>
    </w:p>
    <w:p w14:paraId="4AC31A74" w14:textId="77777777" w:rsidR="003A2DC1" w:rsidRPr="003A2DC1" w:rsidRDefault="003A2DC1" w:rsidP="005B2341">
      <w:pPr>
        <w:pStyle w:val="Bullet2"/>
      </w:pPr>
      <w:r w:rsidRPr="003A2DC1">
        <w:t>Design for inclusivity - engage diverse users or document your approach</w:t>
      </w:r>
    </w:p>
    <w:p w14:paraId="39DAB2ED" w14:textId="77777777" w:rsidR="003A2DC1" w:rsidRPr="003A2DC1" w:rsidRDefault="003A2DC1" w:rsidP="005B2341">
      <w:pPr>
        <w:pStyle w:val="Bullet2"/>
      </w:pPr>
      <w:r w:rsidRPr="003A2DC1">
        <w:t>Provide captions and other accessibility supports</w:t>
      </w:r>
    </w:p>
    <w:p w14:paraId="160EFF53" w14:textId="77777777" w:rsidR="003A2DC1" w:rsidRPr="005B2341" w:rsidRDefault="003A2DC1" w:rsidP="005B2341">
      <w:pPr>
        <w:pStyle w:val="Bullet1"/>
        <w:rPr>
          <w:b/>
          <w:bCs/>
        </w:rPr>
      </w:pPr>
      <w:r w:rsidRPr="005B2341">
        <w:rPr>
          <w:b/>
          <w:bCs/>
        </w:rPr>
        <w:t>Interactivity</w:t>
      </w:r>
    </w:p>
    <w:p w14:paraId="5865C2BB" w14:textId="77777777" w:rsidR="003A2DC1" w:rsidRPr="003A2DC1" w:rsidRDefault="003A2DC1" w:rsidP="005B2341">
      <w:pPr>
        <w:pStyle w:val="Bullet2"/>
      </w:pPr>
      <w:r w:rsidRPr="003A2DC1">
        <w:t>Prioritise real-world scenario interactions and decision points mapped to outcomes</w:t>
      </w:r>
    </w:p>
    <w:p w14:paraId="52EC66E2" w14:textId="77777777" w:rsidR="003A2DC1" w:rsidRPr="003A2DC1" w:rsidRDefault="003A2DC1" w:rsidP="005B2341">
      <w:pPr>
        <w:pStyle w:val="Bullet2"/>
      </w:pPr>
      <w:r w:rsidRPr="003A2DC1">
        <w:t>Avoid non-instructional interactions that add clicks</w:t>
      </w:r>
    </w:p>
    <w:p w14:paraId="5233DBF8" w14:textId="77777777" w:rsidR="003A2DC1" w:rsidRPr="003A2DC1" w:rsidRDefault="003A2DC1" w:rsidP="005B2341">
      <w:pPr>
        <w:pStyle w:val="Bullet2"/>
      </w:pPr>
      <w:r w:rsidRPr="003A2DC1">
        <w:t>Reduce cognitive load by chunking content and using consistent layouts</w:t>
      </w:r>
    </w:p>
    <w:p w14:paraId="2A8A9A34" w14:textId="77777777" w:rsidR="003A2DC1" w:rsidRPr="005B2341" w:rsidRDefault="003A2DC1" w:rsidP="005B2341">
      <w:pPr>
        <w:pStyle w:val="Bullet1"/>
        <w:rPr>
          <w:b/>
          <w:bCs/>
        </w:rPr>
      </w:pPr>
      <w:r w:rsidRPr="005B2341">
        <w:rPr>
          <w:b/>
          <w:bCs/>
        </w:rPr>
        <w:t>Assessment, pre</w:t>
      </w:r>
      <w:r w:rsidRPr="005B2341">
        <w:rPr>
          <w:rFonts w:ascii="Cambria Math" w:hAnsi="Cambria Math" w:cs="Cambria Math"/>
          <w:b/>
          <w:bCs/>
        </w:rPr>
        <w:t>‑</w:t>
      </w:r>
      <w:r w:rsidRPr="005B2341">
        <w:rPr>
          <w:b/>
          <w:bCs/>
        </w:rPr>
        <w:t>assessment, adaptive release and pass marks (online assessment)</w:t>
      </w:r>
    </w:p>
    <w:p w14:paraId="224A7FF4" w14:textId="77777777" w:rsidR="003A2DC1" w:rsidRPr="003A2DC1" w:rsidRDefault="003A2DC1" w:rsidP="005B2341">
      <w:pPr>
        <w:pStyle w:val="Bullet2"/>
      </w:pPr>
      <w:r w:rsidRPr="003A2DC1">
        <w:t>Use assessment as both pre-check and final, if passed, record completion; otherwise, reattempt</w:t>
      </w:r>
    </w:p>
    <w:p w14:paraId="1F1B7CEC" w14:textId="77777777" w:rsidR="003A2DC1" w:rsidRPr="003A2DC1" w:rsidRDefault="003A2DC1" w:rsidP="005B2341">
      <w:pPr>
        <w:pStyle w:val="Bullet2"/>
      </w:pPr>
      <w:r w:rsidRPr="003A2DC1">
        <w:t>Align pass marks to organisational policy; allow unlimited recert attempts where policy permits</w:t>
      </w:r>
    </w:p>
    <w:p w14:paraId="7C9435EF" w14:textId="77777777" w:rsidR="003A2DC1" w:rsidRPr="003A2DC1" w:rsidRDefault="003A2DC1" w:rsidP="005B2341">
      <w:pPr>
        <w:pStyle w:val="Bullet2"/>
      </w:pPr>
      <w:r w:rsidRPr="003A2DC1">
        <w:t>Require 100% on high-risk items; otherwise apply brief remediation (if LMS supports item-level rules)</w:t>
      </w:r>
    </w:p>
    <w:p w14:paraId="5CE6079C" w14:textId="77777777" w:rsidR="003A2DC1" w:rsidRPr="003A2DC1" w:rsidRDefault="003A2DC1" w:rsidP="005B2341">
      <w:pPr>
        <w:pStyle w:val="Bullet2"/>
      </w:pPr>
      <w:r w:rsidRPr="003A2DC1">
        <w:t>Use adaptive release and unlock required sections based on competency (where LMS capability exists)</w:t>
      </w:r>
    </w:p>
    <w:p w14:paraId="7FBEDA30" w14:textId="77777777" w:rsidR="003A2DC1" w:rsidRPr="003A2DC1" w:rsidRDefault="003A2DC1" w:rsidP="005B2341">
      <w:pPr>
        <w:pStyle w:val="Bullet2"/>
      </w:pPr>
      <w:r w:rsidRPr="003A2DC1">
        <w:t>Map questions to learning outcomes, ensure all outcomes covered and flag site-specific items</w:t>
      </w:r>
    </w:p>
    <w:p w14:paraId="57C56091" w14:textId="77777777" w:rsidR="003A2DC1" w:rsidRPr="005B2341" w:rsidRDefault="003A2DC1" w:rsidP="005B2341">
      <w:pPr>
        <w:pStyle w:val="Bullet1"/>
        <w:rPr>
          <w:b/>
          <w:bCs/>
        </w:rPr>
      </w:pPr>
      <w:r w:rsidRPr="005B2341">
        <w:rPr>
          <w:b/>
          <w:bCs/>
        </w:rPr>
        <w:t>Feedback</w:t>
      </w:r>
    </w:p>
    <w:p w14:paraId="4A1681B4" w14:textId="77777777" w:rsidR="003A2DC1" w:rsidRPr="003A2DC1" w:rsidRDefault="003A2DC1" w:rsidP="005B2341">
      <w:pPr>
        <w:pStyle w:val="Bullet2"/>
      </w:pPr>
      <w:r w:rsidRPr="003A2DC1">
        <w:t>Provide corrective feedback that explains the rationale, likely consequences, and links to job aids</w:t>
      </w:r>
    </w:p>
    <w:p w14:paraId="5C7AA6DD" w14:textId="77777777" w:rsidR="003A2DC1" w:rsidRPr="003A2DC1" w:rsidRDefault="003A2DC1" w:rsidP="005B2341">
      <w:pPr>
        <w:pStyle w:val="Bullet2"/>
      </w:pPr>
      <w:r w:rsidRPr="003A2DC1">
        <w:t>Optionally, provide a brief corrective micro-task after any high-risk item errors</w:t>
      </w:r>
    </w:p>
    <w:p w14:paraId="68604945" w14:textId="77777777" w:rsidR="003A2DC1" w:rsidRPr="005B2341" w:rsidRDefault="003A2DC1" w:rsidP="005B2341">
      <w:pPr>
        <w:pStyle w:val="Bullet1"/>
        <w:rPr>
          <w:b/>
          <w:bCs/>
        </w:rPr>
      </w:pPr>
      <w:r w:rsidRPr="005B2341">
        <w:rPr>
          <w:b/>
          <w:bCs/>
        </w:rPr>
        <w:t>Evidence for RPL</w:t>
      </w:r>
    </w:p>
    <w:p w14:paraId="50E7C5DD" w14:textId="77777777" w:rsidR="003A2DC1" w:rsidRPr="003A2DC1" w:rsidRDefault="003A2DC1" w:rsidP="005B2341">
      <w:pPr>
        <w:pStyle w:val="Bullet2"/>
      </w:pPr>
      <w:r w:rsidRPr="003A2DC1">
        <w:t>Provide learner with completion certificate (module name, version/date, score/pass) and assessment summary (inc. content covered if LMS supports)</w:t>
      </w:r>
    </w:p>
    <w:p w14:paraId="669E9B68" w14:textId="77777777" w:rsidR="003A2DC1" w:rsidRPr="003A2DC1" w:rsidRDefault="003A2DC1" w:rsidP="005B2341">
      <w:pPr>
        <w:pStyle w:val="Bullet2"/>
      </w:pPr>
      <w:r w:rsidRPr="003A2DC1">
        <w:t>Include an indication that the topic and module aligns with statewide learning outcomes</w:t>
      </w:r>
    </w:p>
    <w:p w14:paraId="6DBCC2BD" w14:textId="11FBD287" w:rsidR="003A2DC1" w:rsidRPr="005B2341" w:rsidRDefault="003A2DC1" w:rsidP="005B2341">
      <w:pPr>
        <w:pStyle w:val="Bullet1"/>
        <w:rPr>
          <w:b/>
          <w:bCs/>
        </w:rPr>
      </w:pPr>
      <w:r w:rsidRPr="005B2341">
        <w:rPr>
          <w:b/>
          <w:bCs/>
        </w:rPr>
        <w:t>Review</w:t>
      </w:r>
    </w:p>
    <w:p w14:paraId="7D87C451" w14:textId="77777777" w:rsidR="003A2DC1" w:rsidRPr="003A2DC1" w:rsidRDefault="003A2DC1" w:rsidP="005B2341">
      <w:pPr>
        <w:pStyle w:val="Bullet2"/>
      </w:pPr>
      <w:r w:rsidRPr="003A2DC1">
        <w:rPr>
          <w:lang w:val="en-US"/>
        </w:rPr>
        <w:t>Validate against this framework and relevant standards</w:t>
      </w:r>
    </w:p>
    <w:p w14:paraId="5C835AC6" w14:textId="77777777" w:rsidR="003A2DC1" w:rsidRPr="003A2DC1" w:rsidRDefault="003A2DC1" w:rsidP="005B2341">
      <w:pPr>
        <w:pStyle w:val="Bullet2"/>
      </w:pPr>
      <w:r w:rsidRPr="003A2DC1">
        <w:rPr>
          <w:lang w:val="en-US"/>
        </w:rPr>
        <w:t>Confirm accessibility/inclusivity and policy</w:t>
      </w:r>
      <w:r w:rsidRPr="003A2DC1">
        <w:rPr>
          <w:lang w:val="en-US"/>
        </w:rPr>
        <w:noBreakHyphen/>
        <w:t>aligned assessment settings</w:t>
      </w:r>
    </w:p>
    <w:p w14:paraId="0E557691" w14:textId="65D290AB" w:rsidR="003A2DC1" w:rsidRPr="005B2341" w:rsidRDefault="003A2DC1" w:rsidP="0098427D">
      <w:pPr>
        <w:pStyle w:val="Bullet2"/>
      </w:pPr>
      <w:r w:rsidRPr="003A2DC1">
        <w:rPr>
          <w:lang w:val="en-US"/>
        </w:rPr>
        <w:t>Record SME sign</w:t>
      </w:r>
      <w:r w:rsidRPr="003A2DC1">
        <w:rPr>
          <w:lang w:val="en-US"/>
        </w:rPr>
        <w:noBreakHyphen/>
        <w:t>off and schedule periodic reviews</w:t>
      </w:r>
    </w:p>
    <w:p w14:paraId="07CCD120" w14:textId="77777777" w:rsidR="005B2341" w:rsidRPr="003A2DC1" w:rsidRDefault="005B2341" w:rsidP="005B2341">
      <w:pPr>
        <w:pStyle w:val="Bullet2"/>
        <w:numPr>
          <w:ilvl w:val="0"/>
          <w:numId w:val="0"/>
        </w:numPr>
        <w:ind w:left="567"/>
      </w:pPr>
    </w:p>
    <w:p w14:paraId="7FB24C26" w14:textId="3D5AC19E" w:rsidR="003A2DC1" w:rsidRPr="000E2407" w:rsidRDefault="003A2DC1" w:rsidP="0098427D">
      <w:pPr>
        <w:pStyle w:val="Body"/>
      </w:pPr>
      <w:r w:rsidRPr="003A2DC1">
        <w:rPr>
          <w:i/>
          <w:iCs/>
        </w:rPr>
        <w:t xml:space="preserve">Web Content Accessibility Guidelines (WCAG) 2.2 AA. Refer to </w:t>
      </w:r>
      <w:hyperlink r:id="rId20" w:history="1">
        <w:r w:rsidRPr="003A2DC1">
          <w:rPr>
            <w:rStyle w:val="Hyperlink"/>
            <w:i/>
            <w:iCs/>
          </w:rPr>
          <w:t>https://www.vic.gov.au/make-content-accessible</w:t>
        </w:r>
      </w:hyperlink>
      <w:r w:rsidRPr="003A2DC1">
        <w:rPr>
          <w:i/>
          <w:iCs/>
        </w:rPr>
        <w:t xml:space="preserve"> </w:t>
      </w:r>
      <w:r w:rsidR="00141A83" w:rsidRPr="00141A83">
        <w:t>&lt; https://www.vic.gov.au/make-content-accessible</w:t>
      </w:r>
      <w:r w:rsidR="00141A83">
        <w:t xml:space="preserve">&gt; </w:t>
      </w:r>
    </w:p>
    <w:p w14:paraId="50583305" w14:textId="44429884" w:rsidR="005C3324" w:rsidRDefault="005C3324">
      <w:pPr>
        <w:spacing w:after="0" w:line="240" w:lineRule="auto"/>
        <w:rPr>
          <w:rFonts w:eastAsia="Times"/>
        </w:rPr>
      </w:pPr>
      <w:r>
        <w:br w:type="page"/>
      </w:r>
    </w:p>
    <w:p w14:paraId="762045D6" w14:textId="77777777" w:rsidR="003A2DC1" w:rsidRPr="003A2DC1" w:rsidRDefault="003A2DC1" w:rsidP="005B2341">
      <w:pPr>
        <w:pStyle w:val="Heading1"/>
      </w:pPr>
      <w:bookmarkStart w:id="27" w:name="_Toc233880786"/>
      <w:r w:rsidRPr="003A2DC1">
        <w:lastRenderedPageBreak/>
        <w:t>Align on frequency of training</w:t>
      </w:r>
      <w:bookmarkEnd w:id="27"/>
    </w:p>
    <w:p w14:paraId="4F2422A5" w14:textId="77777777" w:rsidR="003A2DC1" w:rsidRPr="003A2DC1" w:rsidRDefault="003A2DC1" w:rsidP="0098427D">
      <w:pPr>
        <w:pStyle w:val="Body"/>
      </w:pPr>
      <w:r w:rsidRPr="003A2DC1">
        <w:t>Health services can align training frequency using a shared hierarchy - legislation, accreditation and then service risk-profile - and collaborate across regions to determine where less frequent training is appropriate.</w:t>
      </w:r>
    </w:p>
    <w:p w14:paraId="3851F02E" w14:textId="77777777" w:rsidR="003A2DC1" w:rsidRPr="003A2DC1" w:rsidRDefault="003A2DC1" w:rsidP="005B2341">
      <w:pPr>
        <w:pStyle w:val="Bullet1"/>
      </w:pPr>
      <w:r w:rsidRPr="003A2DC1">
        <w:rPr>
          <w:b/>
          <w:bCs/>
        </w:rPr>
        <w:t>Legislation and regulation:</w:t>
      </w:r>
      <w:r w:rsidRPr="003A2DC1">
        <w:t xml:space="preserve"> Meet legal requirements – these set the minimum mandatory frequency and must be followed.</w:t>
      </w:r>
    </w:p>
    <w:p w14:paraId="3A77DF31" w14:textId="77777777" w:rsidR="003A2DC1" w:rsidRPr="003A2DC1" w:rsidRDefault="003A2DC1" w:rsidP="005B2341">
      <w:pPr>
        <w:pStyle w:val="Bullet1"/>
      </w:pPr>
      <w:r w:rsidRPr="003A2DC1">
        <w:rPr>
          <w:b/>
          <w:bCs/>
        </w:rPr>
        <w:t>Accreditation and best practice guidelines:</w:t>
      </w:r>
      <w:r w:rsidRPr="003A2DC1">
        <w:t xml:space="preserve"> Align with best practice guidelines, accreditation standards, and advice from accrediting bodies. Benchmark your approach against similar services to ensure quality and consistency.</w:t>
      </w:r>
    </w:p>
    <w:p w14:paraId="0EFF045B" w14:textId="68754013" w:rsidR="003A2DC1" w:rsidRDefault="003A2DC1" w:rsidP="0098427D">
      <w:pPr>
        <w:pStyle w:val="Bullet1"/>
      </w:pPr>
      <w:r w:rsidRPr="003A2DC1">
        <w:rPr>
          <w:b/>
          <w:bCs/>
        </w:rPr>
        <w:t>Risk-profile:</w:t>
      </w:r>
      <w:r w:rsidRPr="003A2DC1">
        <w:t xml:space="preserve"> Adjust frequency based on your service’s risk profile, considering incidents, workforce factors, and local context. Decisions should be made collectively and the rationale should be documented for transparency.</w:t>
      </w:r>
    </w:p>
    <w:p w14:paraId="3D7EF7D4" w14:textId="77777777" w:rsidR="005B2341" w:rsidRPr="003A2DC1" w:rsidRDefault="005B2341" w:rsidP="005B2341">
      <w:pPr>
        <w:pStyle w:val="Bullet1"/>
        <w:numPr>
          <w:ilvl w:val="0"/>
          <w:numId w:val="0"/>
        </w:numPr>
        <w:ind w:left="284"/>
      </w:pPr>
    </w:p>
    <w:tbl>
      <w:tblPr>
        <w:tblStyle w:val="TableGrid"/>
        <w:tblW w:w="0" w:type="auto"/>
        <w:tblLayout w:type="fixed"/>
        <w:tblLook w:val="04A0" w:firstRow="1" w:lastRow="0" w:firstColumn="1" w:lastColumn="0" w:noHBand="0" w:noVBand="1"/>
      </w:tblPr>
      <w:tblGrid>
        <w:gridCol w:w="2405"/>
        <w:gridCol w:w="2977"/>
        <w:gridCol w:w="3906"/>
      </w:tblGrid>
      <w:tr w:rsidR="003A2DC1" w:rsidRPr="003A2DC1" w14:paraId="39DDB369" w14:textId="77777777" w:rsidTr="005A069D">
        <w:tc>
          <w:tcPr>
            <w:tcW w:w="2405" w:type="dxa"/>
          </w:tcPr>
          <w:p w14:paraId="6856C8BC" w14:textId="77777777" w:rsidR="003A2DC1" w:rsidRPr="005C3324" w:rsidRDefault="003A2DC1" w:rsidP="005C3324">
            <w:pPr>
              <w:rPr>
                <w:b/>
              </w:rPr>
            </w:pPr>
            <w:r w:rsidRPr="005C3324">
              <w:rPr>
                <w:b/>
              </w:rPr>
              <w:t>Topic</w:t>
            </w:r>
          </w:p>
        </w:tc>
        <w:tc>
          <w:tcPr>
            <w:tcW w:w="2977" w:type="dxa"/>
          </w:tcPr>
          <w:p w14:paraId="645FBE8B" w14:textId="77777777" w:rsidR="003A2DC1" w:rsidRPr="005C3324" w:rsidRDefault="003A2DC1" w:rsidP="005C3324">
            <w:pPr>
              <w:rPr>
                <w:b/>
              </w:rPr>
            </w:pPr>
            <w:r w:rsidRPr="005C3324">
              <w:rPr>
                <w:b/>
              </w:rPr>
              <w:t xml:space="preserve">Frequency guidance </w:t>
            </w:r>
          </w:p>
        </w:tc>
        <w:tc>
          <w:tcPr>
            <w:tcW w:w="3906" w:type="dxa"/>
          </w:tcPr>
          <w:p w14:paraId="481DCA10" w14:textId="77777777" w:rsidR="003A2DC1" w:rsidRPr="005C3324" w:rsidRDefault="003A2DC1" w:rsidP="005C3324">
            <w:pPr>
              <w:rPr>
                <w:b/>
              </w:rPr>
            </w:pPr>
            <w:r w:rsidRPr="005C3324">
              <w:rPr>
                <w:b/>
              </w:rPr>
              <w:t>Source</w:t>
            </w:r>
          </w:p>
        </w:tc>
      </w:tr>
      <w:tr w:rsidR="003A2DC1" w:rsidRPr="003A2DC1" w14:paraId="5D96DB7D" w14:textId="77777777" w:rsidTr="005A069D">
        <w:tc>
          <w:tcPr>
            <w:tcW w:w="2405" w:type="dxa"/>
          </w:tcPr>
          <w:p w14:paraId="093896B1" w14:textId="77777777" w:rsidR="003A2DC1" w:rsidRPr="00CB4976" w:rsidRDefault="003A2DC1" w:rsidP="005C3324">
            <w:pPr>
              <w:rPr>
                <w:b/>
              </w:rPr>
            </w:pPr>
            <w:r w:rsidRPr="00CB4976">
              <w:rPr>
                <w:b/>
              </w:rPr>
              <w:t>Hand hygiene</w:t>
            </w:r>
          </w:p>
        </w:tc>
        <w:tc>
          <w:tcPr>
            <w:tcW w:w="2977" w:type="dxa"/>
          </w:tcPr>
          <w:p w14:paraId="5AF9CC15" w14:textId="77777777" w:rsidR="003A2DC1" w:rsidRPr="003A2DC1" w:rsidRDefault="003A2DC1" w:rsidP="005C3324">
            <w:r w:rsidRPr="003A2DC1">
              <w:t>Annually – Recommended by Hand Hygiene Australia - local requirements may differ (risk-based)</w:t>
            </w:r>
          </w:p>
        </w:tc>
        <w:tc>
          <w:tcPr>
            <w:tcW w:w="3906" w:type="dxa"/>
          </w:tcPr>
          <w:p w14:paraId="4500DA82" w14:textId="77777777" w:rsidR="005A069D" w:rsidRDefault="003A2DC1" w:rsidP="005C3324">
            <w:hyperlink r:id="rId21" w:history="1">
              <w:r w:rsidRPr="003A2DC1">
                <w:rPr>
                  <w:rStyle w:val="Hyperlink"/>
                </w:rPr>
                <w:t>Australian Commission on Safety and Quality in Health Care  - National Hand Hygiene initiative</w:t>
              </w:r>
            </w:hyperlink>
            <w:r w:rsidR="005A069D">
              <w:t xml:space="preserve"> </w:t>
            </w:r>
          </w:p>
          <w:p w14:paraId="3C171BEB" w14:textId="3EC90C26" w:rsidR="003A2DC1" w:rsidRPr="005A069D" w:rsidRDefault="005A069D" w:rsidP="005C3324">
            <w:r>
              <w:t>&lt;</w:t>
            </w:r>
            <w:r w:rsidRPr="005A069D">
              <w:t>https://www.safetyandquality.gov.au/sites/default/files/resources/attachments/nhhi_implementation_guide_july_2023.pdf</w:t>
            </w:r>
            <w:r>
              <w:t>&gt;</w:t>
            </w:r>
          </w:p>
        </w:tc>
      </w:tr>
      <w:tr w:rsidR="003A2DC1" w:rsidRPr="003A2DC1" w14:paraId="4CE7D447" w14:textId="77777777" w:rsidTr="005A069D">
        <w:tc>
          <w:tcPr>
            <w:tcW w:w="2405" w:type="dxa"/>
          </w:tcPr>
          <w:p w14:paraId="7F6F316F" w14:textId="77777777" w:rsidR="003A2DC1" w:rsidRPr="00CB4976" w:rsidRDefault="003A2DC1" w:rsidP="005C3324">
            <w:pPr>
              <w:rPr>
                <w:b/>
              </w:rPr>
            </w:pPr>
            <w:r w:rsidRPr="00CB4976">
              <w:rPr>
                <w:b/>
              </w:rPr>
              <w:t>Cybersecurity</w:t>
            </w:r>
          </w:p>
        </w:tc>
        <w:tc>
          <w:tcPr>
            <w:tcW w:w="2977" w:type="dxa"/>
          </w:tcPr>
          <w:p w14:paraId="67C86629" w14:textId="77777777" w:rsidR="003A2DC1" w:rsidRPr="003A2DC1" w:rsidRDefault="003A2DC1" w:rsidP="005C3324">
            <w:r w:rsidRPr="003A2DC1">
              <w:t>Annually – Accreditation and best practice guidelines</w:t>
            </w:r>
          </w:p>
        </w:tc>
        <w:tc>
          <w:tcPr>
            <w:tcW w:w="3906" w:type="dxa"/>
          </w:tcPr>
          <w:p w14:paraId="492203FA" w14:textId="77777777" w:rsidR="003A2DC1" w:rsidRDefault="003A2DC1" w:rsidP="005C3324">
            <w:hyperlink r:id="rId22" w:history="1">
              <w:r w:rsidRPr="003A2DC1">
                <w:rPr>
                  <w:rStyle w:val="Hyperlink"/>
                </w:rPr>
                <w:t xml:space="preserve">Australian Cyber Security Centre </w:t>
              </w:r>
            </w:hyperlink>
            <w:hyperlink r:id="rId23" w:history="1">
              <w:r w:rsidRPr="005C3324">
                <w:rPr>
                  <w:rStyle w:val="Hyperlink"/>
                </w:rPr>
                <w:t>Information Security Manual</w:t>
              </w:r>
            </w:hyperlink>
          </w:p>
          <w:p w14:paraId="0E041009" w14:textId="0BA28494" w:rsidR="00FC260C" w:rsidRPr="003A2DC1" w:rsidRDefault="00FC260C" w:rsidP="005C3324">
            <w:r>
              <w:t>&lt;</w:t>
            </w:r>
            <w:r w:rsidRPr="00FC260C">
              <w:t>https://www.cyber.gov.au/business-government/asds-cyber-security-frameworks/ism</w:t>
            </w:r>
            <w:r>
              <w:t>&gt;</w:t>
            </w:r>
          </w:p>
        </w:tc>
      </w:tr>
      <w:tr w:rsidR="003A2DC1" w:rsidRPr="003A2DC1" w14:paraId="20EAB530" w14:textId="77777777" w:rsidTr="005A069D">
        <w:tc>
          <w:tcPr>
            <w:tcW w:w="2405" w:type="dxa"/>
          </w:tcPr>
          <w:p w14:paraId="74C78BAB" w14:textId="77777777" w:rsidR="003A2DC1" w:rsidRPr="00CB4976" w:rsidRDefault="003A2DC1" w:rsidP="005C3324">
            <w:pPr>
              <w:rPr>
                <w:b/>
              </w:rPr>
            </w:pPr>
            <w:r w:rsidRPr="00CB4976">
              <w:rPr>
                <w:b/>
              </w:rPr>
              <w:t>Occupational violence and aggression</w:t>
            </w:r>
          </w:p>
        </w:tc>
        <w:tc>
          <w:tcPr>
            <w:tcW w:w="2977" w:type="dxa"/>
          </w:tcPr>
          <w:p w14:paraId="26462432" w14:textId="77777777" w:rsidR="003A2DC1" w:rsidRPr="003A2DC1" w:rsidRDefault="003A2DC1" w:rsidP="005C3324">
            <w:r w:rsidRPr="003A2DC1">
              <w:t>Annually – Recommended for high-risk areas</w:t>
            </w:r>
          </w:p>
          <w:p w14:paraId="6BE75C6A" w14:textId="77777777" w:rsidR="003A2DC1" w:rsidRPr="003A2DC1" w:rsidRDefault="003A2DC1" w:rsidP="005C3324">
            <w:r w:rsidRPr="003A2DC1">
              <w:t>Accreditation and best practice guidelines</w:t>
            </w:r>
          </w:p>
        </w:tc>
        <w:tc>
          <w:tcPr>
            <w:tcW w:w="3906" w:type="dxa"/>
          </w:tcPr>
          <w:p w14:paraId="25D14EF0" w14:textId="77777777" w:rsidR="003A2DC1" w:rsidRDefault="003A2DC1" w:rsidP="005C3324">
            <w:hyperlink r:id="rId24" w:history="1">
              <w:r w:rsidRPr="003A2DC1">
                <w:rPr>
                  <w:rStyle w:val="Hyperlink"/>
                </w:rPr>
                <w:t xml:space="preserve">Department of Health </w:t>
              </w:r>
            </w:hyperlink>
            <w:hyperlink r:id="rId25" w:history="1">
              <w:r w:rsidRPr="005C3324">
                <w:rPr>
                  <w:rStyle w:val="Hyperlink"/>
                </w:rPr>
                <w:t>Guide for violence and aggression training in Victorian health services</w:t>
              </w:r>
            </w:hyperlink>
          </w:p>
          <w:p w14:paraId="44637D91" w14:textId="2EDE4A26" w:rsidR="009B067A" w:rsidRPr="003A2DC1" w:rsidRDefault="009B067A" w:rsidP="005C3324">
            <w:r>
              <w:t>&lt;</w:t>
            </w:r>
            <w:r w:rsidRPr="009B067A">
              <w:t>https://www.health.vic.gov.au/worker-health-wellbeing/occupational-violence-and-aggression-training</w:t>
            </w:r>
            <w:r>
              <w:t>&gt;</w:t>
            </w:r>
          </w:p>
          <w:p w14:paraId="69CE0D8C" w14:textId="287D6C78" w:rsidR="003A2DC1" w:rsidRPr="003A2DC1" w:rsidRDefault="003A2DC1" w:rsidP="005C3324">
            <w:hyperlink r:id="rId26" w:history="1">
              <w:r w:rsidRPr="003A2DC1">
                <w:rPr>
                  <w:rStyle w:val="Hyperlink"/>
                  <w:lang w:val="en-US"/>
                </w:rPr>
                <w:t>Prevention and management of violence and aggression in health services | WorkSafe Victoria</w:t>
              </w:r>
            </w:hyperlink>
            <w:r w:rsidR="009B067A">
              <w:br/>
              <w:t>&lt;</w:t>
            </w:r>
            <w:r w:rsidR="009B067A" w:rsidRPr="009B067A">
              <w:t>https://www.worksafe.vic.gov.au/resources/prevention-and-management-violence-and-aggression-health-services</w:t>
            </w:r>
            <w:r w:rsidR="009B067A">
              <w:t>&gt;</w:t>
            </w:r>
          </w:p>
        </w:tc>
      </w:tr>
      <w:tr w:rsidR="003A2DC1" w:rsidRPr="003A2DC1" w14:paraId="1792E021" w14:textId="77777777" w:rsidTr="005A069D">
        <w:tc>
          <w:tcPr>
            <w:tcW w:w="2405" w:type="dxa"/>
          </w:tcPr>
          <w:p w14:paraId="6735B98B" w14:textId="77777777" w:rsidR="003A2DC1" w:rsidRPr="00CB4976" w:rsidRDefault="003A2DC1" w:rsidP="005C3324">
            <w:pPr>
              <w:rPr>
                <w:b/>
              </w:rPr>
            </w:pPr>
            <w:r w:rsidRPr="00CB4976">
              <w:rPr>
                <w:b/>
              </w:rPr>
              <w:t>Occupational health and safety</w:t>
            </w:r>
          </w:p>
        </w:tc>
        <w:tc>
          <w:tcPr>
            <w:tcW w:w="2977" w:type="dxa"/>
          </w:tcPr>
          <w:p w14:paraId="131BF1CD" w14:textId="77777777" w:rsidR="003A2DC1" w:rsidRPr="003A2DC1" w:rsidRDefault="003A2DC1" w:rsidP="005C3324">
            <w:r w:rsidRPr="003A2DC1">
              <w:t>Employer to determine</w:t>
            </w:r>
          </w:p>
          <w:p w14:paraId="3217F2F5" w14:textId="77777777" w:rsidR="003A2DC1" w:rsidRPr="003A2DC1" w:rsidRDefault="003A2DC1" w:rsidP="005C3324">
            <w:r w:rsidRPr="003A2DC1">
              <w:lastRenderedPageBreak/>
              <w:t>Risk-based. Health is considered a high-risk industry by WorkSafe</w:t>
            </w:r>
          </w:p>
        </w:tc>
        <w:tc>
          <w:tcPr>
            <w:tcW w:w="3906" w:type="dxa"/>
          </w:tcPr>
          <w:p w14:paraId="5BD05E4B" w14:textId="77777777" w:rsidR="003A2DC1" w:rsidRPr="003A2DC1" w:rsidRDefault="003A2DC1" w:rsidP="005C3324">
            <w:hyperlink r:id="rId27" w:history="1">
              <w:r w:rsidRPr="003A2DC1">
                <w:rPr>
                  <w:rStyle w:val="Hyperlink"/>
                </w:rPr>
                <w:t>WorkSafe Victoria</w:t>
              </w:r>
            </w:hyperlink>
          </w:p>
          <w:p w14:paraId="63BE5369" w14:textId="189F319A" w:rsidR="003A2DC1" w:rsidRPr="003A2DC1" w:rsidRDefault="002B617E" w:rsidP="005C3324">
            <w:r>
              <w:t>&lt;</w:t>
            </w:r>
            <w:r w:rsidRPr="002B617E">
              <w:t>https://www.worksafe.vic.gov.au/healthcare-and-hospitals-safety-basics</w:t>
            </w:r>
            <w:r>
              <w:t>&gt;</w:t>
            </w:r>
          </w:p>
        </w:tc>
      </w:tr>
      <w:tr w:rsidR="003A2DC1" w:rsidRPr="003A2DC1" w14:paraId="622B6134" w14:textId="77777777" w:rsidTr="005A069D">
        <w:tc>
          <w:tcPr>
            <w:tcW w:w="2405" w:type="dxa"/>
          </w:tcPr>
          <w:p w14:paraId="78AD0490" w14:textId="77777777" w:rsidR="003A2DC1" w:rsidRPr="00CB4976" w:rsidRDefault="003A2DC1" w:rsidP="005C3324">
            <w:pPr>
              <w:rPr>
                <w:b/>
              </w:rPr>
            </w:pPr>
            <w:r w:rsidRPr="00CB4976">
              <w:rPr>
                <w:b/>
              </w:rPr>
              <w:t>Manual handling</w:t>
            </w:r>
          </w:p>
        </w:tc>
        <w:tc>
          <w:tcPr>
            <w:tcW w:w="2977" w:type="dxa"/>
          </w:tcPr>
          <w:p w14:paraId="2094F975" w14:textId="77777777" w:rsidR="003A2DC1" w:rsidRPr="003A2DC1" w:rsidRDefault="003A2DC1" w:rsidP="005C3324">
            <w:r w:rsidRPr="003A2DC1">
              <w:t>Annually – Accreditation and best practice guidelines</w:t>
            </w:r>
          </w:p>
        </w:tc>
        <w:tc>
          <w:tcPr>
            <w:tcW w:w="3906" w:type="dxa"/>
          </w:tcPr>
          <w:p w14:paraId="0E32BBC6" w14:textId="77777777" w:rsidR="003A2DC1" w:rsidRPr="003A2DC1" w:rsidRDefault="003A2DC1" w:rsidP="005C3324">
            <w:hyperlink r:id="rId28" w:history="1">
              <w:r w:rsidRPr="003A2DC1">
                <w:rPr>
                  <w:rStyle w:val="Hyperlink"/>
                </w:rPr>
                <w:t>WorkSafe Victoria</w:t>
              </w:r>
            </w:hyperlink>
          </w:p>
          <w:p w14:paraId="4B5A4C3B" w14:textId="65EA39D3" w:rsidR="003A2DC1" w:rsidRPr="003A2DC1" w:rsidRDefault="006A5065" w:rsidP="005C3324">
            <w:r>
              <w:t>&lt;</w:t>
            </w:r>
            <w:r w:rsidRPr="006A5065">
              <w:t>https://www.worksafe.vic.gov.au/hazardous-manual-handling-training</w:t>
            </w:r>
            <w:r>
              <w:t>&gt;</w:t>
            </w:r>
          </w:p>
        </w:tc>
      </w:tr>
      <w:tr w:rsidR="003A2DC1" w:rsidRPr="003A2DC1" w14:paraId="70A55725" w14:textId="77777777" w:rsidTr="005A069D">
        <w:tc>
          <w:tcPr>
            <w:tcW w:w="2405" w:type="dxa"/>
          </w:tcPr>
          <w:p w14:paraId="353CE5B4" w14:textId="77777777" w:rsidR="003A2DC1" w:rsidRPr="00CB4976" w:rsidRDefault="003A2DC1" w:rsidP="005C3324">
            <w:pPr>
              <w:rPr>
                <w:b/>
              </w:rPr>
            </w:pPr>
            <w:r w:rsidRPr="00CB4976">
              <w:rPr>
                <w:b/>
              </w:rPr>
              <w:t xml:space="preserve">Respectful workplace behaviours </w:t>
            </w:r>
          </w:p>
        </w:tc>
        <w:tc>
          <w:tcPr>
            <w:tcW w:w="2977" w:type="dxa"/>
          </w:tcPr>
          <w:p w14:paraId="7C44EDBF" w14:textId="77777777" w:rsidR="003A2DC1" w:rsidRPr="003A2DC1" w:rsidRDefault="003A2DC1" w:rsidP="005C3324">
            <w:r w:rsidRPr="003A2DC1">
              <w:t>12-24 months – Accreditation and best practice guidelines</w:t>
            </w:r>
          </w:p>
        </w:tc>
        <w:tc>
          <w:tcPr>
            <w:tcW w:w="3906" w:type="dxa"/>
          </w:tcPr>
          <w:p w14:paraId="7B61C3E6" w14:textId="2F12E338" w:rsidR="003A2DC1" w:rsidRPr="003A2DC1" w:rsidRDefault="003A2DC1" w:rsidP="005C3324">
            <w:hyperlink r:id="rId29" w:history="1">
              <w:r w:rsidRPr="003A2DC1">
                <w:rPr>
                  <w:rStyle w:val="Hyperlink"/>
                </w:rPr>
                <w:t xml:space="preserve">Department of Health </w:t>
              </w:r>
            </w:hyperlink>
            <w:hyperlink r:id="rId30" w:history="1">
              <w:r w:rsidRPr="005C3324">
                <w:rPr>
                  <w:rStyle w:val="Hyperlink"/>
                </w:rPr>
                <w:t>Workplace culture and bullying, harassment and discrimination training: guiding principles for Victorian health services</w:t>
              </w:r>
            </w:hyperlink>
            <w:r w:rsidR="006A5065">
              <w:br/>
              <w:t>&lt;</w:t>
            </w:r>
            <w:r w:rsidR="006A5065" w:rsidRPr="006A5065">
              <w:t>https://www.health.vic.gov.au/publications/workplace-culture-and-bullying-harassment-and-discrimination-training-guiding</w:t>
            </w:r>
            <w:r w:rsidR="006A5065">
              <w:t>&gt;</w:t>
            </w:r>
          </w:p>
        </w:tc>
      </w:tr>
    </w:tbl>
    <w:p w14:paraId="120D2BBE" w14:textId="77777777" w:rsidR="003A2DC1" w:rsidRPr="003A2DC1" w:rsidRDefault="003A2DC1" w:rsidP="0098427D">
      <w:pPr>
        <w:pStyle w:val="Body"/>
      </w:pPr>
    </w:p>
    <w:p w14:paraId="1E53D0E5" w14:textId="77777777" w:rsidR="003A2DC1" w:rsidRPr="003A2DC1" w:rsidRDefault="003A2DC1" w:rsidP="0098427D">
      <w:pPr>
        <w:pStyle w:val="Body"/>
        <w:rPr>
          <w:i/>
          <w:iCs/>
        </w:rPr>
      </w:pPr>
      <w:r w:rsidRPr="003A2DC1">
        <w:rPr>
          <w:i/>
          <w:iCs/>
        </w:rPr>
        <w:t xml:space="preserve">Frequency recommended for general staff; note that staff in certain roles and settings may have other requirements. </w:t>
      </w:r>
    </w:p>
    <w:p w14:paraId="1081B5DD" w14:textId="77777777" w:rsidR="003A2DC1" w:rsidRPr="001962EC" w:rsidRDefault="003A2DC1" w:rsidP="001962EC">
      <w:pPr>
        <w:pStyle w:val="Heading1"/>
      </w:pPr>
      <w:bookmarkStart w:id="28" w:name="_Toc233880787"/>
      <w:r w:rsidRPr="001962EC">
        <w:t>Implement standardised modules</w:t>
      </w:r>
      <w:bookmarkEnd w:id="28"/>
    </w:p>
    <w:p w14:paraId="5B2A9C80" w14:textId="77777777" w:rsidR="003A2DC1" w:rsidRDefault="003A2DC1" w:rsidP="0098427D">
      <w:pPr>
        <w:pStyle w:val="Body"/>
      </w:pPr>
      <w:r w:rsidRPr="003A2DC1">
        <w:t>Health services with established design capability can lead the way in developing and sharing modules. The examples below show how collaboration and agreements underpin successful content sharing.</w:t>
      </w:r>
    </w:p>
    <w:p w14:paraId="4A3B032E" w14:textId="7ED42912" w:rsidR="007C75D9" w:rsidRDefault="00012BD6" w:rsidP="0098427D">
      <w:pPr>
        <w:pStyle w:val="Body"/>
      </w:pPr>
      <w:r w:rsidRPr="00012BD6">
        <w:rPr>
          <w:rStyle w:val="Strong"/>
          <w:b w:val="0"/>
          <w:bCs w:val="0"/>
        </w:rPr>
        <w:t>Health services should seek their own internal legal advice before sharing education content or entering into content-sharing agreements.</w:t>
      </w:r>
    </w:p>
    <w:tbl>
      <w:tblPr>
        <w:tblStyle w:val="TableGrid"/>
        <w:tblW w:w="8642" w:type="dxa"/>
        <w:tblLook w:val="0420" w:firstRow="1" w:lastRow="0" w:firstColumn="0" w:lastColumn="0" w:noHBand="0" w:noVBand="1"/>
      </w:tblPr>
      <w:tblGrid>
        <w:gridCol w:w="2122"/>
        <w:gridCol w:w="3260"/>
        <w:gridCol w:w="3260"/>
      </w:tblGrid>
      <w:tr w:rsidR="00C66A64" w:rsidRPr="00C66A64" w14:paraId="30B56F31" w14:textId="77777777" w:rsidTr="007C75D9">
        <w:trPr>
          <w:trHeight w:val="529"/>
        </w:trPr>
        <w:tc>
          <w:tcPr>
            <w:tcW w:w="2122" w:type="dxa"/>
            <w:hideMark/>
          </w:tcPr>
          <w:p w14:paraId="5ACE5888" w14:textId="77777777" w:rsidR="00C66A64" w:rsidRPr="00C86A10" w:rsidRDefault="00C66A64" w:rsidP="00C86A10">
            <w:pPr>
              <w:rPr>
                <w:b/>
              </w:rPr>
            </w:pPr>
            <w:r w:rsidRPr="00C86A10">
              <w:rPr>
                <w:b/>
              </w:rPr>
              <w:t>Network / services</w:t>
            </w:r>
          </w:p>
        </w:tc>
        <w:tc>
          <w:tcPr>
            <w:tcW w:w="3260" w:type="dxa"/>
            <w:hideMark/>
          </w:tcPr>
          <w:p w14:paraId="3927447B" w14:textId="77777777" w:rsidR="00C66A64" w:rsidRPr="00C86A10" w:rsidRDefault="00C66A64" w:rsidP="00C86A10">
            <w:pPr>
              <w:rPr>
                <w:b/>
              </w:rPr>
            </w:pPr>
            <w:r w:rsidRPr="00C86A10">
              <w:rPr>
                <w:b/>
              </w:rPr>
              <w:t>Parkville</w:t>
            </w:r>
            <w:r w:rsidRPr="00C86A10">
              <w:rPr>
                <w:b/>
              </w:rPr>
              <w:br/>
              <w:t>(RMH, RWH, RCH, Peter Mac)</w:t>
            </w:r>
          </w:p>
        </w:tc>
        <w:tc>
          <w:tcPr>
            <w:tcW w:w="3260" w:type="dxa"/>
            <w:hideMark/>
          </w:tcPr>
          <w:p w14:paraId="327AEBD1" w14:textId="77777777" w:rsidR="00C66A64" w:rsidRPr="00C86A10" w:rsidRDefault="00C66A64" w:rsidP="00C86A10">
            <w:pPr>
              <w:rPr>
                <w:b/>
              </w:rPr>
            </w:pPr>
            <w:r w:rsidRPr="00C86A10">
              <w:rPr>
                <w:b/>
              </w:rPr>
              <w:t>Loddon Mallee (Bendigo Health + regional partners)</w:t>
            </w:r>
          </w:p>
        </w:tc>
      </w:tr>
      <w:tr w:rsidR="00C66A64" w:rsidRPr="00C66A64" w14:paraId="02A9DCED" w14:textId="77777777" w:rsidTr="007C75D9">
        <w:trPr>
          <w:trHeight w:val="529"/>
        </w:trPr>
        <w:tc>
          <w:tcPr>
            <w:tcW w:w="2122" w:type="dxa"/>
            <w:hideMark/>
          </w:tcPr>
          <w:p w14:paraId="3B778278" w14:textId="77777777" w:rsidR="00C66A64" w:rsidRPr="00C86A10" w:rsidRDefault="00C66A64" w:rsidP="00C86A10">
            <w:pPr>
              <w:rPr>
                <w:b/>
              </w:rPr>
            </w:pPr>
            <w:r w:rsidRPr="00C86A10">
              <w:rPr>
                <w:b/>
              </w:rPr>
              <w:t>What’s shared?</w:t>
            </w:r>
          </w:p>
        </w:tc>
        <w:tc>
          <w:tcPr>
            <w:tcW w:w="3260" w:type="dxa"/>
            <w:hideMark/>
          </w:tcPr>
          <w:p w14:paraId="72D4FCFF" w14:textId="77777777" w:rsidR="00C66A64" w:rsidRPr="00C66A64" w:rsidRDefault="00C66A64" w:rsidP="00C86A10">
            <w:r w:rsidRPr="00C66A64">
              <w:t xml:space="preserve">Aboriginal Cultural Safety, Hand Hygiene, </w:t>
            </w:r>
            <w:proofErr w:type="spellStart"/>
            <w:r w:rsidRPr="00C66A64">
              <w:t>BloodSafe</w:t>
            </w:r>
            <w:proofErr w:type="spellEnd"/>
            <w:r w:rsidRPr="00C66A64">
              <w:t xml:space="preserve">, Cybersecurity under development (internally developed) </w:t>
            </w:r>
          </w:p>
        </w:tc>
        <w:tc>
          <w:tcPr>
            <w:tcW w:w="3260" w:type="dxa"/>
            <w:hideMark/>
          </w:tcPr>
          <w:p w14:paraId="6FFAC6CF" w14:textId="77777777" w:rsidR="00C66A64" w:rsidRPr="00C66A64" w:rsidRDefault="00C66A64" w:rsidP="00C86A10">
            <w:r w:rsidRPr="00C66A64">
              <w:t>Aboriginal Cultural Safety, Cybersecurity, Hand Hygiene, Infection Prevention &amp; Control</w:t>
            </w:r>
          </w:p>
        </w:tc>
      </w:tr>
      <w:tr w:rsidR="00C66A64" w:rsidRPr="00C66A64" w14:paraId="38A4DC97" w14:textId="77777777" w:rsidTr="007C75D9">
        <w:trPr>
          <w:trHeight w:val="529"/>
        </w:trPr>
        <w:tc>
          <w:tcPr>
            <w:tcW w:w="2122" w:type="dxa"/>
            <w:hideMark/>
          </w:tcPr>
          <w:p w14:paraId="498D2EF6" w14:textId="77777777" w:rsidR="00C66A64" w:rsidRPr="00C86A10" w:rsidRDefault="00C66A64" w:rsidP="00C86A10">
            <w:pPr>
              <w:rPr>
                <w:b/>
              </w:rPr>
            </w:pPr>
            <w:r w:rsidRPr="00C86A10">
              <w:rPr>
                <w:b/>
              </w:rPr>
              <w:t>How is it shared?</w:t>
            </w:r>
          </w:p>
        </w:tc>
        <w:tc>
          <w:tcPr>
            <w:tcW w:w="3260" w:type="dxa"/>
            <w:hideMark/>
          </w:tcPr>
          <w:p w14:paraId="484F7C6B" w14:textId="77777777" w:rsidR="00C66A64" w:rsidRPr="00C66A64" w:rsidRDefault="00C66A64" w:rsidP="00C86A10">
            <w:r w:rsidRPr="00C66A64">
              <w:t>Each service maintains its own LMS content</w:t>
            </w:r>
          </w:p>
        </w:tc>
        <w:tc>
          <w:tcPr>
            <w:tcW w:w="3260" w:type="dxa"/>
            <w:hideMark/>
          </w:tcPr>
          <w:p w14:paraId="2C64F8AD" w14:textId="77777777" w:rsidR="00C66A64" w:rsidRPr="00C66A64" w:rsidRDefault="00C66A64" w:rsidP="00C86A10">
            <w:r w:rsidRPr="00C66A64">
              <w:t>Regionally branded, editable SCORM packages for local overlays</w:t>
            </w:r>
          </w:p>
        </w:tc>
      </w:tr>
      <w:tr w:rsidR="00C66A64" w:rsidRPr="00C66A64" w14:paraId="28EF5E0E" w14:textId="77777777" w:rsidTr="007C75D9">
        <w:trPr>
          <w:trHeight w:val="529"/>
        </w:trPr>
        <w:tc>
          <w:tcPr>
            <w:tcW w:w="2122" w:type="dxa"/>
            <w:hideMark/>
          </w:tcPr>
          <w:p w14:paraId="27AF5B3B" w14:textId="51308DFC" w:rsidR="00C66A64" w:rsidRPr="00C86A10" w:rsidRDefault="00C66A64" w:rsidP="00C86A10">
            <w:pPr>
              <w:rPr>
                <w:b/>
              </w:rPr>
            </w:pPr>
            <w:r w:rsidRPr="00C86A10">
              <w:rPr>
                <w:b/>
              </w:rPr>
              <w:t>What are the agreements and</w:t>
            </w:r>
            <w:r w:rsidR="007C75D9" w:rsidRPr="00C86A10">
              <w:rPr>
                <w:b/>
              </w:rPr>
              <w:t xml:space="preserve"> </w:t>
            </w:r>
            <w:r w:rsidRPr="00C86A10">
              <w:rPr>
                <w:b/>
              </w:rPr>
              <w:t>governance</w:t>
            </w:r>
            <w:r w:rsidR="007C75D9" w:rsidRPr="00C86A10">
              <w:rPr>
                <w:b/>
              </w:rPr>
              <w:t>?</w:t>
            </w:r>
          </w:p>
        </w:tc>
        <w:tc>
          <w:tcPr>
            <w:tcW w:w="3260" w:type="dxa"/>
            <w:hideMark/>
          </w:tcPr>
          <w:p w14:paraId="0D4BC020" w14:textId="77777777" w:rsidR="00C66A64" w:rsidRPr="00C66A64" w:rsidRDefault="00C66A64" w:rsidP="00C86A10">
            <w:r w:rsidRPr="00C66A64">
              <w:t>Oversight provided by Recognition of Prior Learning Working Group</w:t>
            </w:r>
          </w:p>
        </w:tc>
        <w:tc>
          <w:tcPr>
            <w:tcW w:w="3260" w:type="dxa"/>
            <w:hideMark/>
          </w:tcPr>
          <w:p w14:paraId="2E164F5D" w14:textId="77777777" w:rsidR="00C66A64" w:rsidRPr="00C66A64" w:rsidRDefault="00C66A64" w:rsidP="00C86A10">
            <w:r w:rsidRPr="00C66A64">
              <w:t>Service level agreement (SLA) on use of module with roles/Intellectual Property</w:t>
            </w:r>
          </w:p>
        </w:tc>
      </w:tr>
      <w:tr w:rsidR="00C66A64" w:rsidRPr="00C66A64" w14:paraId="3AA645C7" w14:textId="77777777" w:rsidTr="007C75D9">
        <w:trPr>
          <w:trHeight w:val="529"/>
        </w:trPr>
        <w:tc>
          <w:tcPr>
            <w:tcW w:w="2122" w:type="dxa"/>
            <w:hideMark/>
          </w:tcPr>
          <w:p w14:paraId="01F80C91" w14:textId="77777777" w:rsidR="00C66A64" w:rsidRPr="00C86A10" w:rsidRDefault="00C66A64" w:rsidP="00C86A10">
            <w:pPr>
              <w:rPr>
                <w:b/>
              </w:rPr>
            </w:pPr>
            <w:r w:rsidRPr="00C86A10">
              <w:rPr>
                <w:b/>
              </w:rPr>
              <w:t>What format?</w:t>
            </w:r>
          </w:p>
        </w:tc>
        <w:tc>
          <w:tcPr>
            <w:tcW w:w="3260" w:type="dxa"/>
            <w:hideMark/>
          </w:tcPr>
          <w:p w14:paraId="2406C31C" w14:textId="77777777" w:rsidR="00C66A64" w:rsidRPr="00C66A64" w:rsidRDefault="00C66A64" w:rsidP="00C86A10">
            <w:r w:rsidRPr="00C66A64">
              <w:t>Totara (</w:t>
            </w:r>
            <w:proofErr w:type="spellStart"/>
            <w:r w:rsidRPr="00C66A64">
              <w:t>Androgogic</w:t>
            </w:r>
            <w:proofErr w:type="spellEnd"/>
            <w:r w:rsidRPr="00C66A64">
              <w:t>); shared course identifiers</w:t>
            </w:r>
          </w:p>
        </w:tc>
        <w:tc>
          <w:tcPr>
            <w:tcW w:w="3260" w:type="dxa"/>
            <w:hideMark/>
          </w:tcPr>
          <w:p w14:paraId="3277D800" w14:textId="77777777" w:rsidR="00C66A64" w:rsidRPr="00C66A64" w:rsidRDefault="00C66A64" w:rsidP="00C86A10">
            <w:r w:rsidRPr="00C66A64">
              <w:t>Shared Totara; SLAs in place</w:t>
            </w:r>
          </w:p>
        </w:tc>
      </w:tr>
    </w:tbl>
    <w:p w14:paraId="67B68EA6" w14:textId="77777777" w:rsidR="00C66A64" w:rsidRPr="003A2DC1" w:rsidRDefault="00C66A64" w:rsidP="0098427D">
      <w:pPr>
        <w:pStyle w:val="Body"/>
      </w:pPr>
    </w:p>
    <w:p w14:paraId="0E4B00F4" w14:textId="3AA5467A" w:rsidR="00BE3E85" w:rsidRDefault="003A2DC1" w:rsidP="0098427D">
      <w:pPr>
        <w:pStyle w:val="Body"/>
      </w:pPr>
      <w:r w:rsidRPr="003A2DC1">
        <w:lastRenderedPageBreak/>
        <w:t>Standardised agreements such as those in Loddon Mallee and Parkville LHSNs</w:t>
      </w:r>
      <w:r w:rsidR="00012BD6">
        <w:t xml:space="preserve"> </w:t>
      </w:r>
      <w:r w:rsidRPr="003A2DC1">
        <w:t>set clear rules for content use, ownership, responsibilities, and privacy, enabling effective sharing and adaptation of modules.</w:t>
      </w:r>
    </w:p>
    <w:p w14:paraId="5DF4912B" w14:textId="75315F6E" w:rsidR="00252C1F" w:rsidRPr="00252C1F" w:rsidRDefault="00252C1F" w:rsidP="0098427D">
      <w:pPr>
        <w:pStyle w:val="Body"/>
        <w:rPr>
          <w:b/>
          <w:bCs/>
        </w:rPr>
      </w:pPr>
      <w:r w:rsidRPr="00252C1F">
        <w:rPr>
          <w:b/>
          <w:bCs/>
        </w:rPr>
        <w:t xml:space="preserve">Example Agreement for Shared eLearning Content (shared with permission from Bendigo Health): </w:t>
      </w:r>
    </w:p>
    <w:p w14:paraId="272112DB" w14:textId="77777777" w:rsidR="00252C1F" w:rsidRPr="00252C1F" w:rsidRDefault="00252C1F" w:rsidP="00252C1F">
      <w:pPr>
        <w:pStyle w:val="Body"/>
      </w:pPr>
      <w:r w:rsidRPr="00252C1F">
        <w:t>This Agreement is entered into on this ___ day of ___________, 2025, by and between:</w:t>
      </w:r>
    </w:p>
    <w:p w14:paraId="3ADD22AB" w14:textId="77777777" w:rsidR="00252C1F" w:rsidRPr="00252C1F" w:rsidRDefault="00252C1F" w:rsidP="001B233C">
      <w:pPr>
        <w:pStyle w:val="Bullet1"/>
      </w:pPr>
      <w:r w:rsidRPr="00252C1F">
        <w:t>Health Service A</w:t>
      </w:r>
    </w:p>
    <w:p w14:paraId="5087BC0F" w14:textId="77777777" w:rsidR="00252C1F" w:rsidRPr="00252C1F" w:rsidRDefault="00252C1F" w:rsidP="001B233C">
      <w:pPr>
        <w:pStyle w:val="Bullet1"/>
      </w:pPr>
      <w:r w:rsidRPr="00252C1F">
        <w:t>Health Service B</w:t>
      </w:r>
    </w:p>
    <w:p w14:paraId="02465F4C" w14:textId="77777777" w:rsidR="00252C1F" w:rsidRPr="00252C1F" w:rsidRDefault="00252C1F" w:rsidP="001B233C">
      <w:pPr>
        <w:pStyle w:val="Bullet1"/>
      </w:pPr>
      <w:r w:rsidRPr="00252C1F">
        <w:t>Health Service C</w:t>
      </w:r>
    </w:p>
    <w:p w14:paraId="60C2A3E6" w14:textId="77777777" w:rsidR="00252C1F" w:rsidRPr="00252C1F" w:rsidRDefault="00252C1F" w:rsidP="00252C1F">
      <w:pPr>
        <w:pStyle w:val="Body"/>
      </w:pPr>
      <w:r w:rsidRPr="00252C1F">
        <w:t>Collectively referred to as the "Parties".</w:t>
      </w:r>
    </w:p>
    <w:p w14:paraId="26169EBA" w14:textId="77777777" w:rsidR="00252C1F" w:rsidRPr="00252C1F" w:rsidRDefault="00252C1F" w:rsidP="00252C1F">
      <w:pPr>
        <w:pStyle w:val="Body"/>
        <w:rPr>
          <w:b/>
          <w:bCs/>
        </w:rPr>
      </w:pPr>
      <w:r w:rsidRPr="00252C1F">
        <w:rPr>
          <w:b/>
          <w:bCs/>
        </w:rPr>
        <w:t>1. Purpose</w:t>
      </w:r>
    </w:p>
    <w:p w14:paraId="4CD40CD4" w14:textId="77777777" w:rsidR="00252C1F" w:rsidRPr="00252C1F" w:rsidRDefault="00252C1F" w:rsidP="00252C1F">
      <w:pPr>
        <w:pStyle w:val="Body"/>
      </w:pPr>
      <w:r w:rsidRPr="00252C1F">
        <w:t>The purpose of this agreement is to formalise an arrangement between the parties regarding the sharing of eLearning content for the benefit of their respective staff, patients, and other relevant stakeholders. This agreement sets forth the terms and conditions under which the Parties agree to collaborate in sharing and utilising eLearning resources to enhance the quality of healthcare services and staff training.</w:t>
      </w:r>
    </w:p>
    <w:p w14:paraId="7DFCF0E3" w14:textId="77777777" w:rsidR="00252C1F" w:rsidRPr="00252C1F" w:rsidRDefault="00252C1F" w:rsidP="00252C1F">
      <w:pPr>
        <w:pStyle w:val="Body"/>
        <w:rPr>
          <w:b/>
          <w:bCs/>
        </w:rPr>
      </w:pPr>
      <w:r w:rsidRPr="00252C1F">
        <w:rPr>
          <w:b/>
          <w:bCs/>
        </w:rPr>
        <w:t>2. Objectives</w:t>
      </w:r>
    </w:p>
    <w:p w14:paraId="6BB2266E" w14:textId="77777777" w:rsidR="00252C1F" w:rsidRPr="00252C1F" w:rsidRDefault="00252C1F" w:rsidP="00252C1F">
      <w:pPr>
        <w:pStyle w:val="Body"/>
      </w:pPr>
      <w:r w:rsidRPr="00252C1F">
        <w:t>The objectives of this collaboration are:</w:t>
      </w:r>
    </w:p>
    <w:p w14:paraId="2C792E71" w14:textId="77777777" w:rsidR="00252C1F" w:rsidRPr="00252C1F" w:rsidRDefault="00252C1F" w:rsidP="001B233C">
      <w:pPr>
        <w:pStyle w:val="Bullet1"/>
      </w:pPr>
      <w:r w:rsidRPr="00252C1F">
        <w:t>To improve access to high-quality healthcare training and education through shared eLearning content.</w:t>
      </w:r>
    </w:p>
    <w:p w14:paraId="3FF76EDB" w14:textId="77777777" w:rsidR="00252C1F" w:rsidRPr="00252C1F" w:rsidRDefault="00252C1F" w:rsidP="001B233C">
      <w:pPr>
        <w:pStyle w:val="Bullet1"/>
      </w:pPr>
      <w:r w:rsidRPr="00252C1F">
        <w:t>To promote the use of innovative training solutions for staff development in all participating organisations.</w:t>
      </w:r>
    </w:p>
    <w:p w14:paraId="12649E2E" w14:textId="77777777" w:rsidR="00252C1F" w:rsidRPr="00252C1F" w:rsidRDefault="00252C1F" w:rsidP="001B233C">
      <w:pPr>
        <w:pStyle w:val="Bullet1"/>
      </w:pPr>
      <w:r w:rsidRPr="00252C1F">
        <w:t>To facilitate the exchange of educational resources to support health services, patient care, and professional development.</w:t>
      </w:r>
    </w:p>
    <w:p w14:paraId="3914FD4A" w14:textId="77777777" w:rsidR="00252C1F" w:rsidRPr="00252C1F" w:rsidRDefault="00252C1F" w:rsidP="001B233C">
      <w:pPr>
        <w:pStyle w:val="Bullet1"/>
      </w:pPr>
      <w:r w:rsidRPr="00252C1F">
        <w:t>To ensure compliance with relevant health and educational standards and best practices.</w:t>
      </w:r>
    </w:p>
    <w:p w14:paraId="2CE9C213" w14:textId="7D3F4A93" w:rsidR="00252C1F" w:rsidRPr="00252C1F" w:rsidRDefault="00252C1F" w:rsidP="001B233C">
      <w:pPr>
        <w:pStyle w:val="Bullet1"/>
      </w:pPr>
      <w:r w:rsidRPr="00252C1F">
        <w:t>To standardise training programs, where practicable, in order to support the recognition and transferability of prior learning (RPL) across regional partnership entities.</w:t>
      </w:r>
    </w:p>
    <w:p w14:paraId="28242BC5" w14:textId="38D63F66" w:rsidR="003A2DC1" w:rsidRPr="00BE3E85" w:rsidRDefault="003A2DC1" w:rsidP="00BE3E85">
      <w:pPr>
        <w:pStyle w:val="Heading1"/>
        <w:rPr>
          <w:lang w:val="en-US"/>
        </w:rPr>
      </w:pPr>
      <w:bookmarkStart w:id="29" w:name="_Toc233880788"/>
      <w:r w:rsidRPr="003A2DC1">
        <w:t>Implement automated RPL processes</w:t>
      </w:r>
      <w:bookmarkEnd w:id="29"/>
    </w:p>
    <w:p w14:paraId="519981E5" w14:textId="77777777" w:rsidR="00797B86" w:rsidRDefault="00A05C63" w:rsidP="0098427D">
      <w:pPr>
        <w:pStyle w:val="Body"/>
      </w:pPr>
      <w:r w:rsidRPr="00A05C63">
        <w:t xml:space="preserve">This guidance outlines </w:t>
      </w:r>
      <w:r w:rsidRPr="00A05C63">
        <w:rPr>
          <w:b/>
          <w:bCs/>
        </w:rPr>
        <w:t>best practice</w:t>
      </w:r>
      <w:r w:rsidRPr="00A05C63">
        <w:t xml:space="preserve"> for automating Recognition of Prior Learning (RPL) processes across Victorian public health services and reducing manual effort. Adoption will vary depending on local systems, capability and resources.</w:t>
      </w:r>
      <w:r w:rsidR="00797B86">
        <w:t xml:space="preserve"> </w:t>
      </w:r>
    </w:p>
    <w:p w14:paraId="4D86F9FA" w14:textId="4240F8E7" w:rsidR="00A05C63" w:rsidRDefault="00797B86" w:rsidP="0098427D">
      <w:pPr>
        <w:pStyle w:val="Body"/>
      </w:pPr>
      <w:r w:rsidRPr="00797B86">
        <w:t>The steps below are intended to support services to work towards greater automation over time.</w:t>
      </w:r>
    </w:p>
    <w:p w14:paraId="09914641" w14:textId="4BDA21F7" w:rsidR="00CE478F" w:rsidRDefault="00797B86" w:rsidP="0098427D">
      <w:pPr>
        <w:pStyle w:val="Body"/>
        <w:rPr>
          <w:b/>
          <w:bCs/>
        </w:rPr>
      </w:pPr>
      <w:r>
        <w:rPr>
          <w:b/>
          <w:bCs/>
        </w:rPr>
        <w:t>Governance, scope and eligibility</w:t>
      </w:r>
    </w:p>
    <w:p w14:paraId="33BF6DB8" w14:textId="77777777" w:rsidR="000B7C3C" w:rsidRPr="003A2DC1" w:rsidRDefault="000B7C3C" w:rsidP="000B7C3C">
      <w:pPr>
        <w:pStyle w:val="Bullet1"/>
      </w:pPr>
      <w:r w:rsidRPr="003A2DC1">
        <w:t>Establish appropriate governance group oversight</w:t>
      </w:r>
    </w:p>
    <w:p w14:paraId="51E0FDF7" w14:textId="77777777" w:rsidR="000B7C3C" w:rsidRPr="003A2DC1" w:rsidRDefault="000B7C3C" w:rsidP="000B7C3C">
      <w:pPr>
        <w:pStyle w:val="Bullet1"/>
      </w:pPr>
      <w:r w:rsidRPr="003A2DC1">
        <w:t>Define which education topics, modules and staff roles are eligible for automated RPL</w:t>
      </w:r>
    </w:p>
    <w:p w14:paraId="57D7E641" w14:textId="4FB3BE28" w:rsidR="000B7C3C" w:rsidRPr="000B7C3C" w:rsidRDefault="000B7C3C" w:rsidP="000B7C3C">
      <w:pPr>
        <w:pStyle w:val="Bullet1"/>
      </w:pPr>
      <w:r w:rsidRPr="003A2DC1">
        <w:t>Publish clear RPL policy with rules on eligibility, requirements and process</w:t>
      </w:r>
    </w:p>
    <w:p w14:paraId="24E2482E" w14:textId="627C5F15" w:rsidR="00C92278" w:rsidRDefault="00C92278" w:rsidP="0098427D">
      <w:pPr>
        <w:pStyle w:val="Body"/>
        <w:rPr>
          <w:b/>
          <w:bCs/>
        </w:rPr>
      </w:pPr>
      <w:r>
        <w:rPr>
          <w:b/>
          <w:bCs/>
        </w:rPr>
        <w:t>Evidence requirements</w:t>
      </w:r>
    </w:p>
    <w:p w14:paraId="4D9D9011" w14:textId="6BDF1627" w:rsidR="000B7C3C" w:rsidRPr="000B7C3C" w:rsidRDefault="000B7C3C" w:rsidP="000B7C3C">
      <w:pPr>
        <w:pStyle w:val="Bullet1"/>
      </w:pPr>
      <w:r w:rsidRPr="000B7C3C">
        <w:t>Agree on evidence requirements e.g. verifiable digital records (LMS, certificates) showing learner, topic and module, pass criteria, date, version</w:t>
      </w:r>
    </w:p>
    <w:p w14:paraId="58A5CF57" w14:textId="182B871E" w:rsidR="00C92278" w:rsidRDefault="00C92278" w:rsidP="0098427D">
      <w:pPr>
        <w:pStyle w:val="Body"/>
        <w:rPr>
          <w:b/>
          <w:bCs/>
        </w:rPr>
      </w:pPr>
      <w:r>
        <w:rPr>
          <w:b/>
          <w:bCs/>
        </w:rPr>
        <w:lastRenderedPageBreak/>
        <w:t>Approval process and review</w:t>
      </w:r>
    </w:p>
    <w:p w14:paraId="3C32BCB9" w14:textId="77777777" w:rsidR="000B7C3C" w:rsidRDefault="000B7C3C" w:rsidP="000B7C3C">
      <w:pPr>
        <w:pStyle w:val="Bullet1"/>
      </w:pPr>
      <w:r>
        <w:t>Outline approval process e.g. Manager with SME consult as required (or Manager and SME required)</w:t>
      </w:r>
    </w:p>
    <w:p w14:paraId="017EE3D8" w14:textId="77777777" w:rsidR="000B7C3C" w:rsidRDefault="000B7C3C" w:rsidP="000B7C3C">
      <w:pPr>
        <w:pStyle w:val="Bullet1"/>
      </w:pPr>
      <w:r>
        <w:t>Agree on whether approval occurs offline or through digital workflow</w:t>
      </w:r>
    </w:p>
    <w:p w14:paraId="7BF798C0" w14:textId="77777777" w:rsidR="000B7C3C" w:rsidRDefault="000B7C3C" w:rsidP="000B7C3C">
      <w:pPr>
        <w:pStyle w:val="Bullet1"/>
      </w:pPr>
      <w:r>
        <w:t>Check recency against service policies; if outside, require training with a pre-assessment</w:t>
      </w:r>
    </w:p>
    <w:p w14:paraId="64AC024C" w14:textId="77777777" w:rsidR="000B7C3C" w:rsidRDefault="000B7C3C" w:rsidP="000B7C3C">
      <w:pPr>
        <w:pStyle w:val="Bullet1"/>
      </w:pPr>
      <w:r>
        <w:t>Check training content against local requirements</w:t>
      </w:r>
    </w:p>
    <w:p w14:paraId="49C38D93" w14:textId="35E10F6D" w:rsidR="000B7C3C" w:rsidRDefault="000B7C3C" w:rsidP="000B7C3C">
      <w:pPr>
        <w:pStyle w:val="Bullet1"/>
      </w:pPr>
      <w:r>
        <w:t>Check training modality against local requirements</w:t>
      </w:r>
    </w:p>
    <w:p w14:paraId="57EE2BE2" w14:textId="2CD30F84" w:rsidR="00C92278" w:rsidRDefault="00C92278" w:rsidP="0098427D">
      <w:pPr>
        <w:pStyle w:val="Body"/>
        <w:rPr>
          <w:b/>
          <w:bCs/>
        </w:rPr>
      </w:pPr>
      <w:r>
        <w:rPr>
          <w:b/>
          <w:bCs/>
        </w:rPr>
        <w:t xml:space="preserve">Workflow and automation </w:t>
      </w:r>
    </w:p>
    <w:p w14:paraId="284EC0DA" w14:textId="77777777" w:rsidR="000B7C3C" w:rsidRDefault="000B7C3C" w:rsidP="000B7C3C">
      <w:pPr>
        <w:pStyle w:val="Bullet1"/>
      </w:pPr>
      <w:r>
        <w:t>Submit request through a digital workflow: request &gt;&gt; Manager / SME decision (if included) &gt;&gt; automated LMS update</w:t>
      </w:r>
    </w:p>
    <w:p w14:paraId="01BD9A97" w14:textId="77777777" w:rsidR="000B7C3C" w:rsidRDefault="000B7C3C" w:rsidP="0098427D">
      <w:pPr>
        <w:pStyle w:val="Bullet1"/>
      </w:pPr>
      <w:r>
        <w:t>Prefer automated LMS updates via regular sync</w:t>
      </w:r>
    </w:p>
    <w:p w14:paraId="0142B21B" w14:textId="664F0D49" w:rsidR="00C92278" w:rsidRDefault="00C92278" w:rsidP="000B7C3C">
      <w:pPr>
        <w:pStyle w:val="Bullet1"/>
        <w:numPr>
          <w:ilvl w:val="0"/>
          <w:numId w:val="0"/>
        </w:numPr>
        <w:rPr>
          <w:b/>
          <w:bCs/>
        </w:rPr>
      </w:pPr>
      <w:r w:rsidRPr="000B7C3C">
        <w:rPr>
          <w:b/>
          <w:bCs/>
        </w:rPr>
        <w:t xml:space="preserve">Targeted </w:t>
      </w:r>
      <w:r w:rsidR="006E4979" w:rsidRPr="000B7C3C">
        <w:rPr>
          <w:b/>
          <w:bCs/>
        </w:rPr>
        <w:t xml:space="preserve">micro-learning </w:t>
      </w:r>
    </w:p>
    <w:p w14:paraId="3517027B" w14:textId="56093D64" w:rsidR="000B7C3C" w:rsidRPr="000B7C3C" w:rsidRDefault="000B7C3C" w:rsidP="000B7C3C">
      <w:pPr>
        <w:pStyle w:val="Bullet1"/>
      </w:pPr>
      <w:r w:rsidRPr="000B7C3C">
        <w:t>Establish a short local familiarisation micro-module or job aid for site-specific policies / codes / equipment</w:t>
      </w:r>
    </w:p>
    <w:p w14:paraId="4ADD5B8D" w14:textId="39830034" w:rsidR="006E4979" w:rsidRDefault="006E4979" w:rsidP="0098427D">
      <w:pPr>
        <w:pStyle w:val="Body"/>
        <w:rPr>
          <w:b/>
          <w:bCs/>
        </w:rPr>
      </w:pPr>
      <w:r>
        <w:rPr>
          <w:b/>
          <w:bCs/>
        </w:rPr>
        <w:t xml:space="preserve">Documentation and audit </w:t>
      </w:r>
    </w:p>
    <w:p w14:paraId="5688A931" w14:textId="77777777" w:rsidR="000B7C3C" w:rsidRDefault="000B7C3C" w:rsidP="000B7C3C">
      <w:pPr>
        <w:pStyle w:val="Bullet1"/>
      </w:pPr>
      <w:r>
        <w:t>Maintain a versioned register of all automated RPL decisions</w:t>
      </w:r>
    </w:p>
    <w:p w14:paraId="7C0C5A73" w14:textId="53CF8E06" w:rsidR="000B7C3C" w:rsidRDefault="000B7C3C" w:rsidP="000B7C3C">
      <w:pPr>
        <w:pStyle w:val="Bullet1"/>
      </w:pPr>
      <w:r>
        <w:t>Ensure audit trails and regular validation</w:t>
      </w:r>
    </w:p>
    <w:p w14:paraId="74FAC74F" w14:textId="4F7F8251" w:rsidR="006E4979" w:rsidRDefault="006E4979" w:rsidP="0098427D">
      <w:pPr>
        <w:pStyle w:val="Body"/>
        <w:rPr>
          <w:b/>
          <w:bCs/>
        </w:rPr>
      </w:pPr>
      <w:r>
        <w:rPr>
          <w:b/>
          <w:bCs/>
        </w:rPr>
        <w:t xml:space="preserve">Decision aids and communication </w:t>
      </w:r>
    </w:p>
    <w:p w14:paraId="39651345" w14:textId="77777777" w:rsidR="000B7C3C" w:rsidRDefault="000B7C3C" w:rsidP="000B7C3C">
      <w:pPr>
        <w:pStyle w:val="Bullet1"/>
      </w:pPr>
      <w:r>
        <w:t>Provide digital decision aids, request forms, and evidence checklists</w:t>
      </w:r>
    </w:p>
    <w:p w14:paraId="3DF26275" w14:textId="75A10578" w:rsidR="000B7C3C" w:rsidRDefault="000B7C3C" w:rsidP="000B7C3C">
      <w:pPr>
        <w:pStyle w:val="Bullet1"/>
      </w:pPr>
      <w:r>
        <w:t>Publish plain-English guidance for staff on RPL and relevant processes</w:t>
      </w:r>
    </w:p>
    <w:p w14:paraId="33013233" w14:textId="70ECBDBF" w:rsidR="006E4979" w:rsidRDefault="006E4979" w:rsidP="0098427D">
      <w:pPr>
        <w:pStyle w:val="Body"/>
        <w:rPr>
          <w:b/>
          <w:bCs/>
        </w:rPr>
      </w:pPr>
      <w:r>
        <w:rPr>
          <w:b/>
          <w:bCs/>
        </w:rPr>
        <w:t>KPIs and contin</w:t>
      </w:r>
      <w:r w:rsidR="000B7C3C">
        <w:rPr>
          <w:b/>
          <w:bCs/>
        </w:rPr>
        <w:t xml:space="preserve">uous improvement </w:t>
      </w:r>
    </w:p>
    <w:p w14:paraId="37E994A2" w14:textId="5A0EED0B" w:rsidR="000B7C3C" w:rsidRPr="000B7C3C" w:rsidRDefault="000B7C3C" w:rsidP="000B7C3C">
      <w:pPr>
        <w:pStyle w:val="Bullet1"/>
      </w:pPr>
      <w:r w:rsidRPr="003A2DC1">
        <w:t>Track and report recognition rates, decision times, and hours saved; use analytics to refine rules and processes</w:t>
      </w:r>
    </w:p>
    <w:p w14:paraId="19A7C428" w14:textId="3DE33926" w:rsidR="000B7C3C" w:rsidRPr="00797B86" w:rsidRDefault="000B7C3C" w:rsidP="0098427D">
      <w:pPr>
        <w:pStyle w:val="Body"/>
        <w:rPr>
          <w:b/>
          <w:bCs/>
        </w:rPr>
      </w:pPr>
      <w:r>
        <w:rPr>
          <w:b/>
          <w:bCs/>
        </w:rPr>
        <w:t xml:space="preserve">Risk management </w:t>
      </w:r>
    </w:p>
    <w:p w14:paraId="2DAF0759" w14:textId="65904054" w:rsidR="00F91282" w:rsidRDefault="003A2DC1" w:rsidP="000B7C3C">
      <w:pPr>
        <w:pStyle w:val="Bullet1"/>
      </w:pPr>
      <w:r w:rsidRPr="003A2DC1">
        <w:t>Build in safeguards to prevent and detect nongenuine or outdated evidence, RPL for high-risk roles without proper validation and inconsistent application of rules</w:t>
      </w:r>
    </w:p>
    <w:p w14:paraId="1475B414" w14:textId="77777777" w:rsidR="00514B5D" w:rsidRDefault="00514B5D" w:rsidP="00514B5D">
      <w:pPr>
        <w:pStyle w:val="Bullet1"/>
        <w:numPr>
          <w:ilvl w:val="0"/>
          <w:numId w:val="0"/>
        </w:numPr>
        <w:ind w:left="284" w:hanging="284"/>
      </w:pPr>
    </w:p>
    <w:p w14:paraId="0874733B" w14:textId="539C61DD" w:rsidR="00514B5D" w:rsidRDefault="00514B5D">
      <w:pPr>
        <w:spacing w:after="0" w:line="240" w:lineRule="auto"/>
        <w:rPr>
          <w:rFonts w:eastAsia="Times"/>
        </w:rPr>
      </w:pPr>
      <w:r>
        <w:br w:type="page"/>
      </w:r>
    </w:p>
    <w:p w14:paraId="4DAC484A" w14:textId="5A4F424A" w:rsidR="003A2DC1" w:rsidRDefault="000B7C3C" w:rsidP="000B7C3C">
      <w:pPr>
        <w:pStyle w:val="Heading1"/>
      </w:pPr>
      <w:bookmarkStart w:id="30" w:name="_Toc233880789"/>
      <w:r w:rsidRPr="003A2DC1">
        <w:lastRenderedPageBreak/>
        <w:t>Checklist</w:t>
      </w:r>
      <w:r w:rsidR="003A2DC1" w:rsidRPr="003A2DC1">
        <w:t xml:space="preserve"> to support implementation</w:t>
      </w:r>
      <w:bookmarkEnd w:id="30"/>
    </w:p>
    <w:tbl>
      <w:tblPr>
        <w:tblStyle w:val="TableGrid"/>
        <w:tblW w:w="0" w:type="auto"/>
        <w:tblLook w:val="04A0" w:firstRow="1" w:lastRow="0" w:firstColumn="1" w:lastColumn="0" w:noHBand="0" w:noVBand="1"/>
      </w:tblPr>
      <w:tblGrid>
        <w:gridCol w:w="2547"/>
        <w:gridCol w:w="3118"/>
        <w:gridCol w:w="3623"/>
      </w:tblGrid>
      <w:tr w:rsidR="00895B38" w14:paraId="55717984" w14:textId="77777777" w:rsidTr="00EB54FD">
        <w:tc>
          <w:tcPr>
            <w:tcW w:w="2547" w:type="dxa"/>
          </w:tcPr>
          <w:p w14:paraId="39665FE7" w14:textId="264BDC89" w:rsidR="00895B38" w:rsidRPr="00EB54FD" w:rsidRDefault="00895B38" w:rsidP="00EB54FD">
            <w:pPr>
              <w:rPr>
                <w:b/>
              </w:rPr>
            </w:pPr>
            <w:r w:rsidRPr="00EB54FD">
              <w:rPr>
                <w:b/>
              </w:rPr>
              <w:t>Focus area</w:t>
            </w:r>
          </w:p>
        </w:tc>
        <w:tc>
          <w:tcPr>
            <w:tcW w:w="3118" w:type="dxa"/>
          </w:tcPr>
          <w:p w14:paraId="2779F0F1" w14:textId="77777777" w:rsidR="00895B38" w:rsidRPr="00EB54FD" w:rsidRDefault="00895B38" w:rsidP="00EB54FD">
            <w:pPr>
              <w:rPr>
                <w:b/>
              </w:rPr>
            </w:pPr>
            <w:r w:rsidRPr="00EB54FD">
              <w:rPr>
                <w:b/>
              </w:rPr>
              <w:t xml:space="preserve">Rationale </w:t>
            </w:r>
          </w:p>
        </w:tc>
        <w:tc>
          <w:tcPr>
            <w:tcW w:w="3623" w:type="dxa"/>
          </w:tcPr>
          <w:p w14:paraId="0C1D2718" w14:textId="77777777" w:rsidR="00895B38" w:rsidRPr="00EB54FD" w:rsidRDefault="00895B38" w:rsidP="00EB54FD">
            <w:pPr>
              <w:rPr>
                <w:b/>
              </w:rPr>
            </w:pPr>
            <w:r w:rsidRPr="00EB54FD">
              <w:rPr>
                <w:b/>
              </w:rPr>
              <w:t xml:space="preserve">What to do </w:t>
            </w:r>
          </w:p>
        </w:tc>
      </w:tr>
      <w:tr w:rsidR="00895B38" w14:paraId="4F83FACE" w14:textId="77777777" w:rsidTr="00EB54FD">
        <w:tc>
          <w:tcPr>
            <w:tcW w:w="2547" w:type="dxa"/>
          </w:tcPr>
          <w:p w14:paraId="7D4FA6D3" w14:textId="77777777" w:rsidR="00895B38" w:rsidRDefault="003B0A0A" w:rsidP="00EB54FD">
            <w:r w:rsidRPr="003B0A0A">
              <w:t>Align on learning outcomes</w:t>
            </w:r>
          </w:p>
        </w:tc>
        <w:tc>
          <w:tcPr>
            <w:tcW w:w="3118" w:type="dxa"/>
          </w:tcPr>
          <w:p w14:paraId="73BFDFBD" w14:textId="77777777" w:rsidR="00895B38" w:rsidRDefault="00F06338" w:rsidP="00EB54FD">
            <w:r w:rsidRPr="00EB54FD">
              <w:t>Learning outcomes vary across services, limiting recognition.</w:t>
            </w:r>
          </w:p>
        </w:tc>
        <w:tc>
          <w:tcPr>
            <w:tcW w:w="3623" w:type="dxa"/>
          </w:tcPr>
          <w:p w14:paraId="22F755DD" w14:textId="77777777" w:rsidR="00D35807" w:rsidRPr="00EB54FD" w:rsidRDefault="00D35807" w:rsidP="006E1DB3">
            <w:pPr>
              <w:pStyle w:val="ListParagraph"/>
              <w:numPr>
                <w:ilvl w:val="0"/>
                <w:numId w:val="12"/>
              </w:numPr>
              <w:ind w:left="180" w:hanging="218"/>
            </w:pPr>
            <w:r w:rsidRPr="00EB54FD">
              <w:t>Use statewide learning outcomes for priority topics and modules.</w:t>
            </w:r>
          </w:p>
          <w:p w14:paraId="05A5D109" w14:textId="77777777" w:rsidR="00D35807" w:rsidRPr="00EB54FD" w:rsidRDefault="00D35807" w:rsidP="006E1DB3">
            <w:pPr>
              <w:pStyle w:val="ListParagraph"/>
              <w:numPr>
                <w:ilvl w:val="0"/>
                <w:numId w:val="12"/>
              </w:numPr>
              <w:ind w:left="180" w:hanging="218"/>
            </w:pPr>
            <w:r w:rsidRPr="00EB54FD">
              <w:t>Engage SMEs to review existing content against statewide outcomes.</w:t>
            </w:r>
          </w:p>
          <w:p w14:paraId="45510044" w14:textId="77777777" w:rsidR="00895B38" w:rsidRPr="00EB54FD" w:rsidRDefault="00D35807" w:rsidP="006E1DB3">
            <w:pPr>
              <w:pStyle w:val="ListParagraph"/>
              <w:numPr>
                <w:ilvl w:val="0"/>
                <w:numId w:val="12"/>
              </w:numPr>
              <w:ind w:left="180" w:hanging="218"/>
            </w:pPr>
            <w:r w:rsidRPr="00EB54FD">
              <w:t>Update or refine content where gaps or misalignment are identified.</w:t>
            </w:r>
          </w:p>
        </w:tc>
      </w:tr>
      <w:tr w:rsidR="00895B38" w14:paraId="14AA15F6" w14:textId="77777777" w:rsidTr="00EB54FD">
        <w:tc>
          <w:tcPr>
            <w:tcW w:w="2547" w:type="dxa"/>
          </w:tcPr>
          <w:p w14:paraId="1539A354" w14:textId="77777777" w:rsidR="00895B38" w:rsidRDefault="00F170F6" w:rsidP="00EB54FD">
            <w:r w:rsidRPr="00F170F6">
              <w:t>Align on training design and assessment</w:t>
            </w:r>
          </w:p>
        </w:tc>
        <w:tc>
          <w:tcPr>
            <w:tcW w:w="3118" w:type="dxa"/>
          </w:tcPr>
          <w:p w14:paraId="5F3B95F8" w14:textId="77777777" w:rsidR="00895B38" w:rsidRDefault="00F06338" w:rsidP="00EB54FD">
            <w:r w:rsidRPr="00EB54FD">
              <w:t>Inconsistent training design affects learner engagement and RPL eligibility.</w:t>
            </w:r>
          </w:p>
        </w:tc>
        <w:tc>
          <w:tcPr>
            <w:tcW w:w="3623" w:type="dxa"/>
          </w:tcPr>
          <w:p w14:paraId="0BF53DBD" w14:textId="77777777" w:rsidR="00A12907" w:rsidRPr="00EB54FD" w:rsidRDefault="00A12907" w:rsidP="006E1DB3">
            <w:pPr>
              <w:pStyle w:val="ListParagraph"/>
              <w:numPr>
                <w:ilvl w:val="0"/>
                <w:numId w:val="12"/>
              </w:numPr>
              <w:ind w:left="180" w:hanging="218"/>
            </w:pPr>
            <w:r w:rsidRPr="00EB54FD">
              <w:t>Adopt a competency</w:t>
            </w:r>
            <w:r w:rsidRPr="00EB54FD">
              <w:noBreakHyphen/>
              <w:t>based, mastery</w:t>
            </w:r>
            <w:r w:rsidRPr="00EB54FD">
              <w:noBreakHyphen/>
              <w:t>learning approach.</w:t>
            </w:r>
          </w:p>
          <w:p w14:paraId="5A4E2BB0" w14:textId="77777777" w:rsidR="00A12907" w:rsidRPr="00EB54FD" w:rsidRDefault="00A12907" w:rsidP="006E1DB3">
            <w:pPr>
              <w:pStyle w:val="ListParagraph"/>
              <w:numPr>
                <w:ilvl w:val="0"/>
                <w:numId w:val="12"/>
              </w:numPr>
              <w:ind w:left="180" w:hanging="218"/>
            </w:pPr>
            <w:r w:rsidRPr="00EB54FD">
              <w:t>Use assessment as both a precheck and a final check.</w:t>
            </w:r>
          </w:p>
          <w:p w14:paraId="03EEE957" w14:textId="77777777" w:rsidR="00A12907" w:rsidRPr="00EB54FD" w:rsidRDefault="00A12907" w:rsidP="006E1DB3">
            <w:pPr>
              <w:pStyle w:val="ListParagraph"/>
              <w:numPr>
                <w:ilvl w:val="0"/>
                <w:numId w:val="12"/>
              </w:numPr>
              <w:ind w:left="180" w:hanging="218"/>
            </w:pPr>
            <w:r w:rsidRPr="00EB54FD">
              <w:t>Unlock required sections based on competency (where LMS capability exists).</w:t>
            </w:r>
          </w:p>
          <w:p w14:paraId="7F7A5F61" w14:textId="77777777" w:rsidR="00895B38" w:rsidRDefault="00A12907" w:rsidP="006E1DB3">
            <w:pPr>
              <w:pStyle w:val="ListParagraph"/>
              <w:numPr>
                <w:ilvl w:val="0"/>
                <w:numId w:val="12"/>
              </w:numPr>
              <w:ind w:left="180" w:hanging="218"/>
            </w:pPr>
            <w:r w:rsidRPr="00EB54FD">
              <w:t>Provide actionable feedback and link to job aids.</w:t>
            </w:r>
          </w:p>
        </w:tc>
      </w:tr>
      <w:tr w:rsidR="00895B38" w14:paraId="1600097B" w14:textId="77777777" w:rsidTr="00EB54FD">
        <w:tc>
          <w:tcPr>
            <w:tcW w:w="2547" w:type="dxa"/>
          </w:tcPr>
          <w:p w14:paraId="5C192C72" w14:textId="77777777" w:rsidR="00895B38" w:rsidRDefault="009B0AB1" w:rsidP="00EB54FD">
            <w:r w:rsidRPr="009B0AB1">
              <w:t>Align on frequency of training</w:t>
            </w:r>
          </w:p>
        </w:tc>
        <w:tc>
          <w:tcPr>
            <w:tcW w:w="3118" w:type="dxa"/>
          </w:tcPr>
          <w:p w14:paraId="4CCB0674" w14:textId="77777777" w:rsidR="00895B38" w:rsidRDefault="0047729D" w:rsidP="00EB54FD">
            <w:r w:rsidRPr="00EB54FD">
              <w:t>Training frequency differs, creating barriers to mutual recognition.</w:t>
            </w:r>
          </w:p>
        </w:tc>
        <w:tc>
          <w:tcPr>
            <w:tcW w:w="3623" w:type="dxa"/>
          </w:tcPr>
          <w:p w14:paraId="23C35F58" w14:textId="77777777" w:rsidR="00E20DC9" w:rsidRPr="00EB54FD" w:rsidRDefault="00E20DC9" w:rsidP="006E1DB3">
            <w:pPr>
              <w:pStyle w:val="ListParagraph"/>
              <w:numPr>
                <w:ilvl w:val="0"/>
                <w:numId w:val="12"/>
              </w:numPr>
              <w:ind w:left="180" w:hanging="218"/>
            </w:pPr>
            <w:r w:rsidRPr="00EB54FD">
              <w:t>Adhere to legislative/accreditation requirements.</w:t>
            </w:r>
          </w:p>
          <w:p w14:paraId="192D6639" w14:textId="77777777" w:rsidR="00E20DC9" w:rsidRPr="00EB54FD" w:rsidRDefault="00E20DC9" w:rsidP="006E1DB3">
            <w:pPr>
              <w:pStyle w:val="ListParagraph"/>
              <w:numPr>
                <w:ilvl w:val="0"/>
                <w:numId w:val="12"/>
              </w:numPr>
              <w:ind w:left="180" w:hanging="218"/>
            </w:pPr>
            <w:r w:rsidRPr="00EB54FD">
              <w:t>Assess local risk profile to determine if less frequent training is appropriate.</w:t>
            </w:r>
          </w:p>
          <w:p w14:paraId="7DB75578" w14:textId="77777777" w:rsidR="00E20DC9" w:rsidRPr="00EB54FD" w:rsidRDefault="00E20DC9" w:rsidP="006E1DB3">
            <w:pPr>
              <w:pStyle w:val="ListParagraph"/>
              <w:numPr>
                <w:ilvl w:val="0"/>
                <w:numId w:val="12"/>
              </w:numPr>
              <w:ind w:left="180" w:hanging="218"/>
            </w:pPr>
            <w:r w:rsidRPr="00EB54FD">
              <w:t>Document rationale for training intervals.</w:t>
            </w:r>
          </w:p>
          <w:p w14:paraId="7D56E8B5" w14:textId="77777777" w:rsidR="00E20DC9" w:rsidRPr="00EB54FD" w:rsidRDefault="00E20DC9" w:rsidP="006E1DB3">
            <w:pPr>
              <w:pStyle w:val="ListParagraph"/>
              <w:numPr>
                <w:ilvl w:val="0"/>
                <w:numId w:val="12"/>
              </w:numPr>
              <w:ind w:left="180" w:hanging="218"/>
            </w:pPr>
            <w:r w:rsidRPr="00EB54FD">
              <w:t>Identify opportunities to align frequency across services and networks.</w:t>
            </w:r>
          </w:p>
          <w:p w14:paraId="0A2A5B5F" w14:textId="77777777" w:rsidR="00895B38" w:rsidRDefault="00E20DC9" w:rsidP="006E1DB3">
            <w:pPr>
              <w:pStyle w:val="ListParagraph"/>
              <w:numPr>
                <w:ilvl w:val="0"/>
                <w:numId w:val="12"/>
              </w:numPr>
              <w:ind w:left="180" w:hanging="218"/>
            </w:pPr>
            <w:r w:rsidRPr="00EB54FD">
              <w:t>Review frequency in consultation with partners.</w:t>
            </w:r>
          </w:p>
        </w:tc>
      </w:tr>
      <w:tr w:rsidR="00895B38" w14:paraId="35CA9494" w14:textId="77777777" w:rsidTr="00EB54FD">
        <w:tc>
          <w:tcPr>
            <w:tcW w:w="2547" w:type="dxa"/>
          </w:tcPr>
          <w:p w14:paraId="1A786F7B" w14:textId="77777777" w:rsidR="00895B38" w:rsidRDefault="009B0AB1" w:rsidP="00EB54FD">
            <w:r w:rsidRPr="00EB54FD">
              <w:t>Implement standardised modules</w:t>
            </w:r>
          </w:p>
        </w:tc>
        <w:tc>
          <w:tcPr>
            <w:tcW w:w="3118" w:type="dxa"/>
          </w:tcPr>
          <w:p w14:paraId="19597337" w14:textId="77777777" w:rsidR="00895B38" w:rsidRDefault="0047729D" w:rsidP="00EB54FD">
            <w:r w:rsidRPr="00EB54FD">
              <w:t>There is currently limited standardisation of topics and modules with services using different content for the same learning outcomes.</w:t>
            </w:r>
          </w:p>
        </w:tc>
        <w:tc>
          <w:tcPr>
            <w:tcW w:w="3623" w:type="dxa"/>
          </w:tcPr>
          <w:p w14:paraId="17A5BAEE" w14:textId="77777777" w:rsidR="000837E8" w:rsidRPr="000837E8" w:rsidRDefault="000837E8" w:rsidP="006E1DB3">
            <w:pPr>
              <w:pStyle w:val="ListParagraph"/>
              <w:numPr>
                <w:ilvl w:val="0"/>
                <w:numId w:val="12"/>
              </w:numPr>
              <w:ind w:left="180" w:hanging="218"/>
            </w:pPr>
            <w:r w:rsidRPr="000837E8">
              <w:t xml:space="preserve">Identify opportunities to adopt standardised topics and modules. </w:t>
            </w:r>
          </w:p>
          <w:p w14:paraId="4C010DE8" w14:textId="77777777" w:rsidR="000837E8" w:rsidRPr="000837E8" w:rsidRDefault="000837E8" w:rsidP="006E1DB3">
            <w:pPr>
              <w:pStyle w:val="ListParagraph"/>
              <w:numPr>
                <w:ilvl w:val="0"/>
                <w:numId w:val="12"/>
              </w:numPr>
              <w:ind w:left="180" w:hanging="218"/>
            </w:pPr>
            <w:r w:rsidRPr="000837E8">
              <w:t>Use standard agreements to support content sharing.</w:t>
            </w:r>
          </w:p>
          <w:p w14:paraId="5F7F6821" w14:textId="77777777" w:rsidR="00895B38" w:rsidRDefault="000837E8" w:rsidP="006E1DB3">
            <w:pPr>
              <w:pStyle w:val="ListParagraph"/>
              <w:numPr>
                <w:ilvl w:val="0"/>
                <w:numId w:val="12"/>
              </w:numPr>
              <w:ind w:left="180" w:hanging="218"/>
            </w:pPr>
            <w:r w:rsidRPr="000837E8">
              <w:t>Use editable SCORM packages to enable site-specific adaptation.</w:t>
            </w:r>
          </w:p>
        </w:tc>
      </w:tr>
      <w:tr w:rsidR="00895B38" w14:paraId="338196BB" w14:textId="77777777" w:rsidTr="00EB54FD">
        <w:tc>
          <w:tcPr>
            <w:tcW w:w="2547" w:type="dxa"/>
          </w:tcPr>
          <w:p w14:paraId="37B2BC65" w14:textId="77777777" w:rsidR="00895B38" w:rsidRDefault="009B0AB1" w:rsidP="00EB54FD">
            <w:r w:rsidRPr="00EB54FD">
              <w:t>Implement automated RPL processes</w:t>
            </w:r>
          </w:p>
        </w:tc>
        <w:tc>
          <w:tcPr>
            <w:tcW w:w="3118" w:type="dxa"/>
          </w:tcPr>
          <w:p w14:paraId="5EF2453B" w14:textId="77777777" w:rsidR="00895B38" w:rsidRDefault="0047729D" w:rsidP="00EB54FD">
            <w:r w:rsidRPr="00EB54FD">
              <w:t>RPL is currently manual and time-consuming, with limited automation and partnership between services.</w:t>
            </w:r>
          </w:p>
        </w:tc>
        <w:tc>
          <w:tcPr>
            <w:tcW w:w="3623" w:type="dxa"/>
          </w:tcPr>
          <w:p w14:paraId="0F56E0C6" w14:textId="77777777" w:rsidR="000837E8" w:rsidRPr="000837E8" w:rsidRDefault="000837E8" w:rsidP="006E1DB3">
            <w:pPr>
              <w:pStyle w:val="ListParagraph"/>
              <w:numPr>
                <w:ilvl w:val="0"/>
                <w:numId w:val="12"/>
              </w:numPr>
              <w:ind w:left="180" w:hanging="218"/>
            </w:pPr>
            <w:r w:rsidRPr="000837E8">
              <w:t>Identify opportunities to partner with other services and networks to automate RPL.</w:t>
            </w:r>
          </w:p>
          <w:p w14:paraId="12F9B478" w14:textId="77777777" w:rsidR="000837E8" w:rsidRPr="000837E8" w:rsidRDefault="000837E8" w:rsidP="006E1DB3">
            <w:pPr>
              <w:pStyle w:val="ListParagraph"/>
              <w:numPr>
                <w:ilvl w:val="0"/>
                <w:numId w:val="12"/>
              </w:numPr>
              <w:ind w:left="180" w:hanging="218"/>
            </w:pPr>
            <w:r w:rsidRPr="000837E8">
              <w:t>Establish governance to support RPL automation.</w:t>
            </w:r>
          </w:p>
          <w:p w14:paraId="108D1D56" w14:textId="77777777" w:rsidR="000837E8" w:rsidRPr="000837E8" w:rsidRDefault="000837E8" w:rsidP="006E1DB3">
            <w:pPr>
              <w:pStyle w:val="ListParagraph"/>
              <w:numPr>
                <w:ilvl w:val="0"/>
                <w:numId w:val="12"/>
              </w:numPr>
              <w:ind w:left="180" w:hanging="218"/>
            </w:pPr>
            <w:r w:rsidRPr="000837E8">
              <w:t>Review LMS functionality to support RPL workflows.</w:t>
            </w:r>
          </w:p>
          <w:p w14:paraId="10AB397F" w14:textId="77777777" w:rsidR="000837E8" w:rsidRPr="000837E8" w:rsidRDefault="000837E8" w:rsidP="006E1DB3">
            <w:pPr>
              <w:pStyle w:val="ListParagraph"/>
              <w:numPr>
                <w:ilvl w:val="0"/>
                <w:numId w:val="12"/>
              </w:numPr>
              <w:ind w:left="180" w:hanging="218"/>
            </w:pPr>
            <w:r w:rsidRPr="000837E8">
              <w:t>Implement automation where feasible to reduce manual effort.</w:t>
            </w:r>
          </w:p>
          <w:p w14:paraId="13C97B08" w14:textId="77777777" w:rsidR="00895B38" w:rsidRDefault="000837E8" w:rsidP="006E1DB3">
            <w:pPr>
              <w:pStyle w:val="ListParagraph"/>
              <w:numPr>
                <w:ilvl w:val="0"/>
                <w:numId w:val="12"/>
              </w:numPr>
              <w:ind w:left="180" w:hanging="218"/>
            </w:pPr>
            <w:r w:rsidRPr="000837E8">
              <w:lastRenderedPageBreak/>
              <w:t>Communicate key messages to staff on RPL process and responsibilities.</w:t>
            </w:r>
          </w:p>
        </w:tc>
      </w:tr>
      <w:tr w:rsidR="009B0AB1" w14:paraId="54C8D659" w14:textId="77777777" w:rsidTr="00EB54FD">
        <w:tc>
          <w:tcPr>
            <w:tcW w:w="2547" w:type="dxa"/>
          </w:tcPr>
          <w:p w14:paraId="0D805FF3" w14:textId="77777777" w:rsidR="009B0AB1" w:rsidRPr="009B0AB1" w:rsidRDefault="00F06338" w:rsidP="00EB54FD">
            <w:r w:rsidRPr="00F06338">
              <w:lastRenderedPageBreak/>
              <w:t>Integrate with statewide digital solution</w:t>
            </w:r>
          </w:p>
        </w:tc>
        <w:tc>
          <w:tcPr>
            <w:tcW w:w="3118" w:type="dxa"/>
          </w:tcPr>
          <w:p w14:paraId="10EDA2DB" w14:textId="77777777" w:rsidR="009B0AB1" w:rsidRDefault="0047729D" w:rsidP="00EB54FD">
            <w:r w:rsidRPr="00EB54FD">
              <w:rPr>
                <w:lang w:val="en-US"/>
              </w:rPr>
              <w:t>Integration with statewide platforms supports shared content, records, and automated RPL.</w:t>
            </w:r>
          </w:p>
        </w:tc>
        <w:tc>
          <w:tcPr>
            <w:tcW w:w="3623" w:type="dxa"/>
          </w:tcPr>
          <w:p w14:paraId="078D5A2B" w14:textId="77777777" w:rsidR="009B0AB1" w:rsidRDefault="00F91282" w:rsidP="006E1DB3">
            <w:pPr>
              <w:pStyle w:val="ListParagraph"/>
              <w:numPr>
                <w:ilvl w:val="0"/>
                <w:numId w:val="12"/>
              </w:numPr>
              <w:ind w:left="180" w:hanging="218"/>
            </w:pPr>
            <w:r w:rsidRPr="00F91282">
              <w:t>Dependent on government priorities and funding.</w:t>
            </w:r>
          </w:p>
        </w:tc>
      </w:tr>
    </w:tbl>
    <w:p w14:paraId="4AD20644" w14:textId="77777777" w:rsidR="003A2DC1" w:rsidRPr="003A2DC1" w:rsidRDefault="003A2DC1" w:rsidP="0098427D">
      <w:pPr>
        <w:pStyle w:val="Body"/>
        <w:rPr>
          <w:lang w:val="en-US"/>
        </w:rPr>
      </w:pPr>
      <w:r w:rsidRPr="003A2DC1">
        <w:rPr>
          <w:lang w:val="en-US"/>
        </w:rPr>
        <w:t> </w:t>
      </w:r>
    </w:p>
    <w:p w14:paraId="05510A1D" w14:textId="7AB29930" w:rsidR="003A2DC1" w:rsidRPr="00A86061" w:rsidRDefault="003A2DC1" w:rsidP="00A86061">
      <w:pPr>
        <w:pStyle w:val="Heading1"/>
      </w:pPr>
      <w:bookmarkStart w:id="31" w:name="_Toc233880790"/>
      <w:r w:rsidRPr="003A2DC1">
        <w:rPr>
          <w:b/>
        </w:rPr>
        <w:t>Part B</w:t>
      </w:r>
      <w:r w:rsidR="00F91282">
        <w:t xml:space="preserve"> – </w:t>
      </w:r>
      <w:r w:rsidRPr="003A2DC1">
        <w:t>Detailed learning outcomes</w:t>
      </w:r>
      <w:bookmarkEnd w:id="31"/>
    </w:p>
    <w:p w14:paraId="10FDA7A5" w14:textId="77777777" w:rsidR="003A2DC1" w:rsidRPr="003A2DC1" w:rsidRDefault="003A2DC1" w:rsidP="00A86061">
      <w:pPr>
        <w:pStyle w:val="Heading2"/>
      </w:pPr>
      <w:bookmarkStart w:id="32" w:name="_Toc233880791"/>
      <w:r w:rsidRPr="003A2DC1">
        <w:t>Introduction</w:t>
      </w:r>
      <w:bookmarkEnd w:id="32"/>
    </w:p>
    <w:p w14:paraId="20122C2B" w14:textId="77777777" w:rsidR="00A86061" w:rsidRPr="003A2DC1" w:rsidRDefault="00A86061" w:rsidP="00A86061">
      <w:pPr>
        <w:pStyle w:val="Heading4"/>
      </w:pPr>
      <w:r w:rsidRPr="003A2DC1">
        <w:t>Statewide learning outcomes</w:t>
      </w:r>
    </w:p>
    <w:p w14:paraId="74353F84" w14:textId="77777777" w:rsidR="00A86061" w:rsidRPr="00A86061" w:rsidRDefault="00A86061" w:rsidP="00A86061">
      <w:pPr>
        <w:pStyle w:val="Body"/>
      </w:pPr>
      <w:r w:rsidRPr="00A86061">
        <w:t>The following topics were selected as they are required for all health professions and are expected to have the most significant impact on the sector.</w:t>
      </w:r>
    </w:p>
    <w:p w14:paraId="39D29940" w14:textId="77777777" w:rsidR="00A86061" w:rsidRPr="00A86061" w:rsidRDefault="00A86061" w:rsidP="00A86061">
      <w:pPr>
        <w:pStyle w:val="Bullet1"/>
      </w:pPr>
      <w:r w:rsidRPr="00A86061">
        <w:t>Hand hygiene</w:t>
      </w:r>
    </w:p>
    <w:p w14:paraId="5F4DEE1C" w14:textId="77777777" w:rsidR="00A86061" w:rsidRPr="00A86061" w:rsidRDefault="00A86061" w:rsidP="00A86061">
      <w:pPr>
        <w:pStyle w:val="Bullet1"/>
      </w:pPr>
      <w:r w:rsidRPr="00A86061">
        <w:t>Cybersecurity</w:t>
      </w:r>
    </w:p>
    <w:p w14:paraId="4BB49B69" w14:textId="77777777" w:rsidR="00A86061" w:rsidRPr="00A86061" w:rsidRDefault="00A86061" w:rsidP="00A86061">
      <w:pPr>
        <w:pStyle w:val="Bullet1"/>
      </w:pPr>
      <w:r w:rsidRPr="00A86061">
        <w:t>Occupational violence and aggression</w:t>
      </w:r>
    </w:p>
    <w:p w14:paraId="6ABAF2EB" w14:textId="77777777" w:rsidR="00A86061" w:rsidRPr="00A86061" w:rsidRDefault="00A86061" w:rsidP="00A86061">
      <w:pPr>
        <w:pStyle w:val="Bullet1"/>
      </w:pPr>
      <w:r w:rsidRPr="00A86061">
        <w:t>Occupational health and safety</w:t>
      </w:r>
    </w:p>
    <w:p w14:paraId="2106112B" w14:textId="77777777" w:rsidR="00A86061" w:rsidRPr="00A86061" w:rsidRDefault="00A86061" w:rsidP="00A86061">
      <w:pPr>
        <w:pStyle w:val="Bullet1"/>
      </w:pPr>
      <w:r w:rsidRPr="00A86061">
        <w:t>Manual handling</w:t>
      </w:r>
    </w:p>
    <w:p w14:paraId="00CD5267" w14:textId="77777777" w:rsidR="00A86061" w:rsidRPr="00A86061" w:rsidRDefault="00A86061" w:rsidP="00A86061">
      <w:pPr>
        <w:pStyle w:val="Bullet1"/>
      </w:pPr>
      <w:r w:rsidRPr="00A86061">
        <w:t>Respectful workplace behaviours</w:t>
      </w:r>
    </w:p>
    <w:p w14:paraId="2EBE0064" w14:textId="77777777" w:rsidR="00A86061" w:rsidRPr="003A2DC1" w:rsidRDefault="00A86061" w:rsidP="002A5651">
      <w:pPr>
        <w:pStyle w:val="Heading4"/>
      </w:pPr>
      <w:r w:rsidRPr="003A2DC1">
        <w:t>Who they are for</w:t>
      </w:r>
    </w:p>
    <w:p w14:paraId="6E1525C0" w14:textId="77777777" w:rsidR="003A2DC1" w:rsidRPr="002A5651" w:rsidRDefault="003A2DC1" w:rsidP="002A5651">
      <w:pPr>
        <w:pStyle w:val="Body"/>
      </w:pPr>
      <w:r w:rsidRPr="002A5651">
        <w:t>The learning outcomes are designed for healthcare professionals working in public health services.</w:t>
      </w:r>
    </w:p>
    <w:p w14:paraId="3C563B86" w14:textId="77777777" w:rsidR="003A2DC1" w:rsidRPr="002A5651" w:rsidRDefault="003A2DC1" w:rsidP="002A5651">
      <w:pPr>
        <w:pStyle w:val="Body"/>
      </w:pPr>
      <w:r w:rsidRPr="002A5651">
        <w:t>They cover the minimum level of knowledge and competency required in the workplace for all health professionals.</w:t>
      </w:r>
    </w:p>
    <w:p w14:paraId="5336586C" w14:textId="77777777" w:rsidR="003A2DC1" w:rsidRPr="002A5651" w:rsidRDefault="003A2DC1" w:rsidP="002A5651">
      <w:pPr>
        <w:pStyle w:val="Body"/>
      </w:pPr>
      <w:r w:rsidRPr="002A5651">
        <w:t>The learning outcomes will not be sufficient for all people in all areas. They do not cover the additional requirements for leaders and managers and for people with specialist roles or working in specialist areas.</w:t>
      </w:r>
    </w:p>
    <w:p w14:paraId="09AF245F" w14:textId="661FD2FC" w:rsidR="003A2DC1" w:rsidRPr="002A5651" w:rsidRDefault="003A2DC1" w:rsidP="0098427D">
      <w:pPr>
        <w:pStyle w:val="Body"/>
      </w:pPr>
      <w:r w:rsidRPr="002A5651">
        <w:t>Health services may need to supplement their training with additional, tailored content specific to the organisation, setting, and role.</w:t>
      </w:r>
    </w:p>
    <w:p w14:paraId="1F130CC2" w14:textId="77777777" w:rsidR="003A2DC1" w:rsidRPr="003A2DC1" w:rsidRDefault="003A2DC1" w:rsidP="00442278">
      <w:pPr>
        <w:pStyle w:val="Heading2"/>
      </w:pPr>
      <w:bookmarkStart w:id="33" w:name="_Toc233880792"/>
      <w:r w:rsidRPr="003A2DC1">
        <w:t>Hand hygiene – Learning outcomes</w:t>
      </w:r>
      <w:bookmarkEnd w:id="33"/>
    </w:p>
    <w:p w14:paraId="16A5DCBB" w14:textId="77777777" w:rsidR="003A2DC1" w:rsidRPr="003A2DC1" w:rsidRDefault="003A2DC1" w:rsidP="0098427D">
      <w:pPr>
        <w:pStyle w:val="Body"/>
      </w:pPr>
      <w:r w:rsidRPr="003A2DC1">
        <w:rPr>
          <w:i/>
          <w:iCs/>
        </w:rPr>
        <w:t>At the end of this topic/module, you should be able to:</w:t>
      </w:r>
    </w:p>
    <w:p w14:paraId="74119F43" w14:textId="77777777" w:rsidR="003A2DC1" w:rsidRPr="003A2DC1" w:rsidRDefault="003A2DC1" w:rsidP="0098427D">
      <w:pPr>
        <w:pStyle w:val="Body"/>
      </w:pPr>
      <w:r w:rsidRPr="003A2DC1">
        <w:rPr>
          <w:b/>
          <w:bCs/>
        </w:rPr>
        <w:t>1. Understand the role of hand hygiene in preventing healthcare-associated infections</w:t>
      </w:r>
    </w:p>
    <w:p w14:paraId="6317C96B" w14:textId="77777777" w:rsidR="003A2DC1" w:rsidRPr="003A2DC1" w:rsidRDefault="003A2DC1" w:rsidP="0098427D">
      <w:pPr>
        <w:pStyle w:val="Body"/>
      </w:pPr>
      <w:r w:rsidRPr="003A2DC1">
        <w:t>1.1: Explain how hand hygiene helps stop the spread of pathogens.</w:t>
      </w:r>
    </w:p>
    <w:p w14:paraId="22970648" w14:textId="77777777" w:rsidR="003A2DC1" w:rsidRPr="003A2DC1" w:rsidRDefault="003A2DC1" w:rsidP="0098427D">
      <w:pPr>
        <w:pStyle w:val="Body"/>
      </w:pPr>
      <w:r w:rsidRPr="003A2DC1">
        <w:t>1.2: Describe how healthcare-associated infections affect patients and healthcare systems.</w:t>
      </w:r>
    </w:p>
    <w:p w14:paraId="16D8CE07" w14:textId="77777777" w:rsidR="003A2DC1" w:rsidRPr="003A2DC1" w:rsidRDefault="003A2DC1" w:rsidP="0098427D">
      <w:pPr>
        <w:pStyle w:val="Body"/>
      </w:pPr>
      <w:r w:rsidRPr="003A2DC1">
        <w:t>1.3: Identify the role of healthcare workers in preventing the spread of pathogens through hand hygiene.</w:t>
      </w:r>
    </w:p>
    <w:p w14:paraId="16649C2A" w14:textId="77777777" w:rsidR="003A2DC1" w:rsidRPr="003A2DC1" w:rsidRDefault="003A2DC1" w:rsidP="0098427D">
      <w:pPr>
        <w:pStyle w:val="Body"/>
      </w:pPr>
      <w:r w:rsidRPr="003A2DC1">
        <w:rPr>
          <w:b/>
          <w:bCs/>
        </w:rPr>
        <w:t>2. Recognise when and where hand hygiene is required</w:t>
      </w:r>
    </w:p>
    <w:p w14:paraId="2CC7C4E3" w14:textId="77777777" w:rsidR="003A2DC1" w:rsidRPr="003A2DC1" w:rsidRDefault="003A2DC1" w:rsidP="0098427D">
      <w:pPr>
        <w:pStyle w:val="Body"/>
      </w:pPr>
      <w:r w:rsidRPr="003A2DC1">
        <w:lastRenderedPageBreak/>
        <w:t>2.1: Explain the difference between patient zones and healthcare zones and identify when hand hygiene should be performed in each.</w:t>
      </w:r>
    </w:p>
    <w:p w14:paraId="06D8F2D6" w14:textId="77777777" w:rsidR="003A2DC1" w:rsidRPr="003A2DC1" w:rsidRDefault="003A2DC1" w:rsidP="0098427D">
      <w:pPr>
        <w:pStyle w:val="Body"/>
      </w:pPr>
      <w:r w:rsidRPr="003A2DC1">
        <w:t>2.2: Identify the ‘5 Moments for Hand Hygiene’ and explain their significance in both clinical and non-clinical practice.</w:t>
      </w:r>
    </w:p>
    <w:p w14:paraId="4BE8C253" w14:textId="77777777" w:rsidR="003A2DC1" w:rsidRPr="003A2DC1" w:rsidRDefault="003A2DC1" w:rsidP="0098427D">
      <w:pPr>
        <w:pStyle w:val="Body"/>
      </w:pPr>
      <w:r w:rsidRPr="003A2DC1">
        <w:t>2.3: Recognise the activities and situations that require hand hygiene, including handling equipment, PPE, and contaminated items.</w:t>
      </w:r>
    </w:p>
    <w:p w14:paraId="3B73C80A" w14:textId="77777777" w:rsidR="003A2DC1" w:rsidRPr="003A2DC1" w:rsidRDefault="003A2DC1" w:rsidP="0098427D">
      <w:pPr>
        <w:pStyle w:val="Body"/>
      </w:pPr>
      <w:r w:rsidRPr="003A2DC1">
        <w:rPr>
          <w:b/>
          <w:bCs/>
        </w:rPr>
        <w:t>3. Understand how to perform hand hygiene effectively</w:t>
      </w:r>
    </w:p>
    <w:p w14:paraId="63CDF1F6" w14:textId="77777777" w:rsidR="003A2DC1" w:rsidRPr="003A2DC1" w:rsidRDefault="003A2DC1" w:rsidP="0098427D">
      <w:pPr>
        <w:pStyle w:val="Body"/>
      </w:pPr>
      <w:r w:rsidRPr="003A2DC1">
        <w:t>3.1: Describe the correct technique for using alcohol-based handrub and washing with soap and water.</w:t>
      </w:r>
    </w:p>
    <w:p w14:paraId="6EC84B66" w14:textId="77777777" w:rsidR="003A2DC1" w:rsidRPr="003A2DC1" w:rsidRDefault="003A2DC1" w:rsidP="0098427D">
      <w:pPr>
        <w:pStyle w:val="Body"/>
      </w:pPr>
      <w:r w:rsidRPr="003A2DC1">
        <w:t>3.2: Identify the situations where soap and water should be used instead of alcohol based handrub.</w:t>
      </w:r>
    </w:p>
    <w:p w14:paraId="15016A83" w14:textId="77777777" w:rsidR="003A2DC1" w:rsidRPr="003A2DC1" w:rsidRDefault="003A2DC1" w:rsidP="0098427D">
      <w:pPr>
        <w:pStyle w:val="Body"/>
      </w:pPr>
      <w:r w:rsidRPr="003A2DC1">
        <w:t>3.3: Explain why thorough hand drying and proper skincare are essential for effective hand hygiene.</w:t>
      </w:r>
    </w:p>
    <w:p w14:paraId="725FF123" w14:textId="77777777" w:rsidR="003A2DC1" w:rsidRPr="003A2DC1" w:rsidRDefault="003A2DC1" w:rsidP="0098427D">
      <w:pPr>
        <w:pStyle w:val="Body"/>
      </w:pPr>
      <w:r w:rsidRPr="003A2DC1">
        <w:rPr>
          <w:b/>
          <w:bCs/>
        </w:rPr>
        <w:t>4. Apply personal and environmental practices that support hand hygiene</w:t>
      </w:r>
    </w:p>
    <w:p w14:paraId="65B2CBD7" w14:textId="77777777" w:rsidR="003A2DC1" w:rsidRPr="003A2DC1" w:rsidRDefault="003A2DC1" w:rsidP="0098427D">
      <w:pPr>
        <w:pStyle w:val="Body"/>
      </w:pPr>
      <w:r w:rsidRPr="003A2DC1">
        <w:t>4.1: Describe the concept of “bare below the elbows” and its role in improving hand hygiene.</w:t>
      </w:r>
    </w:p>
    <w:p w14:paraId="1742E853" w14:textId="77777777" w:rsidR="003A2DC1" w:rsidRPr="003A2DC1" w:rsidRDefault="003A2DC1" w:rsidP="0098427D">
      <w:pPr>
        <w:pStyle w:val="Body"/>
      </w:pPr>
      <w:r w:rsidRPr="003A2DC1">
        <w:t>4.2: Identify how clothing, jewellery, and nail treatments can affect hand hygiene effectiveness.</w:t>
      </w:r>
    </w:p>
    <w:p w14:paraId="7CD77D3C" w14:textId="77777777" w:rsidR="003A2DC1" w:rsidRPr="003A2DC1" w:rsidRDefault="003A2DC1" w:rsidP="0098427D">
      <w:pPr>
        <w:pStyle w:val="Body"/>
      </w:pPr>
      <w:r w:rsidRPr="003A2DC1">
        <w:t>4.3: Explain how to ensure hand hygiene products are accessible and used appropriately in the workplace.</w:t>
      </w:r>
    </w:p>
    <w:p w14:paraId="71EC52C4" w14:textId="77777777" w:rsidR="003A2DC1" w:rsidRPr="003A2DC1" w:rsidRDefault="003A2DC1" w:rsidP="0098427D">
      <w:pPr>
        <w:pStyle w:val="Body"/>
      </w:pPr>
      <w:r w:rsidRPr="003A2DC1">
        <w:t>4.4: Describe correct glove use, including when gloves should be changed.</w:t>
      </w:r>
    </w:p>
    <w:p w14:paraId="12301FAB" w14:textId="77777777" w:rsidR="003A2DC1" w:rsidRPr="003A2DC1" w:rsidRDefault="003A2DC1" w:rsidP="0098427D">
      <w:pPr>
        <w:pStyle w:val="Body"/>
      </w:pPr>
      <w:r w:rsidRPr="003A2DC1">
        <w:t>4.5: Explain the appropriate management of skin problems on hands.</w:t>
      </w:r>
    </w:p>
    <w:p w14:paraId="5B3B9D57" w14:textId="77777777" w:rsidR="003A2DC1" w:rsidRPr="003A2DC1" w:rsidRDefault="003A2DC1" w:rsidP="0098427D">
      <w:pPr>
        <w:pStyle w:val="Body"/>
      </w:pPr>
      <w:r w:rsidRPr="003A2DC1">
        <w:rPr>
          <w:b/>
          <w:bCs/>
        </w:rPr>
        <w:t>5. Understand how hand hygiene is monitored and promoted in healthcare settings</w:t>
      </w:r>
    </w:p>
    <w:p w14:paraId="190FF19E" w14:textId="77777777" w:rsidR="003A2DC1" w:rsidRPr="003A2DC1" w:rsidRDefault="003A2DC1" w:rsidP="0098427D">
      <w:pPr>
        <w:pStyle w:val="Body"/>
      </w:pPr>
      <w:r w:rsidRPr="003A2DC1">
        <w:t>5.1: Describe methods used to monitor hand hygiene compliance, including observation and audits.</w:t>
      </w:r>
    </w:p>
    <w:p w14:paraId="13B4FA2A" w14:textId="77777777" w:rsidR="003A2DC1" w:rsidRPr="003A2DC1" w:rsidRDefault="003A2DC1" w:rsidP="0098427D">
      <w:pPr>
        <w:pStyle w:val="Body"/>
      </w:pPr>
      <w:r w:rsidRPr="003A2DC1">
        <w:t>5.2: Explain how feedback and education support improved hand hygiene practices.</w:t>
      </w:r>
    </w:p>
    <w:p w14:paraId="61BD87D1" w14:textId="25EFAC2E" w:rsidR="003A2DC1" w:rsidRPr="008345A2" w:rsidRDefault="003A2DC1" w:rsidP="0098427D">
      <w:pPr>
        <w:pStyle w:val="Body"/>
      </w:pPr>
      <w:r w:rsidRPr="003A2DC1">
        <w:t>5.3: Identify ways healthcare workers can promote a positive hand hygiene culture within their teams.</w:t>
      </w:r>
    </w:p>
    <w:p w14:paraId="3F10423B" w14:textId="77777777" w:rsidR="003A2DC1" w:rsidRPr="003A2DC1" w:rsidRDefault="003A2DC1" w:rsidP="00442278">
      <w:pPr>
        <w:pStyle w:val="Heading2"/>
      </w:pPr>
      <w:bookmarkStart w:id="34" w:name="_Toc233880793"/>
      <w:r w:rsidRPr="003A2DC1">
        <w:t>Cybersecurity – Learning outcomes</w:t>
      </w:r>
      <w:bookmarkEnd w:id="34"/>
    </w:p>
    <w:p w14:paraId="6A4F8A09" w14:textId="77777777" w:rsidR="003A2DC1" w:rsidRPr="003A2DC1" w:rsidRDefault="003A2DC1" w:rsidP="0098427D">
      <w:pPr>
        <w:pStyle w:val="Body"/>
      </w:pPr>
      <w:r w:rsidRPr="003A2DC1">
        <w:rPr>
          <w:i/>
          <w:iCs/>
        </w:rPr>
        <w:t>At the end of this topic/module, you should be able to:</w:t>
      </w:r>
    </w:p>
    <w:p w14:paraId="086F5C9B" w14:textId="77777777" w:rsidR="003A2DC1" w:rsidRPr="003A2DC1" w:rsidRDefault="003A2DC1" w:rsidP="0098427D">
      <w:pPr>
        <w:pStyle w:val="Body"/>
      </w:pPr>
      <w:r w:rsidRPr="003A2DC1">
        <w:rPr>
          <w:b/>
          <w:bCs/>
        </w:rPr>
        <w:t>1. Understand the importance of cybersecurity in healthcare</w:t>
      </w:r>
    </w:p>
    <w:p w14:paraId="334057EA" w14:textId="77777777" w:rsidR="003A2DC1" w:rsidRPr="003A2DC1" w:rsidRDefault="003A2DC1" w:rsidP="0098427D">
      <w:pPr>
        <w:pStyle w:val="Body"/>
      </w:pPr>
      <w:r w:rsidRPr="003A2DC1">
        <w:t>1.1: Explain the significance of protecting health information and information and communication technology systems.</w:t>
      </w:r>
    </w:p>
    <w:p w14:paraId="467968ED" w14:textId="77777777" w:rsidR="003A2DC1" w:rsidRPr="003A2DC1" w:rsidRDefault="003A2DC1" w:rsidP="0098427D">
      <w:pPr>
        <w:pStyle w:val="Body"/>
      </w:pPr>
      <w:r w:rsidRPr="003A2DC1">
        <w:t>1.2: Identify the legal and ethical responsibilities related to information security.</w:t>
      </w:r>
    </w:p>
    <w:p w14:paraId="3ABB196D" w14:textId="77777777" w:rsidR="003A2DC1" w:rsidRPr="003A2DC1" w:rsidRDefault="003A2DC1" w:rsidP="0098427D">
      <w:pPr>
        <w:pStyle w:val="Body"/>
      </w:pPr>
      <w:r w:rsidRPr="003A2DC1">
        <w:t>1.3: Describe the impact of cybersecurity breaches on patient safety, service delivery, and organisational reputation.</w:t>
      </w:r>
    </w:p>
    <w:p w14:paraId="36CB2F75" w14:textId="77777777" w:rsidR="003A2DC1" w:rsidRPr="003A2DC1" w:rsidRDefault="003A2DC1" w:rsidP="0098427D">
      <w:pPr>
        <w:pStyle w:val="Body"/>
      </w:pPr>
      <w:r w:rsidRPr="003A2DC1">
        <w:rPr>
          <w:b/>
          <w:bCs/>
        </w:rPr>
        <w:t>2. Identify and respond to common cybersecurity threats</w:t>
      </w:r>
    </w:p>
    <w:p w14:paraId="2BE87292" w14:textId="77777777" w:rsidR="003A2DC1" w:rsidRPr="003A2DC1" w:rsidRDefault="003A2DC1" w:rsidP="0098427D">
      <w:pPr>
        <w:pStyle w:val="Body"/>
      </w:pPr>
      <w:r w:rsidRPr="003A2DC1">
        <w:t>2.1: Recognise threats such as phishing, malware, ransomware, social engineering, and spoofing.</w:t>
      </w:r>
    </w:p>
    <w:p w14:paraId="0F80276E" w14:textId="77777777" w:rsidR="003A2DC1" w:rsidRPr="003A2DC1" w:rsidRDefault="003A2DC1" w:rsidP="0098427D">
      <w:pPr>
        <w:pStyle w:val="Body"/>
      </w:pPr>
      <w:r w:rsidRPr="003A2DC1">
        <w:t>2.2: Describe how to detect signs of suspicious emails, websites, and QR codes.</w:t>
      </w:r>
    </w:p>
    <w:p w14:paraId="42755903" w14:textId="77777777" w:rsidR="003A2DC1" w:rsidRPr="003A2DC1" w:rsidRDefault="003A2DC1" w:rsidP="0098427D">
      <w:pPr>
        <w:pStyle w:val="Body"/>
      </w:pPr>
      <w:r w:rsidRPr="003A2DC1">
        <w:t>2.3: Outline appropriate response to suspected threats in line with organisational protocols.</w:t>
      </w:r>
    </w:p>
    <w:p w14:paraId="2AE4AED1" w14:textId="77777777" w:rsidR="003A2DC1" w:rsidRPr="003A2DC1" w:rsidRDefault="003A2DC1" w:rsidP="0098427D">
      <w:pPr>
        <w:pStyle w:val="Body"/>
      </w:pPr>
      <w:r w:rsidRPr="003A2DC1">
        <w:rPr>
          <w:b/>
          <w:bCs/>
        </w:rPr>
        <w:t>3. Apply secure digital practices in daily work</w:t>
      </w:r>
    </w:p>
    <w:p w14:paraId="221362E4" w14:textId="77777777" w:rsidR="003A2DC1" w:rsidRPr="003A2DC1" w:rsidRDefault="003A2DC1" w:rsidP="0098427D">
      <w:pPr>
        <w:pStyle w:val="Body"/>
      </w:pPr>
      <w:r w:rsidRPr="003A2DC1">
        <w:lastRenderedPageBreak/>
        <w:t>3.1: Describe the characteristics of strong, unique passwords or passphrases and how to enable multi-factor authentication.</w:t>
      </w:r>
    </w:p>
    <w:p w14:paraId="5CC58BEF" w14:textId="77777777" w:rsidR="003A2DC1" w:rsidRPr="003A2DC1" w:rsidRDefault="003A2DC1" w:rsidP="0098427D">
      <w:pPr>
        <w:pStyle w:val="Body"/>
      </w:pPr>
      <w:r w:rsidRPr="003A2DC1">
        <w:t>3.2: Identify unsafe behaviours online, such as clicking unknown links or sharing sensitive data via unsecured channels and explain how to avoid them.</w:t>
      </w:r>
    </w:p>
    <w:p w14:paraId="21963820" w14:textId="77777777" w:rsidR="003A2DC1" w:rsidRPr="003A2DC1" w:rsidRDefault="003A2DC1" w:rsidP="0098427D">
      <w:pPr>
        <w:pStyle w:val="Body"/>
      </w:pPr>
      <w:r w:rsidRPr="003A2DC1">
        <w:t>3.3: Explain secure procedures for storing, transmitting, and accessing sensitive information.</w:t>
      </w:r>
    </w:p>
    <w:p w14:paraId="1AF3F779" w14:textId="77777777" w:rsidR="003A2DC1" w:rsidRPr="003A2DC1" w:rsidRDefault="003A2DC1" w:rsidP="0098427D">
      <w:pPr>
        <w:pStyle w:val="Body"/>
      </w:pPr>
      <w:r w:rsidRPr="003A2DC1">
        <w:t>3.4: Explain the appropriate use of artificial intelligence systems in healthcare, including organisational policies and risks.</w:t>
      </w:r>
    </w:p>
    <w:p w14:paraId="1C699A40" w14:textId="77777777" w:rsidR="003A2DC1" w:rsidRPr="003A2DC1" w:rsidRDefault="003A2DC1" w:rsidP="0098427D">
      <w:pPr>
        <w:pStyle w:val="Body"/>
      </w:pPr>
      <w:r w:rsidRPr="003A2DC1">
        <w:t>3.5: Explain the appropriate use of social media in a healthcare context.</w:t>
      </w:r>
    </w:p>
    <w:p w14:paraId="1A4F530F" w14:textId="77777777" w:rsidR="003A2DC1" w:rsidRPr="003A2DC1" w:rsidRDefault="003A2DC1" w:rsidP="0098427D">
      <w:pPr>
        <w:pStyle w:val="Body"/>
      </w:pPr>
      <w:r w:rsidRPr="003A2DC1">
        <w:t>3.6: Explain how to keep your user account secure and not to show or allow others to use your account</w:t>
      </w:r>
    </w:p>
    <w:p w14:paraId="703216B3" w14:textId="77777777" w:rsidR="003A2DC1" w:rsidRPr="003A2DC1" w:rsidRDefault="003A2DC1" w:rsidP="0098427D">
      <w:pPr>
        <w:pStyle w:val="Body"/>
      </w:pPr>
      <w:r w:rsidRPr="003A2DC1">
        <w:rPr>
          <w:b/>
          <w:bCs/>
        </w:rPr>
        <w:t>4. Maintain physical and environmental security of information</w:t>
      </w:r>
    </w:p>
    <w:p w14:paraId="4C9DD054" w14:textId="77777777" w:rsidR="003A2DC1" w:rsidRPr="003A2DC1" w:rsidRDefault="003A2DC1" w:rsidP="0098427D">
      <w:pPr>
        <w:pStyle w:val="Body"/>
      </w:pPr>
      <w:r w:rsidRPr="003A2DC1">
        <w:t>4.1: Identify strategies to secure devices and documents in public and remote work settings.</w:t>
      </w:r>
    </w:p>
    <w:p w14:paraId="5D4E17BB" w14:textId="77777777" w:rsidR="003A2DC1" w:rsidRPr="003A2DC1" w:rsidRDefault="003A2DC1" w:rsidP="0098427D">
      <w:pPr>
        <w:pStyle w:val="Body"/>
      </w:pPr>
      <w:r w:rsidRPr="003A2DC1">
        <w:t>4.2: Describe the importance of locking screens and restricting access to authorised personnel only.</w:t>
      </w:r>
    </w:p>
    <w:p w14:paraId="17F14C62" w14:textId="77777777" w:rsidR="003A2DC1" w:rsidRPr="003A2DC1" w:rsidRDefault="003A2DC1" w:rsidP="0098427D">
      <w:pPr>
        <w:pStyle w:val="Body"/>
      </w:pPr>
      <w:r w:rsidRPr="003A2DC1">
        <w:t>4.3: Outline organisational policies for mobile device use, remote access, and data disposal.</w:t>
      </w:r>
    </w:p>
    <w:p w14:paraId="1F0C1136" w14:textId="77777777" w:rsidR="003A2DC1" w:rsidRPr="003A2DC1" w:rsidRDefault="003A2DC1" w:rsidP="0098427D">
      <w:pPr>
        <w:pStyle w:val="Body"/>
      </w:pPr>
      <w:r w:rsidRPr="003A2DC1">
        <w:rPr>
          <w:b/>
          <w:bCs/>
        </w:rPr>
        <w:t>5. Demonstrate accountability and promote a positive security culture</w:t>
      </w:r>
    </w:p>
    <w:p w14:paraId="2CFD14A4" w14:textId="77777777" w:rsidR="003A2DC1" w:rsidRPr="003A2DC1" w:rsidRDefault="003A2DC1" w:rsidP="0098427D">
      <w:pPr>
        <w:pStyle w:val="Body"/>
      </w:pPr>
      <w:r w:rsidRPr="003A2DC1">
        <w:t>5.1: Describe the process for reporting cybersecurity incidents and data breaches.</w:t>
      </w:r>
    </w:p>
    <w:p w14:paraId="040DB11F" w14:textId="77777777" w:rsidR="003A2DC1" w:rsidRPr="003A2DC1" w:rsidRDefault="003A2DC1" w:rsidP="0098427D">
      <w:pPr>
        <w:pStyle w:val="Body"/>
      </w:pPr>
      <w:r w:rsidRPr="003A2DC1">
        <w:t>5.2: Explain how to stay informed about emerging threats and how to participate in ongoing education.</w:t>
      </w:r>
    </w:p>
    <w:p w14:paraId="5D4C3152" w14:textId="3F564A13" w:rsidR="003A2DC1" w:rsidRPr="00A05016" w:rsidRDefault="003A2DC1" w:rsidP="0098427D">
      <w:pPr>
        <w:pStyle w:val="Body"/>
      </w:pPr>
      <w:r w:rsidRPr="003A2DC1">
        <w:t>5.3: Identify ways to model secure behaviours and encourage cybersecurity awareness among colleagues.</w:t>
      </w:r>
    </w:p>
    <w:p w14:paraId="4240D694" w14:textId="1A882066" w:rsidR="003A2DC1" w:rsidRPr="003A2DC1" w:rsidRDefault="003A2DC1" w:rsidP="00442278">
      <w:pPr>
        <w:pStyle w:val="Heading2"/>
      </w:pPr>
      <w:bookmarkStart w:id="35" w:name="_Toc233880794"/>
      <w:r w:rsidRPr="003A2DC1">
        <w:t>Occupational violence and aggression – Learning outcomes</w:t>
      </w:r>
      <w:bookmarkEnd w:id="35"/>
      <w:r w:rsidRPr="003A2DC1">
        <w:t xml:space="preserve"> </w:t>
      </w:r>
    </w:p>
    <w:p w14:paraId="4C74BD70" w14:textId="77777777" w:rsidR="003A2DC1" w:rsidRPr="003A2DC1" w:rsidRDefault="003A2DC1" w:rsidP="0098427D">
      <w:pPr>
        <w:pStyle w:val="Body"/>
      </w:pPr>
      <w:r w:rsidRPr="003A2DC1">
        <w:rPr>
          <w:i/>
          <w:iCs/>
        </w:rPr>
        <w:t>At the end of this topic/module, you should be able to:</w:t>
      </w:r>
    </w:p>
    <w:p w14:paraId="35944B14" w14:textId="77777777" w:rsidR="003A2DC1" w:rsidRPr="003A2DC1" w:rsidRDefault="003A2DC1" w:rsidP="0098427D">
      <w:pPr>
        <w:pStyle w:val="Body"/>
      </w:pPr>
      <w:r w:rsidRPr="003A2DC1">
        <w:rPr>
          <w:b/>
          <w:bCs/>
        </w:rPr>
        <w:t>1. Identify and assess risk factors for occupational violence and aggression</w:t>
      </w:r>
    </w:p>
    <w:p w14:paraId="15110C7E" w14:textId="77777777" w:rsidR="003A2DC1" w:rsidRPr="003A2DC1" w:rsidRDefault="003A2DC1" w:rsidP="0098427D">
      <w:pPr>
        <w:pStyle w:val="Body"/>
      </w:pPr>
      <w:r w:rsidRPr="003A2DC1">
        <w:t>1.1: Describe causes of distress and aggression in health care settings, including, where applicable, the impact of medical conditions and trauma.</w:t>
      </w:r>
    </w:p>
    <w:p w14:paraId="4A190987" w14:textId="77777777" w:rsidR="003A2DC1" w:rsidRPr="003A2DC1" w:rsidRDefault="003A2DC1" w:rsidP="0098427D">
      <w:pPr>
        <w:pStyle w:val="Body"/>
      </w:pPr>
      <w:r w:rsidRPr="003A2DC1">
        <w:t>1.2: Recognise early verbal and non-verbal signs that may indicate escalating aggression.</w:t>
      </w:r>
    </w:p>
    <w:p w14:paraId="3D8F4C05" w14:textId="77777777" w:rsidR="003A2DC1" w:rsidRPr="003A2DC1" w:rsidRDefault="003A2DC1" w:rsidP="0098427D">
      <w:pPr>
        <w:pStyle w:val="Body"/>
      </w:pPr>
      <w:r w:rsidRPr="003A2DC1">
        <w:t>1.3: Identify behaviours or triggers and causes that may lead to aggression.</w:t>
      </w:r>
    </w:p>
    <w:p w14:paraId="3D643CB3" w14:textId="77777777" w:rsidR="003A2DC1" w:rsidRPr="003A2DC1" w:rsidRDefault="003A2DC1" w:rsidP="0098427D">
      <w:pPr>
        <w:pStyle w:val="Body"/>
      </w:pPr>
      <w:r w:rsidRPr="003A2DC1">
        <w:t>1.4: Explain how to conduct dynamic risk assessments and the use of tools to help identify changes in behaviour, such as early warning signs and how to review already known information to identity potential risks.</w:t>
      </w:r>
    </w:p>
    <w:p w14:paraId="4979738C" w14:textId="77777777" w:rsidR="003A2DC1" w:rsidRPr="003A2DC1" w:rsidRDefault="003A2DC1" w:rsidP="0098427D">
      <w:pPr>
        <w:pStyle w:val="Body"/>
      </w:pPr>
      <w:r w:rsidRPr="003A2DC1">
        <w:t>1.5: Identify when additional resources, such as behaviour support/safety plans, may be needed.</w:t>
      </w:r>
    </w:p>
    <w:p w14:paraId="53529780" w14:textId="77777777" w:rsidR="003A2DC1" w:rsidRPr="003A2DC1" w:rsidRDefault="003A2DC1" w:rsidP="0098427D">
      <w:pPr>
        <w:pStyle w:val="Body"/>
      </w:pPr>
      <w:r w:rsidRPr="003A2DC1">
        <w:t>1.6: Identify what the impacts of violence or aggression are.</w:t>
      </w:r>
    </w:p>
    <w:p w14:paraId="228AFAF2" w14:textId="77777777" w:rsidR="003A2DC1" w:rsidRPr="003A2DC1" w:rsidRDefault="003A2DC1" w:rsidP="0098427D">
      <w:pPr>
        <w:pStyle w:val="Body"/>
      </w:pPr>
      <w:r w:rsidRPr="003A2DC1">
        <w:rPr>
          <w:b/>
          <w:bCs/>
        </w:rPr>
        <w:t>2. Communicate effectively to prevent and manage aggression</w:t>
      </w:r>
    </w:p>
    <w:p w14:paraId="48C9C98A" w14:textId="77777777" w:rsidR="003A2DC1" w:rsidRPr="003A2DC1" w:rsidRDefault="003A2DC1" w:rsidP="0098427D">
      <w:pPr>
        <w:pStyle w:val="Body"/>
      </w:pPr>
      <w:r w:rsidRPr="003A2DC1">
        <w:t>2.1: Describe how person-centred communication can reduce agitation and build trust.</w:t>
      </w:r>
    </w:p>
    <w:p w14:paraId="004592BF" w14:textId="77777777" w:rsidR="003A2DC1" w:rsidRPr="003A2DC1" w:rsidRDefault="003A2DC1" w:rsidP="0098427D">
      <w:pPr>
        <w:pStyle w:val="Body"/>
      </w:pPr>
      <w:r w:rsidRPr="003A2DC1">
        <w:t>2.2: Explain the role of empathy, active listening, and inclusive language in managing difficult interactions.</w:t>
      </w:r>
    </w:p>
    <w:p w14:paraId="081B542D" w14:textId="77777777" w:rsidR="003A2DC1" w:rsidRPr="003A2DC1" w:rsidRDefault="003A2DC1" w:rsidP="0098427D">
      <w:pPr>
        <w:pStyle w:val="Body"/>
      </w:pPr>
      <w:r w:rsidRPr="003A2DC1">
        <w:t xml:space="preserve">2.3: Identify evidence-based practice such as the </w:t>
      </w:r>
      <w:proofErr w:type="spellStart"/>
      <w:r w:rsidRPr="003A2DC1">
        <w:t>Safewards</w:t>
      </w:r>
      <w:proofErr w:type="spellEnd"/>
      <w:r w:rsidRPr="003A2DC1">
        <w:t xml:space="preserve"> model.</w:t>
      </w:r>
    </w:p>
    <w:p w14:paraId="1B78EAF6" w14:textId="77777777" w:rsidR="003A2DC1" w:rsidRPr="003A2DC1" w:rsidRDefault="003A2DC1" w:rsidP="0098427D">
      <w:pPr>
        <w:pStyle w:val="Body"/>
      </w:pPr>
      <w:r w:rsidRPr="003A2DC1">
        <w:rPr>
          <w:b/>
          <w:bCs/>
        </w:rPr>
        <w:lastRenderedPageBreak/>
        <w:t>3. Apply safe and effective de-escalation techniques and response mechanisms</w:t>
      </w:r>
    </w:p>
    <w:p w14:paraId="08DAB275" w14:textId="77777777" w:rsidR="003A2DC1" w:rsidRPr="003A2DC1" w:rsidRDefault="003A2DC1" w:rsidP="0098427D">
      <w:pPr>
        <w:pStyle w:val="Body"/>
      </w:pPr>
      <w:r w:rsidRPr="003A2DC1">
        <w:t>3.1: Describe verbal and non-verbal de-escalation techniques, including tone, posture, and limit setting and the use of clear, concise and consistent language.</w:t>
      </w:r>
    </w:p>
    <w:p w14:paraId="48FCE797" w14:textId="77777777" w:rsidR="003A2DC1" w:rsidRPr="003A2DC1" w:rsidRDefault="003A2DC1" w:rsidP="0098427D">
      <w:pPr>
        <w:pStyle w:val="Body"/>
      </w:pPr>
      <w:r w:rsidRPr="003A2DC1">
        <w:t>3.2: Demonstrate the ability to assess whether you are the appropriate person to attempt de-escalation and when to seek support.</w:t>
      </w:r>
    </w:p>
    <w:p w14:paraId="294D6D14" w14:textId="77777777" w:rsidR="003A2DC1" w:rsidRPr="003A2DC1" w:rsidRDefault="003A2DC1" w:rsidP="0098427D">
      <w:pPr>
        <w:pStyle w:val="Body"/>
      </w:pPr>
      <w:r w:rsidRPr="003A2DC1">
        <w:t>3.3: Identify environmental and situational factors that support safe de-escalation (e.g., reducing stimuli, exits, retreat practices and safe spaces).</w:t>
      </w:r>
    </w:p>
    <w:p w14:paraId="1A5E5290" w14:textId="77777777" w:rsidR="003A2DC1" w:rsidRPr="003A2DC1" w:rsidRDefault="003A2DC1" w:rsidP="0098427D">
      <w:pPr>
        <w:pStyle w:val="Body"/>
      </w:pPr>
      <w:r w:rsidRPr="003A2DC1">
        <w:t>3.4: Identify appropriate response mechanisms including the use of duress alarms and emergency response processes.</w:t>
      </w:r>
    </w:p>
    <w:p w14:paraId="2F921DEE" w14:textId="77777777" w:rsidR="003A2DC1" w:rsidRPr="003A2DC1" w:rsidRDefault="003A2DC1" w:rsidP="0098427D">
      <w:pPr>
        <w:pStyle w:val="Body"/>
      </w:pPr>
      <w:r w:rsidRPr="003A2DC1">
        <w:t>3.4: Explain cultural biases and emotional intelligence principles to de-escalate and how to apply de-escalation principles to different scenarios.</w:t>
      </w:r>
    </w:p>
    <w:p w14:paraId="5EA91BDB" w14:textId="6C647E1C" w:rsidR="003A2DC1" w:rsidRPr="00A05016" w:rsidRDefault="003A2DC1" w:rsidP="0098427D">
      <w:pPr>
        <w:pStyle w:val="Body"/>
        <w:rPr>
          <w:lang w:val="en-US"/>
        </w:rPr>
      </w:pPr>
      <w:r w:rsidRPr="003A2DC1">
        <w:rPr>
          <w:b/>
          <w:bCs/>
        </w:rPr>
        <w:t>4. Escalate and respond to incidents using appropriate procedures</w:t>
      </w:r>
    </w:p>
    <w:p w14:paraId="189E7DFF" w14:textId="77777777" w:rsidR="003A2DC1" w:rsidRPr="003A2DC1" w:rsidRDefault="003A2DC1" w:rsidP="0098427D">
      <w:pPr>
        <w:pStyle w:val="Body"/>
      </w:pPr>
      <w:r w:rsidRPr="003A2DC1">
        <w:t>4.1: Understand standard organisational policies and legal considerations relevant to responding to occupational violence and aggression incidents including the ability to report to police.</w:t>
      </w:r>
    </w:p>
    <w:p w14:paraId="13546686" w14:textId="77777777" w:rsidR="003A2DC1" w:rsidRPr="003A2DC1" w:rsidRDefault="003A2DC1" w:rsidP="0098427D">
      <w:pPr>
        <w:pStyle w:val="Body"/>
      </w:pPr>
      <w:r w:rsidRPr="003A2DC1">
        <w:t>4.2: Describe a restrictive interventions assessment.</w:t>
      </w:r>
    </w:p>
    <w:p w14:paraId="27EDCFB7" w14:textId="77777777" w:rsidR="003A2DC1" w:rsidRPr="003A2DC1" w:rsidRDefault="003A2DC1" w:rsidP="0098427D">
      <w:pPr>
        <w:pStyle w:val="Body"/>
      </w:pPr>
      <w:r w:rsidRPr="003A2DC1">
        <w:rPr>
          <w:b/>
          <w:bCs/>
        </w:rPr>
        <w:t>5. Document, report, and reflect following an occupational violence and aggression incident</w:t>
      </w:r>
    </w:p>
    <w:p w14:paraId="69465953" w14:textId="77777777" w:rsidR="003A2DC1" w:rsidRPr="003A2DC1" w:rsidRDefault="003A2DC1" w:rsidP="0098427D">
      <w:pPr>
        <w:pStyle w:val="Body"/>
      </w:pPr>
      <w:r w:rsidRPr="003A2DC1">
        <w:t>5.1: Describe the benefits of reporting occupational violence and aggression.</w:t>
      </w:r>
    </w:p>
    <w:p w14:paraId="4ADDA7AF" w14:textId="77777777" w:rsidR="003A2DC1" w:rsidRPr="003A2DC1" w:rsidRDefault="003A2DC1" w:rsidP="0098427D">
      <w:pPr>
        <w:pStyle w:val="Body"/>
      </w:pPr>
      <w:r w:rsidRPr="003A2DC1">
        <w:t>5.2: Describe the key elements of a thorough, factual, and objective incident report.</w:t>
      </w:r>
    </w:p>
    <w:p w14:paraId="3476B8F2" w14:textId="77777777" w:rsidR="003A2DC1" w:rsidRPr="003A2DC1" w:rsidRDefault="003A2DC1" w:rsidP="0098427D">
      <w:pPr>
        <w:pStyle w:val="Body"/>
      </w:pPr>
      <w:r w:rsidRPr="003A2DC1">
        <w:t>5.3: Explain the importance of post-incident debriefing and support, including psychological first aid and Employee Assistance Program (EAP) access.</w:t>
      </w:r>
    </w:p>
    <w:p w14:paraId="49A1E39F" w14:textId="77777777" w:rsidR="003A2DC1" w:rsidRPr="003A2DC1" w:rsidRDefault="003A2DC1" w:rsidP="0098427D">
      <w:pPr>
        <w:pStyle w:val="Body"/>
      </w:pPr>
      <w:r w:rsidRPr="003A2DC1">
        <w:t>5.4: Identify strategies for monitoring personal wellbeing.</w:t>
      </w:r>
    </w:p>
    <w:p w14:paraId="62A61E15" w14:textId="77777777" w:rsidR="003A2DC1" w:rsidRPr="003A2DC1" w:rsidRDefault="003A2DC1" w:rsidP="0098427D">
      <w:pPr>
        <w:pStyle w:val="Body"/>
      </w:pPr>
      <w:r w:rsidRPr="003A2DC1">
        <w:rPr>
          <w:i/>
          <w:iCs/>
        </w:rPr>
        <w:t>Health services need to ensure that systems of work are in place to reduce and mitigate the risk of occupational violence and aggression to improve the health and safety of workers. Training and education employees on the prevention and management of Occupational violence and aggression is tiered and based on exposure to risk, following occupational violence and aggression principles that are updated and ongoing (</w:t>
      </w:r>
      <w:proofErr w:type="spellStart"/>
      <w:r w:rsidRPr="003A2DC1">
        <w:rPr>
          <w:i/>
          <w:iCs/>
        </w:rPr>
        <w:t>Worksafe</w:t>
      </w:r>
      <w:proofErr w:type="spellEnd"/>
      <w:r w:rsidRPr="003A2DC1">
        <w:rPr>
          <w:i/>
          <w:iCs/>
        </w:rPr>
        <w:t xml:space="preserve"> (2017 Edition 2) Information for employers Prevention and management of violence and aggression in health services).</w:t>
      </w:r>
    </w:p>
    <w:p w14:paraId="4A44FF4D" w14:textId="52537237" w:rsidR="003A2DC1" w:rsidRPr="001D1AB5" w:rsidRDefault="003A2DC1" w:rsidP="0098427D">
      <w:pPr>
        <w:pStyle w:val="Body"/>
      </w:pPr>
      <w:r w:rsidRPr="003A2DC1">
        <w:rPr>
          <w:i/>
          <w:iCs/>
        </w:rPr>
        <w:t>If applicable, health services will need to supplement their training with instruction on activating emergency responses, such as Code Grey or Code Black and the roles and responsibilities of staff during a Code Grey or Planned Code Grey response.</w:t>
      </w:r>
    </w:p>
    <w:p w14:paraId="540300F7" w14:textId="3A8C6EF7" w:rsidR="003A2DC1" w:rsidRPr="003A2DC1" w:rsidRDefault="003A2DC1" w:rsidP="00442278">
      <w:pPr>
        <w:pStyle w:val="Heading2"/>
      </w:pPr>
      <w:bookmarkStart w:id="36" w:name="_Toc233880795"/>
      <w:r w:rsidRPr="003A2DC1">
        <w:t>Occupational health and safety – Learning outcomes</w:t>
      </w:r>
      <w:bookmarkEnd w:id="36"/>
      <w:r w:rsidRPr="003A2DC1">
        <w:t xml:space="preserve"> </w:t>
      </w:r>
    </w:p>
    <w:p w14:paraId="13F832B8" w14:textId="77777777" w:rsidR="003A2DC1" w:rsidRPr="003A2DC1" w:rsidRDefault="003A2DC1" w:rsidP="0098427D">
      <w:pPr>
        <w:pStyle w:val="Body"/>
      </w:pPr>
      <w:r w:rsidRPr="003A2DC1">
        <w:rPr>
          <w:i/>
          <w:iCs/>
        </w:rPr>
        <w:t>At the end of this topic/module, you should be able to:</w:t>
      </w:r>
    </w:p>
    <w:p w14:paraId="33BE6DD9" w14:textId="77777777" w:rsidR="003A2DC1" w:rsidRPr="003A2DC1" w:rsidRDefault="003A2DC1" w:rsidP="0098427D">
      <w:pPr>
        <w:pStyle w:val="Body"/>
      </w:pPr>
      <w:r w:rsidRPr="003A2DC1">
        <w:rPr>
          <w:b/>
          <w:bCs/>
        </w:rPr>
        <w:t>1. Comply with safety laws and workplace rules</w:t>
      </w:r>
    </w:p>
    <w:p w14:paraId="2B88EFBB" w14:textId="77777777" w:rsidR="003A2DC1" w:rsidRPr="003A2DC1" w:rsidRDefault="003A2DC1" w:rsidP="0098427D">
      <w:pPr>
        <w:pStyle w:val="Body"/>
      </w:pPr>
      <w:r w:rsidRPr="003A2DC1">
        <w:t>1.1: Explain that laws exist to ensure everyone contributes to a safe workplace.</w:t>
      </w:r>
    </w:p>
    <w:p w14:paraId="3F61A0DD" w14:textId="77777777" w:rsidR="003A2DC1" w:rsidRPr="003A2DC1" w:rsidRDefault="003A2DC1" w:rsidP="0098427D">
      <w:pPr>
        <w:pStyle w:val="Body"/>
      </w:pPr>
      <w:r w:rsidRPr="003A2DC1">
        <w:t>1.2: Explain the duty of staff to maintain a safe workplace and comply with safe work practices.</w:t>
      </w:r>
    </w:p>
    <w:p w14:paraId="1F652683" w14:textId="77777777" w:rsidR="003A2DC1" w:rsidRPr="003A2DC1" w:rsidRDefault="003A2DC1" w:rsidP="0098427D">
      <w:pPr>
        <w:pStyle w:val="Body"/>
      </w:pPr>
      <w:r w:rsidRPr="003A2DC1">
        <w:t>1.3: Explain the purpose of safety audits, reviews and improvement activities.</w:t>
      </w:r>
    </w:p>
    <w:p w14:paraId="06833C78" w14:textId="77777777" w:rsidR="003A2DC1" w:rsidRPr="003A2DC1" w:rsidRDefault="003A2DC1" w:rsidP="0098427D">
      <w:pPr>
        <w:pStyle w:val="Body"/>
      </w:pPr>
      <w:r w:rsidRPr="003A2DC1">
        <w:rPr>
          <w:b/>
          <w:bCs/>
        </w:rPr>
        <w:t>2. Contribute to safe workplaces</w:t>
      </w:r>
    </w:p>
    <w:p w14:paraId="73B38901" w14:textId="77777777" w:rsidR="003A2DC1" w:rsidRPr="003A2DC1" w:rsidRDefault="003A2DC1" w:rsidP="0098427D">
      <w:pPr>
        <w:pStyle w:val="Body"/>
      </w:pPr>
      <w:r w:rsidRPr="003A2DC1">
        <w:t>2.1: Identify ways to improve workplace practices.</w:t>
      </w:r>
    </w:p>
    <w:p w14:paraId="499BDB28" w14:textId="77777777" w:rsidR="003A2DC1" w:rsidRPr="003A2DC1" w:rsidRDefault="003A2DC1" w:rsidP="0098427D">
      <w:pPr>
        <w:pStyle w:val="Body"/>
      </w:pPr>
      <w:r w:rsidRPr="003A2DC1">
        <w:lastRenderedPageBreak/>
        <w:t>2.2: Explain the importance of open communication and reporting of concerns.</w:t>
      </w:r>
    </w:p>
    <w:p w14:paraId="7B3367AB" w14:textId="77777777" w:rsidR="003A2DC1" w:rsidRPr="003A2DC1" w:rsidRDefault="003A2DC1" w:rsidP="0098427D">
      <w:pPr>
        <w:pStyle w:val="Body"/>
      </w:pPr>
      <w:r w:rsidRPr="003A2DC1">
        <w:t>2.3: Explain the importance of consultation and collaboration with management in resolving occupational health and safety issues.</w:t>
      </w:r>
    </w:p>
    <w:p w14:paraId="7E1CF8AA" w14:textId="77777777" w:rsidR="003A2DC1" w:rsidRPr="003A2DC1" w:rsidRDefault="003A2DC1" w:rsidP="0098427D">
      <w:pPr>
        <w:pStyle w:val="Body"/>
      </w:pPr>
      <w:r w:rsidRPr="003A2DC1">
        <w:t>2.4: Explain the role of Health &amp; Safety Representatives, Committees, and suitably qualified occupational health and safety professionals in the workplace and the processes available to resolve issues in a fair and constructive way.</w:t>
      </w:r>
    </w:p>
    <w:p w14:paraId="387C812D" w14:textId="77777777" w:rsidR="003A2DC1" w:rsidRPr="003A2DC1" w:rsidRDefault="003A2DC1" w:rsidP="0098427D">
      <w:pPr>
        <w:pStyle w:val="Body"/>
      </w:pPr>
      <w:r w:rsidRPr="003A2DC1">
        <w:rPr>
          <w:b/>
          <w:bCs/>
        </w:rPr>
        <w:t>3. Identify and manage workplace hazards, incidents and injuries</w:t>
      </w:r>
    </w:p>
    <w:p w14:paraId="1B747916" w14:textId="77777777" w:rsidR="003A2DC1" w:rsidRPr="003A2DC1" w:rsidRDefault="003A2DC1" w:rsidP="0098427D">
      <w:pPr>
        <w:pStyle w:val="Body"/>
      </w:pPr>
      <w:r w:rsidRPr="003A2DC1">
        <w:t>3.1: Identify common hazards like hazardous manual handling, occupational violence and aggression, slips/trips/falls, chemical management, electrical hazards and psychological health and safety.</w:t>
      </w:r>
    </w:p>
    <w:p w14:paraId="5E55FD62" w14:textId="77777777" w:rsidR="003A2DC1" w:rsidRPr="003A2DC1" w:rsidRDefault="003A2DC1" w:rsidP="0098427D">
      <w:pPr>
        <w:pStyle w:val="Body"/>
      </w:pPr>
      <w:r w:rsidRPr="003A2DC1">
        <w:t>3.2: Demonstrate the types of controls that apply to the more common or high-occurrence hazards.</w:t>
      </w:r>
    </w:p>
    <w:p w14:paraId="23E681E1" w14:textId="77777777" w:rsidR="003A2DC1" w:rsidRPr="003A2DC1" w:rsidRDefault="003A2DC1" w:rsidP="0098427D">
      <w:pPr>
        <w:pStyle w:val="Body"/>
      </w:pPr>
      <w:r w:rsidRPr="003A2DC1">
        <w:t>3.3: Describe organisational systems for reporting and reviewing Occupational Health and Safety hazards, near misses and incidents, including risk assessment and incident investigation.</w:t>
      </w:r>
    </w:p>
    <w:p w14:paraId="5D115014" w14:textId="77777777" w:rsidR="003A2DC1" w:rsidRPr="003A2DC1" w:rsidRDefault="003A2DC1" w:rsidP="0098427D">
      <w:pPr>
        <w:pStyle w:val="Body"/>
      </w:pPr>
      <w:r w:rsidRPr="003A2DC1">
        <w:t>3.4: Explain the importance of reporting injuries and notifiable incident requirements under the OHS Act 2004.</w:t>
      </w:r>
    </w:p>
    <w:p w14:paraId="7C3A0A12" w14:textId="77777777" w:rsidR="003A2DC1" w:rsidRPr="003A2DC1" w:rsidRDefault="003A2DC1" w:rsidP="0098427D">
      <w:pPr>
        <w:pStyle w:val="Body"/>
      </w:pPr>
      <w:r w:rsidRPr="003A2DC1">
        <w:t>3.5: Explain how and when to complete a Victorian Health Incident Management System (VHIMS) report.</w:t>
      </w:r>
    </w:p>
    <w:p w14:paraId="59A14993" w14:textId="77777777" w:rsidR="003A2DC1" w:rsidRPr="003A2DC1" w:rsidRDefault="003A2DC1" w:rsidP="0098427D">
      <w:pPr>
        <w:pStyle w:val="Body"/>
      </w:pPr>
      <w:r w:rsidRPr="003A2DC1">
        <w:t>3.6: Explain how to seek support if you are injured at work.</w:t>
      </w:r>
    </w:p>
    <w:p w14:paraId="1B90821E" w14:textId="77777777" w:rsidR="003A2DC1" w:rsidRPr="003A2DC1" w:rsidRDefault="003A2DC1" w:rsidP="0098427D">
      <w:pPr>
        <w:pStyle w:val="Body"/>
      </w:pPr>
      <w:r w:rsidRPr="003A2DC1">
        <w:t>3.7: Explain the hierarchy of controls as a step-by-step approach to physical and psychological risk management.</w:t>
      </w:r>
    </w:p>
    <w:p w14:paraId="5DDD5D99" w14:textId="77777777" w:rsidR="003A2DC1" w:rsidRPr="003A2DC1" w:rsidRDefault="003A2DC1" w:rsidP="0098427D">
      <w:pPr>
        <w:pStyle w:val="Body"/>
      </w:pPr>
      <w:r w:rsidRPr="003A2DC1">
        <w:rPr>
          <w:b/>
          <w:bCs/>
        </w:rPr>
        <w:t>4. Follow emergency protocols to stay safe when something goes wrong.</w:t>
      </w:r>
    </w:p>
    <w:p w14:paraId="105C9DC3" w14:textId="77777777" w:rsidR="003A2DC1" w:rsidRPr="003A2DC1" w:rsidRDefault="003A2DC1" w:rsidP="0098427D">
      <w:pPr>
        <w:pStyle w:val="Body"/>
      </w:pPr>
      <w:r w:rsidRPr="003A2DC1">
        <w:t>4.1: Explain common emergency procedures and codes as per Australian Standard AS 3745 (e.g. Code Grey and Black).</w:t>
      </w:r>
    </w:p>
    <w:p w14:paraId="4C1CF9E3" w14:textId="77777777" w:rsidR="003A2DC1" w:rsidRPr="003A2DC1" w:rsidRDefault="003A2DC1" w:rsidP="0098427D">
      <w:pPr>
        <w:pStyle w:val="Body"/>
      </w:pPr>
      <w:r w:rsidRPr="003A2DC1">
        <w:t>4.2: Understand the importance of safe egress, evacuation routes, emergency assembly points and emergency contacts.</w:t>
      </w:r>
    </w:p>
    <w:p w14:paraId="0EAB4E36" w14:textId="77777777" w:rsidR="003A2DC1" w:rsidRPr="003A2DC1" w:rsidRDefault="003A2DC1" w:rsidP="0098427D">
      <w:pPr>
        <w:pStyle w:val="Body"/>
      </w:pPr>
      <w:r w:rsidRPr="003A2DC1">
        <w:t>4.3: Explain how to keep everyone safe in various Code situations.</w:t>
      </w:r>
    </w:p>
    <w:p w14:paraId="5CE431CD" w14:textId="77777777" w:rsidR="003A2DC1" w:rsidRPr="003A2DC1" w:rsidRDefault="003A2DC1" w:rsidP="0098427D">
      <w:pPr>
        <w:pStyle w:val="Body"/>
      </w:pPr>
      <w:r w:rsidRPr="003A2DC1">
        <w:t>4.4: Explain appropriate first aid responses.</w:t>
      </w:r>
    </w:p>
    <w:p w14:paraId="39576A8D" w14:textId="77777777" w:rsidR="003A2DC1" w:rsidRPr="003A2DC1" w:rsidRDefault="003A2DC1" w:rsidP="0098427D">
      <w:pPr>
        <w:pStyle w:val="Body"/>
      </w:pPr>
      <w:r w:rsidRPr="003A2DC1">
        <w:t>4.5: Explain your role in an emergency incident and the role(s) of Area Wardens and the Emergency Response Team.</w:t>
      </w:r>
    </w:p>
    <w:p w14:paraId="26BE7E4A" w14:textId="6AA9D29F" w:rsidR="003A2DC1" w:rsidRPr="001D1AB5" w:rsidRDefault="003A2DC1" w:rsidP="0098427D">
      <w:pPr>
        <w:pStyle w:val="Body"/>
      </w:pPr>
      <w:r w:rsidRPr="003A2DC1">
        <w:rPr>
          <w:i/>
          <w:iCs/>
        </w:rPr>
        <w:t>These learning outcomes are designed to provide general occupational health and safety training for healthcare professionals. Employees with specialist roles or working in specialist areas may require additional training.</w:t>
      </w:r>
    </w:p>
    <w:p w14:paraId="74FF9693" w14:textId="77777777" w:rsidR="003A2DC1" w:rsidRPr="003A2DC1" w:rsidRDefault="003A2DC1" w:rsidP="00442278">
      <w:pPr>
        <w:pStyle w:val="Heading2"/>
      </w:pPr>
      <w:bookmarkStart w:id="37" w:name="_Toc233880796"/>
      <w:r w:rsidRPr="003A2DC1">
        <w:t>Respectful Workplace Behaviours – Learning outcomes</w:t>
      </w:r>
      <w:bookmarkEnd w:id="37"/>
    </w:p>
    <w:p w14:paraId="2189261C" w14:textId="77777777" w:rsidR="003A2DC1" w:rsidRPr="003A2DC1" w:rsidRDefault="003A2DC1" w:rsidP="0098427D">
      <w:pPr>
        <w:pStyle w:val="Body"/>
      </w:pPr>
      <w:r w:rsidRPr="003A2DC1">
        <w:rPr>
          <w:i/>
          <w:iCs/>
        </w:rPr>
        <w:t>At the end of this topic/module, you should be able to:</w:t>
      </w:r>
    </w:p>
    <w:p w14:paraId="2587CE19" w14:textId="77777777" w:rsidR="003A2DC1" w:rsidRPr="003A2DC1" w:rsidRDefault="003A2DC1" w:rsidP="0098427D">
      <w:pPr>
        <w:pStyle w:val="Body"/>
      </w:pPr>
      <w:r w:rsidRPr="003A2DC1">
        <w:rPr>
          <w:b/>
          <w:bCs/>
        </w:rPr>
        <w:t>1. Explain what positive workplace behaviour is</w:t>
      </w:r>
    </w:p>
    <w:p w14:paraId="65FA6B53" w14:textId="77777777" w:rsidR="003A2DC1" w:rsidRPr="003A2DC1" w:rsidRDefault="003A2DC1" w:rsidP="0098427D">
      <w:pPr>
        <w:pStyle w:val="Body"/>
      </w:pPr>
      <w:r w:rsidRPr="003A2DC1">
        <w:t>1.1: Explain what a positive workplace culture means, what acceptable workplace behaviour is and what your responsibilities are as an employee.</w:t>
      </w:r>
    </w:p>
    <w:p w14:paraId="52F42B9D" w14:textId="77777777" w:rsidR="003A2DC1" w:rsidRPr="003A2DC1" w:rsidRDefault="003A2DC1" w:rsidP="0098427D">
      <w:pPr>
        <w:pStyle w:val="Body"/>
      </w:pPr>
      <w:r w:rsidRPr="003A2DC1">
        <w:lastRenderedPageBreak/>
        <w:t>1.2: Describe unacceptable workplace behaviours, including but not limited to bullying, direct and hidden discrimination, sexual harassment, incivility, stalking, victimisation, vilification and workplace violence.</w:t>
      </w:r>
    </w:p>
    <w:p w14:paraId="7C3A056A" w14:textId="77777777" w:rsidR="003A2DC1" w:rsidRPr="003A2DC1" w:rsidRDefault="003A2DC1" w:rsidP="0098427D">
      <w:pPr>
        <w:pStyle w:val="Body"/>
      </w:pPr>
      <w:r w:rsidRPr="003A2DC1">
        <w:t>1.3: Explain how unacceptable workplace behaviours can affect people’s mental health, physical health and safety.</w:t>
      </w:r>
    </w:p>
    <w:p w14:paraId="58EEBC7A" w14:textId="77777777" w:rsidR="003A2DC1" w:rsidRPr="003A2DC1" w:rsidRDefault="003A2DC1" w:rsidP="0098427D">
      <w:pPr>
        <w:pStyle w:val="Body"/>
      </w:pPr>
      <w:r w:rsidRPr="003A2DC1">
        <w:t>1.4: Identify what constitutes a reasonable management action that is not considered bullying, sexual harassment or discrimination in the workplace.</w:t>
      </w:r>
    </w:p>
    <w:p w14:paraId="59C16FA8" w14:textId="77777777" w:rsidR="003A2DC1" w:rsidRPr="003A2DC1" w:rsidRDefault="003A2DC1" w:rsidP="0098427D">
      <w:pPr>
        <w:pStyle w:val="Body"/>
      </w:pPr>
      <w:r w:rsidRPr="003A2DC1">
        <w:rPr>
          <w:b/>
          <w:bCs/>
        </w:rPr>
        <w:t>2. Know the rules and responsibilities for keeping the workplace safe and fair</w:t>
      </w:r>
    </w:p>
    <w:p w14:paraId="6CE569FA" w14:textId="77777777" w:rsidR="003A2DC1" w:rsidRPr="003A2DC1" w:rsidRDefault="003A2DC1" w:rsidP="0098427D">
      <w:pPr>
        <w:pStyle w:val="Body"/>
      </w:pPr>
      <w:r w:rsidRPr="003A2DC1">
        <w:t>2.1: Identify the laws that protect people from bullying, sexual harassment and discrimination in the workplace.</w:t>
      </w:r>
    </w:p>
    <w:p w14:paraId="381F95E1" w14:textId="77777777" w:rsidR="003A2DC1" w:rsidRPr="003A2DC1" w:rsidRDefault="003A2DC1" w:rsidP="0098427D">
      <w:pPr>
        <w:pStyle w:val="Body"/>
      </w:pPr>
      <w:r w:rsidRPr="003A2DC1">
        <w:t>2.2: Describe your obligations and protections as an employee for maintaining a safe and respectful workplace.</w:t>
      </w:r>
    </w:p>
    <w:p w14:paraId="2EC5AE88" w14:textId="77777777" w:rsidR="003A2DC1" w:rsidRPr="003A2DC1" w:rsidRDefault="003A2DC1" w:rsidP="0098427D">
      <w:pPr>
        <w:pStyle w:val="Body"/>
      </w:pPr>
      <w:r w:rsidRPr="003A2DC1">
        <w:rPr>
          <w:b/>
          <w:bCs/>
        </w:rPr>
        <w:t>3. Respond constructively to inappropriate behaviour and support affected individuals</w:t>
      </w:r>
    </w:p>
    <w:p w14:paraId="70C5706B" w14:textId="77777777" w:rsidR="003A2DC1" w:rsidRPr="003A2DC1" w:rsidRDefault="003A2DC1" w:rsidP="0098427D">
      <w:pPr>
        <w:pStyle w:val="Body"/>
      </w:pPr>
      <w:r w:rsidRPr="003A2DC1">
        <w:t>3.1: Identify how to be a supportive bystander or upstander and how to support people who are affected to seek support.</w:t>
      </w:r>
    </w:p>
    <w:p w14:paraId="6176B0FB" w14:textId="77777777" w:rsidR="003A2DC1" w:rsidRPr="003A2DC1" w:rsidRDefault="003A2DC1" w:rsidP="0098427D">
      <w:pPr>
        <w:pStyle w:val="Body"/>
      </w:pPr>
      <w:r w:rsidRPr="003A2DC1">
        <w:t>3.2: Outline common actions that can be taken to report inappropriate behaviour.</w:t>
      </w:r>
    </w:p>
    <w:p w14:paraId="21706D9E" w14:textId="77777777" w:rsidR="003A2DC1" w:rsidRPr="003A2DC1" w:rsidRDefault="003A2DC1" w:rsidP="0098427D">
      <w:pPr>
        <w:pStyle w:val="Body"/>
      </w:pPr>
      <w:r w:rsidRPr="003A2DC1">
        <w:t>3.3: Explain how to prevent and respond to bullying, sexual harassment and discrimination in the workplace.</w:t>
      </w:r>
    </w:p>
    <w:p w14:paraId="712A1778" w14:textId="77777777" w:rsidR="003A2DC1" w:rsidRPr="003A2DC1" w:rsidRDefault="003A2DC1" w:rsidP="0098427D">
      <w:pPr>
        <w:pStyle w:val="Body"/>
      </w:pPr>
      <w:r w:rsidRPr="003A2DC1">
        <w:rPr>
          <w:b/>
          <w:bCs/>
        </w:rPr>
        <w:t>4. Promote a safe, inclusive, and continuously improving workplace culture</w:t>
      </w:r>
    </w:p>
    <w:p w14:paraId="76D344F6" w14:textId="77777777" w:rsidR="003A2DC1" w:rsidRPr="003A2DC1" w:rsidRDefault="003A2DC1" w:rsidP="0098427D">
      <w:pPr>
        <w:pStyle w:val="Body"/>
      </w:pPr>
      <w:r w:rsidRPr="003A2DC1">
        <w:t>4.1: Explain fair and constructive processes for resolving workplace issues.</w:t>
      </w:r>
    </w:p>
    <w:p w14:paraId="220980A3" w14:textId="77777777" w:rsidR="003A2DC1" w:rsidRPr="003A2DC1" w:rsidRDefault="003A2DC1" w:rsidP="0098427D">
      <w:pPr>
        <w:pStyle w:val="Body"/>
      </w:pPr>
      <w:r w:rsidRPr="003A2DC1">
        <w:t>4.2: Identify psychological safety and practices that help to promote a safe, inclusive and supportive workplace.</w:t>
      </w:r>
    </w:p>
    <w:p w14:paraId="3B980717" w14:textId="107830D5" w:rsidR="003A2DC1" w:rsidRPr="001D1AB5" w:rsidRDefault="003A2DC1" w:rsidP="0098427D">
      <w:pPr>
        <w:pStyle w:val="Body"/>
      </w:pPr>
      <w:r w:rsidRPr="003A2DC1">
        <w:rPr>
          <w:i/>
          <w:iCs/>
        </w:rPr>
        <w:t>At a local level, health services will need to provide specific training around relevant workplace policies and reporting processes related to positive workplace behaviour. Managers will require additional training around respectful workplace behaviour relevant to their role.</w:t>
      </w:r>
    </w:p>
    <w:p w14:paraId="5254BF84" w14:textId="77777777" w:rsidR="003A2DC1" w:rsidRPr="003A2DC1" w:rsidRDefault="003A2DC1" w:rsidP="00442278">
      <w:pPr>
        <w:pStyle w:val="Heading2"/>
      </w:pPr>
      <w:bookmarkStart w:id="38" w:name="_Toc233880797"/>
      <w:r w:rsidRPr="003A2DC1">
        <w:t>Manual Handling – Learning outcomes</w:t>
      </w:r>
      <w:bookmarkEnd w:id="38"/>
    </w:p>
    <w:p w14:paraId="06B4B7B0" w14:textId="77777777" w:rsidR="003A2DC1" w:rsidRPr="003A2DC1" w:rsidRDefault="003A2DC1" w:rsidP="0098427D">
      <w:pPr>
        <w:pStyle w:val="Body"/>
      </w:pPr>
      <w:r w:rsidRPr="003A2DC1">
        <w:rPr>
          <w:i/>
          <w:iCs/>
        </w:rPr>
        <w:t>At the end of this topic/module, you should be able to:</w:t>
      </w:r>
    </w:p>
    <w:p w14:paraId="5DF77F80" w14:textId="77777777" w:rsidR="003A2DC1" w:rsidRPr="003A2DC1" w:rsidRDefault="003A2DC1" w:rsidP="0098427D">
      <w:pPr>
        <w:pStyle w:val="Body"/>
      </w:pPr>
      <w:r w:rsidRPr="003A2DC1">
        <w:rPr>
          <w:b/>
          <w:bCs/>
        </w:rPr>
        <w:t>1. Identify and assess manual handling hazards</w:t>
      </w:r>
    </w:p>
    <w:p w14:paraId="7AE343EA" w14:textId="77777777" w:rsidR="003A2DC1" w:rsidRPr="003A2DC1" w:rsidRDefault="003A2DC1" w:rsidP="0098427D">
      <w:pPr>
        <w:pStyle w:val="Body"/>
      </w:pPr>
      <w:r w:rsidRPr="003A2DC1">
        <w:t>1.1: Identify hazardous manual handling risk factors such as lifting, carrying, pushing, pulling, high force, awkward posture, and repetitive movement.</w:t>
      </w:r>
    </w:p>
    <w:p w14:paraId="7BB14FDB" w14:textId="77777777" w:rsidR="003A2DC1" w:rsidRPr="003A2DC1" w:rsidRDefault="003A2DC1" w:rsidP="0098427D">
      <w:pPr>
        <w:pStyle w:val="Body"/>
      </w:pPr>
      <w:r w:rsidRPr="003A2DC1">
        <w:t>1.2: Explain the risks relating to supporting and moving people, a static load, and sedentary work tasks.</w:t>
      </w:r>
    </w:p>
    <w:p w14:paraId="5C517B78" w14:textId="77777777" w:rsidR="003A2DC1" w:rsidRPr="003A2DC1" w:rsidRDefault="003A2DC1" w:rsidP="0098427D">
      <w:pPr>
        <w:pStyle w:val="Body"/>
      </w:pPr>
      <w:r w:rsidRPr="003A2DC1">
        <w:t>1.3: Describe environmental and task-related risks that contribute to manual handling risks.</w:t>
      </w:r>
    </w:p>
    <w:p w14:paraId="3CFA8EA0" w14:textId="77777777" w:rsidR="003A2DC1" w:rsidRPr="003A2DC1" w:rsidRDefault="003A2DC1" w:rsidP="0098427D">
      <w:pPr>
        <w:pStyle w:val="Body"/>
      </w:pPr>
      <w:r w:rsidRPr="003A2DC1">
        <w:rPr>
          <w:b/>
          <w:bCs/>
        </w:rPr>
        <w:t>2. Choose and use appropriate tools and equipment to help with manual handling</w:t>
      </w:r>
    </w:p>
    <w:p w14:paraId="733E5668" w14:textId="77777777" w:rsidR="003A2DC1" w:rsidRPr="003A2DC1" w:rsidRDefault="003A2DC1" w:rsidP="0098427D">
      <w:pPr>
        <w:pStyle w:val="Body"/>
      </w:pPr>
      <w:r w:rsidRPr="003A2DC1">
        <w:t>2.1: Explain the importance of inspecting tools and equipment for safety before use.</w:t>
      </w:r>
    </w:p>
    <w:p w14:paraId="3985BC28" w14:textId="77777777" w:rsidR="003A2DC1" w:rsidRPr="003A2DC1" w:rsidRDefault="003A2DC1" w:rsidP="0098427D">
      <w:pPr>
        <w:pStyle w:val="Body"/>
      </w:pPr>
      <w:r w:rsidRPr="003A2DC1">
        <w:t>2.2: Explain the importance of following the right protocols for using tools and equipment correctly to reduce manual handling risks.</w:t>
      </w:r>
    </w:p>
    <w:p w14:paraId="5A90256B" w14:textId="77777777" w:rsidR="003A2DC1" w:rsidRPr="003A2DC1" w:rsidRDefault="003A2DC1" w:rsidP="0098427D">
      <w:pPr>
        <w:pStyle w:val="Body"/>
      </w:pPr>
      <w:r w:rsidRPr="003A2DC1">
        <w:t>2.3: Explain how to assess whether tools and equipment are appropriate for the load, environment, patient and task.</w:t>
      </w:r>
    </w:p>
    <w:p w14:paraId="66F8605F" w14:textId="77777777" w:rsidR="003A2DC1" w:rsidRPr="003A2DC1" w:rsidRDefault="003A2DC1" w:rsidP="0098427D">
      <w:pPr>
        <w:pStyle w:val="Body"/>
      </w:pPr>
      <w:r w:rsidRPr="003A2DC1">
        <w:rPr>
          <w:b/>
          <w:bCs/>
        </w:rPr>
        <w:lastRenderedPageBreak/>
        <w:t>3. Apply risk management approaches</w:t>
      </w:r>
    </w:p>
    <w:p w14:paraId="619608EE" w14:textId="77777777" w:rsidR="003A2DC1" w:rsidRPr="003A2DC1" w:rsidRDefault="003A2DC1" w:rsidP="0098427D">
      <w:pPr>
        <w:pStyle w:val="Body"/>
      </w:pPr>
      <w:r w:rsidRPr="003A2DC1">
        <w:t>3.1: Explain how risk management approaches, like the hierarchy of controls, help reduce manual handling risks.</w:t>
      </w:r>
    </w:p>
    <w:p w14:paraId="53E18C4B" w14:textId="77777777" w:rsidR="003A2DC1" w:rsidRPr="003A2DC1" w:rsidRDefault="003A2DC1" w:rsidP="0098427D">
      <w:pPr>
        <w:pStyle w:val="Body"/>
      </w:pPr>
      <w:r w:rsidRPr="003A2DC1">
        <w:t>3.2: Describe how to adapt manual handling practices based on environmental and task-specific factors.</w:t>
      </w:r>
    </w:p>
    <w:p w14:paraId="0ED0006D" w14:textId="77777777" w:rsidR="003A2DC1" w:rsidRPr="003A2DC1" w:rsidRDefault="003A2DC1" w:rsidP="0098427D">
      <w:pPr>
        <w:pStyle w:val="Body"/>
      </w:pPr>
      <w:r w:rsidRPr="003A2DC1">
        <w:t>3.3: Identify when a situation is unsafe and explain appropriate actions to seek assistance.</w:t>
      </w:r>
    </w:p>
    <w:p w14:paraId="5CAD0DA5" w14:textId="77777777" w:rsidR="003A2DC1" w:rsidRPr="003A2DC1" w:rsidRDefault="003A2DC1" w:rsidP="0098427D">
      <w:pPr>
        <w:pStyle w:val="Body"/>
      </w:pPr>
      <w:r w:rsidRPr="003A2DC1">
        <w:rPr>
          <w:b/>
          <w:bCs/>
        </w:rPr>
        <w:t>4. Follow rules for reporting and staying safe at work</w:t>
      </w:r>
    </w:p>
    <w:p w14:paraId="75F147AF" w14:textId="77777777" w:rsidR="003A2DC1" w:rsidRPr="003A2DC1" w:rsidRDefault="003A2DC1" w:rsidP="0098427D">
      <w:pPr>
        <w:pStyle w:val="Body"/>
      </w:pPr>
      <w:r w:rsidRPr="003A2DC1">
        <w:t>4.1: Explain an individual’s responsibility to report hazards and near misses so new and existing risks can be assessed, monitored and controlled.</w:t>
      </w:r>
    </w:p>
    <w:p w14:paraId="4457EF1F" w14:textId="77777777" w:rsidR="003A2DC1" w:rsidRPr="003A2DC1" w:rsidRDefault="003A2DC1" w:rsidP="0098427D">
      <w:pPr>
        <w:pStyle w:val="Body"/>
      </w:pPr>
      <w:r w:rsidRPr="003A2DC1">
        <w:t>4.2: Explain the importance of maintaining manual handling skills through ongoing training and seeking opportunities for further training through your health services education unit.</w:t>
      </w:r>
    </w:p>
    <w:p w14:paraId="7C7D5D7D" w14:textId="77777777" w:rsidR="003A2DC1" w:rsidRPr="003A2DC1" w:rsidRDefault="003A2DC1" w:rsidP="0098427D">
      <w:pPr>
        <w:pStyle w:val="Body"/>
      </w:pPr>
      <w:r w:rsidRPr="003A2DC1">
        <w:rPr>
          <w:i/>
          <w:iCs/>
        </w:rPr>
        <w:t>Under the Occupational Health and Safety Act 2004, employers have an obligation to identify hazardous manual handling in the workplace, and to make it safe for all workers.</w:t>
      </w:r>
    </w:p>
    <w:p w14:paraId="70786D75" w14:textId="77777777" w:rsidR="003A2DC1" w:rsidRPr="003A2DC1" w:rsidRDefault="003A2DC1" w:rsidP="0098427D">
      <w:pPr>
        <w:pStyle w:val="Body"/>
      </w:pPr>
      <w:r w:rsidRPr="003A2DC1">
        <w:rPr>
          <w:i/>
          <w:iCs/>
        </w:rPr>
        <w:t>These learning outcomes aim to cover the critical baseline theoretical knowledge for manual handling. If applicable, training programs should include practical, face-to-face training that is tailored to the specific needs and requirements of staff roles.</w:t>
      </w:r>
    </w:p>
    <w:p w14:paraId="570C14D1" w14:textId="77777777" w:rsidR="003A2DC1" w:rsidRPr="003A2DC1" w:rsidRDefault="003A2DC1" w:rsidP="0098427D">
      <w:pPr>
        <w:pStyle w:val="Body"/>
      </w:pPr>
    </w:p>
    <w:p w14:paraId="41C5056E" w14:textId="4DBDFA93" w:rsidR="00454A7D" w:rsidRDefault="00454A7D" w:rsidP="0098427D">
      <w:pPr>
        <w:pStyle w:val="Body"/>
        <w:rPr>
          <w:rFonts w:eastAsia="MS Gothic" w:cs="Arial"/>
          <w:bCs/>
          <w:color w:val="53565A"/>
          <w:kern w:val="32"/>
          <w:sz w:val="44"/>
          <w:szCs w:val="44"/>
        </w:rPr>
      </w:pPr>
    </w:p>
    <w:sectPr w:rsidR="00454A7D" w:rsidSect="00454A7D">
      <w:headerReference w:type="even" r:id="rId31"/>
      <w:headerReference w:type="default" r:id="rId32"/>
      <w:footerReference w:type="even" r:id="rId33"/>
      <w:footerReference w:type="default" r:id="rId34"/>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E2DA" w14:textId="77777777" w:rsidR="00016DCF" w:rsidRDefault="00016DCF">
      <w:r>
        <w:separator/>
      </w:r>
    </w:p>
    <w:p w14:paraId="0B318D94" w14:textId="77777777" w:rsidR="00016DCF" w:rsidRDefault="00016DCF"/>
  </w:endnote>
  <w:endnote w:type="continuationSeparator" w:id="0">
    <w:p w14:paraId="38D4AF6B" w14:textId="77777777" w:rsidR="00016DCF" w:rsidRDefault="00016DCF">
      <w:r>
        <w:continuationSeparator/>
      </w:r>
    </w:p>
    <w:p w14:paraId="525A5F88" w14:textId="77777777" w:rsidR="00016DCF" w:rsidRDefault="00016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IC">
    <w:altName w:val="VIC"/>
    <w:panose1 w:val="000005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22F6"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17022789" wp14:editId="48B36BB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0227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B7E4"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2638271F" wp14:editId="5341895B">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38271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0CFC"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143F51A3" wp14:editId="5C2B8B1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3F51A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639"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0D82F581" wp14:editId="7410FFA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82F581"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AC68"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4B2D50F6" wp14:editId="2487C15D">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D50F6"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0711D804" wp14:editId="5298D30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711D804"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790A" w14:textId="77777777" w:rsidR="00016DCF" w:rsidRDefault="00016DCF" w:rsidP="00207717">
      <w:pPr>
        <w:spacing w:before="120"/>
      </w:pPr>
      <w:r>
        <w:separator/>
      </w:r>
    </w:p>
  </w:footnote>
  <w:footnote w:type="continuationSeparator" w:id="0">
    <w:p w14:paraId="5A342673" w14:textId="77777777" w:rsidR="00016DCF" w:rsidRDefault="00016DCF">
      <w:r>
        <w:continuationSeparator/>
      </w:r>
    </w:p>
    <w:p w14:paraId="1DB40124" w14:textId="77777777" w:rsidR="00016DCF" w:rsidRDefault="00016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0629" w14:textId="77777777" w:rsidR="005F424B" w:rsidRDefault="005F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1F46" w14:textId="77777777" w:rsidR="005F424B" w:rsidRDefault="005F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2AFB" w14:textId="77777777" w:rsidR="005F424B" w:rsidRDefault="005F42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3884"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DCF3" w14:textId="77777777" w:rsidR="00562811" w:rsidRPr="0051568D" w:rsidRDefault="00562811" w:rsidP="0017674D">
    <w:pPr>
      <w:pStyle w:val="Header"/>
    </w:pPr>
    <w:r>
      <w:t>Document title</w:t>
    </w:r>
    <w:r w:rsidR="009C245E">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35A077A"/>
    <w:multiLevelType w:val="multilevel"/>
    <w:tmpl w:val="FC70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30F7E"/>
    <w:multiLevelType w:val="hybridMultilevel"/>
    <w:tmpl w:val="2AF8F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C17062"/>
    <w:multiLevelType w:val="hybridMultilevel"/>
    <w:tmpl w:val="63BE06D2"/>
    <w:lvl w:ilvl="0" w:tplc="2A7EA3A8">
      <w:start w:val="1"/>
      <w:numFmt w:val="bullet"/>
      <w:lvlText w:val="•"/>
      <w:lvlJc w:val="left"/>
      <w:pPr>
        <w:tabs>
          <w:tab w:val="num" w:pos="720"/>
        </w:tabs>
        <w:ind w:left="720" w:hanging="360"/>
      </w:pPr>
      <w:rPr>
        <w:rFonts w:ascii="Arial" w:hAnsi="Arial" w:hint="default"/>
      </w:rPr>
    </w:lvl>
    <w:lvl w:ilvl="1" w:tplc="11449E04">
      <w:start w:val="1"/>
      <w:numFmt w:val="bullet"/>
      <w:lvlText w:val="•"/>
      <w:lvlJc w:val="left"/>
      <w:pPr>
        <w:tabs>
          <w:tab w:val="num" w:pos="1440"/>
        </w:tabs>
        <w:ind w:left="1440" w:hanging="360"/>
      </w:pPr>
      <w:rPr>
        <w:rFonts w:ascii="Arial" w:hAnsi="Arial" w:hint="default"/>
      </w:rPr>
    </w:lvl>
    <w:lvl w:ilvl="2" w:tplc="735AA794" w:tentative="1">
      <w:start w:val="1"/>
      <w:numFmt w:val="bullet"/>
      <w:lvlText w:val="•"/>
      <w:lvlJc w:val="left"/>
      <w:pPr>
        <w:tabs>
          <w:tab w:val="num" w:pos="2160"/>
        </w:tabs>
        <w:ind w:left="2160" w:hanging="360"/>
      </w:pPr>
      <w:rPr>
        <w:rFonts w:ascii="Arial" w:hAnsi="Arial" w:hint="default"/>
      </w:rPr>
    </w:lvl>
    <w:lvl w:ilvl="3" w:tplc="4EEC2A3A" w:tentative="1">
      <w:start w:val="1"/>
      <w:numFmt w:val="bullet"/>
      <w:lvlText w:val="•"/>
      <w:lvlJc w:val="left"/>
      <w:pPr>
        <w:tabs>
          <w:tab w:val="num" w:pos="2880"/>
        </w:tabs>
        <w:ind w:left="2880" w:hanging="360"/>
      </w:pPr>
      <w:rPr>
        <w:rFonts w:ascii="Arial" w:hAnsi="Arial" w:hint="default"/>
      </w:rPr>
    </w:lvl>
    <w:lvl w:ilvl="4" w:tplc="444EEEBE" w:tentative="1">
      <w:start w:val="1"/>
      <w:numFmt w:val="bullet"/>
      <w:lvlText w:val="•"/>
      <w:lvlJc w:val="left"/>
      <w:pPr>
        <w:tabs>
          <w:tab w:val="num" w:pos="3600"/>
        </w:tabs>
        <w:ind w:left="3600" w:hanging="360"/>
      </w:pPr>
      <w:rPr>
        <w:rFonts w:ascii="Arial" w:hAnsi="Arial" w:hint="default"/>
      </w:rPr>
    </w:lvl>
    <w:lvl w:ilvl="5" w:tplc="A8460430" w:tentative="1">
      <w:start w:val="1"/>
      <w:numFmt w:val="bullet"/>
      <w:lvlText w:val="•"/>
      <w:lvlJc w:val="left"/>
      <w:pPr>
        <w:tabs>
          <w:tab w:val="num" w:pos="4320"/>
        </w:tabs>
        <w:ind w:left="4320" w:hanging="360"/>
      </w:pPr>
      <w:rPr>
        <w:rFonts w:ascii="Arial" w:hAnsi="Arial" w:hint="default"/>
      </w:rPr>
    </w:lvl>
    <w:lvl w:ilvl="6" w:tplc="1A7EABA4" w:tentative="1">
      <w:start w:val="1"/>
      <w:numFmt w:val="bullet"/>
      <w:lvlText w:val="•"/>
      <w:lvlJc w:val="left"/>
      <w:pPr>
        <w:tabs>
          <w:tab w:val="num" w:pos="5040"/>
        </w:tabs>
        <w:ind w:left="5040" w:hanging="360"/>
      </w:pPr>
      <w:rPr>
        <w:rFonts w:ascii="Arial" w:hAnsi="Arial" w:hint="default"/>
      </w:rPr>
    </w:lvl>
    <w:lvl w:ilvl="7" w:tplc="54B07B8E" w:tentative="1">
      <w:start w:val="1"/>
      <w:numFmt w:val="bullet"/>
      <w:lvlText w:val="•"/>
      <w:lvlJc w:val="left"/>
      <w:pPr>
        <w:tabs>
          <w:tab w:val="num" w:pos="5760"/>
        </w:tabs>
        <w:ind w:left="5760" w:hanging="360"/>
      </w:pPr>
      <w:rPr>
        <w:rFonts w:ascii="Arial" w:hAnsi="Arial" w:hint="default"/>
      </w:rPr>
    </w:lvl>
    <w:lvl w:ilvl="8" w:tplc="86C81D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AC1C20"/>
    <w:multiLevelType w:val="hybridMultilevel"/>
    <w:tmpl w:val="5E94B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B254FF"/>
    <w:multiLevelType w:val="multilevel"/>
    <w:tmpl w:val="FB6A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B5632"/>
    <w:multiLevelType w:val="hybridMultilevel"/>
    <w:tmpl w:val="042EACE6"/>
    <w:lvl w:ilvl="0" w:tplc="9F842CBA">
      <w:start w:val="1"/>
      <w:numFmt w:val="bullet"/>
      <w:lvlText w:val="•"/>
      <w:lvlJc w:val="left"/>
      <w:pPr>
        <w:tabs>
          <w:tab w:val="num" w:pos="720"/>
        </w:tabs>
        <w:ind w:left="720" w:hanging="360"/>
      </w:pPr>
      <w:rPr>
        <w:rFonts w:ascii="Arial" w:hAnsi="Arial" w:hint="default"/>
      </w:rPr>
    </w:lvl>
    <w:lvl w:ilvl="1" w:tplc="4E4AFF8E" w:tentative="1">
      <w:start w:val="1"/>
      <w:numFmt w:val="bullet"/>
      <w:lvlText w:val="•"/>
      <w:lvlJc w:val="left"/>
      <w:pPr>
        <w:tabs>
          <w:tab w:val="num" w:pos="1440"/>
        </w:tabs>
        <w:ind w:left="1440" w:hanging="360"/>
      </w:pPr>
      <w:rPr>
        <w:rFonts w:ascii="Arial" w:hAnsi="Arial" w:hint="default"/>
      </w:rPr>
    </w:lvl>
    <w:lvl w:ilvl="2" w:tplc="831688C6" w:tentative="1">
      <w:start w:val="1"/>
      <w:numFmt w:val="bullet"/>
      <w:lvlText w:val="•"/>
      <w:lvlJc w:val="left"/>
      <w:pPr>
        <w:tabs>
          <w:tab w:val="num" w:pos="2160"/>
        </w:tabs>
        <w:ind w:left="2160" w:hanging="360"/>
      </w:pPr>
      <w:rPr>
        <w:rFonts w:ascii="Arial" w:hAnsi="Arial" w:hint="default"/>
      </w:rPr>
    </w:lvl>
    <w:lvl w:ilvl="3" w:tplc="7EF2A53C" w:tentative="1">
      <w:start w:val="1"/>
      <w:numFmt w:val="bullet"/>
      <w:lvlText w:val="•"/>
      <w:lvlJc w:val="left"/>
      <w:pPr>
        <w:tabs>
          <w:tab w:val="num" w:pos="2880"/>
        </w:tabs>
        <w:ind w:left="2880" w:hanging="360"/>
      </w:pPr>
      <w:rPr>
        <w:rFonts w:ascii="Arial" w:hAnsi="Arial" w:hint="default"/>
      </w:rPr>
    </w:lvl>
    <w:lvl w:ilvl="4" w:tplc="61DA6ABA" w:tentative="1">
      <w:start w:val="1"/>
      <w:numFmt w:val="bullet"/>
      <w:lvlText w:val="•"/>
      <w:lvlJc w:val="left"/>
      <w:pPr>
        <w:tabs>
          <w:tab w:val="num" w:pos="3600"/>
        </w:tabs>
        <w:ind w:left="3600" w:hanging="360"/>
      </w:pPr>
      <w:rPr>
        <w:rFonts w:ascii="Arial" w:hAnsi="Arial" w:hint="default"/>
      </w:rPr>
    </w:lvl>
    <w:lvl w:ilvl="5" w:tplc="E8722404" w:tentative="1">
      <w:start w:val="1"/>
      <w:numFmt w:val="bullet"/>
      <w:lvlText w:val="•"/>
      <w:lvlJc w:val="left"/>
      <w:pPr>
        <w:tabs>
          <w:tab w:val="num" w:pos="4320"/>
        </w:tabs>
        <w:ind w:left="4320" w:hanging="360"/>
      </w:pPr>
      <w:rPr>
        <w:rFonts w:ascii="Arial" w:hAnsi="Arial" w:hint="default"/>
      </w:rPr>
    </w:lvl>
    <w:lvl w:ilvl="6" w:tplc="03E81B0C" w:tentative="1">
      <w:start w:val="1"/>
      <w:numFmt w:val="bullet"/>
      <w:lvlText w:val="•"/>
      <w:lvlJc w:val="left"/>
      <w:pPr>
        <w:tabs>
          <w:tab w:val="num" w:pos="5040"/>
        </w:tabs>
        <w:ind w:left="5040" w:hanging="360"/>
      </w:pPr>
      <w:rPr>
        <w:rFonts w:ascii="Arial" w:hAnsi="Arial" w:hint="default"/>
      </w:rPr>
    </w:lvl>
    <w:lvl w:ilvl="7" w:tplc="0EBEEF8C" w:tentative="1">
      <w:start w:val="1"/>
      <w:numFmt w:val="bullet"/>
      <w:lvlText w:val="•"/>
      <w:lvlJc w:val="left"/>
      <w:pPr>
        <w:tabs>
          <w:tab w:val="num" w:pos="5760"/>
        </w:tabs>
        <w:ind w:left="5760" w:hanging="360"/>
      </w:pPr>
      <w:rPr>
        <w:rFonts w:ascii="Arial" w:hAnsi="Arial" w:hint="default"/>
      </w:rPr>
    </w:lvl>
    <w:lvl w:ilvl="8" w:tplc="7A30E3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84C746E"/>
    <w:multiLevelType w:val="hybridMultilevel"/>
    <w:tmpl w:val="D34E15C8"/>
    <w:lvl w:ilvl="0" w:tplc="F8EC017E">
      <w:start w:val="1"/>
      <w:numFmt w:val="bullet"/>
      <w:lvlText w:val="•"/>
      <w:lvlJc w:val="left"/>
      <w:pPr>
        <w:tabs>
          <w:tab w:val="num" w:pos="720"/>
        </w:tabs>
        <w:ind w:left="720" w:hanging="360"/>
      </w:pPr>
      <w:rPr>
        <w:rFonts w:ascii="Arial" w:hAnsi="Arial" w:hint="default"/>
      </w:rPr>
    </w:lvl>
    <w:lvl w:ilvl="1" w:tplc="9E6C20F0" w:tentative="1">
      <w:start w:val="1"/>
      <w:numFmt w:val="bullet"/>
      <w:lvlText w:val="•"/>
      <w:lvlJc w:val="left"/>
      <w:pPr>
        <w:tabs>
          <w:tab w:val="num" w:pos="1440"/>
        </w:tabs>
        <w:ind w:left="1440" w:hanging="360"/>
      </w:pPr>
      <w:rPr>
        <w:rFonts w:ascii="Arial" w:hAnsi="Arial" w:hint="default"/>
      </w:rPr>
    </w:lvl>
    <w:lvl w:ilvl="2" w:tplc="FADC61F8" w:tentative="1">
      <w:start w:val="1"/>
      <w:numFmt w:val="bullet"/>
      <w:lvlText w:val="•"/>
      <w:lvlJc w:val="left"/>
      <w:pPr>
        <w:tabs>
          <w:tab w:val="num" w:pos="2160"/>
        </w:tabs>
        <w:ind w:left="2160" w:hanging="360"/>
      </w:pPr>
      <w:rPr>
        <w:rFonts w:ascii="Arial" w:hAnsi="Arial" w:hint="default"/>
      </w:rPr>
    </w:lvl>
    <w:lvl w:ilvl="3" w:tplc="EE08516A" w:tentative="1">
      <w:start w:val="1"/>
      <w:numFmt w:val="bullet"/>
      <w:lvlText w:val="•"/>
      <w:lvlJc w:val="left"/>
      <w:pPr>
        <w:tabs>
          <w:tab w:val="num" w:pos="2880"/>
        </w:tabs>
        <w:ind w:left="2880" w:hanging="360"/>
      </w:pPr>
      <w:rPr>
        <w:rFonts w:ascii="Arial" w:hAnsi="Arial" w:hint="default"/>
      </w:rPr>
    </w:lvl>
    <w:lvl w:ilvl="4" w:tplc="DF06A5A6" w:tentative="1">
      <w:start w:val="1"/>
      <w:numFmt w:val="bullet"/>
      <w:lvlText w:val="•"/>
      <w:lvlJc w:val="left"/>
      <w:pPr>
        <w:tabs>
          <w:tab w:val="num" w:pos="3600"/>
        </w:tabs>
        <w:ind w:left="3600" w:hanging="360"/>
      </w:pPr>
      <w:rPr>
        <w:rFonts w:ascii="Arial" w:hAnsi="Arial" w:hint="default"/>
      </w:rPr>
    </w:lvl>
    <w:lvl w:ilvl="5" w:tplc="59C8A97E" w:tentative="1">
      <w:start w:val="1"/>
      <w:numFmt w:val="bullet"/>
      <w:lvlText w:val="•"/>
      <w:lvlJc w:val="left"/>
      <w:pPr>
        <w:tabs>
          <w:tab w:val="num" w:pos="4320"/>
        </w:tabs>
        <w:ind w:left="4320" w:hanging="360"/>
      </w:pPr>
      <w:rPr>
        <w:rFonts w:ascii="Arial" w:hAnsi="Arial" w:hint="default"/>
      </w:rPr>
    </w:lvl>
    <w:lvl w:ilvl="6" w:tplc="BF9087F4" w:tentative="1">
      <w:start w:val="1"/>
      <w:numFmt w:val="bullet"/>
      <w:lvlText w:val="•"/>
      <w:lvlJc w:val="left"/>
      <w:pPr>
        <w:tabs>
          <w:tab w:val="num" w:pos="5040"/>
        </w:tabs>
        <w:ind w:left="5040" w:hanging="360"/>
      </w:pPr>
      <w:rPr>
        <w:rFonts w:ascii="Arial" w:hAnsi="Arial" w:hint="default"/>
      </w:rPr>
    </w:lvl>
    <w:lvl w:ilvl="7" w:tplc="301CEFB0" w:tentative="1">
      <w:start w:val="1"/>
      <w:numFmt w:val="bullet"/>
      <w:lvlText w:val="•"/>
      <w:lvlJc w:val="left"/>
      <w:pPr>
        <w:tabs>
          <w:tab w:val="num" w:pos="5760"/>
        </w:tabs>
        <w:ind w:left="5760" w:hanging="360"/>
      </w:pPr>
      <w:rPr>
        <w:rFonts w:ascii="Arial" w:hAnsi="Arial" w:hint="default"/>
      </w:rPr>
    </w:lvl>
    <w:lvl w:ilvl="8" w:tplc="CBE4A2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3E275EB"/>
    <w:multiLevelType w:val="hybridMultilevel"/>
    <w:tmpl w:val="103E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5043911">
    <w:abstractNumId w:val="7"/>
  </w:num>
  <w:num w:numId="2" w16cid:durableId="1413042454">
    <w:abstractNumId w:val="10"/>
  </w:num>
  <w:num w:numId="3" w16cid:durableId="1396126059">
    <w:abstractNumId w:val="9"/>
  </w:num>
  <w:num w:numId="4" w16cid:durableId="1335111054">
    <w:abstractNumId w:val="11"/>
  </w:num>
  <w:num w:numId="5" w16cid:durableId="452794246">
    <w:abstractNumId w:val="8"/>
  </w:num>
  <w:num w:numId="6" w16cid:durableId="876896706">
    <w:abstractNumId w:val="0"/>
  </w:num>
  <w:num w:numId="7" w16cid:durableId="1079716998">
    <w:abstractNumId w:val="12"/>
  </w:num>
  <w:num w:numId="8" w16cid:durableId="896860630">
    <w:abstractNumId w:val="3"/>
  </w:num>
  <w:num w:numId="9" w16cid:durableId="255329627">
    <w:abstractNumId w:val="6"/>
  </w:num>
  <w:num w:numId="10" w16cid:durableId="136193770">
    <w:abstractNumId w:val="2"/>
  </w:num>
  <w:num w:numId="11" w16cid:durableId="169638794">
    <w:abstractNumId w:val="4"/>
  </w:num>
  <w:num w:numId="12" w16cid:durableId="1484008580">
    <w:abstractNumId w:val="13"/>
  </w:num>
  <w:num w:numId="13" w16cid:durableId="885222692">
    <w:abstractNumId w:val="1"/>
  </w:num>
  <w:num w:numId="14" w16cid:durableId="6058184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D"/>
    <w:rsid w:val="00000719"/>
    <w:rsid w:val="00002D68"/>
    <w:rsid w:val="000033F7"/>
    <w:rsid w:val="00003403"/>
    <w:rsid w:val="00005347"/>
    <w:rsid w:val="000072B6"/>
    <w:rsid w:val="0001021B"/>
    <w:rsid w:val="00011D89"/>
    <w:rsid w:val="00012BD6"/>
    <w:rsid w:val="000154FD"/>
    <w:rsid w:val="00016DCF"/>
    <w:rsid w:val="00022271"/>
    <w:rsid w:val="000235E8"/>
    <w:rsid w:val="00024D89"/>
    <w:rsid w:val="000250B6"/>
    <w:rsid w:val="000278CB"/>
    <w:rsid w:val="00030CDD"/>
    <w:rsid w:val="00033D81"/>
    <w:rsid w:val="00033DC9"/>
    <w:rsid w:val="00037366"/>
    <w:rsid w:val="00041BF0"/>
    <w:rsid w:val="000420D9"/>
    <w:rsid w:val="00042C8A"/>
    <w:rsid w:val="000449B6"/>
    <w:rsid w:val="0004536B"/>
    <w:rsid w:val="00046B68"/>
    <w:rsid w:val="000527DD"/>
    <w:rsid w:val="00056EC4"/>
    <w:rsid w:val="000578B2"/>
    <w:rsid w:val="00060959"/>
    <w:rsid w:val="00060C8F"/>
    <w:rsid w:val="0006298A"/>
    <w:rsid w:val="000663CD"/>
    <w:rsid w:val="00072EB3"/>
    <w:rsid w:val="000733FE"/>
    <w:rsid w:val="00074219"/>
    <w:rsid w:val="00074ED5"/>
    <w:rsid w:val="0008204A"/>
    <w:rsid w:val="000837E8"/>
    <w:rsid w:val="0008508E"/>
    <w:rsid w:val="00087951"/>
    <w:rsid w:val="0009113B"/>
    <w:rsid w:val="00093402"/>
    <w:rsid w:val="00094DA3"/>
    <w:rsid w:val="00096CD1"/>
    <w:rsid w:val="000A012C"/>
    <w:rsid w:val="000A01F2"/>
    <w:rsid w:val="000A0EB9"/>
    <w:rsid w:val="000A186C"/>
    <w:rsid w:val="000A1EA4"/>
    <w:rsid w:val="000A2476"/>
    <w:rsid w:val="000A641A"/>
    <w:rsid w:val="000B3EDB"/>
    <w:rsid w:val="000B543D"/>
    <w:rsid w:val="000B55F9"/>
    <w:rsid w:val="000B5BF7"/>
    <w:rsid w:val="000B6BC8"/>
    <w:rsid w:val="000B7C3C"/>
    <w:rsid w:val="000C0303"/>
    <w:rsid w:val="000C42EA"/>
    <w:rsid w:val="000C4546"/>
    <w:rsid w:val="000D1242"/>
    <w:rsid w:val="000D26FB"/>
    <w:rsid w:val="000D2ABA"/>
    <w:rsid w:val="000D5D97"/>
    <w:rsid w:val="000E0970"/>
    <w:rsid w:val="000E2407"/>
    <w:rsid w:val="000E3CC7"/>
    <w:rsid w:val="000E6BD4"/>
    <w:rsid w:val="000E6D6D"/>
    <w:rsid w:val="000F1F1E"/>
    <w:rsid w:val="000F2259"/>
    <w:rsid w:val="000F2DDA"/>
    <w:rsid w:val="000F2EA0"/>
    <w:rsid w:val="000F5213"/>
    <w:rsid w:val="00101001"/>
    <w:rsid w:val="00102D77"/>
    <w:rsid w:val="00103276"/>
    <w:rsid w:val="0010392D"/>
    <w:rsid w:val="0010447F"/>
    <w:rsid w:val="00104FE3"/>
    <w:rsid w:val="00105F93"/>
    <w:rsid w:val="0010714F"/>
    <w:rsid w:val="001120C5"/>
    <w:rsid w:val="00120BD3"/>
    <w:rsid w:val="00122FEA"/>
    <w:rsid w:val="001232BD"/>
    <w:rsid w:val="001236DC"/>
    <w:rsid w:val="00124ED5"/>
    <w:rsid w:val="001276FA"/>
    <w:rsid w:val="0013098A"/>
    <w:rsid w:val="00141A83"/>
    <w:rsid w:val="001447B3"/>
    <w:rsid w:val="00152073"/>
    <w:rsid w:val="00152329"/>
    <w:rsid w:val="00156598"/>
    <w:rsid w:val="00157FC6"/>
    <w:rsid w:val="00161939"/>
    <w:rsid w:val="00161AA0"/>
    <w:rsid w:val="00161D2E"/>
    <w:rsid w:val="00161F3E"/>
    <w:rsid w:val="00162093"/>
    <w:rsid w:val="00162156"/>
    <w:rsid w:val="00162CA9"/>
    <w:rsid w:val="00165459"/>
    <w:rsid w:val="00165A57"/>
    <w:rsid w:val="001712C2"/>
    <w:rsid w:val="00172BAF"/>
    <w:rsid w:val="0017674D"/>
    <w:rsid w:val="001771DD"/>
    <w:rsid w:val="00177995"/>
    <w:rsid w:val="00177A8C"/>
    <w:rsid w:val="0018244E"/>
    <w:rsid w:val="00186B33"/>
    <w:rsid w:val="00192F9D"/>
    <w:rsid w:val="001962EC"/>
    <w:rsid w:val="00196EB8"/>
    <w:rsid w:val="00196EFB"/>
    <w:rsid w:val="001979FF"/>
    <w:rsid w:val="00197B17"/>
    <w:rsid w:val="001A1950"/>
    <w:rsid w:val="001A1C54"/>
    <w:rsid w:val="001A3ACE"/>
    <w:rsid w:val="001A6272"/>
    <w:rsid w:val="001B058F"/>
    <w:rsid w:val="001B233C"/>
    <w:rsid w:val="001B6B96"/>
    <w:rsid w:val="001B738B"/>
    <w:rsid w:val="001C09DB"/>
    <w:rsid w:val="001C277E"/>
    <w:rsid w:val="001C2A72"/>
    <w:rsid w:val="001C31B7"/>
    <w:rsid w:val="001D0B75"/>
    <w:rsid w:val="001D1AB5"/>
    <w:rsid w:val="001D39A5"/>
    <w:rsid w:val="001D3C09"/>
    <w:rsid w:val="001D44E8"/>
    <w:rsid w:val="001D60EC"/>
    <w:rsid w:val="001D6F59"/>
    <w:rsid w:val="001E0D1A"/>
    <w:rsid w:val="001E2725"/>
    <w:rsid w:val="001E44DF"/>
    <w:rsid w:val="001E68A5"/>
    <w:rsid w:val="001E6BB0"/>
    <w:rsid w:val="001E7282"/>
    <w:rsid w:val="001F3826"/>
    <w:rsid w:val="001F6E46"/>
    <w:rsid w:val="001F7C91"/>
    <w:rsid w:val="002033B7"/>
    <w:rsid w:val="00206463"/>
    <w:rsid w:val="00206F2F"/>
    <w:rsid w:val="00207717"/>
    <w:rsid w:val="0021053D"/>
    <w:rsid w:val="00210A92"/>
    <w:rsid w:val="00211B40"/>
    <w:rsid w:val="002127A9"/>
    <w:rsid w:val="00212B95"/>
    <w:rsid w:val="00215CC8"/>
    <w:rsid w:val="00216C03"/>
    <w:rsid w:val="00220A1A"/>
    <w:rsid w:val="00220C04"/>
    <w:rsid w:val="00221C20"/>
    <w:rsid w:val="0022278D"/>
    <w:rsid w:val="0022456A"/>
    <w:rsid w:val="0022701F"/>
    <w:rsid w:val="00227C68"/>
    <w:rsid w:val="002333F5"/>
    <w:rsid w:val="00233724"/>
    <w:rsid w:val="002365B4"/>
    <w:rsid w:val="002432E1"/>
    <w:rsid w:val="00246207"/>
    <w:rsid w:val="00246C5E"/>
    <w:rsid w:val="00250960"/>
    <w:rsid w:val="00251343"/>
    <w:rsid w:val="00252C1F"/>
    <w:rsid w:val="002536A4"/>
    <w:rsid w:val="002538FE"/>
    <w:rsid w:val="00254F58"/>
    <w:rsid w:val="002620BC"/>
    <w:rsid w:val="00262802"/>
    <w:rsid w:val="00263A90"/>
    <w:rsid w:val="0026408B"/>
    <w:rsid w:val="00267C3E"/>
    <w:rsid w:val="002709BB"/>
    <w:rsid w:val="0027131C"/>
    <w:rsid w:val="00273BAC"/>
    <w:rsid w:val="002763B3"/>
    <w:rsid w:val="002802E3"/>
    <w:rsid w:val="0028213D"/>
    <w:rsid w:val="002862F1"/>
    <w:rsid w:val="00286715"/>
    <w:rsid w:val="00291373"/>
    <w:rsid w:val="0029597D"/>
    <w:rsid w:val="002962C3"/>
    <w:rsid w:val="0029752B"/>
    <w:rsid w:val="002A0A9C"/>
    <w:rsid w:val="002A483C"/>
    <w:rsid w:val="002A5651"/>
    <w:rsid w:val="002B0C7C"/>
    <w:rsid w:val="002B1729"/>
    <w:rsid w:val="002B36C7"/>
    <w:rsid w:val="002B4DD4"/>
    <w:rsid w:val="002B5277"/>
    <w:rsid w:val="002B5375"/>
    <w:rsid w:val="002B617E"/>
    <w:rsid w:val="002B62CB"/>
    <w:rsid w:val="002B77C1"/>
    <w:rsid w:val="002C0ED7"/>
    <w:rsid w:val="002C2728"/>
    <w:rsid w:val="002C5B7C"/>
    <w:rsid w:val="002D1E0D"/>
    <w:rsid w:val="002D4059"/>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6880"/>
    <w:rsid w:val="00337339"/>
    <w:rsid w:val="00340345"/>
    <w:rsid w:val="003406C6"/>
    <w:rsid w:val="003418CC"/>
    <w:rsid w:val="003434EE"/>
    <w:rsid w:val="003459BD"/>
    <w:rsid w:val="00347FFD"/>
    <w:rsid w:val="00350D38"/>
    <w:rsid w:val="00351234"/>
    <w:rsid w:val="00351B36"/>
    <w:rsid w:val="0035202A"/>
    <w:rsid w:val="00357B4E"/>
    <w:rsid w:val="0036509F"/>
    <w:rsid w:val="003716FD"/>
    <w:rsid w:val="0037204B"/>
    <w:rsid w:val="003744CF"/>
    <w:rsid w:val="00374717"/>
    <w:rsid w:val="0037676C"/>
    <w:rsid w:val="00381043"/>
    <w:rsid w:val="003829E5"/>
    <w:rsid w:val="00386109"/>
    <w:rsid w:val="00386944"/>
    <w:rsid w:val="0039027A"/>
    <w:rsid w:val="003956CC"/>
    <w:rsid w:val="00395C9A"/>
    <w:rsid w:val="003A0853"/>
    <w:rsid w:val="003A2DC1"/>
    <w:rsid w:val="003A32C0"/>
    <w:rsid w:val="003A6B67"/>
    <w:rsid w:val="003B0A0A"/>
    <w:rsid w:val="003B13B6"/>
    <w:rsid w:val="003B14C3"/>
    <w:rsid w:val="003B15E6"/>
    <w:rsid w:val="003B22EF"/>
    <w:rsid w:val="003B408A"/>
    <w:rsid w:val="003C08A2"/>
    <w:rsid w:val="003C2045"/>
    <w:rsid w:val="003C43A1"/>
    <w:rsid w:val="003C4FC0"/>
    <w:rsid w:val="003C55F4"/>
    <w:rsid w:val="003C6D74"/>
    <w:rsid w:val="003C7897"/>
    <w:rsid w:val="003C7A3F"/>
    <w:rsid w:val="003D2766"/>
    <w:rsid w:val="003D2A74"/>
    <w:rsid w:val="003D3D88"/>
    <w:rsid w:val="003D3E8F"/>
    <w:rsid w:val="003D6475"/>
    <w:rsid w:val="003D6EE6"/>
    <w:rsid w:val="003E3375"/>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7E5F"/>
    <w:rsid w:val="004115A2"/>
    <w:rsid w:val="004148F9"/>
    <w:rsid w:val="0042084E"/>
    <w:rsid w:val="00421EEF"/>
    <w:rsid w:val="00424D65"/>
    <w:rsid w:val="00430393"/>
    <w:rsid w:val="00431806"/>
    <w:rsid w:val="00431A70"/>
    <w:rsid w:val="00431F42"/>
    <w:rsid w:val="00442278"/>
    <w:rsid w:val="00442C6C"/>
    <w:rsid w:val="00443043"/>
    <w:rsid w:val="00443068"/>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7729D"/>
    <w:rsid w:val="00483968"/>
    <w:rsid w:val="004841BE"/>
    <w:rsid w:val="00484F86"/>
    <w:rsid w:val="00490746"/>
    <w:rsid w:val="00490852"/>
    <w:rsid w:val="00491C9C"/>
    <w:rsid w:val="00492F30"/>
    <w:rsid w:val="004946F4"/>
    <w:rsid w:val="0049487E"/>
    <w:rsid w:val="004A14BB"/>
    <w:rsid w:val="004A160D"/>
    <w:rsid w:val="004A3E81"/>
    <w:rsid w:val="004A4195"/>
    <w:rsid w:val="004A5C62"/>
    <w:rsid w:val="004A5CE5"/>
    <w:rsid w:val="004A707D"/>
    <w:rsid w:val="004B020C"/>
    <w:rsid w:val="004B0974"/>
    <w:rsid w:val="004B4185"/>
    <w:rsid w:val="004C5541"/>
    <w:rsid w:val="004C6EEE"/>
    <w:rsid w:val="004C702B"/>
    <w:rsid w:val="004D0033"/>
    <w:rsid w:val="004D016B"/>
    <w:rsid w:val="004D1B00"/>
    <w:rsid w:val="004D1B22"/>
    <w:rsid w:val="004D23CC"/>
    <w:rsid w:val="004D36F2"/>
    <w:rsid w:val="004E1106"/>
    <w:rsid w:val="004E138F"/>
    <w:rsid w:val="004E4649"/>
    <w:rsid w:val="004E48B8"/>
    <w:rsid w:val="004E5C2B"/>
    <w:rsid w:val="004F00DD"/>
    <w:rsid w:val="004F2133"/>
    <w:rsid w:val="004F5398"/>
    <w:rsid w:val="004F55F1"/>
    <w:rsid w:val="004F6936"/>
    <w:rsid w:val="00502D90"/>
    <w:rsid w:val="00503DC6"/>
    <w:rsid w:val="00506F5D"/>
    <w:rsid w:val="00510C37"/>
    <w:rsid w:val="005126D0"/>
    <w:rsid w:val="00514667"/>
    <w:rsid w:val="00514A19"/>
    <w:rsid w:val="00514B5D"/>
    <w:rsid w:val="00515002"/>
    <w:rsid w:val="0051568D"/>
    <w:rsid w:val="00521EBE"/>
    <w:rsid w:val="00526AC7"/>
    <w:rsid w:val="00526C15"/>
    <w:rsid w:val="00532C7B"/>
    <w:rsid w:val="00533B2D"/>
    <w:rsid w:val="00536499"/>
    <w:rsid w:val="00542A03"/>
    <w:rsid w:val="00543903"/>
    <w:rsid w:val="00543BCC"/>
    <w:rsid w:val="00543F11"/>
    <w:rsid w:val="00544135"/>
    <w:rsid w:val="00546305"/>
    <w:rsid w:val="00547A95"/>
    <w:rsid w:val="0055119B"/>
    <w:rsid w:val="00561202"/>
    <w:rsid w:val="00562507"/>
    <w:rsid w:val="00562811"/>
    <w:rsid w:val="005664B5"/>
    <w:rsid w:val="005677D3"/>
    <w:rsid w:val="00572031"/>
    <w:rsid w:val="00572282"/>
    <w:rsid w:val="00573CE3"/>
    <w:rsid w:val="00576E84"/>
    <w:rsid w:val="00580394"/>
    <w:rsid w:val="005809CD"/>
    <w:rsid w:val="00582AFE"/>
    <w:rsid w:val="00582B8C"/>
    <w:rsid w:val="0058757E"/>
    <w:rsid w:val="00596A4B"/>
    <w:rsid w:val="00597507"/>
    <w:rsid w:val="005A069D"/>
    <w:rsid w:val="005A479D"/>
    <w:rsid w:val="005A7730"/>
    <w:rsid w:val="005B1C6D"/>
    <w:rsid w:val="005B21B6"/>
    <w:rsid w:val="005B2341"/>
    <w:rsid w:val="005B2DDB"/>
    <w:rsid w:val="005B3A08"/>
    <w:rsid w:val="005B7A63"/>
    <w:rsid w:val="005C0955"/>
    <w:rsid w:val="005C3324"/>
    <w:rsid w:val="005C49DA"/>
    <w:rsid w:val="005C50F3"/>
    <w:rsid w:val="005C54B5"/>
    <w:rsid w:val="005C5D80"/>
    <w:rsid w:val="005C5D91"/>
    <w:rsid w:val="005D07B8"/>
    <w:rsid w:val="005D296D"/>
    <w:rsid w:val="005D6597"/>
    <w:rsid w:val="005E14E7"/>
    <w:rsid w:val="005E176E"/>
    <w:rsid w:val="005E26A3"/>
    <w:rsid w:val="005E2ECB"/>
    <w:rsid w:val="005E447E"/>
    <w:rsid w:val="005E4FD1"/>
    <w:rsid w:val="005E600C"/>
    <w:rsid w:val="005E659F"/>
    <w:rsid w:val="005F0775"/>
    <w:rsid w:val="005F0CF5"/>
    <w:rsid w:val="005F21EB"/>
    <w:rsid w:val="005F424B"/>
    <w:rsid w:val="005F64CF"/>
    <w:rsid w:val="006041AD"/>
    <w:rsid w:val="006046C2"/>
    <w:rsid w:val="00605908"/>
    <w:rsid w:val="00607850"/>
    <w:rsid w:val="00607EF7"/>
    <w:rsid w:val="00610D7C"/>
    <w:rsid w:val="00613414"/>
    <w:rsid w:val="00620154"/>
    <w:rsid w:val="00621023"/>
    <w:rsid w:val="0062408D"/>
    <w:rsid w:val="006240CC"/>
    <w:rsid w:val="00624940"/>
    <w:rsid w:val="006254F8"/>
    <w:rsid w:val="00627DA7"/>
    <w:rsid w:val="00630DA4"/>
    <w:rsid w:val="00631CD4"/>
    <w:rsid w:val="00632597"/>
    <w:rsid w:val="00634D13"/>
    <w:rsid w:val="006358B4"/>
    <w:rsid w:val="00641724"/>
    <w:rsid w:val="006419AA"/>
    <w:rsid w:val="00643F2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86C7F"/>
    <w:rsid w:val="00691B62"/>
    <w:rsid w:val="006933B5"/>
    <w:rsid w:val="00693D14"/>
    <w:rsid w:val="00696F27"/>
    <w:rsid w:val="006A18C2"/>
    <w:rsid w:val="006A3383"/>
    <w:rsid w:val="006A5065"/>
    <w:rsid w:val="006B077C"/>
    <w:rsid w:val="006B6803"/>
    <w:rsid w:val="006C661A"/>
    <w:rsid w:val="006D0F16"/>
    <w:rsid w:val="006D2A3F"/>
    <w:rsid w:val="006D2FBC"/>
    <w:rsid w:val="006D6120"/>
    <w:rsid w:val="006D6E34"/>
    <w:rsid w:val="006E138B"/>
    <w:rsid w:val="006E1867"/>
    <w:rsid w:val="006E1DB3"/>
    <w:rsid w:val="006E2825"/>
    <w:rsid w:val="006E2D39"/>
    <w:rsid w:val="006E4979"/>
    <w:rsid w:val="006F0330"/>
    <w:rsid w:val="006F1FDC"/>
    <w:rsid w:val="006F6B8C"/>
    <w:rsid w:val="007013EF"/>
    <w:rsid w:val="007055BD"/>
    <w:rsid w:val="007173CA"/>
    <w:rsid w:val="007214C1"/>
    <w:rsid w:val="007216AA"/>
    <w:rsid w:val="00721AB5"/>
    <w:rsid w:val="00721CFB"/>
    <w:rsid w:val="00721DEF"/>
    <w:rsid w:val="00724A43"/>
    <w:rsid w:val="007254EA"/>
    <w:rsid w:val="007273AC"/>
    <w:rsid w:val="00731AD4"/>
    <w:rsid w:val="00732D35"/>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B86"/>
    <w:rsid w:val="00797C32"/>
    <w:rsid w:val="007A11E8"/>
    <w:rsid w:val="007B0914"/>
    <w:rsid w:val="007B1374"/>
    <w:rsid w:val="007B32E5"/>
    <w:rsid w:val="007B3DB9"/>
    <w:rsid w:val="007B589F"/>
    <w:rsid w:val="007B6186"/>
    <w:rsid w:val="007B73BC"/>
    <w:rsid w:val="007C1838"/>
    <w:rsid w:val="007C20B9"/>
    <w:rsid w:val="007C60C2"/>
    <w:rsid w:val="007C7301"/>
    <w:rsid w:val="007C75D9"/>
    <w:rsid w:val="007C7859"/>
    <w:rsid w:val="007C7F28"/>
    <w:rsid w:val="007D1466"/>
    <w:rsid w:val="007D2BDE"/>
    <w:rsid w:val="007D2FB6"/>
    <w:rsid w:val="007D49EB"/>
    <w:rsid w:val="007D5E1C"/>
    <w:rsid w:val="007E0BE4"/>
    <w:rsid w:val="007E0DE2"/>
    <w:rsid w:val="007E3667"/>
    <w:rsid w:val="007E3B98"/>
    <w:rsid w:val="007E3CD5"/>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40F0"/>
    <w:rsid w:val="00824E13"/>
    <w:rsid w:val="008338A2"/>
    <w:rsid w:val="008345A2"/>
    <w:rsid w:val="00841AA9"/>
    <w:rsid w:val="008470AF"/>
    <w:rsid w:val="008474FE"/>
    <w:rsid w:val="00853EE4"/>
    <w:rsid w:val="00855535"/>
    <w:rsid w:val="00857C5A"/>
    <w:rsid w:val="0086255E"/>
    <w:rsid w:val="008633F0"/>
    <w:rsid w:val="00867D9D"/>
    <w:rsid w:val="00872E0A"/>
    <w:rsid w:val="00873594"/>
    <w:rsid w:val="00875285"/>
    <w:rsid w:val="00884B62"/>
    <w:rsid w:val="0088529C"/>
    <w:rsid w:val="00886231"/>
    <w:rsid w:val="00887903"/>
    <w:rsid w:val="0089270A"/>
    <w:rsid w:val="00893AF6"/>
    <w:rsid w:val="00894BC4"/>
    <w:rsid w:val="00895B38"/>
    <w:rsid w:val="00896890"/>
    <w:rsid w:val="008977D1"/>
    <w:rsid w:val="008A28A8"/>
    <w:rsid w:val="008A3003"/>
    <w:rsid w:val="008A3E0D"/>
    <w:rsid w:val="008A54AC"/>
    <w:rsid w:val="008A5B32"/>
    <w:rsid w:val="008B2029"/>
    <w:rsid w:val="008B2EE4"/>
    <w:rsid w:val="008B3821"/>
    <w:rsid w:val="008B4D3D"/>
    <w:rsid w:val="008B57C7"/>
    <w:rsid w:val="008C2F92"/>
    <w:rsid w:val="008C3546"/>
    <w:rsid w:val="008C465A"/>
    <w:rsid w:val="008C589D"/>
    <w:rsid w:val="008C6D51"/>
    <w:rsid w:val="008D2846"/>
    <w:rsid w:val="008D4236"/>
    <w:rsid w:val="008D462F"/>
    <w:rsid w:val="008D6DCF"/>
    <w:rsid w:val="008E4376"/>
    <w:rsid w:val="008E5BF6"/>
    <w:rsid w:val="008E7A0A"/>
    <w:rsid w:val="008E7B49"/>
    <w:rsid w:val="008F59F6"/>
    <w:rsid w:val="00900719"/>
    <w:rsid w:val="009017AC"/>
    <w:rsid w:val="00902A9A"/>
    <w:rsid w:val="00904A1C"/>
    <w:rsid w:val="00905030"/>
    <w:rsid w:val="00906490"/>
    <w:rsid w:val="00907F35"/>
    <w:rsid w:val="00910323"/>
    <w:rsid w:val="009111B2"/>
    <w:rsid w:val="009151F5"/>
    <w:rsid w:val="00915225"/>
    <w:rsid w:val="00920CF1"/>
    <w:rsid w:val="00924AE1"/>
    <w:rsid w:val="009269B1"/>
    <w:rsid w:val="0092724D"/>
    <w:rsid w:val="009272B3"/>
    <w:rsid w:val="00930C11"/>
    <w:rsid w:val="009315BE"/>
    <w:rsid w:val="00932444"/>
    <w:rsid w:val="009326DD"/>
    <w:rsid w:val="0093338F"/>
    <w:rsid w:val="00937BD9"/>
    <w:rsid w:val="00950E2C"/>
    <w:rsid w:val="009519B6"/>
    <w:rsid w:val="00951BA0"/>
    <w:rsid w:val="00951D50"/>
    <w:rsid w:val="009525EB"/>
    <w:rsid w:val="0095470B"/>
    <w:rsid w:val="00954874"/>
    <w:rsid w:val="0095615A"/>
    <w:rsid w:val="00961400"/>
    <w:rsid w:val="00963646"/>
    <w:rsid w:val="0096632D"/>
    <w:rsid w:val="00967124"/>
    <w:rsid w:val="0097166C"/>
    <w:rsid w:val="009718C7"/>
    <w:rsid w:val="00973A05"/>
    <w:rsid w:val="0097559F"/>
    <w:rsid w:val="009761EA"/>
    <w:rsid w:val="0097761E"/>
    <w:rsid w:val="00977D59"/>
    <w:rsid w:val="00982454"/>
    <w:rsid w:val="00982CF0"/>
    <w:rsid w:val="0098427D"/>
    <w:rsid w:val="009853E1"/>
    <w:rsid w:val="00986C8C"/>
    <w:rsid w:val="00986E6B"/>
    <w:rsid w:val="00990032"/>
    <w:rsid w:val="00990B19"/>
    <w:rsid w:val="0099153B"/>
    <w:rsid w:val="00991769"/>
    <w:rsid w:val="0099232C"/>
    <w:rsid w:val="009925FB"/>
    <w:rsid w:val="00994386"/>
    <w:rsid w:val="009A13D8"/>
    <w:rsid w:val="009A279E"/>
    <w:rsid w:val="009A3015"/>
    <w:rsid w:val="009A3490"/>
    <w:rsid w:val="009B0031"/>
    <w:rsid w:val="009B067A"/>
    <w:rsid w:val="009B0A6F"/>
    <w:rsid w:val="009B0A94"/>
    <w:rsid w:val="009B0AB1"/>
    <w:rsid w:val="009B0C62"/>
    <w:rsid w:val="009B1FDF"/>
    <w:rsid w:val="009B2AE8"/>
    <w:rsid w:val="009B5622"/>
    <w:rsid w:val="009B59E9"/>
    <w:rsid w:val="009B70AA"/>
    <w:rsid w:val="009C245E"/>
    <w:rsid w:val="009C5CD9"/>
    <w:rsid w:val="009C5E77"/>
    <w:rsid w:val="009C7A7E"/>
    <w:rsid w:val="009D02E8"/>
    <w:rsid w:val="009D1539"/>
    <w:rsid w:val="009D51D0"/>
    <w:rsid w:val="009D70A4"/>
    <w:rsid w:val="009D7B14"/>
    <w:rsid w:val="009E08D1"/>
    <w:rsid w:val="009E0D96"/>
    <w:rsid w:val="009E1B95"/>
    <w:rsid w:val="009E496F"/>
    <w:rsid w:val="009E4B0D"/>
    <w:rsid w:val="009E5250"/>
    <w:rsid w:val="009E7A69"/>
    <w:rsid w:val="009E7F92"/>
    <w:rsid w:val="009F02A3"/>
    <w:rsid w:val="009F17C9"/>
    <w:rsid w:val="009F2182"/>
    <w:rsid w:val="009F2F27"/>
    <w:rsid w:val="009F34AA"/>
    <w:rsid w:val="009F6BCB"/>
    <w:rsid w:val="009F77AD"/>
    <w:rsid w:val="009F7B78"/>
    <w:rsid w:val="00A0057A"/>
    <w:rsid w:val="00A02FA1"/>
    <w:rsid w:val="00A04CCE"/>
    <w:rsid w:val="00A04F55"/>
    <w:rsid w:val="00A05016"/>
    <w:rsid w:val="00A05C63"/>
    <w:rsid w:val="00A07421"/>
    <w:rsid w:val="00A0776B"/>
    <w:rsid w:val="00A10FB9"/>
    <w:rsid w:val="00A11421"/>
    <w:rsid w:val="00A12907"/>
    <w:rsid w:val="00A1389F"/>
    <w:rsid w:val="00A13B7A"/>
    <w:rsid w:val="00A157B1"/>
    <w:rsid w:val="00A22229"/>
    <w:rsid w:val="00A23B9B"/>
    <w:rsid w:val="00A24442"/>
    <w:rsid w:val="00A24ADA"/>
    <w:rsid w:val="00A27D0B"/>
    <w:rsid w:val="00A301D1"/>
    <w:rsid w:val="00A32577"/>
    <w:rsid w:val="00A330BB"/>
    <w:rsid w:val="00A41647"/>
    <w:rsid w:val="00A446F5"/>
    <w:rsid w:val="00A44882"/>
    <w:rsid w:val="00A45125"/>
    <w:rsid w:val="00A54715"/>
    <w:rsid w:val="00A54AA8"/>
    <w:rsid w:val="00A6061C"/>
    <w:rsid w:val="00A62D44"/>
    <w:rsid w:val="00A67263"/>
    <w:rsid w:val="00A7093F"/>
    <w:rsid w:val="00A7161C"/>
    <w:rsid w:val="00A71CE4"/>
    <w:rsid w:val="00A77AA3"/>
    <w:rsid w:val="00A80191"/>
    <w:rsid w:val="00A8236D"/>
    <w:rsid w:val="00A854EB"/>
    <w:rsid w:val="00A86061"/>
    <w:rsid w:val="00A872E5"/>
    <w:rsid w:val="00A91406"/>
    <w:rsid w:val="00A96E65"/>
    <w:rsid w:val="00A96ECE"/>
    <w:rsid w:val="00A97C72"/>
    <w:rsid w:val="00AA310B"/>
    <w:rsid w:val="00AA39CE"/>
    <w:rsid w:val="00AA41BB"/>
    <w:rsid w:val="00AA63D4"/>
    <w:rsid w:val="00AB06E8"/>
    <w:rsid w:val="00AB1CD3"/>
    <w:rsid w:val="00AB352F"/>
    <w:rsid w:val="00AC274B"/>
    <w:rsid w:val="00AC4764"/>
    <w:rsid w:val="00AC6D36"/>
    <w:rsid w:val="00AD0CBA"/>
    <w:rsid w:val="00AD26E2"/>
    <w:rsid w:val="00AD7663"/>
    <w:rsid w:val="00AD784C"/>
    <w:rsid w:val="00AE070B"/>
    <w:rsid w:val="00AE0F37"/>
    <w:rsid w:val="00AE126A"/>
    <w:rsid w:val="00AE1BAE"/>
    <w:rsid w:val="00AE3005"/>
    <w:rsid w:val="00AE3BD5"/>
    <w:rsid w:val="00AE59A0"/>
    <w:rsid w:val="00AF0C57"/>
    <w:rsid w:val="00AF26F3"/>
    <w:rsid w:val="00AF5F04"/>
    <w:rsid w:val="00B00672"/>
    <w:rsid w:val="00B01B4D"/>
    <w:rsid w:val="00B04489"/>
    <w:rsid w:val="00B05BED"/>
    <w:rsid w:val="00B06571"/>
    <w:rsid w:val="00B068BA"/>
    <w:rsid w:val="00B07217"/>
    <w:rsid w:val="00B13851"/>
    <w:rsid w:val="00B13B1C"/>
    <w:rsid w:val="00B14B5F"/>
    <w:rsid w:val="00B21F90"/>
    <w:rsid w:val="00B22291"/>
    <w:rsid w:val="00B23F9A"/>
    <w:rsid w:val="00B2417B"/>
    <w:rsid w:val="00B24E6F"/>
    <w:rsid w:val="00B26CB5"/>
    <w:rsid w:val="00B2752E"/>
    <w:rsid w:val="00B30518"/>
    <w:rsid w:val="00B307CC"/>
    <w:rsid w:val="00B326B7"/>
    <w:rsid w:val="00B3588E"/>
    <w:rsid w:val="00B4198F"/>
    <w:rsid w:val="00B41F3D"/>
    <w:rsid w:val="00B42352"/>
    <w:rsid w:val="00B431E8"/>
    <w:rsid w:val="00B45141"/>
    <w:rsid w:val="00B519CD"/>
    <w:rsid w:val="00B5273A"/>
    <w:rsid w:val="00B57329"/>
    <w:rsid w:val="00B60E61"/>
    <w:rsid w:val="00B6140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E28D2"/>
    <w:rsid w:val="00BE3E85"/>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0A4C"/>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6A64"/>
    <w:rsid w:val="00C67BF4"/>
    <w:rsid w:val="00C7275E"/>
    <w:rsid w:val="00C731AF"/>
    <w:rsid w:val="00C74C5D"/>
    <w:rsid w:val="00C74FB2"/>
    <w:rsid w:val="00C85ED3"/>
    <w:rsid w:val="00C863C4"/>
    <w:rsid w:val="00C86A10"/>
    <w:rsid w:val="00C90DAB"/>
    <w:rsid w:val="00C920EA"/>
    <w:rsid w:val="00C92278"/>
    <w:rsid w:val="00C93C3E"/>
    <w:rsid w:val="00CA12E3"/>
    <w:rsid w:val="00CA1476"/>
    <w:rsid w:val="00CA1E44"/>
    <w:rsid w:val="00CA6611"/>
    <w:rsid w:val="00CA6AE6"/>
    <w:rsid w:val="00CA782F"/>
    <w:rsid w:val="00CB187B"/>
    <w:rsid w:val="00CB2835"/>
    <w:rsid w:val="00CB3285"/>
    <w:rsid w:val="00CB4500"/>
    <w:rsid w:val="00CB4976"/>
    <w:rsid w:val="00CC0C72"/>
    <w:rsid w:val="00CC2BFD"/>
    <w:rsid w:val="00CC6F40"/>
    <w:rsid w:val="00CD3476"/>
    <w:rsid w:val="00CD64DF"/>
    <w:rsid w:val="00CE225F"/>
    <w:rsid w:val="00CE478F"/>
    <w:rsid w:val="00CE5A7A"/>
    <w:rsid w:val="00CF2F50"/>
    <w:rsid w:val="00CF6198"/>
    <w:rsid w:val="00D02919"/>
    <w:rsid w:val="00D04C61"/>
    <w:rsid w:val="00D05B8D"/>
    <w:rsid w:val="00D05B9B"/>
    <w:rsid w:val="00D065A2"/>
    <w:rsid w:val="00D079AA"/>
    <w:rsid w:val="00D07F00"/>
    <w:rsid w:val="00D105AC"/>
    <w:rsid w:val="00D1130F"/>
    <w:rsid w:val="00D17B72"/>
    <w:rsid w:val="00D30D94"/>
    <w:rsid w:val="00D3185C"/>
    <w:rsid w:val="00D3205F"/>
    <w:rsid w:val="00D3318E"/>
    <w:rsid w:val="00D33E72"/>
    <w:rsid w:val="00D35807"/>
    <w:rsid w:val="00D35BD6"/>
    <w:rsid w:val="00D361B5"/>
    <w:rsid w:val="00D411A2"/>
    <w:rsid w:val="00D4606D"/>
    <w:rsid w:val="00D465AC"/>
    <w:rsid w:val="00D50B9C"/>
    <w:rsid w:val="00D513AF"/>
    <w:rsid w:val="00D52D73"/>
    <w:rsid w:val="00D52E58"/>
    <w:rsid w:val="00D5523A"/>
    <w:rsid w:val="00D56B20"/>
    <w:rsid w:val="00D578B3"/>
    <w:rsid w:val="00D618F4"/>
    <w:rsid w:val="00D63636"/>
    <w:rsid w:val="00D714CC"/>
    <w:rsid w:val="00D75EA7"/>
    <w:rsid w:val="00D76ECC"/>
    <w:rsid w:val="00D81ADF"/>
    <w:rsid w:val="00D81F21"/>
    <w:rsid w:val="00D864F2"/>
    <w:rsid w:val="00D9318C"/>
    <w:rsid w:val="00D943F8"/>
    <w:rsid w:val="00D95470"/>
    <w:rsid w:val="00D96B55"/>
    <w:rsid w:val="00DA2619"/>
    <w:rsid w:val="00DA4239"/>
    <w:rsid w:val="00DA588C"/>
    <w:rsid w:val="00DA65DE"/>
    <w:rsid w:val="00DB0B61"/>
    <w:rsid w:val="00DB1474"/>
    <w:rsid w:val="00DB2962"/>
    <w:rsid w:val="00DB52FB"/>
    <w:rsid w:val="00DC013B"/>
    <w:rsid w:val="00DC022A"/>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4D71"/>
    <w:rsid w:val="00DE6028"/>
    <w:rsid w:val="00DE6C85"/>
    <w:rsid w:val="00DE78A3"/>
    <w:rsid w:val="00DF0A6E"/>
    <w:rsid w:val="00DF1A71"/>
    <w:rsid w:val="00DF50FC"/>
    <w:rsid w:val="00DF68C7"/>
    <w:rsid w:val="00DF731A"/>
    <w:rsid w:val="00E06B75"/>
    <w:rsid w:val="00E11332"/>
    <w:rsid w:val="00E11352"/>
    <w:rsid w:val="00E16794"/>
    <w:rsid w:val="00E170DC"/>
    <w:rsid w:val="00E17546"/>
    <w:rsid w:val="00E20DC9"/>
    <w:rsid w:val="00E210B5"/>
    <w:rsid w:val="00E261B3"/>
    <w:rsid w:val="00E26818"/>
    <w:rsid w:val="00E27FFC"/>
    <w:rsid w:val="00E30B15"/>
    <w:rsid w:val="00E33237"/>
    <w:rsid w:val="00E40181"/>
    <w:rsid w:val="00E504C8"/>
    <w:rsid w:val="00E54950"/>
    <w:rsid w:val="00E55FB3"/>
    <w:rsid w:val="00E56A01"/>
    <w:rsid w:val="00E629A1"/>
    <w:rsid w:val="00E63632"/>
    <w:rsid w:val="00E6794C"/>
    <w:rsid w:val="00E71591"/>
    <w:rsid w:val="00E71CEB"/>
    <w:rsid w:val="00E7474F"/>
    <w:rsid w:val="00E80DE3"/>
    <w:rsid w:val="00E82C55"/>
    <w:rsid w:val="00E8787E"/>
    <w:rsid w:val="00E9042A"/>
    <w:rsid w:val="00E92174"/>
    <w:rsid w:val="00E92AC3"/>
    <w:rsid w:val="00EA2F6A"/>
    <w:rsid w:val="00EA6095"/>
    <w:rsid w:val="00EA7326"/>
    <w:rsid w:val="00EB00E0"/>
    <w:rsid w:val="00EB05D5"/>
    <w:rsid w:val="00EB2210"/>
    <w:rsid w:val="00EB4BC7"/>
    <w:rsid w:val="00EB54FD"/>
    <w:rsid w:val="00EB56B9"/>
    <w:rsid w:val="00EC059F"/>
    <w:rsid w:val="00EC1F24"/>
    <w:rsid w:val="00EC22F6"/>
    <w:rsid w:val="00EC3DB9"/>
    <w:rsid w:val="00ED29F6"/>
    <w:rsid w:val="00ED5B9B"/>
    <w:rsid w:val="00ED6BAD"/>
    <w:rsid w:val="00ED7447"/>
    <w:rsid w:val="00ED7762"/>
    <w:rsid w:val="00EE00D6"/>
    <w:rsid w:val="00EE11E7"/>
    <w:rsid w:val="00EE1488"/>
    <w:rsid w:val="00EE29AD"/>
    <w:rsid w:val="00EE3E24"/>
    <w:rsid w:val="00EE43D6"/>
    <w:rsid w:val="00EE4D5D"/>
    <w:rsid w:val="00EE5131"/>
    <w:rsid w:val="00EF109B"/>
    <w:rsid w:val="00EF201C"/>
    <w:rsid w:val="00EF2C72"/>
    <w:rsid w:val="00EF36AF"/>
    <w:rsid w:val="00EF4010"/>
    <w:rsid w:val="00EF59A3"/>
    <w:rsid w:val="00EF6675"/>
    <w:rsid w:val="00F0063D"/>
    <w:rsid w:val="00F00F9C"/>
    <w:rsid w:val="00F01E5F"/>
    <w:rsid w:val="00F024F3"/>
    <w:rsid w:val="00F02ABA"/>
    <w:rsid w:val="00F0437A"/>
    <w:rsid w:val="00F06338"/>
    <w:rsid w:val="00F101B8"/>
    <w:rsid w:val="00F11037"/>
    <w:rsid w:val="00F11395"/>
    <w:rsid w:val="00F16349"/>
    <w:rsid w:val="00F16F1B"/>
    <w:rsid w:val="00F170F6"/>
    <w:rsid w:val="00F250A9"/>
    <w:rsid w:val="00F267AF"/>
    <w:rsid w:val="00F30FF4"/>
    <w:rsid w:val="00F3122E"/>
    <w:rsid w:val="00F32368"/>
    <w:rsid w:val="00F32524"/>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4582"/>
    <w:rsid w:val="00F85195"/>
    <w:rsid w:val="00F855CC"/>
    <w:rsid w:val="00F868E3"/>
    <w:rsid w:val="00F91282"/>
    <w:rsid w:val="00F938BA"/>
    <w:rsid w:val="00F94A57"/>
    <w:rsid w:val="00F95C7E"/>
    <w:rsid w:val="00F97919"/>
    <w:rsid w:val="00FA2C46"/>
    <w:rsid w:val="00FA3525"/>
    <w:rsid w:val="00FA5A53"/>
    <w:rsid w:val="00FA7498"/>
    <w:rsid w:val="00FB1F6E"/>
    <w:rsid w:val="00FB27B8"/>
    <w:rsid w:val="00FB4769"/>
    <w:rsid w:val="00FB4CDA"/>
    <w:rsid w:val="00FB6481"/>
    <w:rsid w:val="00FB6D36"/>
    <w:rsid w:val="00FC0965"/>
    <w:rsid w:val="00FC0F81"/>
    <w:rsid w:val="00FC252F"/>
    <w:rsid w:val="00FC260C"/>
    <w:rsid w:val="00FC363A"/>
    <w:rsid w:val="00FC395C"/>
    <w:rsid w:val="00FC5E8E"/>
    <w:rsid w:val="00FD3766"/>
    <w:rsid w:val="00FD3D05"/>
    <w:rsid w:val="00FD47C4"/>
    <w:rsid w:val="00FE2DCF"/>
    <w:rsid w:val="00FE3FA7"/>
    <w:rsid w:val="00FE4081"/>
    <w:rsid w:val="00FE67F7"/>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3031E"/>
  <w15:docId w15:val="{AD928BB1-2344-4045-BA14-D02D453E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character" w:styleId="Mention">
    <w:name w:val="Mention"/>
    <w:basedOn w:val="DefaultParagraphFont"/>
    <w:uiPriority w:val="99"/>
    <w:unhideWhenUsed/>
    <w:rsid w:val="00442278"/>
    <w:rPr>
      <w:color w:val="2B579A"/>
      <w:shd w:val="clear" w:color="auto" w:fill="E1DFDD"/>
    </w:rPr>
  </w:style>
  <w:style w:type="paragraph" w:styleId="ListParagraph">
    <w:name w:val="List Paragraph"/>
    <w:basedOn w:val="Normal"/>
    <w:uiPriority w:val="72"/>
    <w:semiHidden/>
    <w:qFormat/>
    <w:rsid w:val="00B30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workforceinnovation@health.vic.gov.au" TargetMode="External"/><Relationship Id="rId26" Type="http://schemas.openxmlformats.org/officeDocument/2006/relationships/hyperlink" Target="https://www.worksafe.vic.gov.au/resources/prevention-and-management-violence-and-aggression-health-services" TargetMode="External"/><Relationship Id="rId3" Type="http://schemas.openxmlformats.org/officeDocument/2006/relationships/customXml" Target="../customXml/item3.xml"/><Relationship Id="rId21" Type="http://schemas.openxmlformats.org/officeDocument/2006/relationships/hyperlink" Target="https://www.safetyandquality.gov.au/sites/default/files/2023-07/nhhi_implementation_guide_july_2023.pdf"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worker-health-wellbeing/occupational-violence-and-aggression-training"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make-content-accessible" TargetMode="External"/><Relationship Id="rId29" Type="http://schemas.openxmlformats.org/officeDocument/2006/relationships/hyperlink" Target="https://www.health.vic.gov.au/publications/workplace-culture-and-bullying-harassment-and-discrimination-training-gui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health.vic.gov.au/worker-health-wellbeing/occupational-violence-and-aggression-training"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yber.gov.au/business-and-government/cyber-security-frameworks/ism" TargetMode="External"/><Relationship Id="rId28" Type="http://schemas.openxmlformats.org/officeDocument/2006/relationships/hyperlink" Target="https://www.worksafe.vic.gov.au/hazardous-manual-handling-trainin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health-workforce/recognition-of-prior-learning-framework"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yber.gov.au/business-and-government/cyber-security-frameworks/ism" TargetMode="External"/><Relationship Id="rId27" Type="http://schemas.openxmlformats.org/officeDocument/2006/relationships/hyperlink" Target="https://www.worksafe.vic.gov.au/healthcare-and-hospitals-safety-basics" TargetMode="External"/><Relationship Id="rId30" Type="http://schemas.openxmlformats.org/officeDocument/2006/relationships/hyperlink" Target="https://www.health.vic.gov.au/publications/workplace-culture-and-bullying-harassment-and-discrimination-training-guiding"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99335CB28FDB43B3A41DE72908C43B" ma:contentTypeVersion="19" ma:contentTypeDescription="Create a new document." ma:contentTypeScope="" ma:versionID="5fde648fb041d6f08f604cf4b6937620">
  <xsd:schema xmlns:xsd="http://www.w3.org/2001/XMLSchema" xmlns:xs="http://www.w3.org/2001/XMLSchema" xmlns:p="http://schemas.microsoft.com/office/2006/metadata/properties" xmlns:ns2="26a321b9-2332-4403-b746-57eec040560b" xmlns:ns3="c4bf4fb5-ca6a-4223-b73b-4cf232540650" xmlns:ns4="5ce0f2b5-5be5-4508-bce9-d7011ece0659" targetNamespace="http://schemas.microsoft.com/office/2006/metadata/properties" ma:root="true" ma:fieldsID="b3a3b28da189b8d6a1bd185cef89b674" ns2:_="" ns3:_="" ns4:_="">
    <xsd:import namespace="26a321b9-2332-4403-b746-57eec040560b"/>
    <xsd:import namespace="c4bf4fb5-ca6a-4223-b73b-4cf232540650"/>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321b9-2332-4403-b746-57eec0405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f4fb5-ca6a-4223-b73b-4cf2325406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8b5fc00-d8fa-48f0-a3c8-a0995a78ae34}" ma:internalName="TaxCatchAll" ma:showField="CatchAllData" ma:web="c4bf4fb5-ca6a-4223-b73b-4cf232540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6a321b9-2332-4403-b746-57eec040560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7182646F-99F3-4C95-891B-C2BF2F27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321b9-2332-4403-b746-57eec040560b"/>
    <ds:schemaRef ds:uri="c4bf4fb5-ca6a-4223-b73b-4cf232540650"/>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26a321b9-2332-4403-b746-57eec040560b"/>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5846</Words>
  <Characters>37415</Characters>
  <Application>Microsoft Office Word</Application>
  <DocSecurity>2</DocSecurity>
  <Lines>850</Lines>
  <Paragraphs>569</Paragraphs>
  <ScaleCrop>false</ScaleCrop>
  <HeadingPairs>
    <vt:vector size="2" baseType="variant">
      <vt:variant>
        <vt:lpstr>Title</vt:lpstr>
      </vt:variant>
      <vt:variant>
        <vt:i4>1</vt:i4>
      </vt:variant>
    </vt:vector>
  </HeadingPairs>
  <TitlesOfParts>
    <vt:vector size="1" baseType="lpstr">
      <vt:lpstr>Recognition of Prior Learning Framework</vt:lpstr>
    </vt:vector>
  </TitlesOfParts>
  <Manager/>
  <Company>Victoria State Government, Department of Health</Company>
  <LinksUpToDate>false</LinksUpToDate>
  <CharactersWithSpaces>42692</CharactersWithSpaces>
  <SharedDoc>false</SharedDoc>
  <HyperlinkBase/>
  <HLinks>
    <vt:vector size="294" baseType="variant">
      <vt:variant>
        <vt:i4>786513</vt:i4>
      </vt:variant>
      <vt:variant>
        <vt:i4>207</vt:i4>
      </vt:variant>
      <vt:variant>
        <vt:i4>0</vt:i4>
      </vt:variant>
      <vt:variant>
        <vt:i4>5</vt:i4>
      </vt:variant>
      <vt:variant>
        <vt:lpwstr>https://www.health.vic.gov.au/publications/workplace-culture-and-bullying-harassment-and-discrimination-training-guiding</vt:lpwstr>
      </vt:variant>
      <vt:variant>
        <vt:lpwstr/>
      </vt:variant>
      <vt:variant>
        <vt:i4>786513</vt:i4>
      </vt:variant>
      <vt:variant>
        <vt:i4>204</vt:i4>
      </vt:variant>
      <vt:variant>
        <vt:i4>0</vt:i4>
      </vt:variant>
      <vt:variant>
        <vt:i4>5</vt:i4>
      </vt:variant>
      <vt:variant>
        <vt:lpwstr>https://www.health.vic.gov.au/publications/workplace-culture-and-bullying-harassment-and-discrimination-training-guiding</vt:lpwstr>
      </vt:variant>
      <vt:variant>
        <vt:lpwstr/>
      </vt:variant>
      <vt:variant>
        <vt:i4>7995424</vt:i4>
      </vt:variant>
      <vt:variant>
        <vt:i4>201</vt:i4>
      </vt:variant>
      <vt:variant>
        <vt:i4>0</vt:i4>
      </vt:variant>
      <vt:variant>
        <vt:i4>5</vt:i4>
      </vt:variant>
      <vt:variant>
        <vt:lpwstr>https://www.worksafe.vic.gov.au/hazardous-manual-handling-training</vt:lpwstr>
      </vt:variant>
      <vt:variant>
        <vt:lpwstr/>
      </vt:variant>
      <vt:variant>
        <vt:i4>3473450</vt:i4>
      </vt:variant>
      <vt:variant>
        <vt:i4>198</vt:i4>
      </vt:variant>
      <vt:variant>
        <vt:i4>0</vt:i4>
      </vt:variant>
      <vt:variant>
        <vt:i4>5</vt:i4>
      </vt:variant>
      <vt:variant>
        <vt:lpwstr>https://www.worksafe.vic.gov.au/healthcare-and-hospitals-safety-basics</vt:lpwstr>
      </vt:variant>
      <vt:variant>
        <vt:lpwstr/>
      </vt:variant>
      <vt:variant>
        <vt:i4>2555944</vt:i4>
      </vt:variant>
      <vt:variant>
        <vt:i4>195</vt:i4>
      </vt:variant>
      <vt:variant>
        <vt:i4>0</vt:i4>
      </vt:variant>
      <vt:variant>
        <vt:i4>5</vt:i4>
      </vt:variant>
      <vt:variant>
        <vt:lpwstr>https://www.worksafe.vic.gov.au/resources/prevention-and-management-violence-and-aggression-health-services</vt:lpwstr>
      </vt:variant>
      <vt:variant>
        <vt:lpwstr/>
      </vt:variant>
      <vt:variant>
        <vt:i4>7405627</vt:i4>
      </vt:variant>
      <vt:variant>
        <vt:i4>192</vt:i4>
      </vt:variant>
      <vt:variant>
        <vt:i4>0</vt:i4>
      </vt:variant>
      <vt:variant>
        <vt:i4>5</vt:i4>
      </vt:variant>
      <vt:variant>
        <vt:lpwstr>https://www.health.vic.gov.au/worker-health-wellbeing/occupational-violence-and-aggression-training</vt:lpwstr>
      </vt:variant>
      <vt:variant>
        <vt:lpwstr/>
      </vt:variant>
      <vt:variant>
        <vt:i4>7405627</vt:i4>
      </vt:variant>
      <vt:variant>
        <vt:i4>189</vt:i4>
      </vt:variant>
      <vt:variant>
        <vt:i4>0</vt:i4>
      </vt:variant>
      <vt:variant>
        <vt:i4>5</vt:i4>
      </vt:variant>
      <vt:variant>
        <vt:lpwstr>https://www.health.vic.gov.au/worker-health-wellbeing/occupational-violence-and-aggression-training</vt:lpwstr>
      </vt:variant>
      <vt:variant>
        <vt:lpwstr/>
      </vt:variant>
      <vt:variant>
        <vt:i4>8126503</vt:i4>
      </vt:variant>
      <vt:variant>
        <vt:i4>186</vt:i4>
      </vt:variant>
      <vt:variant>
        <vt:i4>0</vt:i4>
      </vt:variant>
      <vt:variant>
        <vt:i4>5</vt:i4>
      </vt:variant>
      <vt:variant>
        <vt:lpwstr>https://www.cyber.gov.au/business-and-government/cyber-security-frameworks/ism</vt:lpwstr>
      </vt:variant>
      <vt:variant>
        <vt:lpwstr/>
      </vt:variant>
      <vt:variant>
        <vt:i4>8126503</vt:i4>
      </vt:variant>
      <vt:variant>
        <vt:i4>183</vt:i4>
      </vt:variant>
      <vt:variant>
        <vt:i4>0</vt:i4>
      </vt:variant>
      <vt:variant>
        <vt:i4>5</vt:i4>
      </vt:variant>
      <vt:variant>
        <vt:lpwstr>https://www.cyber.gov.au/business-and-government/cyber-security-frameworks/ism</vt:lpwstr>
      </vt:variant>
      <vt:variant>
        <vt:lpwstr/>
      </vt:variant>
      <vt:variant>
        <vt:i4>8323131</vt:i4>
      </vt:variant>
      <vt:variant>
        <vt:i4>180</vt:i4>
      </vt:variant>
      <vt:variant>
        <vt:i4>0</vt:i4>
      </vt:variant>
      <vt:variant>
        <vt:i4>5</vt:i4>
      </vt:variant>
      <vt:variant>
        <vt:lpwstr>https://www.safetyandquality.gov.au/sites/default/files/2023-07/nhhi_implementation_guide_july_2023.pdf</vt:lpwstr>
      </vt:variant>
      <vt:variant>
        <vt:lpwstr/>
      </vt:variant>
      <vt:variant>
        <vt:i4>3801190</vt:i4>
      </vt:variant>
      <vt:variant>
        <vt:i4>177</vt:i4>
      </vt:variant>
      <vt:variant>
        <vt:i4>0</vt:i4>
      </vt:variant>
      <vt:variant>
        <vt:i4>5</vt:i4>
      </vt:variant>
      <vt:variant>
        <vt:lpwstr>https://www.vic.gov.au/make-content-accessible</vt:lpwstr>
      </vt:variant>
      <vt:variant>
        <vt:lpwstr/>
      </vt:variant>
      <vt:variant>
        <vt:i4>1245236</vt:i4>
      </vt:variant>
      <vt:variant>
        <vt:i4>170</vt:i4>
      </vt:variant>
      <vt:variant>
        <vt:i4>0</vt:i4>
      </vt:variant>
      <vt:variant>
        <vt:i4>5</vt:i4>
      </vt:variant>
      <vt:variant>
        <vt:lpwstr/>
      </vt:variant>
      <vt:variant>
        <vt:lpwstr>_Toc233203562</vt:lpwstr>
      </vt:variant>
      <vt:variant>
        <vt:i4>1245236</vt:i4>
      </vt:variant>
      <vt:variant>
        <vt:i4>164</vt:i4>
      </vt:variant>
      <vt:variant>
        <vt:i4>0</vt:i4>
      </vt:variant>
      <vt:variant>
        <vt:i4>5</vt:i4>
      </vt:variant>
      <vt:variant>
        <vt:lpwstr/>
      </vt:variant>
      <vt:variant>
        <vt:lpwstr>_Toc233203561</vt:lpwstr>
      </vt:variant>
      <vt:variant>
        <vt:i4>1245236</vt:i4>
      </vt:variant>
      <vt:variant>
        <vt:i4>158</vt:i4>
      </vt:variant>
      <vt:variant>
        <vt:i4>0</vt:i4>
      </vt:variant>
      <vt:variant>
        <vt:i4>5</vt:i4>
      </vt:variant>
      <vt:variant>
        <vt:lpwstr/>
      </vt:variant>
      <vt:variant>
        <vt:lpwstr>_Toc233203560</vt:lpwstr>
      </vt:variant>
      <vt:variant>
        <vt:i4>1048628</vt:i4>
      </vt:variant>
      <vt:variant>
        <vt:i4>152</vt:i4>
      </vt:variant>
      <vt:variant>
        <vt:i4>0</vt:i4>
      </vt:variant>
      <vt:variant>
        <vt:i4>5</vt:i4>
      </vt:variant>
      <vt:variant>
        <vt:lpwstr/>
      </vt:variant>
      <vt:variant>
        <vt:lpwstr>_Toc233203559</vt:lpwstr>
      </vt:variant>
      <vt:variant>
        <vt:i4>1048628</vt:i4>
      </vt:variant>
      <vt:variant>
        <vt:i4>146</vt:i4>
      </vt:variant>
      <vt:variant>
        <vt:i4>0</vt:i4>
      </vt:variant>
      <vt:variant>
        <vt:i4>5</vt:i4>
      </vt:variant>
      <vt:variant>
        <vt:lpwstr/>
      </vt:variant>
      <vt:variant>
        <vt:lpwstr>_Toc233203558</vt:lpwstr>
      </vt:variant>
      <vt:variant>
        <vt:i4>1048628</vt:i4>
      </vt:variant>
      <vt:variant>
        <vt:i4>140</vt:i4>
      </vt:variant>
      <vt:variant>
        <vt:i4>0</vt:i4>
      </vt:variant>
      <vt:variant>
        <vt:i4>5</vt:i4>
      </vt:variant>
      <vt:variant>
        <vt:lpwstr/>
      </vt:variant>
      <vt:variant>
        <vt:lpwstr>_Toc233203557</vt:lpwstr>
      </vt:variant>
      <vt:variant>
        <vt:i4>1048628</vt:i4>
      </vt:variant>
      <vt:variant>
        <vt:i4>134</vt:i4>
      </vt:variant>
      <vt:variant>
        <vt:i4>0</vt:i4>
      </vt:variant>
      <vt:variant>
        <vt:i4>5</vt:i4>
      </vt:variant>
      <vt:variant>
        <vt:lpwstr/>
      </vt:variant>
      <vt:variant>
        <vt:lpwstr>_Toc233203556</vt:lpwstr>
      </vt:variant>
      <vt:variant>
        <vt:i4>1048628</vt:i4>
      </vt:variant>
      <vt:variant>
        <vt:i4>128</vt:i4>
      </vt:variant>
      <vt:variant>
        <vt:i4>0</vt:i4>
      </vt:variant>
      <vt:variant>
        <vt:i4>5</vt:i4>
      </vt:variant>
      <vt:variant>
        <vt:lpwstr/>
      </vt:variant>
      <vt:variant>
        <vt:lpwstr>_Toc233203555</vt:lpwstr>
      </vt:variant>
      <vt:variant>
        <vt:i4>1048628</vt:i4>
      </vt:variant>
      <vt:variant>
        <vt:i4>122</vt:i4>
      </vt:variant>
      <vt:variant>
        <vt:i4>0</vt:i4>
      </vt:variant>
      <vt:variant>
        <vt:i4>5</vt:i4>
      </vt:variant>
      <vt:variant>
        <vt:lpwstr/>
      </vt:variant>
      <vt:variant>
        <vt:lpwstr>_Toc233203554</vt:lpwstr>
      </vt:variant>
      <vt:variant>
        <vt:i4>1048628</vt:i4>
      </vt:variant>
      <vt:variant>
        <vt:i4>116</vt:i4>
      </vt:variant>
      <vt:variant>
        <vt:i4>0</vt:i4>
      </vt:variant>
      <vt:variant>
        <vt:i4>5</vt:i4>
      </vt:variant>
      <vt:variant>
        <vt:lpwstr/>
      </vt:variant>
      <vt:variant>
        <vt:lpwstr>_Toc233203553</vt:lpwstr>
      </vt:variant>
      <vt:variant>
        <vt:i4>1048628</vt:i4>
      </vt:variant>
      <vt:variant>
        <vt:i4>110</vt:i4>
      </vt:variant>
      <vt:variant>
        <vt:i4>0</vt:i4>
      </vt:variant>
      <vt:variant>
        <vt:i4>5</vt:i4>
      </vt:variant>
      <vt:variant>
        <vt:lpwstr/>
      </vt:variant>
      <vt:variant>
        <vt:lpwstr>_Toc233203552</vt:lpwstr>
      </vt:variant>
      <vt:variant>
        <vt:i4>1048628</vt:i4>
      </vt:variant>
      <vt:variant>
        <vt:i4>104</vt:i4>
      </vt:variant>
      <vt:variant>
        <vt:i4>0</vt:i4>
      </vt:variant>
      <vt:variant>
        <vt:i4>5</vt:i4>
      </vt:variant>
      <vt:variant>
        <vt:lpwstr/>
      </vt:variant>
      <vt:variant>
        <vt:lpwstr>_Toc233203551</vt:lpwstr>
      </vt:variant>
      <vt:variant>
        <vt:i4>1048628</vt:i4>
      </vt:variant>
      <vt:variant>
        <vt:i4>98</vt:i4>
      </vt:variant>
      <vt:variant>
        <vt:i4>0</vt:i4>
      </vt:variant>
      <vt:variant>
        <vt:i4>5</vt:i4>
      </vt:variant>
      <vt:variant>
        <vt:lpwstr/>
      </vt:variant>
      <vt:variant>
        <vt:lpwstr>_Toc233203550</vt:lpwstr>
      </vt:variant>
      <vt:variant>
        <vt:i4>1114164</vt:i4>
      </vt:variant>
      <vt:variant>
        <vt:i4>92</vt:i4>
      </vt:variant>
      <vt:variant>
        <vt:i4>0</vt:i4>
      </vt:variant>
      <vt:variant>
        <vt:i4>5</vt:i4>
      </vt:variant>
      <vt:variant>
        <vt:lpwstr/>
      </vt:variant>
      <vt:variant>
        <vt:lpwstr>_Toc233203549</vt:lpwstr>
      </vt:variant>
      <vt:variant>
        <vt:i4>1114164</vt:i4>
      </vt:variant>
      <vt:variant>
        <vt:i4>86</vt:i4>
      </vt:variant>
      <vt:variant>
        <vt:i4>0</vt:i4>
      </vt:variant>
      <vt:variant>
        <vt:i4>5</vt:i4>
      </vt:variant>
      <vt:variant>
        <vt:lpwstr/>
      </vt:variant>
      <vt:variant>
        <vt:lpwstr>_Toc233203548</vt:lpwstr>
      </vt:variant>
      <vt:variant>
        <vt:i4>1114164</vt:i4>
      </vt:variant>
      <vt:variant>
        <vt:i4>80</vt:i4>
      </vt:variant>
      <vt:variant>
        <vt:i4>0</vt:i4>
      </vt:variant>
      <vt:variant>
        <vt:i4>5</vt:i4>
      </vt:variant>
      <vt:variant>
        <vt:lpwstr/>
      </vt:variant>
      <vt:variant>
        <vt:lpwstr>_Toc233203547</vt:lpwstr>
      </vt:variant>
      <vt:variant>
        <vt:i4>1114164</vt:i4>
      </vt:variant>
      <vt:variant>
        <vt:i4>74</vt:i4>
      </vt:variant>
      <vt:variant>
        <vt:i4>0</vt:i4>
      </vt:variant>
      <vt:variant>
        <vt:i4>5</vt:i4>
      </vt:variant>
      <vt:variant>
        <vt:lpwstr/>
      </vt:variant>
      <vt:variant>
        <vt:lpwstr>_Toc233203546</vt:lpwstr>
      </vt:variant>
      <vt:variant>
        <vt:i4>1114164</vt:i4>
      </vt:variant>
      <vt:variant>
        <vt:i4>68</vt:i4>
      </vt:variant>
      <vt:variant>
        <vt:i4>0</vt:i4>
      </vt:variant>
      <vt:variant>
        <vt:i4>5</vt:i4>
      </vt:variant>
      <vt:variant>
        <vt:lpwstr/>
      </vt:variant>
      <vt:variant>
        <vt:lpwstr>_Toc233203545</vt:lpwstr>
      </vt:variant>
      <vt:variant>
        <vt:i4>1114164</vt:i4>
      </vt:variant>
      <vt:variant>
        <vt:i4>62</vt:i4>
      </vt:variant>
      <vt:variant>
        <vt:i4>0</vt:i4>
      </vt:variant>
      <vt:variant>
        <vt:i4>5</vt:i4>
      </vt:variant>
      <vt:variant>
        <vt:lpwstr/>
      </vt:variant>
      <vt:variant>
        <vt:lpwstr>_Toc233203544</vt:lpwstr>
      </vt:variant>
      <vt:variant>
        <vt:i4>1114164</vt:i4>
      </vt:variant>
      <vt:variant>
        <vt:i4>56</vt:i4>
      </vt:variant>
      <vt:variant>
        <vt:i4>0</vt:i4>
      </vt:variant>
      <vt:variant>
        <vt:i4>5</vt:i4>
      </vt:variant>
      <vt:variant>
        <vt:lpwstr/>
      </vt:variant>
      <vt:variant>
        <vt:lpwstr>_Toc233203543</vt:lpwstr>
      </vt:variant>
      <vt:variant>
        <vt:i4>1114164</vt:i4>
      </vt:variant>
      <vt:variant>
        <vt:i4>50</vt:i4>
      </vt:variant>
      <vt:variant>
        <vt:i4>0</vt:i4>
      </vt:variant>
      <vt:variant>
        <vt:i4>5</vt:i4>
      </vt:variant>
      <vt:variant>
        <vt:lpwstr/>
      </vt:variant>
      <vt:variant>
        <vt:lpwstr>_Toc233203542</vt:lpwstr>
      </vt:variant>
      <vt:variant>
        <vt:i4>1114164</vt:i4>
      </vt:variant>
      <vt:variant>
        <vt:i4>44</vt:i4>
      </vt:variant>
      <vt:variant>
        <vt:i4>0</vt:i4>
      </vt:variant>
      <vt:variant>
        <vt:i4>5</vt:i4>
      </vt:variant>
      <vt:variant>
        <vt:lpwstr/>
      </vt:variant>
      <vt:variant>
        <vt:lpwstr>_Toc233203541</vt:lpwstr>
      </vt:variant>
      <vt:variant>
        <vt:i4>1114164</vt:i4>
      </vt:variant>
      <vt:variant>
        <vt:i4>38</vt:i4>
      </vt:variant>
      <vt:variant>
        <vt:i4>0</vt:i4>
      </vt:variant>
      <vt:variant>
        <vt:i4>5</vt:i4>
      </vt:variant>
      <vt:variant>
        <vt:lpwstr/>
      </vt:variant>
      <vt:variant>
        <vt:lpwstr>_Toc233203540</vt:lpwstr>
      </vt:variant>
      <vt:variant>
        <vt:i4>1441844</vt:i4>
      </vt:variant>
      <vt:variant>
        <vt:i4>32</vt:i4>
      </vt:variant>
      <vt:variant>
        <vt:i4>0</vt:i4>
      </vt:variant>
      <vt:variant>
        <vt:i4>5</vt:i4>
      </vt:variant>
      <vt:variant>
        <vt:lpwstr/>
      </vt:variant>
      <vt:variant>
        <vt:lpwstr>_Toc233203539</vt:lpwstr>
      </vt:variant>
      <vt:variant>
        <vt:i4>1441844</vt:i4>
      </vt:variant>
      <vt:variant>
        <vt:i4>26</vt:i4>
      </vt:variant>
      <vt:variant>
        <vt:i4>0</vt:i4>
      </vt:variant>
      <vt:variant>
        <vt:i4>5</vt:i4>
      </vt:variant>
      <vt:variant>
        <vt:lpwstr/>
      </vt:variant>
      <vt:variant>
        <vt:lpwstr>_Toc233203538</vt:lpwstr>
      </vt:variant>
      <vt:variant>
        <vt:i4>1441844</vt:i4>
      </vt:variant>
      <vt:variant>
        <vt:i4>20</vt:i4>
      </vt:variant>
      <vt:variant>
        <vt:i4>0</vt:i4>
      </vt:variant>
      <vt:variant>
        <vt:i4>5</vt:i4>
      </vt:variant>
      <vt:variant>
        <vt:lpwstr/>
      </vt:variant>
      <vt:variant>
        <vt:lpwstr>_Toc233203537</vt:lpwstr>
      </vt:variant>
      <vt:variant>
        <vt:i4>1441844</vt:i4>
      </vt:variant>
      <vt:variant>
        <vt:i4>14</vt:i4>
      </vt:variant>
      <vt:variant>
        <vt:i4>0</vt:i4>
      </vt:variant>
      <vt:variant>
        <vt:i4>5</vt:i4>
      </vt:variant>
      <vt:variant>
        <vt:lpwstr/>
      </vt:variant>
      <vt:variant>
        <vt:lpwstr>_Toc233203536</vt:lpwstr>
      </vt:variant>
      <vt:variant>
        <vt:i4>1441844</vt:i4>
      </vt:variant>
      <vt:variant>
        <vt:i4>8</vt:i4>
      </vt:variant>
      <vt:variant>
        <vt:i4>0</vt:i4>
      </vt:variant>
      <vt:variant>
        <vt:i4>5</vt:i4>
      </vt:variant>
      <vt:variant>
        <vt:lpwstr/>
      </vt:variant>
      <vt:variant>
        <vt:lpwstr>_Toc233203535</vt:lpwstr>
      </vt:variant>
      <vt:variant>
        <vt:i4>2490383</vt:i4>
      </vt:variant>
      <vt:variant>
        <vt:i4>3</vt:i4>
      </vt:variant>
      <vt:variant>
        <vt:i4>0</vt:i4>
      </vt:variant>
      <vt:variant>
        <vt:i4>5</vt:i4>
      </vt:variant>
      <vt:variant>
        <vt:lpwstr>mailto:trish.o'kelly@health.vic.gov.au</vt:lpwstr>
      </vt:variant>
      <vt:variant>
        <vt:lpwstr/>
      </vt:variant>
      <vt:variant>
        <vt:i4>589944</vt:i4>
      </vt:variant>
      <vt:variant>
        <vt:i4>24</vt:i4>
      </vt:variant>
      <vt:variant>
        <vt:i4>0</vt:i4>
      </vt:variant>
      <vt:variant>
        <vt:i4>5</vt:i4>
      </vt:variant>
      <vt:variant>
        <vt:lpwstr>mailto:claire.east@health.vic.gov.au</vt:lpwstr>
      </vt:variant>
      <vt:variant>
        <vt:lpwstr/>
      </vt:variant>
      <vt:variant>
        <vt:i4>589944</vt:i4>
      </vt:variant>
      <vt:variant>
        <vt:i4>21</vt:i4>
      </vt:variant>
      <vt:variant>
        <vt:i4>0</vt:i4>
      </vt:variant>
      <vt:variant>
        <vt:i4>5</vt:i4>
      </vt:variant>
      <vt:variant>
        <vt:lpwstr>mailto:claire.east@health.vic.gov.au</vt:lpwstr>
      </vt:variant>
      <vt:variant>
        <vt:lpwstr/>
      </vt:variant>
      <vt:variant>
        <vt:i4>4063243</vt:i4>
      </vt:variant>
      <vt:variant>
        <vt:i4>18</vt:i4>
      </vt:variant>
      <vt:variant>
        <vt:i4>0</vt:i4>
      </vt:variant>
      <vt:variant>
        <vt:i4>5</vt:i4>
      </vt:variant>
      <vt:variant>
        <vt:lpwstr>https://www.vgls.vic.gov.au/client/en_AU/vgls</vt:lpwstr>
      </vt:variant>
      <vt:variant>
        <vt:lpwstr/>
      </vt:variant>
      <vt:variant>
        <vt:i4>1179716</vt:i4>
      </vt:variant>
      <vt:variant>
        <vt:i4>15</vt:i4>
      </vt:variant>
      <vt:variant>
        <vt:i4>0</vt:i4>
      </vt:variant>
      <vt:variant>
        <vt:i4>5</vt:i4>
      </vt:variant>
      <vt:variant>
        <vt:lpwstr>https://dhhsvicgovau.sharepoint.com/sites/health/SitePages/imprints-and-accessibility-tags.aspx?web=1</vt:lpwstr>
      </vt:variant>
      <vt:variant>
        <vt:lpwstr/>
      </vt:variant>
      <vt:variant>
        <vt:i4>1376358</vt:i4>
      </vt:variant>
      <vt:variant>
        <vt:i4>12</vt:i4>
      </vt:variant>
      <vt:variant>
        <vt:i4>0</vt:i4>
      </vt:variant>
      <vt:variant>
        <vt:i4>5</vt:i4>
      </vt:variant>
      <vt:variant>
        <vt:lpwstr>mailto:Mahyar.Goodarz@health.vic.gov.au</vt:lpwstr>
      </vt:variant>
      <vt:variant>
        <vt:lpwstr/>
      </vt:variant>
      <vt:variant>
        <vt:i4>4980777</vt:i4>
      </vt:variant>
      <vt:variant>
        <vt:i4>9</vt:i4>
      </vt:variant>
      <vt:variant>
        <vt:i4>0</vt:i4>
      </vt:variant>
      <vt:variant>
        <vt:i4>5</vt:i4>
      </vt:variant>
      <vt:variant>
        <vt:lpwstr>mailto:madeleine.depietro@health.vic.gov.au</vt:lpwstr>
      </vt:variant>
      <vt:variant>
        <vt:lpwstr/>
      </vt:variant>
      <vt:variant>
        <vt:i4>6488151</vt:i4>
      </vt:variant>
      <vt:variant>
        <vt:i4>6</vt:i4>
      </vt:variant>
      <vt:variant>
        <vt:i4>0</vt:i4>
      </vt:variant>
      <vt:variant>
        <vt:i4>5</vt:i4>
      </vt:variant>
      <vt:variant>
        <vt:lpwstr>https://www.vgls.vic.gov.au/client/en_AU/vgls/?rm=ISBN0%7c%7c%7c1%7c%7c%7c0%7c%7c%7ctrue</vt:lpwstr>
      </vt:variant>
      <vt:variant>
        <vt:lpwstr/>
      </vt:variant>
      <vt:variant>
        <vt:i4>1376358</vt:i4>
      </vt:variant>
      <vt:variant>
        <vt:i4>3</vt:i4>
      </vt:variant>
      <vt:variant>
        <vt:i4>0</vt:i4>
      </vt:variant>
      <vt:variant>
        <vt:i4>5</vt:i4>
      </vt:variant>
      <vt:variant>
        <vt:lpwstr>mailto:Mahyar.Goodarz@health.vic.gov.au</vt:lpwstr>
      </vt:variant>
      <vt:variant>
        <vt:lpwstr/>
      </vt:variant>
      <vt:variant>
        <vt:i4>589944</vt:i4>
      </vt:variant>
      <vt:variant>
        <vt:i4>0</vt:i4>
      </vt:variant>
      <vt:variant>
        <vt:i4>0</vt:i4>
      </vt:variant>
      <vt:variant>
        <vt:i4>5</vt:i4>
      </vt:variant>
      <vt:variant>
        <vt:lpwstr>mailto:claire.east@health.vic.gov.au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Recognition of Prior Learning Framework</dc:title>
  <dc:subject/>
  <dc:creator>Victoria State Government, Department of Health</dc:creator>
  <cp:keywords/>
  <dc:description/>
  <cp:lastModifiedBy>Claire East (Health)</cp:lastModifiedBy>
  <cp:revision>4</cp:revision>
  <cp:lastPrinted>2021-01-30T00:27:00Z</cp:lastPrinted>
  <dcterms:created xsi:type="dcterms:W3CDTF">2026-07-03T05:40:00Z</dcterms:created>
  <dcterms:modified xsi:type="dcterms:W3CDTF">2026-07-03T05:46:00Z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0x010100D899335CB28FDB43B3A41DE72908C43B</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TemplateVersion">
    <vt:i4>1</vt:i4>
  </property>
  <property fmtid="{D5CDD505-2E9C-101B-9397-08002B2CF9AE}" pid="18" name="Category">
    <vt:lpwstr>Report</vt:lpwstr>
  </property>
  <property fmtid="{D5CDD505-2E9C-101B-9397-08002B2CF9AE}" pid="19" name="WebPage">
    <vt:lpwstr>https://dhhsvicgovau.sharepoint.com/:w:/s/health/ET0N1Uw3bw1KiYCrBtctaOEB3FzmUuHwbFWueqaIloyEEw, https://dhhsvicgovau.sharepoint.com/:w:/s/health/ET0N1Uw3bw1KiYCrBtctaOEB3FzmUuHwbFWueqaIloyEEw</vt:lpwstr>
  </property>
  <property fmtid="{D5CDD505-2E9C-101B-9397-08002B2CF9AE}" pid="20" name="Days before next review">
    <vt:r8>365</vt:r8>
  </property>
  <property fmtid="{D5CDD505-2E9C-101B-9397-08002B2CF9AE}" pid="21" name="_ExtendedDescription">
    <vt:lpwstr/>
  </property>
  <property fmtid="{D5CDD505-2E9C-101B-9397-08002B2CF9AE}" pid="22" name="_MarkAsFinal">
    <vt:lpwstr>true</vt:lpwstr>
  </property>
  <property fmtid="{D5CDD505-2E9C-101B-9397-08002B2CF9AE}" pid="23" name="Tags">
    <vt:lpwstr>17;#Templates|74cf097d-f69e-47d4-ab23-b0e64f517102</vt:lpwstr>
  </property>
  <property fmtid="{D5CDD505-2E9C-101B-9397-08002B2CF9AE}" pid="24" name="MediaServiceImageTags">
    <vt:lpwstr/>
  </property>
</Properties>
</file>