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01BE" w14:textId="6F780E0E" w:rsidR="00817104" w:rsidRDefault="00817104" w:rsidP="00817104">
      <w:pPr>
        <w:pStyle w:val="Body"/>
      </w:pPr>
      <w:r>
        <w:rPr>
          <w:noProof/>
        </w:rPr>
        <w:drawing>
          <wp:anchor distT="0" distB="0" distL="114300" distR="114300" simplePos="0" relativeHeight="251658240" behindDoc="1" locked="1" layoutInCell="1" allowOverlap="0" wp14:anchorId="50BF4063" wp14:editId="531479FC">
            <wp:simplePos x="0" y="0"/>
            <wp:positionH relativeFrom="column">
              <wp:posOffset>-828675</wp:posOffset>
            </wp:positionH>
            <wp:positionV relativeFrom="paragraph">
              <wp:posOffset>-2524125</wp:posOffset>
            </wp:positionV>
            <wp:extent cx="7670058" cy="10737363"/>
            <wp:effectExtent l="0" t="0" r="7620"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rcRect/>
                    <a:stretch>
                      <a:fillRect/>
                    </a:stretch>
                  </pic:blipFill>
                  <pic:spPr>
                    <a:xfrm>
                      <a:off x="0" y="0"/>
                      <a:ext cx="7670058" cy="10737363"/>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817104" w14:paraId="39DC3255" w14:textId="77777777">
        <w:trPr>
          <w:cantSplit/>
        </w:trPr>
        <w:tc>
          <w:tcPr>
            <w:tcW w:w="0" w:type="auto"/>
            <w:tcMar>
              <w:top w:w="0" w:type="dxa"/>
              <w:left w:w="0" w:type="dxa"/>
              <w:right w:w="0" w:type="dxa"/>
            </w:tcMar>
          </w:tcPr>
          <w:p w14:paraId="5F86037B" w14:textId="77777777" w:rsidR="00817104" w:rsidRDefault="00817104">
            <w:pPr>
              <w:pStyle w:val="Documenttitle"/>
            </w:pPr>
            <w:r w:rsidRPr="00FC2244">
              <w:t>Policy and funding guidelines</w:t>
            </w:r>
            <w:r>
              <w:br/>
              <w:t>2026–27</w:t>
            </w:r>
          </w:p>
          <w:p w14:paraId="7CB2EEF4" w14:textId="77777777" w:rsidR="0060465F" w:rsidRPr="007A5F1E" w:rsidRDefault="00EA11E7" w:rsidP="002B03DD">
            <w:pPr>
              <w:pStyle w:val="Body"/>
              <w:rPr>
                <w:color w:val="000000" w:themeColor="text1"/>
                <w:sz w:val="28"/>
                <w:szCs w:val="28"/>
              </w:rPr>
            </w:pPr>
            <w:r w:rsidRPr="007A5F1E">
              <w:rPr>
                <w:color w:val="000000" w:themeColor="text1"/>
                <w:sz w:val="28"/>
                <w:szCs w:val="28"/>
              </w:rPr>
              <w:t>Policy guide</w:t>
            </w:r>
          </w:p>
          <w:p w14:paraId="560FDE9E" w14:textId="60D54CB3" w:rsidR="002B03DD" w:rsidRPr="00431F42" w:rsidRDefault="002B03DD" w:rsidP="002B03DD">
            <w:pPr>
              <w:pStyle w:val="Body"/>
            </w:pPr>
          </w:p>
        </w:tc>
      </w:tr>
      <w:tr w:rsidR="00817104" w14:paraId="0D513B56" w14:textId="77777777">
        <w:trPr>
          <w:cantSplit/>
        </w:trPr>
        <w:tc>
          <w:tcPr>
            <w:tcW w:w="0" w:type="auto"/>
          </w:tcPr>
          <w:p w14:paraId="4F83C60A" w14:textId="77777777" w:rsidR="00817104" w:rsidRPr="00A1389F" w:rsidRDefault="00817104">
            <w:pPr>
              <w:pStyle w:val="Documentsubtitle"/>
            </w:pPr>
          </w:p>
        </w:tc>
      </w:tr>
      <w:tr w:rsidR="00817104" w14:paraId="3421FD97" w14:textId="77777777">
        <w:trPr>
          <w:cantSplit/>
        </w:trPr>
        <w:tc>
          <w:tcPr>
            <w:tcW w:w="0" w:type="auto"/>
          </w:tcPr>
          <w:p w14:paraId="005E1395" w14:textId="77777777" w:rsidR="00817104" w:rsidRDefault="00817104">
            <w:pPr>
              <w:pStyle w:val="Bannermarking"/>
            </w:pPr>
          </w:p>
        </w:tc>
      </w:tr>
    </w:tbl>
    <w:p w14:paraId="170A681F" w14:textId="77777777" w:rsidR="00817104" w:rsidRDefault="00817104" w:rsidP="00817104">
      <w:pPr>
        <w:pStyle w:val="Body"/>
      </w:pPr>
    </w:p>
    <w:p w14:paraId="05491C19" w14:textId="77777777" w:rsidR="00817104" w:rsidRPr="00FE4081" w:rsidRDefault="00817104" w:rsidP="00817104">
      <w:pPr>
        <w:pStyle w:val="Body"/>
        <w:sectPr w:rsidR="00817104" w:rsidRPr="00FE4081" w:rsidSect="00817104">
          <w:footerReference w:type="even" r:id="rId12"/>
          <w:footerReference w:type="default" r:id="rId13"/>
          <w:headerReference w:type="first" r:id="rId14"/>
          <w:footerReference w:type="first" r:id="rId15"/>
          <w:pgSz w:w="11906" w:h="16838" w:code="9"/>
          <w:pgMar w:top="3969" w:right="1304" w:bottom="1418" w:left="1304" w:header="680" w:footer="851" w:gutter="0"/>
          <w:cols w:space="340"/>
          <w:docGrid w:linePitch="360"/>
        </w:sectPr>
      </w:pPr>
    </w:p>
    <w:p w14:paraId="0907174E" w14:textId="77777777" w:rsidR="00817104" w:rsidRDefault="00817104" w:rsidP="00817104">
      <w:pPr>
        <w:pStyle w:val="Body"/>
      </w:pPr>
    </w:p>
    <w:p w14:paraId="648F54E6" w14:textId="77777777" w:rsidR="00095249" w:rsidRPr="00095249" w:rsidRDefault="00095249" w:rsidP="00095249"/>
    <w:p w14:paraId="7885344F" w14:textId="77777777" w:rsidR="00095249" w:rsidRPr="00095249" w:rsidRDefault="00095249" w:rsidP="00095249"/>
    <w:p w14:paraId="66B0E490" w14:textId="77777777" w:rsidR="00095249" w:rsidRPr="00095249" w:rsidRDefault="00095249" w:rsidP="00095249"/>
    <w:p w14:paraId="6AC32572" w14:textId="77777777" w:rsidR="00095249" w:rsidRPr="00095249" w:rsidRDefault="00095249" w:rsidP="00095249"/>
    <w:p w14:paraId="6B409E02" w14:textId="77777777" w:rsidR="00095249" w:rsidRPr="00095249" w:rsidRDefault="00095249" w:rsidP="00095249"/>
    <w:p w14:paraId="35084246" w14:textId="77777777" w:rsidR="00095249" w:rsidRDefault="00095249" w:rsidP="00095249">
      <w:pPr>
        <w:rPr>
          <w:rFonts w:eastAsia="Times"/>
        </w:rPr>
      </w:pPr>
    </w:p>
    <w:p w14:paraId="60C78C59" w14:textId="7728A129" w:rsidR="00095249" w:rsidRPr="00095249" w:rsidRDefault="00095249" w:rsidP="00095249">
      <w:pPr>
        <w:tabs>
          <w:tab w:val="left" w:pos="2040"/>
        </w:tabs>
        <w:sectPr w:rsidR="00095249" w:rsidRPr="00095249" w:rsidSect="00817104">
          <w:footerReference w:type="even" r:id="rId16"/>
          <w:footerReference w:type="default" r:id="rId17"/>
          <w:footerReference w:type="first" r:id="rId18"/>
          <w:pgSz w:w="11906" w:h="16838" w:code="9"/>
          <w:pgMar w:top="1418" w:right="1304" w:bottom="1134" w:left="1304" w:header="680" w:footer="851" w:gutter="0"/>
          <w:pgNumType w:start="1"/>
          <w:cols w:space="340"/>
          <w:titlePg/>
          <w:docGrid w:linePitch="360"/>
        </w:sectPr>
      </w:pPr>
      <w:r>
        <w:rPr>
          <w:rFonts w:eastAsia="Times"/>
        </w:rPr>
        <w:tab/>
      </w:r>
    </w:p>
    <w:p w14:paraId="6260250C" w14:textId="77777777" w:rsidR="00817104" w:rsidRDefault="00817104" w:rsidP="00817104">
      <w:pPr>
        <w:pStyle w:val="Body"/>
      </w:pPr>
    </w:p>
    <w:tbl>
      <w:tblPr>
        <w:tblStyle w:val="TableGrid"/>
        <w:tblW w:w="7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817104" w14:paraId="705FEB1E" w14:textId="77777777">
        <w:trPr>
          <w:trHeight w:val="7371"/>
          <w:jc w:val="center"/>
        </w:trPr>
        <w:tc>
          <w:tcPr>
            <w:tcW w:w="7598" w:type="dxa"/>
            <w:vAlign w:val="center"/>
          </w:tcPr>
          <w:p w14:paraId="70FB82D5" w14:textId="77777777" w:rsidR="00817104" w:rsidRDefault="00817104">
            <w:pPr>
              <w:pStyle w:val="Documentsubtitle"/>
              <w:rPr>
                <w:b/>
                <w:color w:val="201547"/>
                <w:sz w:val="48"/>
                <w:szCs w:val="50"/>
              </w:rPr>
            </w:pPr>
            <w:r w:rsidRPr="00021653">
              <w:rPr>
                <w:b/>
                <w:color w:val="201547"/>
                <w:sz w:val="48"/>
                <w:szCs w:val="50"/>
              </w:rPr>
              <w:t xml:space="preserve">Policy and funding guidelines </w:t>
            </w:r>
            <w:r>
              <w:rPr>
                <w:b/>
                <w:color w:val="201547"/>
                <w:sz w:val="48"/>
                <w:szCs w:val="50"/>
              </w:rPr>
              <w:t>2026–27</w:t>
            </w:r>
          </w:p>
          <w:p w14:paraId="7BD710D3" w14:textId="77777777" w:rsidR="00A8758F" w:rsidRPr="002B03DD" w:rsidRDefault="00A8758F" w:rsidP="00A8758F">
            <w:pPr>
              <w:pStyle w:val="Body"/>
              <w:rPr>
                <w:sz w:val="28"/>
                <w:szCs w:val="28"/>
              </w:rPr>
            </w:pPr>
            <w:r w:rsidRPr="002B03DD">
              <w:rPr>
                <w:sz w:val="28"/>
                <w:szCs w:val="28"/>
              </w:rPr>
              <w:t>Policy guide</w:t>
            </w:r>
          </w:p>
          <w:p w14:paraId="1D7A1AB9" w14:textId="77777777" w:rsidR="00A8758F" w:rsidRDefault="00A8758F">
            <w:pPr>
              <w:pStyle w:val="Documentsubtitle"/>
            </w:pPr>
          </w:p>
        </w:tc>
      </w:tr>
      <w:tr w:rsidR="00817104" w14:paraId="69BB4120" w14:textId="77777777">
        <w:trPr>
          <w:jc w:val="center"/>
        </w:trPr>
        <w:tc>
          <w:tcPr>
            <w:tcW w:w="7598" w:type="dxa"/>
          </w:tcPr>
          <w:p w14:paraId="2ACBDBC8" w14:textId="77777777" w:rsidR="00817104" w:rsidRDefault="00817104">
            <w:pPr>
              <w:pStyle w:val="Body"/>
            </w:pPr>
          </w:p>
        </w:tc>
      </w:tr>
    </w:tbl>
    <w:p w14:paraId="4FBE4EAD" w14:textId="77777777" w:rsidR="00817104" w:rsidRDefault="00817104" w:rsidP="00817104">
      <w:pPr>
        <w:pStyle w:val="Body"/>
      </w:pPr>
      <w:r>
        <w:br w:type="page"/>
      </w:r>
    </w:p>
    <w:p w14:paraId="52DD2BD2" w14:textId="77777777" w:rsidR="00817104" w:rsidRDefault="00817104" w:rsidP="00817104">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817104" w14:paraId="7E7D90F9" w14:textId="77777777">
        <w:trPr>
          <w:cantSplit/>
          <w:trHeight w:val="7088"/>
        </w:trPr>
        <w:tc>
          <w:tcPr>
            <w:tcW w:w="9288" w:type="dxa"/>
          </w:tcPr>
          <w:p w14:paraId="09E7037D" w14:textId="77777777" w:rsidR="00817104" w:rsidRPr="00BA26F6" w:rsidRDefault="00817104">
            <w:pPr>
              <w:pStyle w:val="Body"/>
              <w:rPr>
                <w:rFonts w:eastAsia="Times New Roman"/>
                <w:color w:val="87189D"/>
                <w:sz w:val="24"/>
                <w:szCs w:val="24"/>
              </w:rPr>
            </w:pPr>
          </w:p>
        </w:tc>
      </w:tr>
      <w:tr w:rsidR="00817104" w14:paraId="38E9B476" w14:textId="77777777">
        <w:trPr>
          <w:cantSplit/>
          <w:trHeight w:val="5103"/>
        </w:trPr>
        <w:tc>
          <w:tcPr>
            <w:tcW w:w="9288" w:type="dxa"/>
            <w:vAlign w:val="bottom"/>
          </w:tcPr>
          <w:p w14:paraId="4A42B17D" w14:textId="77777777" w:rsidR="00B11187" w:rsidRPr="0055119B" w:rsidRDefault="00B11187" w:rsidP="00B11187">
            <w:pPr>
              <w:pStyle w:val="Accessibilitypara"/>
            </w:pPr>
            <w:r w:rsidRPr="0055119B">
              <w:t>To receive this document in another format</w:t>
            </w:r>
            <w:r>
              <w:t>,</w:t>
            </w:r>
            <w:r w:rsidRPr="0055119B">
              <w:t xml:space="preserve"> </w:t>
            </w:r>
            <w:r>
              <w:t>phone</w:t>
            </w:r>
            <w:r w:rsidRPr="0055119B">
              <w:t xml:space="preserve"> the National Relay Service</w:t>
            </w:r>
            <w:r>
              <w:t xml:space="preserve"> on</w:t>
            </w:r>
            <w:r>
              <w:br/>
            </w:r>
            <w:r w:rsidRPr="0055119B">
              <w:t>13 36 77 if required, or</w:t>
            </w:r>
            <w:r>
              <w:t xml:space="preserve"> email</w:t>
            </w:r>
            <w:r w:rsidRPr="0055119B">
              <w:t xml:space="preserve"> </w:t>
            </w:r>
            <w:hyperlink r:id="rId19" w:history="1">
              <w:r>
                <w:rPr>
                  <w:rStyle w:val="Hyperlink"/>
                </w:rPr>
                <w:t>Health Service Performance Oversight, Accountability and Guidelines</w:t>
              </w:r>
            </w:hyperlink>
            <w:r>
              <w:t xml:space="preserve"> &lt;Accountability@health.vic.gov.au&gt;.</w:t>
            </w:r>
          </w:p>
          <w:p w14:paraId="664D7B12" w14:textId="77777777" w:rsidR="00817104" w:rsidRPr="00B22DF3" w:rsidRDefault="00817104">
            <w:pPr>
              <w:pStyle w:val="Imprint"/>
            </w:pPr>
            <w:r w:rsidRPr="00B22DF3">
              <w:t>Authorised and published by the Victorian Government, 1 Treasury Place, Melbourne.</w:t>
            </w:r>
          </w:p>
          <w:p w14:paraId="45774EC9" w14:textId="77777777" w:rsidR="00817104" w:rsidRPr="00B22DF3" w:rsidRDefault="00817104">
            <w:pPr>
              <w:pStyle w:val="Imprint"/>
            </w:pPr>
            <w:r w:rsidRPr="00B22DF3">
              <w:t xml:space="preserve">© State of Victoria, Australia, Department of Health, </w:t>
            </w:r>
            <w:r w:rsidRPr="008D5986">
              <w:t>June 2026.</w:t>
            </w:r>
          </w:p>
          <w:p w14:paraId="0D16486B" w14:textId="77777777" w:rsidR="00817104" w:rsidRPr="00B22DF3" w:rsidRDefault="00817104">
            <w:pPr>
              <w:pStyle w:val="Imprint"/>
            </w:pPr>
            <w:r w:rsidRPr="00B22DF3">
              <w:t xml:space="preserve">In this document, </w:t>
            </w:r>
            <w:r>
              <w:t xml:space="preserve">the terms </w:t>
            </w:r>
            <w:r w:rsidRPr="00B22DF3">
              <w:t>‘Aboriginal</w:t>
            </w:r>
            <w:r>
              <w:t xml:space="preserve">, Aboriginal and Torres Strait Islander, First Nations peoples, Indigenous and Koori/Koorie’ are used interchangeably depending on the context in which they are used. </w:t>
            </w:r>
            <w:r w:rsidRPr="00B22DF3">
              <w:t xml:space="preserve"> </w:t>
            </w:r>
          </w:p>
          <w:p w14:paraId="2AE4EAB8" w14:textId="77777777" w:rsidR="00817104" w:rsidRPr="00B22DF3" w:rsidRDefault="00817104">
            <w:pPr>
              <w:pStyle w:val="Imprint"/>
            </w:pPr>
            <w:r w:rsidRPr="00B22DF3">
              <w:t>ISSN 2653-4193</w:t>
            </w:r>
            <w:r w:rsidRPr="0051207A">
              <w:t xml:space="preserve"> </w:t>
            </w:r>
            <w:r w:rsidRPr="00B22DF3">
              <w:t>(online/PDF/Word)</w:t>
            </w:r>
          </w:p>
          <w:p w14:paraId="2B0D5103" w14:textId="77777777" w:rsidR="00817104" w:rsidRDefault="00817104">
            <w:pPr>
              <w:pStyle w:val="Body"/>
            </w:pPr>
            <w:r w:rsidRPr="0051207A">
              <w:rPr>
                <w:color w:val="000000" w:themeColor="text1"/>
                <w:sz w:val="20"/>
              </w:rPr>
              <w:t xml:space="preserve">Available on the </w:t>
            </w:r>
            <w:hyperlink r:id="rId20" w:history="1">
              <w:r w:rsidRPr="0051207A">
                <w:rPr>
                  <w:rStyle w:val="Hyperlink"/>
                  <w:sz w:val="20"/>
                </w:rPr>
                <w:t>Policy and funding guidelines for health services webpage</w:t>
              </w:r>
            </w:hyperlink>
            <w:r w:rsidRPr="0051207A">
              <w:rPr>
                <w:color w:val="000000" w:themeColor="text1"/>
                <w:sz w:val="20"/>
              </w:rPr>
              <w:t xml:space="preserve"> &lt;https://www.health.vic.gov.au/policy-and-funding-guidelines-for-health-services&gt;.</w:t>
            </w:r>
          </w:p>
        </w:tc>
      </w:tr>
      <w:tr w:rsidR="00817104" w14:paraId="001A0CBA" w14:textId="77777777">
        <w:trPr>
          <w:cantSplit/>
        </w:trPr>
        <w:tc>
          <w:tcPr>
            <w:tcW w:w="9288" w:type="dxa"/>
          </w:tcPr>
          <w:p w14:paraId="78BCDA92" w14:textId="77777777" w:rsidR="00817104" w:rsidRPr="0055119B" w:rsidRDefault="00817104">
            <w:pPr>
              <w:pStyle w:val="Body"/>
            </w:pPr>
          </w:p>
        </w:tc>
      </w:tr>
    </w:tbl>
    <w:p w14:paraId="0266EE73" w14:textId="77777777" w:rsidR="00817104" w:rsidRPr="0008204A" w:rsidRDefault="00817104" w:rsidP="00817104">
      <w:pPr>
        <w:pStyle w:val="Body"/>
      </w:pPr>
      <w:r w:rsidRPr="0008204A">
        <w:br w:type="page"/>
      </w:r>
    </w:p>
    <w:p w14:paraId="41D67211" w14:textId="77777777" w:rsidR="00817104" w:rsidRPr="00B57329" w:rsidRDefault="00817104" w:rsidP="00E03261">
      <w:pPr>
        <w:pStyle w:val="TOCheadingreport"/>
        <w:numPr>
          <w:ilvl w:val="0"/>
          <w:numId w:val="0"/>
        </w:numPr>
      </w:pPr>
      <w:r w:rsidRPr="00B57329">
        <w:lastRenderedPageBreak/>
        <w:t>Contents</w:t>
      </w:r>
    </w:p>
    <w:p w14:paraId="3D7B2F70" w14:textId="65FF3CDC" w:rsidR="009570FC" w:rsidRDefault="00817104">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"1-2" \h \z </w:instrText>
      </w:r>
      <w:r>
        <w:rPr>
          <w:b w:val="0"/>
        </w:rPr>
        <w:fldChar w:fldCharType="separate"/>
      </w:r>
      <w:hyperlink w:anchor="_Toc231982233" w:history="1">
        <w:r w:rsidR="009570FC" w:rsidRPr="00D10390">
          <w:rPr>
            <w:rStyle w:val="Hyperlink"/>
          </w:rPr>
          <w:t>Overview of the Policy and funding guidelines 2026–27</w:t>
        </w:r>
        <w:r w:rsidR="009570FC">
          <w:rPr>
            <w:webHidden/>
          </w:rPr>
          <w:tab/>
        </w:r>
        <w:r w:rsidR="009570FC">
          <w:rPr>
            <w:webHidden/>
          </w:rPr>
          <w:fldChar w:fldCharType="begin"/>
        </w:r>
        <w:r w:rsidR="009570FC">
          <w:rPr>
            <w:webHidden/>
          </w:rPr>
          <w:instrText xml:space="preserve"> PAGEREF _Toc231982233 \h </w:instrText>
        </w:r>
        <w:r w:rsidR="009570FC">
          <w:rPr>
            <w:webHidden/>
          </w:rPr>
        </w:r>
        <w:r w:rsidR="009570FC">
          <w:rPr>
            <w:webHidden/>
          </w:rPr>
          <w:fldChar w:fldCharType="separate"/>
        </w:r>
        <w:r w:rsidR="00536048">
          <w:rPr>
            <w:webHidden/>
          </w:rPr>
          <w:t>9</w:t>
        </w:r>
        <w:r w:rsidR="009570FC">
          <w:rPr>
            <w:webHidden/>
          </w:rPr>
          <w:fldChar w:fldCharType="end"/>
        </w:r>
      </w:hyperlink>
    </w:p>
    <w:p w14:paraId="39D7AB30" w14:textId="4D2821B5" w:rsidR="009570FC" w:rsidRDefault="009570FC">
      <w:pPr>
        <w:pStyle w:val="TOC2"/>
        <w:rPr>
          <w:rFonts w:asciiTheme="minorHAnsi" w:eastAsiaTheme="minorEastAsia" w:hAnsiTheme="minorHAnsi" w:cstheme="minorBidi"/>
          <w:kern w:val="2"/>
          <w:sz w:val="24"/>
          <w:szCs w:val="24"/>
          <w:lang w:eastAsia="en-AU"/>
          <w14:ligatures w14:val="standardContextual"/>
        </w:rPr>
      </w:pPr>
      <w:hyperlink w:anchor="_Toc231982234" w:history="1">
        <w:r w:rsidRPr="00D10390">
          <w:rPr>
            <w:rStyle w:val="Hyperlink"/>
          </w:rPr>
          <w:t>Policy guide</w:t>
        </w:r>
        <w:r>
          <w:rPr>
            <w:webHidden/>
          </w:rPr>
          <w:tab/>
        </w:r>
        <w:r>
          <w:rPr>
            <w:webHidden/>
          </w:rPr>
          <w:fldChar w:fldCharType="begin"/>
        </w:r>
        <w:r>
          <w:rPr>
            <w:webHidden/>
          </w:rPr>
          <w:instrText xml:space="preserve"> PAGEREF _Toc231982234 \h </w:instrText>
        </w:r>
        <w:r>
          <w:rPr>
            <w:webHidden/>
          </w:rPr>
        </w:r>
        <w:r>
          <w:rPr>
            <w:webHidden/>
          </w:rPr>
          <w:fldChar w:fldCharType="separate"/>
        </w:r>
        <w:r w:rsidR="00536048">
          <w:rPr>
            <w:webHidden/>
          </w:rPr>
          <w:t>9</w:t>
        </w:r>
        <w:r>
          <w:rPr>
            <w:webHidden/>
          </w:rPr>
          <w:fldChar w:fldCharType="end"/>
        </w:r>
      </w:hyperlink>
    </w:p>
    <w:p w14:paraId="21CF1F90" w14:textId="184C69CF" w:rsidR="009570FC" w:rsidRDefault="009570FC">
      <w:pPr>
        <w:pStyle w:val="TOC2"/>
        <w:rPr>
          <w:rFonts w:asciiTheme="minorHAnsi" w:eastAsiaTheme="minorEastAsia" w:hAnsiTheme="minorHAnsi" w:cstheme="minorBidi"/>
          <w:kern w:val="2"/>
          <w:sz w:val="24"/>
          <w:szCs w:val="24"/>
          <w:lang w:eastAsia="en-AU"/>
          <w14:ligatures w14:val="standardContextual"/>
        </w:rPr>
      </w:pPr>
      <w:hyperlink w:anchor="_Toc231982235" w:history="1">
        <w:r w:rsidRPr="00D10390">
          <w:rPr>
            <w:rStyle w:val="Hyperlink"/>
          </w:rPr>
          <w:t>Funding rules</w:t>
        </w:r>
        <w:r>
          <w:rPr>
            <w:webHidden/>
          </w:rPr>
          <w:tab/>
        </w:r>
        <w:r>
          <w:rPr>
            <w:webHidden/>
          </w:rPr>
          <w:fldChar w:fldCharType="begin"/>
        </w:r>
        <w:r>
          <w:rPr>
            <w:webHidden/>
          </w:rPr>
          <w:instrText xml:space="preserve"> PAGEREF _Toc231982235 \h </w:instrText>
        </w:r>
        <w:r>
          <w:rPr>
            <w:webHidden/>
          </w:rPr>
        </w:r>
        <w:r>
          <w:rPr>
            <w:webHidden/>
          </w:rPr>
          <w:fldChar w:fldCharType="separate"/>
        </w:r>
        <w:r w:rsidR="00536048">
          <w:rPr>
            <w:webHidden/>
          </w:rPr>
          <w:t>9</w:t>
        </w:r>
        <w:r>
          <w:rPr>
            <w:webHidden/>
          </w:rPr>
          <w:fldChar w:fldCharType="end"/>
        </w:r>
      </w:hyperlink>
    </w:p>
    <w:p w14:paraId="21FAA9F6" w14:textId="15075CF0" w:rsidR="009570FC" w:rsidRDefault="009570FC">
      <w:pPr>
        <w:pStyle w:val="TOC1"/>
        <w:rPr>
          <w:rFonts w:asciiTheme="minorHAnsi" w:eastAsiaTheme="minorEastAsia" w:hAnsiTheme="minorHAnsi" w:cstheme="minorBidi"/>
          <w:b w:val="0"/>
          <w:kern w:val="2"/>
          <w:sz w:val="24"/>
          <w:szCs w:val="24"/>
          <w:lang w:eastAsia="en-AU"/>
          <w14:ligatures w14:val="standardContextual"/>
        </w:rPr>
      </w:pPr>
      <w:hyperlink w:anchor="_Toc231982236" w:history="1">
        <w:r w:rsidRPr="00D10390">
          <w:rPr>
            <w:rStyle w:val="Hyperlink"/>
          </w:rPr>
          <w:t>Application and interpretation of the guidelines</w:t>
        </w:r>
        <w:r>
          <w:rPr>
            <w:webHidden/>
          </w:rPr>
          <w:tab/>
        </w:r>
        <w:r>
          <w:rPr>
            <w:webHidden/>
          </w:rPr>
          <w:fldChar w:fldCharType="begin"/>
        </w:r>
        <w:r>
          <w:rPr>
            <w:webHidden/>
          </w:rPr>
          <w:instrText xml:space="preserve"> PAGEREF _Toc231982236 \h </w:instrText>
        </w:r>
        <w:r>
          <w:rPr>
            <w:webHidden/>
          </w:rPr>
        </w:r>
        <w:r>
          <w:rPr>
            <w:webHidden/>
          </w:rPr>
          <w:fldChar w:fldCharType="separate"/>
        </w:r>
        <w:r w:rsidR="00536048">
          <w:rPr>
            <w:webHidden/>
          </w:rPr>
          <w:t>10</w:t>
        </w:r>
        <w:r>
          <w:rPr>
            <w:webHidden/>
          </w:rPr>
          <w:fldChar w:fldCharType="end"/>
        </w:r>
      </w:hyperlink>
    </w:p>
    <w:p w14:paraId="28570342" w14:textId="0B96C365" w:rsidR="009570FC" w:rsidRDefault="009570FC">
      <w:pPr>
        <w:pStyle w:val="TOC2"/>
        <w:rPr>
          <w:rFonts w:asciiTheme="minorHAnsi" w:eastAsiaTheme="minorEastAsia" w:hAnsiTheme="minorHAnsi" w:cstheme="minorBidi"/>
          <w:kern w:val="2"/>
          <w:sz w:val="24"/>
          <w:szCs w:val="24"/>
          <w:lang w:eastAsia="en-AU"/>
          <w14:ligatures w14:val="standardContextual"/>
        </w:rPr>
      </w:pPr>
      <w:hyperlink w:anchor="_Toc231982237" w:history="1">
        <w:r w:rsidRPr="00D10390">
          <w:rPr>
            <w:rStyle w:val="Hyperlink"/>
          </w:rPr>
          <w:t>Application of the guidelines</w:t>
        </w:r>
        <w:r>
          <w:rPr>
            <w:webHidden/>
          </w:rPr>
          <w:tab/>
        </w:r>
        <w:r>
          <w:rPr>
            <w:webHidden/>
          </w:rPr>
          <w:fldChar w:fldCharType="begin"/>
        </w:r>
        <w:r>
          <w:rPr>
            <w:webHidden/>
          </w:rPr>
          <w:instrText xml:space="preserve"> PAGEREF _Toc231982237 \h </w:instrText>
        </w:r>
        <w:r>
          <w:rPr>
            <w:webHidden/>
          </w:rPr>
        </w:r>
        <w:r>
          <w:rPr>
            <w:webHidden/>
          </w:rPr>
          <w:fldChar w:fldCharType="separate"/>
        </w:r>
        <w:r w:rsidR="00536048">
          <w:rPr>
            <w:webHidden/>
          </w:rPr>
          <w:t>10</w:t>
        </w:r>
        <w:r>
          <w:rPr>
            <w:webHidden/>
          </w:rPr>
          <w:fldChar w:fldCharType="end"/>
        </w:r>
      </w:hyperlink>
    </w:p>
    <w:p w14:paraId="2D24B9FE" w14:textId="7CA14B2E" w:rsidR="009570FC" w:rsidRDefault="009570FC">
      <w:pPr>
        <w:pStyle w:val="TOC2"/>
        <w:rPr>
          <w:rFonts w:asciiTheme="minorHAnsi" w:eastAsiaTheme="minorEastAsia" w:hAnsiTheme="minorHAnsi" w:cstheme="minorBidi"/>
          <w:kern w:val="2"/>
          <w:sz w:val="24"/>
          <w:szCs w:val="24"/>
          <w:lang w:eastAsia="en-AU"/>
          <w14:ligatures w14:val="standardContextual"/>
        </w:rPr>
      </w:pPr>
      <w:hyperlink w:anchor="_Toc231982238" w:history="1">
        <w:r w:rsidRPr="00D10390">
          <w:rPr>
            <w:rStyle w:val="Hyperlink"/>
          </w:rPr>
          <w:t>Terminology</w:t>
        </w:r>
        <w:r>
          <w:rPr>
            <w:webHidden/>
          </w:rPr>
          <w:tab/>
        </w:r>
        <w:r>
          <w:rPr>
            <w:webHidden/>
          </w:rPr>
          <w:fldChar w:fldCharType="begin"/>
        </w:r>
        <w:r>
          <w:rPr>
            <w:webHidden/>
          </w:rPr>
          <w:instrText xml:space="preserve"> PAGEREF _Toc231982238 \h </w:instrText>
        </w:r>
        <w:r>
          <w:rPr>
            <w:webHidden/>
          </w:rPr>
        </w:r>
        <w:r>
          <w:rPr>
            <w:webHidden/>
          </w:rPr>
          <w:fldChar w:fldCharType="separate"/>
        </w:r>
        <w:r w:rsidR="00536048">
          <w:rPr>
            <w:webHidden/>
          </w:rPr>
          <w:t>10</w:t>
        </w:r>
        <w:r>
          <w:rPr>
            <w:webHidden/>
          </w:rPr>
          <w:fldChar w:fldCharType="end"/>
        </w:r>
      </w:hyperlink>
    </w:p>
    <w:p w14:paraId="750015E5" w14:textId="54EB493D" w:rsidR="009570FC" w:rsidRDefault="009570FC">
      <w:pPr>
        <w:pStyle w:val="TOC1"/>
        <w:rPr>
          <w:rFonts w:asciiTheme="minorHAnsi" w:eastAsiaTheme="minorEastAsia" w:hAnsiTheme="minorHAnsi" w:cstheme="minorBidi"/>
          <w:b w:val="0"/>
          <w:kern w:val="2"/>
          <w:sz w:val="24"/>
          <w:szCs w:val="24"/>
          <w:lang w:eastAsia="en-AU"/>
          <w14:ligatures w14:val="standardContextual"/>
        </w:rPr>
      </w:pPr>
      <w:hyperlink w:anchor="_Toc231982239" w:history="1">
        <w:r w:rsidRPr="00D10390">
          <w:rPr>
            <w:rStyle w:val="Hyperlink"/>
          </w:rPr>
          <w:t>Part 1: Operational and service delivery policy</w:t>
        </w:r>
        <w:r>
          <w:rPr>
            <w:webHidden/>
          </w:rPr>
          <w:tab/>
        </w:r>
        <w:r>
          <w:rPr>
            <w:webHidden/>
          </w:rPr>
          <w:fldChar w:fldCharType="begin"/>
        </w:r>
        <w:r>
          <w:rPr>
            <w:webHidden/>
          </w:rPr>
          <w:instrText xml:space="preserve"> PAGEREF _Toc231982239 \h </w:instrText>
        </w:r>
        <w:r>
          <w:rPr>
            <w:webHidden/>
          </w:rPr>
        </w:r>
        <w:r>
          <w:rPr>
            <w:webHidden/>
          </w:rPr>
          <w:fldChar w:fldCharType="separate"/>
        </w:r>
        <w:r w:rsidR="00536048">
          <w:rPr>
            <w:webHidden/>
          </w:rPr>
          <w:t>11</w:t>
        </w:r>
        <w:r>
          <w:rPr>
            <w:webHidden/>
          </w:rPr>
          <w:fldChar w:fldCharType="end"/>
        </w:r>
      </w:hyperlink>
    </w:p>
    <w:p w14:paraId="1F54DD1E" w14:textId="3DFDC687"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40" w:history="1">
        <w:r w:rsidRPr="00D10390">
          <w:rPr>
            <w:rStyle w:val="Hyperlink"/>
          </w:rPr>
          <w:t>1</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National programs</w:t>
        </w:r>
        <w:r>
          <w:rPr>
            <w:webHidden/>
          </w:rPr>
          <w:tab/>
        </w:r>
        <w:r>
          <w:rPr>
            <w:webHidden/>
          </w:rPr>
          <w:fldChar w:fldCharType="begin"/>
        </w:r>
        <w:r>
          <w:rPr>
            <w:webHidden/>
          </w:rPr>
          <w:instrText xml:space="preserve"> PAGEREF _Toc231982240 \h </w:instrText>
        </w:r>
        <w:r>
          <w:rPr>
            <w:webHidden/>
          </w:rPr>
        </w:r>
        <w:r>
          <w:rPr>
            <w:webHidden/>
          </w:rPr>
          <w:fldChar w:fldCharType="separate"/>
        </w:r>
        <w:r w:rsidR="00536048">
          <w:rPr>
            <w:webHidden/>
          </w:rPr>
          <w:t>12</w:t>
        </w:r>
        <w:r>
          <w:rPr>
            <w:webHidden/>
          </w:rPr>
          <w:fldChar w:fldCharType="end"/>
        </w:r>
      </w:hyperlink>
    </w:p>
    <w:p w14:paraId="15B3832B" w14:textId="23A10D05"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41" w:history="1">
        <w:r w:rsidRPr="00D10390">
          <w:rPr>
            <w:rStyle w:val="Hyperlink"/>
          </w:rPr>
          <w:t>1.1</w:t>
        </w:r>
        <w:r>
          <w:rPr>
            <w:rFonts w:asciiTheme="minorHAnsi" w:eastAsiaTheme="minorEastAsia" w:hAnsiTheme="minorHAnsi" w:cstheme="minorBidi"/>
            <w:kern w:val="2"/>
            <w:sz w:val="24"/>
            <w:szCs w:val="24"/>
            <w:lang w:eastAsia="en-AU"/>
            <w14:ligatures w14:val="standardContextual"/>
          </w:rPr>
          <w:tab/>
        </w:r>
        <w:r w:rsidRPr="00D10390">
          <w:rPr>
            <w:rStyle w:val="Hyperlink"/>
          </w:rPr>
          <w:t>Nationally Funded Centres Program</w:t>
        </w:r>
        <w:r>
          <w:rPr>
            <w:webHidden/>
          </w:rPr>
          <w:tab/>
        </w:r>
        <w:r>
          <w:rPr>
            <w:webHidden/>
          </w:rPr>
          <w:fldChar w:fldCharType="begin"/>
        </w:r>
        <w:r>
          <w:rPr>
            <w:webHidden/>
          </w:rPr>
          <w:instrText xml:space="preserve"> PAGEREF _Toc231982241 \h </w:instrText>
        </w:r>
        <w:r>
          <w:rPr>
            <w:webHidden/>
          </w:rPr>
        </w:r>
        <w:r>
          <w:rPr>
            <w:webHidden/>
          </w:rPr>
          <w:fldChar w:fldCharType="separate"/>
        </w:r>
        <w:r w:rsidR="00536048">
          <w:rPr>
            <w:webHidden/>
          </w:rPr>
          <w:t>12</w:t>
        </w:r>
        <w:r>
          <w:rPr>
            <w:webHidden/>
          </w:rPr>
          <w:fldChar w:fldCharType="end"/>
        </w:r>
      </w:hyperlink>
    </w:p>
    <w:p w14:paraId="22BBD619" w14:textId="70036FCF"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42" w:history="1">
        <w:r w:rsidRPr="00D10390">
          <w:rPr>
            <w:rStyle w:val="Hyperlink"/>
          </w:rPr>
          <w:t>1.2</w:t>
        </w:r>
        <w:r>
          <w:rPr>
            <w:rFonts w:asciiTheme="minorHAnsi" w:eastAsiaTheme="minorEastAsia" w:hAnsiTheme="minorHAnsi" w:cstheme="minorBidi"/>
            <w:kern w:val="2"/>
            <w:sz w:val="24"/>
            <w:szCs w:val="24"/>
            <w:lang w:eastAsia="en-AU"/>
            <w14:ligatures w14:val="standardContextual"/>
          </w:rPr>
          <w:tab/>
        </w:r>
        <w:r w:rsidRPr="00D10390">
          <w:rPr>
            <w:rStyle w:val="Hyperlink"/>
          </w:rPr>
          <w:t>Highly specialised therapies</w:t>
        </w:r>
        <w:r>
          <w:rPr>
            <w:webHidden/>
          </w:rPr>
          <w:tab/>
        </w:r>
        <w:r>
          <w:rPr>
            <w:webHidden/>
          </w:rPr>
          <w:fldChar w:fldCharType="begin"/>
        </w:r>
        <w:r>
          <w:rPr>
            <w:webHidden/>
          </w:rPr>
          <w:instrText xml:space="preserve"> PAGEREF _Toc231982242 \h </w:instrText>
        </w:r>
        <w:r>
          <w:rPr>
            <w:webHidden/>
          </w:rPr>
        </w:r>
        <w:r>
          <w:rPr>
            <w:webHidden/>
          </w:rPr>
          <w:fldChar w:fldCharType="separate"/>
        </w:r>
        <w:r w:rsidR="00536048">
          <w:rPr>
            <w:webHidden/>
          </w:rPr>
          <w:t>12</w:t>
        </w:r>
        <w:r>
          <w:rPr>
            <w:webHidden/>
          </w:rPr>
          <w:fldChar w:fldCharType="end"/>
        </w:r>
      </w:hyperlink>
    </w:p>
    <w:p w14:paraId="1B114FE1" w14:textId="76DE6471"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43" w:history="1">
        <w:r w:rsidRPr="00D10390">
          <w:rPr>
            <w:rStyle w:val="Hyperlink"/>
          </w:rPr>
          <w:t>2</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Ambulance Victoria and transport providers</w:t>
        </w:r>
        <w:r>
          <w:rPr>
            <w:webHidden/>
          </w:rPr>
          <w:tab/>
        </w:r>
        <w:r>
          <w:rPr>
            <w:webHidden/>
          </w:rPr>
          <w:fldChar w:fldCharType="begin"/>
        </w:r>
        <w:r>
          <w:rPr>
            <w:webHidden/>
          </w:rPr>
          <w:instrText xml:space="preserve"> PAGEREF _Toc231982243 \h </w:instrText>
        </w:r>
        <w:r>
          <w:rPr>
            <w:webHidden/>
          </w:rPr>
        </w:r>
        <w:r>
          <w:rPr>
            <w:webHidden/>
          </w:rPr>
          <w:fldChar w:fldCharType="separate"/>
        </w:r>
        <w:r w:rsidR="00536048">
          <w:rPr>
            <w:webHidden/>
          </w:rPr>
          <w:t>13</w:t>
        </w:r>
        <w:r>
          <w:rPr>
            <w:webHidden/>
          </w:rPr>
          <w:fldChar w:fldCharType="end"/>
        </w:r>
      </w:hyperlink>
    </w:p>
    <w:p w14:paraId="02323991" w14:textId="13684C06"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44" w:history="1">
        <w:r w:rsidRPr="00D10390">
          <w:rPr>
            <w:rStyle w:val="Hyperlink"/>
          </w:rPr>
          <w:t>2.1</w:t>
        </w:r>
        <w:r>
          <w:rPr>
            <w:rFonts w:asciiTheme="minorHAnsi" w:eastAsiaTheme="minorEastAsia" w:hAnsiTheme="minorHAnsi" w:cstheme="minorBidi"/>
            <w:kern w:val="2"/>
            <w:sz w:val="24"/>
            <w:szCs w:val="24"/>
            <w:lang w:eastAsia="en-AU"/>
            <w14:ligatures w14:val="standardContextual"/>
          </w:rPr>
          <w:tab/>
        </w:r>
        <w:r w:rsidRPr="00D10390">
          <w:rPr>
            <w:rStyle w:val="Hyperlink"/>
          </w:rPr>
          <w:t>Ambulance Victoria</w:t>
        </w:r>
        <w:r>
          <w:rPr>
            <w:webHidden/>
          </w:rPr>
          <w:tab/>
        </w:r>
        <w:r>
          <w:rPr>
            <w:webHidden/>
          </w:rPr>
          <w:fldChar w:fldCharType="begin"/>
        </w:r>
        <w:r>
          <w:rPr>
            <w:webHidden/>
          </w:rPr>
          <w:instrText xml:space="preserve"> PAGEREF _Toc231982244 \h </w:instrText>
        </w:r>
        <w:r>
          <w:rPr>
            <w:webHidden/>
          </w:rPr>
        </w:r>
        <w:r>
          <w:rPr>
            <w:webHidden/>
          </w:rPr>
          <w:fldChar w:fldCharType="separate"/>
        </w:r>
        <w:r w:rsidR="00536048">
          <w:rPr>
            <w:webHidden/>
          </w:rPr>
          <w:t>13</w:t>
        </w:r>
        <w:r>
          <w:rPr>
            <w:webHidden/>
          </w:rPr>
          <w:fldChar w:fldCharType="end"/>
        </w:r>
      </w:hyperlink>
    </w:p>
    <w:p w14:paraId="5BD72672" w14:textId="10CD7AFB"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45" w:history="1">
        <w:r w:rsidRPr="00D10390">
          <w:rPr>
            <w:rStyle w:val="Hyperlink"/>
          </w:rPr>
          <w:t>2.2</w:t>
        </w:r>
        <w:r>
          <w:rPr>
            <w:rFonts w:asciiTheme="minorHAnsi" w:eastAsiaTheme="minorEastAsia" w:hAnsiTheme="minorHAnsi" w:cstheme="minorBidi"/>
            <w:kern w:val="2"/>
            <w:sz w:val="24"/>
            <w:szCs w:val="24"/>
            <w:lang w:eastAsia="en-AU"/>
            <w14:ligatures w14:val="standardContextual"/>
          </w:rPr>
          <w:tab/>
        </w:r>
        <w:r w:rsidRPr="00D10390">
          <w:rPr>
            <w:rStyle w:val="Hyperlink"/>
          </w:rPr>
          <w:t>Ambulance Victoria fee structure</w:t>
        </w:r>
        <w:r>
          <w:rPr>
            <w:webHidden/>
          </w:rPr>
          <w:tab/>
        </w:r>
        <w:r>
          <w:rPr>
            <w:webHidden/>
          </w:rPr>
          <w:fldChar w:fldCharType="begin"/>
        </w:r>
        <w:r>
          <w:rPr>
            <w:webHidden/>
          </w:rPr>
          <w:instrText xml:space="preserve"> PAGEREF _Toc231982245 \h </w:instrText>
        </w:r>
        <w:r>
          <w:rPr>
            <w:webHidden/>
          </w:rPr>
        </w:r>
        <w:r>
          <w:rPr>
            <w:webHidden/>
          </w:rPr>
          <w:fldChar w:fldCharType="separate"/>
        </w:r>
        <w:r w:rsidR="00536048">
          <w:rPr>
            <w:webHidden/>
          </w:rPr>
          <w:t>13</w:t>
        </w:r>
        <w:r>
          <w:rPr>
            <w:webHidden/>
          </w:rPr>
          <w:fldChar w:fldCharType="end"/>
        </w:r>
      </w:hyperlink>
    </w:p>
    <w:p w14:paraId="67EADB26" w14:textId="049EA4D0"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46" w:history="1">
        <w:r w:rsidRPr="00D10390">
          <w:rPr>
            <w:rStyle w:val="Hyperlink"/>
          </w:rPr>
          <w:t>2.3</w:t>
        </w:r>
        <w:r>
          <w:rPr>
            <w:rFonts w:asciiTheme="minorHAnsi" w:eastAsiaTheme="minorEastAsia" w:hAnsiTheme="minorHAnsi" w:cstheme="minorBidi"/>
            <w:kern w:val="2"/>
            <w:sz w:val="24"/>
            <w:szCs w:val="24"/>
            <w:lang w:eastAsia="en-AU"/>
            <w14:ligatures w14:val="standardContextual"/>
          </w:rPr>
          <w:tab/>
        </w:r>
        <w:r w:rsidRPr="00D10390">
          <w:rPr>
            <w:rStyle w:val="Hyperlink"/>
          </w:rPr>
          <w:t>Non-emergency patient transport</w:t>
        </w:r>
        <w:r>
          <w:rPr>
            <w:webHidden/>
          </w:rPr>
          <w:tab/>
        </w:r>
        <w:r>
          <w:rPr>
            <w:webHidden/>
          </w:rPr>
          <w:fldChar w:fldCharType="begin"/>
        </w:r>
        <w:r>
          <w:rPr>
            <w:webHidden/>
          </w:rPr>
          <w:instrText xml:space="preserve"> PAGEREF _Toc231982246 \h </w:instrText>
        </w:r>
        <w:r>
          <w:rPr>
            <w:webHidden/>
          </w:rPr>
        </w:r>
        <w:r>
          <w:rPr>
            <w:webHidden/>
          </w:rPr>
          <w:fldChar w:fldCharType="separate"/>
        </w:r>
        <w:r w:rsidR="00536048">
          <w:rPr>
            <w:webHidden/>
          </w:rPr>
          <w:t>13</w:t>
        </w:r>
        <w:r>
          <w:rPr>
            <w:webHidden/>
          </w:rPr>
          <w:fldChar w:fldCharType="end"/>
        </w:r>
      </w:hyperlink>
    </w:p>
    <w:p w14:paraId="37E63BB0" w14:textId="03A09625"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47" w:history="1">
        <w:r w:rsidRPr="00D10390">
          <w:rPr>
            <w:rStyle w:val="Hyperlink"/>
          </w:rPr>
          <w:t>2.4</w:t>
        </w:r>
        <w:r>
          <w:rPr>
            <w:rFonts w:asciiTheme="minorHAnsi" w:eastAsiaTheme="minorEastAsia" w:hAnsiTheme="minorHAnsi" w:cstheme="minorBidi"/>
            <w:kern w:val="2"/>
            <w:sz w:val="24"/>
            <w:szCs w:val="24"/>
            <w:lang w:eastAsia="en-AU"/>
            <w14:ligatures w14:val="standardContextual"/>
          </w:rPr>
          <w:tab/>
        </w:r>
        <w:r w:rsidRPr="00D10390">
          <w:rPr>
            <w:rStyle w:val="Hyperlink"/>
          </w:rPr>
          <w:t>Community Patient Transport</w:t>
        </w:r>
        <w:r>
          <w:rPr>
            <w:webHidden/>
          </w:rPr>
          <w:tab/>
        </w:r>
        <w:r>
          <w:rPr>
            <w:webHidden/>
          </w:rPr>
          <w:fldChar w:fldCharType="begin"/>
        </w:r>
        <w:r>
          <w:rPr>
            <w:webHidden/>
          </w:rPr>
          <w:instrText xml:space="preserve"> PAGEREF _Toc231982247 \h </w:instrText>
        </w:r>
        <w:r>
          <w:rPr>
            <w:webHidden/>
          </w:rPr>
        </w:r>
        <w:r>
          <w:rPr>
            <w:webHidden/>
          </w:rPr>
          <w:fldChar w:fldCharType="separate"/>
        </w:r>
        <w:r w:rsidR="00536048">
          <w:rPr>
            <w:webHidden/>
          </w:rPr>
          <w:t>15</w:t>
        </w:r>
        <w:r>
          <w:rPr>
            <w:webHidden/>
          </w:rPr>
          <w:fldChar w:fldCharType="end"/>
        </w:r>
      </w:hyperlink>
    </w:p>
    <w:p w14:paraId="168CA495" w14:textId="3F8C82AE"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48" w:history="1">
        <w:r w:rsidRPr="00D10390">
          <w:rPr>
            <w:rStyle w:val="Hyperlink"/>
          </w:rPr>
          <w:t>3</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Acute inpatient services</w:t>
        </w:r>
        <w:r>
          <w:rPr>
            <w:webHidden/>
          </w:rPr>
          <w:tab/>
        </w:r>
        <w:r>
          <w:rPr>
            <w:webHidden/>
          </w:rPr>
          <w:fldChar w:fldCharType="begin"/>
        </w:r>
        <w:r>
          <w:rPr>
            <w:webHidden/>
          </w:rPr>
          <w:instrText xml:space="preserve"> PAGEREF _Toc231982248 \h </w:instrText>
        </w:r>
        <w:r>
          <w:rPr>
            <w:webHidden/>
          </w:rPr>
        </w:r>
        <w:r>
          <w:rPr>
            <w:webHidden/>
          </w:rPr>
          <w:fldChar w:fldCharType="separate"/>
        </w:r>
        <w:r w:rsidR="00536048">
          <w:rPr>
            <w:webHidden/>
          </w:rPr>
          <w:t>16</w:t>
        </w:r>
        <w:r>
          <w:rPr>
            <w:webHidden/>
          </w:rPr>
          <w:fldChar w:fldCharType="end"/>
        </w:r>
      </w:hyperlink>
    </w:p>
    <w:p w14:paraId="2C92B335" w14:textId="3AB85B85"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49" w:history="1">
        <w:r w:rsidRPr="00D10390">
          <w:rPr>
            <w:rStyle w:val="Hyperlink"/>
          </w:rPr>
          <w:t>3.1</w:t>
        </w:r>
        <w:r>
          <w:rPr>
            <w:rFonts w:asciiTheme="minorHAnsi" w:eastAsiaTheme="minorEastAsia" w:hAnsiTheme="minorHAnsi" w:cstheme="minorBidi"/>
            <w:kern w:val="2"/>
            <w:sz w:val="24"/>
            <w:szCs w:val="24"/>
            <w:lang w:eastAsia="en-AU"/>
            <w14:ligatures w14:val="standardContextual"/>
          </w:rPr>
          <w:tab/>
        </w:r>
        <w:r w:rsidRPr="00D10390">
          <w:rPr>
            <w:rStyle w:val="Hyperlink"/>
          </w:rPr>
          <w:t>Acute admitted services</w:t>
        </w:r>
        <w:r>
          <w:rPr>
            <w:webHidden/>
          </w:rPr>
          <w:tab/>
        </w:r>
        <w:r>
          <w:rPr>
            <w:webHidden/>
          </w:rPr>
          <w:fldChar w:fldCharType="begin"/>
        </w:r>
        <w:r>
          <w:rPr>
            <w:webHidden/>
          </w:rPr>
          <w:instrText xml:space="preserve"> PAGEREF _Toc231982249 \h </w:instrText>
        </w:r>
        <w:r>
          <w:rPr>
            <w:webHidden/>
          </w:rPr>
        </w:r>
        <w:r>
          <w:rPr>
            <w:webHidden/>
          </w:rPr>
          <w:fldChar w:fldCharType="separate"/>
        </w:r>
        <w:r w:rsidR="00536048">
          <w:rPr>
            <w:webHidden/>
          </w:rPr>
          <w:t>16</w:t>
        </w:r>
        <w:r>
          <w:rPr>
            <w:webHidden/>
          </w:rPr>
          <w:fldChar w:fldCharType="end"/>
        </w:r>
      </w:hyperlink>
    </w:p>
    <w:p w14:paraId="12F1D23F" w14:textId="283EEDB5"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50" w:history="1">
        <w:r w:rsidRPr="00D10390">
          <w:rPr>
            <w:rStyle w:val="Hyperlink"/>
          </w:rPr>
          <w:t>4</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Acute specialist services</w:t>
        </w:r>
        <w:r>
          <w:rPr>
            <w:webHidden/>
          </w:rPr>
          <w:tab/>
        </w:r>
        <w:r>
          <w:rPr>
            <w:webHidden/>
          </w:rPr>
          <w:fldChar w:fldCharType="begin"/>
        </w:r>
        <w:r>
          <w:rPr>
            <w:webHidden/>
          </w:rPr>
          <w:instrText xml:space="preserve"> PAGEREF _Toc231982250 \h </w:instrText>
        </w:r>
        <w:r>
          <w:rPr>
            <w:webHidden/>
          </w:rPr>
        </w:r>
        <w:r>
          <w:rPr>
            <w:webHidden/>
          </w:rPr>
          <w:fldChar w:fldCharType="separate"/>
        </w:r>
        <w:r w:rsidR="00536048">
          <w:rPr>
            <w:webHidden/>
          </w:rPr>
          <w:t>17</w:t>
        </w:r>
        <w:r>
          <w:rPr>
            <w:webHidden/>
          </w:rPr>
          <w:fldChar w:fldCharType="end"/>
        </w:r>
      </w:hyperlink>
    </w:p>
    <w:p w14:paraId="621B7421" w14:textId="751DAD86"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51" w:history="1">
        <w:r w:rsidRPr="00D10390">
          <w:rPr>
            <w:rStyle w:val="Hyperlink"/>
          </w:rPr>
          <w:t>4.1</w:t>
        </w:r>
        <w:r>
          <w:rPr>
            <w:rFonts w:asciiTheme="minorHAnsi" w:eastAsiaTheme="minorEastAsia" w:hAnsiTheme="minorHAnsi" w:cstheme="minorBidi"/>
            <w:kern w:val="2"/>
            <w:sz w:val="24"/>
            <w:szCs w:val="24"/>
            <w:lang w:eastAsia="en-AU"/>
            <w14:ligatures w14:val="standardContextual"/>
          </w:rPr>
          <w:tab/>
        </w:r>
        <w:r w:rsidRPr="00D10390">
          <w:rPr>
            <w:rStyle w:val="Hyperlink"/>
          </w:rPr>
          <w:t>Victorian Perinatal Autopsy Service</w:t>
        </w:r>
        <w:r>
          <w:rPr>
            <w:webHidden/>
          </w:rPr>
          <w:tab/>
        </w:r>
        <w:r>
          <w:rPr>
            <w:webHidden/>
          </w:rPr>
          <w:fldChar w:fldCharType="begin"/>
        </w:r>
        <w:r>
          <w:rPr>
            <w:webHidden/>
          </w:rPr>
          <w:instrText xml:space="preserve"> PAGEREF _Toc231982251 \h </w:instrText>
        </w:r>
        <w:r>
          <w:rPr>
            <w:webHidden/>
          </w:rPr>
        </w:r>
        <w:r>
          <w:rPr>
            <w:webHidden/>
          </w:rPr>
          <w:fldChar w:fldCharType="separate"/>
        </w:r>
        <w:r w:rsidR="00536048">
          <w:rPr>
            <w:webHidden/>
          </w:rPr>
          <w:t>17</w:t>
        </w:r>
        <w:r>
          <w:rPr>
            <w:webHidden/>
          </w:rPr>
          <w:fldChar w:fldCharType="end"/>
        </w:r>
      </w:hyperlink>
    </w:p>
    <w:p w14:paraId="52430D80" w14:textId="10D72530"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52" w:history="1">
        <w:r w:rsidRPr="00D10390">
          <w:rPr>
            <w:rStyle w:val="Hyperlink"/>
          </w:rPr>
          <w:t>4.2</w:t>
        </w:r>
        <w:r>
          <w:rPr>
            <w:rFonts w:asciiTheme="minorHAnsi" w:eastAsiaTheme="minorEastAsia" w:hAnsiTheme="minorHAnsi" w:cstheme="minorBidi"/>
            <w:kern w:val="2"/>
            <w:sz w:val="24"/>
            <w:szCs w:val="24"/>
            <w:lang w:eastAsia="en-AU"/>
            <w14:ligatures w14:val="standardContextual"/>
          </w:rPr>
          <w:tab/>
        </w:r>
        <w:r w:rsidRPr="00D10390">
          <w:rPr>
            <w:rStyle w:val="Hyperlink"/>
          </w:rPr>
          <w:t>Newborn hearing screening service</w:t>
        </w:r>
        <w:r>
          <w:rPr>
            <w:webHidden/>
          </w:rPr>
          <w:tab/>
        </w:r>
        <w:r>
          <w:rPr>
            <w:webHidden/>
          </w:rPr>
          <w:fldChar w:fldCharType="begin"/>
        </w:r>
        <w:r>
          <w:rPr>
            <w:webHidden/>
          </w:rPr>
          <w:instrText xml:space="preserve"> PAGEREF _Toc231982252 \h </w:instrText>
        </w:r>
        <w:r>
          <w:rPr>
            <w:webHidden/>
          </w:rPr>
        </w:r>
        <w:r>
          <w:rPr>
            <w:webHidden/>
          </w:rPr>
          <w:fldChar w:fldCharType="separate"/>
        </w:r>
        <w:r w:rsidR="00536048">
          <w:rPr>
            <w:webHidden/>
          </w:rPr>
          <w:t>18</w:t>
        </w:r>
        <w:r>
          <w:rPr>
            <w:webHidden/>
          </w:rPr>
          <w:fldChar w:fldCharType="end"/>
        </w:r>
      </w:hyperlink>
    </w:p>
    <w:p w14:paraId="7169B679" w14:textId="28793C61"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53" w:history="1">
        <w:r w:rsidRPr="00D10390">
          <w:rPr>
            <w:rStyle w:val="Hyperlink"/>
          </w:rPr>
          <w:t>4.3</w:t>
        </w:r>
        <w:r>
          <w:rPr>
            <w:rFonts w:asciiTheme="minorHAnsi" w:eastAsiaTheme="minorEastAsia" w:hAnsiTheme="minorHAnsi" w:cstheme="minorBidi"/>
            <w:kern w:val="2"/>
            <w:sz w:val="24"/>
            <w:szCs w:val="24"/>
            <w:lang w:eastAsia="en-AU"/>
            <w14:ligatures w14:val="standardContextual"/>
          </w:rPr>
          <w:tab/>
        </w:r>
        <w:r w:rsidRPr="00D10390">
          <w:rPr>
            <w:rStyle w:val="Hyperlink"/>
          </w:rPr>
          <w:t>Organ and tissue donation</w:t>
        </w:r>
        <w:r>
          <w:rPr>
            <w:webHidden/>
          </w:rPr>
          <w:tab/>
        </w:r>
        <w:r>
          <w:rPr>
            <w:webHidden/>
          </w:rPr>
          <w:fldChar w:fldCharType="begin"/>
        </w:r>
        <w:r>
          <w:rPr>
            <w:webHidden/>
          </w:rPr>
          <w:instrText xml:space="preserve"> PAGEREF _Toc231982253 \h </w:instrText>
        </w:r>
        <w:r>
          <w:rPr>
            <w:webHidden/>
          </w:rPr>
        </w:r>
        <w:r>
          <w:rPr>
            <w:webHidden/>
          </w:rPr>
          <w:fldChar w:fldCharType="separate"/>
        </w:r>
        <w:r w:rsidR="00536048">
          <w:rPr>
            <w:webHidden/>
          </w:rPr>
          <w:t>18</w:t>
        </w:r>
        <w:r>
          <w:rPr>
            <w:webHidden/>
          </w:rPr>
          <w:fldChar w:fldCharType="end"/>
        </w:r>
      </w:hyperlink>
    </w:p>
    <w:p w14:paraId="7F8A2B07" w14:textId="7E0A8484"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54" w:history="1">
        <w:r w:rsidRPr="00D10390">
          <w:rPr>
            <w:rStyle w:val="Hyperlink"/>
          </w:rPr>
          <w:t>4.4</w:t>
        </w:r>
        <w:r>
          <w:rPr>
            <w:rFonts w:asciiTheme="minorHAnsi" w:eastAsiaTheme="minorEastAsia" w:hAnsiTheme="minorHAnsi" w:cstheme="minorBidi"/>
            <w:kern w:val="2"/>
            <w:sz w:val="24"/>
            <w:szCs w:val="24"/>
            <w:lang w:eastAsia="en-AU"/>
            <w14:ligatures w14:val="standardContextual"/>
          </w:rPr>
          <w:tab/>
        </w:r>
        <w:r w:rsidRPr="00D10390">
          <w:rPr>
            <w:rStyle w:val="Hyperlink"/>
          </w:rPr>
          <w:t>Blood products supply funding</w:t>
        </w:r>
        <w:r>
          <w:rPr>
            <w:webHidden/>
          </w:rPr>
          <w:tab/>
        </w:r>
        <w:r>
          <w:rPr>
            <w:webHidden/>
          </w:rPr>
          <w:fldChar w:fldCharType="begin"/>
        </w:r>
        <w:r>
          <w:rPr>
            <w:webHidden/>
          </w:rPr>
          <w:instrText xml:space="preserve"> PAGEREF _Toc231982254 \h </w:instrText>
        </w:r>
        <w:r>
          <w:rPr>
            <w:webHidden/>
          </w:rPr>
        </w:r>
        <w:r>
          <w:rPr>
            <w:webHidden/>
          </w:rPr>
          <w:fldChar w:fldCharType="separate"/>
        </w:r>
        <w:r w:rsidR="00536048">
          <w:rPr>
            <w:webHidden/>
          </w:rPr>
          <w:t>18</w:t>
        </w:r>
        <w:r>
          <w:rPr>
            <w:webHidden/>
          </w:rPr>
          <w:fldChar w:fldCharType="end"/>
        </w:r>
      </w:hyperlink>
    </w:p>
    <w:p w14:paraId="72A19B1C" w14:textId="7581AAE1"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55" w:history="1">
        <w:r w:rsidRPr="00D10390">
          <w:rPr>
            <w:rStyle w:val="Hyperlink"/>
            <w:rFonts w:eastAsia="Times"/>
          </w:rPr>
          <w:t>4.5</w:t>
        </w:r>
        <w:r>
          <w:rPr>
            <w:rFonts w:asciiTheme="minorHAnsi" w:eastAsiaTheme="minorEastAsia" w:hAnsiTheme="minorHAnsi" w:cstheme="minorBidi"/>
            <w:kern w:val="2"/>
            <w:sz w:val="24"/>
            <w:szCs w:val="24"/>
            <w:lang w:eastAsia="en-AU"/>
            <w14:ligatures w14:val="standardContextual"/>
          </w:rPr>
          <w:tab/>
        </w:r>
        <w:r w:rsidRPr="00D10390">
          <w:rPr>
            <w:rStyle w:val="Hyperlink"/>
          </w:rPr>
          <w:t>Genetics outpatient program</w:t>
        </w:r>
        <w:r>
          <w:rPr>
            <w:webHidden/>
          </w:rPr>
          <w:tab/>
        </w:r>
        <w:r>
          <w:rPr>
            <w:webHidden/>
          </w:rPr>
          <w:fldChar w:fldCharType="begin"/>
        </w:r>
        <w:r>
          <w:rPr>
            <w:webHidden/>
          </w:rPr>
          <w:instrText xml:space="preserve"> PAGEREF _Toc231982255 \h </w:instrText>
        </w:r>
        <w:r>
          <w:rPr>
            <w:webHidden/>
          </w:rPr>
        </w:r>
        <w:r>
          <w:rPr>
            <w:webHidden/>
          </w:rPr>
          <w:fldChar w:fldCharType="separate"/>
        </w:r>
        <w:r w:rsidR="00536048">
          <w:rPr>
            <w:webHidden/>
          </w:rPr>
          <w:t>19</w:t>
        </w:r>
        <w:r>
          <w:rPr>
            <w:webHidden/>
          </w:rPr>
          <w:fldChar w:fldCharType="end"/>
        </w:r>
      </w:hyperlink>
    </w:p>
    <w:p w14:paraId="3CC86CD8" w14:textId="2C9BCA42"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56" w:history="1">
        <w:r w:rsidRPr="00D10390">
          <w:rPr>
            <w:rStyle w:val="Hyperlink"/>
          </w:rPr>
          <w:t>4.6</w:t>
        </w:r>
        <w:r>
          <w:rPr>
            <w:rFonts w:asciiTheme="minorHAnsi" w:eastAsiaTheme="minorEastAsia" w:hAnsiTheme="minorHAnsi" w:cstheme="minorBidi"/>
            <w:kern w:val="2"/>
            <w:sz w:val="24"/>
            <w:szCs w:val="24"/>
            <w:lang w:eastAsia="en-AU"/>
            <w14:ligatures w14:val="standardContextual"/>
          </w:rPr>
          <w:tab/>
        </w:r>
        <w:r w:rsidRPr="00D10390">
          <w:rPr>
            <w:rStyle w:val="Hyperlink"/>
          </w:rPr>
          <w:t>Pharmaceuticals</w:t>
        </w:r>
        <w:r>
          <w:rPr>
            <w:webHidden/>
          </w:rPr>
          <w:tab/>
        </w:r>
        <w:r>
          <w:rPr>
            <w:webHidden/>
          </w:rPr>
          <w:fldChar w:fldCharType="begin"/>
        </w:r>
        <w:r>
          <w:rPr>
            <w:webHidden/>
          </w:rPr>
          <w:instrText xml:space="preserve"> PAGEREF _Toc231982256 \h </w:instrText>
        </w:r>
        <w:r>
          <w:rPr>
            <w:webHidden/>
          </w:rPr>
        </w:r>
        <w:r>
          <w:rPr>
            <w:webHidden/>
          </w:rPr>
          <w:fldChar w:fldCharType="separate"/>
        </w:r>
        <w:r w:rsidR="00536048">
          <w:rPr>
            <w:webHidden/>
          </w:rPr>
          <w:t>20</w:t>
        </w:r>
        <w:r>
          <w:rPr>
            <w:webHidden/>
          </w:rPr>
          <w:fldChar w:fldCharType="end"/>
        </w:r>
      </w:hyperlink>
    </w:p>
    <w:p w14:paraId="7004750E" w14:textId="434A8358"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57" w:history="1">
        <w:r w:rsidRPr="00D10390">
          <w:rPr>
            <w:rStyle w:val="Hyperlink"/>
          </w:rPr>
          <w:t>4.7</w:t>
        </w:r>
        <w:r>
          <w:rPr>
            <w:rFonts w:asciiTheme="minorHAnsi" w:eastAsiaTheme="minorEastAsia" w:hAnsiTheme="minorHAnsi" w:cstheme="minorBidi"/>
            <w:kern w:val="2"/>
            <w:sz w:val="24"/>
            <w:szCs w:val="24"/>
            <w:lang w:eastAsia="en-AU"/>
            <w14:ligatures w14:val="standardContextual"/>
          </w:rPr>
          <w:tab/>
        </w:r>
        <w:r w:rsidRPr="00D10390">
          <w:rPr>
            <w:rStyle w:val="Hyperlink"/>
          </w:rPr>
          <w:t>Public Fertility Care</w:t>
        </w:r>
        <w:r>
          <w:rPr>
            <w:webHidden/>
          </w:rPr>
          <w:tab/>
        </w:r>
        <w:r>
          <w:rPr>
            <w:webHidden/>
          </w:rPr>
          <w:fldChar w:fldCharType="begin"/>
        </w:r>
        <w:r>
          <w:rPr>
            <w:webHidden/>
          </w:rPr>
          <w:instrText xml:space="preserve"> PAGEREF _Toc231982257 \h </w:instrText>
        </w:r>
        <w:r>
          <w:rPr>
            <w:webHidden/>
          </w:rPr>
        </w:r>
        <w:r>
          <w:rPr>
            <w:webHidden/>
          </w:rPr>
          <w:fldChar w:fldCharType="separate"/>
        </w:r>
        <w:r w:rsidR="00536048">
          <w:rPr>
            <w:webHidden/>
          </w:rPr>
          <w:t>21</w:t>
        </w:r>
        <w:r>
          <w:rPr>
            <w:webHidden/>
          </w:rPr>
          <w:fldChar w:fldCharType="end"/>
        </w:r>
      </w:hyperlink>
    </w:p>
    <w:p w14:paraId="760B8B13" w14:textId="7E19E238"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58" w:history="1">
        <w:r w:rsidRPr="00D10390">
          <w:rPr>
            <w:rStyle w:val="Hyperlink"/>
          </w:rPr>
          <w:t>5</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Mental health and wellbeing services</w:t>
        </w:r>
        <w:r>
          <w:rPr>
            <w:webHidden/>
          </w:rPr>
          <w:tab/>
        </w:r>
        <w:r>
          <w:rPr>
            <w:webHidden/>
          </w:rPr>
          <w:fldChar w:fldCharType="begin"/>
        </w:r>
        <w:r>
          <w:rPr>
            <w:webHidden/>
          </w:rPr>
          <w:instrText xml:space="preserve"> PAGEREF _Toc231982258 \h </w:instrText>
        </w:r>
        <w:r>
          <w:rPr>
            <w:webHidden/>
          </w:rPr>
        </w:r>
        <w:r>
          <w:rPr>
            <w:webHidden/>
          </w:rPr>
          <w:fldChar w:fldCharType="separate"/>
        </w:r>
        <w:r w:rsidR="00536048">
          <w:rPr>
            <w:webHidden/>
          </w:rPr>
          <w:t>22</w:t>
        </w:r>
        <w:r>
          <w:rPr>
            <w:webHidden/>
          </w:rPr>
          <w:fldChar w:fldCharType="end"/>
        </w:r>
      </w:hyperlink>
    </w:p>
    <w:p w14:paraId="33E354CF" w14:textId="67208320"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59" w:history="1">
        <w:r w:rsidRPr="00D10390">
          <w:rPr>
            <w:rStyle w:val="Hyperlink"/>
          </w:rPr>
          <w:t>5.1</w:t>
        </w:r>
        <w:r>
          <w:rPr>
            <w:rFonts w:asciiTheme="minorHAnsi" w:eastAsiaTheme="minorEastAsia" w:hAnsiTheme="minorHAnsi" w:cstheme="minorBidi"/>
            <w:kern w:val="2"/>
            <w:sz w:val="24"/>
            <w:szCs w:val="24"/>
            <w:lang w:eastAsia="en-AU"/>
            <w14:ligatures w14:val="standardContextual"/>
          </w:rPr>
          <w:tab/>
        </w:r>
        <w:r w:rsidRPr="00D10390">
          <w:rPr>
            <w:rStyle w:val="Hyperlink"/>
          </w:rPr>
          <w:t>Transforming the mental health and wellbeing system</w:t>
        </w:r>
        <w:r>
          <w:rPr>
            <w:webHidden/>
          </w:rPr>
          <w:tab/>
        </w:r>
        <w:r>
          <w:rPr>
            <w:webHidden/>
          </w:rPr>
          <w:fldChar w:fldCharType="begin"/>
        </w:r>
        <w:r>
          <w:rPr>
            <w:webHidden/>
          </w:rPr>
          <w:instrText xml:space="preserve"> PAGEREF _Toc231982259 \h </w:instrText>
        </w:r>
        <w:r>
          <w:rPr>
            <w:webHidden/>
          </w:rPr>
        </w:r>
        <w:r>
          <w:rPr>
            <w:webHidden/>
          </w:rPr>
          <w:fldChar w:fldCharType="separate"/>
        </w:r>
        <w:r w:rsidR="00536048">
          <w:rPr>
            <w:webHidden/>
          </w:rPr>
          <w:t>22</w:t>
        </w:r>
        <w:r>
          <w:rPr>
            <w:webHidden/>
          </w:rPr>
          <w:fldChar w:fldCharType="end"/>
        </w:r>
      </w:hyperlink>
    </w:p>
    <w:p w14:paraId="33395B3F" w14:textId="55FEBC52"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60" w:history="1">
        <w:r w:rsidRPr="00D10390">
          <w:rPr>
            <w:rStyle w:val="Hyperlink"/>
          </w:rPr>
          <w:t>5.2</w:t>
        </w:r>
        <w:r>
          <w:rPr>
            <w:rFonts w:asciiTheme="minorHAnsi" w:eastAsiaTheme="minorEastAsia" w:hAnsiTheme="minorHAnsi" w:cstheme="minorBidi"/>
            <w:kern w:val="2"/>
            <w:sz w:val="24"/>
            <w:szCs w:val="24"/>
            <w:lang w:eastAsia="en-AU"/>
            <w14:ligatures w14:val="standardContextual"/>
          </w:rPr>
          <w:tab/>
        </w:r>
        <w:r w:rsidRPr="00D10390">
          <w:rPr>
            <w:rStyle w:val="Hyperlink"/>
          </w:rPr>
          <w:t>Level 4: Local Mental Health and Wellbeing Services</w:t>
        </w:r>
        <w:r>
          <w:rPr>
            <w:webHidden/>
          </w:rPr>
          <w:tab/>
        </w:r>
        <w:r>
          <w:rPr>
            <w:webHidden/>
          </w:rPr>
          <w:fldChar w:fldCharType="begin"/>
        </w:r>
        <w:r>
          <w:rPr>
            <w:webHidden/>
          </w:rPr>
          <w:instrText xml:space="preserve"> PAGEREF _Toc231982260 \h </w:instrText>
        </w:r>
        <w:r>
          <w:rPr>
            <w:webHidden/>
          </w:rPr>
        </w:r>
        <w:r>
          <w:rPr>
            <w:webHidden/>
          </w:rPr>
          <w:fldChar w:fldCharType="separate"/>
        </w:r>
        <w:r w:rsidR="00536048">
          <w:rPr>
            <w:webHidden/>
          </w:rPr>
          <w:t>24</w:t>
        </w:r>
        <w:r>
          <w:rPr>
            <w:webHidden/>
          </w:rPr>
          <w:fldChar w:fldCharType="end"/>
        </w:r>
      </w:hyperlink>
    </w:p>
    <w:p w14:paraId="3A6E55C1" w14:textId="25A841F8"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61" w:history="1">
        <w:r w:rsidRPr="00D10390">
          <w:rPr>
            <w:rStyle w:val="Hyperlink"/>
          </w:rPr>
          <w:t>5.3</w:t>
        </w:r>
        <w:r>
          <w:rPr>
            <w:rFonts w:asciiTheme="minorHAnsi" w:eastAsiaTheme="minorEastAsia" w:hAnsiTheme="minorHAnsi" w:cstheme="minorBidi"/>
            <w:kern w:val="2"/>
            <w:sz w:val="24"/>
            <w:szCs w:val="24"/>
            <w:lang w:eastAsia="en-AU"/>
            <w14:ligatures w14:val="standardContextual"/>
          </w:rPr>
          <w:tab/>
        </w:r>
        <w:r w:rsidRPr="00D10390">
          <w:rPr>
            <w:rStyle w:val="Hyperlink"/>
          </w:rPr>
          <w:t>Level 5: Area Mental Health and Wellbeing Services</w:t>
        </w:r>
        <w:r>
          <w:rPr>
            <w:webHidden/>
          </w:rPr>
          <w:tab/>
        </w:r>
        <w:r>
          <w:rPr>
            <w:webHidden/>
          </w:rPr>
          <w:fldChar w:fldCharType="begin"/>
        </w:r>
        <w:r>
          <w:rPr>
            <w:webHidden/>
          </w:rPr>
          <w:instrText xml:space="preserve"> PAGEREF _Toc231982261 \h </w:instrText>
        </w:r>
        <w:r>
          <w:rPr>
            <w:webHidden/>
          </w:rPr>
        </w:r>
        <w:r>
          <w:rPr>
            <w:webHidden/>
          </w:rPr>
          <w:fldChar w:fldCharType="separate"/>
        </w:r>
        <w:r w:rsidR="00536048">
          <w:rPr>
            <w:webHidden/>
          </w:rPr>
          <w:t>26</w:t>
        </w:r>
        <w:r>
          <w:rPr>
            <w:webHidden/>
          </w:rPr>
          <w:fldChar w:fldCharType="end"/>
        </w:r>
      </w:hyperlink>
    </w:p>
    <w:p w14:paraId="35DCAD19" w14:textId="62701CBE"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62" w:history="1">
        <w:r w:rsidRPr="00D10390">
          <w:rPr>
            <w:rStyle w:val="Hyperlink"/>
          </w:rPr>
          <w:t>5.4</w:t>
        </w:r>
        <w:r>
          <w:rPr>
            <w:rFonts w:asciiTheme="minorHAnsi" w:eastAsiaTheme="minorEastAsia" w:hAnsiTheme="minorHAnsi" w:cstheme="minorBidi"/>
            <w:kern w:val="2"/>
            <w:sz w:val="24"/>
            <w:szCs w:val="24"/>
            <w:lang w:eastAsia="en-AU"/>
            <w14:ligatures w14:val="standardContextual"/>
          </w:rPr>
          <w:tab/>
        </w:r>
        <w:r w:rsidRPr="00D10390">
          <w:rPr>
            <w:rStyle w:val="Hyperlink"/>
          </w:rPr>
          <w:t>Level 6: Statewide services</w:t>
        </w:r>
        <w:r>
          <w:rPr>
            <w:webHidden/>
          </w:rPr>
          <w:tab/>
        </w:r>
        <w:r>
          <w:rPr>
            <w:webHidden/>
          </w:rPr>
          <w:fldChar w:fldCharType="begin"/>
        </w:r>
        <w:r>
          <w:rPr>
            <w:webHidden/>
          </w:rPr>
          <w:instrText xml:space="preserve"> PAGEREF _Toc231982262 \h </w:instrText>
        </w:r>
        <w:r>
          <w:rPr>
            <w:webHidden/>
          </w:rPr>
        </w:r>
        <w:r>
          <w:rPr>
            <w:webHidden/>
          </w:rPr>
          <w:fldChar w:fldCharType="separate"/>
        </w:r>
        <w:r w:rsidR="00536048">
          <w:rPr>
            <w:webHidden/>
          </w:rPr>
          <w:t>41</w:t>
        </w:r>
        <w:r>
          <w:rPr>
            <w:webHidden/>
          </w:rPr>
          <w:fldChar w:fldCharType="end"/>
        </w:r>
      </w:hyperlink>
    </w:p>
    <w:p w14:paraId="6DE965B5" w14:textId="6FDE6F42"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63" w:history="1">
        <w:r w:rsidRPr="00D10390">
          <w:rPr>
            <w:rStyle w:val="Hyperlink"/>
          </w:rPr>
          <w:t>5.5</w:t>
        </w:r>
        <w:r>
          <w:rPr>
            <w:rFonts w:asciiTheme="minorHAnsi" w:eastAsiaTheme="minorEastAsia" w:hAnsiTheme="minorHAnsi" w:cstheme="minorBidi"/>
            <w:kern w:val="2"/>
            <w:sz w:val="24"/>
            <w:szCs w:val="24"/>
            <w:lang w:eastAsia="en-AU"/>
            <w14:ligatures w14:val="standardContextual"/>
          </w:rPr>
          <w:tab/>
        </w:r>
        <w:r w:rsidRPr="00D10390">
          <w:rPr>
            <w:rStyle w:val="Hyperlink"/>
          </w:rPr>
          <w:t>Alcohol and other drug (AOD) services</w:t>
        </w:r>
        <w:r>
          <w:rPr>
            <w:webHidden/>
          </w:rPr>
          <w:tab/>
        </w:r>
        <w:r>
          <w:rPr>
            <w:webHidden/>
          </w:rPr>
          <w:fldChar w:fldCharType="begin"/>
        </w:r>
        <w:r>
          <w:rPr>
            <w:webHidden/>
          </w:rPr>
          <w:instrText xml:space="preserve"> PAGEREF _Toc231982263 \h </w:instrText>
        </w:r>
        <w:r>
          <w:rPr>
            <w:webHidden/>
          </w:rPr>
        </w:r>
        <w:r>
          <w:rPr>
            <w:webHidden/>
          </w:rPr>
          <w:fldChar w:fldCharType="separate"/>
        </w:r>
        <w:r w:rsidR="00536048">
          <w:rPr>
            <w:webHidden/>
          </w:rPr>
          <w:t>42</w:t>
        </w:r>
        <w:r>
          <w:rPr>
            <w:webHidden/>
          </w:rPr>
          <w:fldChar w:fldCharType="end"/>
        </w:r>
      </w:hyperlink>
    </w:p>
    <w:p w14:paraId="2DEFB17D" w14:textId="39CFEBC9"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64" w:history="1">
        <w:r w:rsidRPr="00D10390">
          <w:rPr>
            <w:rStyle w:val="Hyperlink"/>
          </w:rPr>
          <w:t>5.6</w:t>
        </w:r>
        <w:r>
          <w:rPr>
            <w:rFonts w:asciiTheme="minorHAnsi" w:eastAsiaTheme="minorEastAsia" w:hAnsiTheme="minorHAnsi" w:cstheme="minorBidi"/>
            <w:kern w:val="2"/>
            <w:sz w:val="24"/>
            <w:szCs w:val="24"/>
            <w:lang w:eastAsia="en-AU"/>
            <w14:ligatures w14:val="standardContextual"/>
          </w:rPr>
          <w:tab/>
        </w:r>
        <w:r w:rsidRPr="00D10390">
          <w:rPr>
            <w:rStyle w:val="Hyperlink"/>
          </w:rPr>
          <w:t>Mental health and wellbeing programs</w:t>
        </w:r>
        <w:r>
          <w:rPr>
            <w:webHidden/>
          </w:rPr>
          <w:tab/>
        </w:r>
        <w:r>
          <w:rPr>
            <w:webHidden/>
          </w:rPr>
          <w:fldChar w:fldCharType="begin"/>
        </w:r>
        <w:r>
          <w:rPr>
            <w:webHidden/>
          </w:rPr>
          <w:instrText xml:space="preserve"> PAGEREF _Toc231982264 \h </w:instrText>
        </w:r>
        <w:r>
          <w:rPr>
            <w:webHidden/>
          </w:rPr>
        </w:r>
        <w:r>
          <w:rPr>
            <w:webHidden/>
          </w:rPr>
          <w:fldChar w:fldCharType="separate"/>
        </w:r>
        <w:r w:rsidR="00536048">
          <w:rPr>
            <w:webHidden/>
          </w:rPr>
          <w:t>43</w:t>
        </w:r>
        <w:r>
          <w:rPr>
            <w:webHidden/>
          </w:rPr>
          <w:fldChar w:fldCharType="end"/>
        </w:r>
      </w:hyperlink>
    </w:p>
    <w:p w14:paraId="5F78CF11" w14:textId="63EDE76E"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65" w:history="1">
        <w:r w:rsidRPr="00D10390">
          <w:rPr>
            <w:rStyle w:val="Hyperlink"/>
          </w:rPr>
          <w:t>6</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Ageing, aged and home care services</w:t>
        </w:r>
        <w:r>
          <w:rPr>
            <w:webHidden/>
          </w:rPr>
          <w:tab/>
        </w:r>
        <w:r>
          <w:rPr>
            <w:webHidden/>
          </w:rPr>
          <w:fldChar w:fldCharType="begin"/>
        </w:r>
        <w:r>
          <w:rPr>
            <w:webHidden/>
          </w:rPr>
          <w:instrText xml:space="preserve"> PAGEREF _Toc231982265 \h </w:instrText>
        </w:r>
        <w:r>
          <w:rPr>
            <w:webHidden/>
          </w:rPr>
        </w:r>
        <w:r>
          <w:rPr>
            <w:webHidden/>
          </w:rPr>
          <w:fldChar w:fldCharType="separate"/>
        </w:r>
        <w:r w:rsidR="00536048">
          <w:rPr>
            <w:webHidden/>
          </w:rPr>
          <w:t>46</w:t>
        </w:r>
        <w:r>
          <w:rPr>
            <w:webHidden/>
          </w:rPr>
          <w:fldChar w:fldCharType="end"/>
        </w:r>
      </w:hyperlink>
    </w:p>
    <w:p w14:paraId="38ACA408" w14:textId="051C1298"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66" w:history="1">
        <w:r w:rsidRPr="00D10390">
          <w:rPr>
            <w:rStyle w:val="Hyperlink"/>
          </w:rPr>
          <w:t>6.1</w:t>
        </w:r>
        <w:r>
          <w:rPr>
            <w:rFonts w:asciiTheme="minorHAnsi" w:eastAsiaTheme="minorEastAsia" w:hAnsiTheme="minorHAnsi" w:cstheme="minorBidi"/>
            <w:kern w:val="2"/>
            <w:sz w:val="24"/>
            <w:szCs w:val="24"/>
            <w:lang w:eastAsia="en-AU"/>
            <w14:ligatures w14:val="standardContextual"/>
          </w:rPr>
          <w:tab/>
        </w:r>
        <w:r w:rsidRPr="00D10390">
          <w:rPr>
            <w:rStyle w:val="Hyperlink"/>
          </w:rPr>
          <w:t>Aged Care Assessment</w:t>
        </w:r>
        <w:r>
          <w:rPr>
            <w:webHidden/>
          </w:rPr>
          <w:tab/>
        </w:r>
        <w:r>
          <w:rPr>
            <w:webHidden/>
          </w:rPr>
          <w:fldChar w:fldCharType="begin"/>
        </w:r>
        <w:r>
          <w:rPr>
            <w:webHidden/>
          </w:rPr>
          <w:instrText xml:space="preserve"> PAGEREF _Toc231982266 \h </w:instrText>
        </w:r>
        <w:r>
          <w:rPr>
            <w:webHidden/>
          </w:rPr>
        </w:r>
        <w:r>
          <w:rPr>
            <w:webHidden/>
          </w:rPr>
          <w:fldChar w:fldCharType="separate"/>
        </w:r>
        <w:r w:rsidR="00536048">
          <w:rPr>
            <w:webHidden/>
          </w:rPr>
          <w:t>46</w:t>
        </w:r>
        <w:r>
          <w:rPr>
            <w:webHidden/>
          </w:rPr>
          <w:fldChar w:fldCharType="end"/>
        </w:r>
      </w:hyperlink>
    </w:p>
    <w:p w14:paraId="521D8D1D" w14:textId="67D3F4EB"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67" w:history="1">
        <w:r w:rsidRPr="00D10390">
          <w:rPr>
            <w:rStyle w:val="Hyperlink"/>
          </w:rPr>
          <w:t>6.2</w:t>
        </w:r>
        <w:r>
          <w:rPr>
            <w:rFonts w:asciiTheme="minorHAnsi" w:eastAsiaTheme="minorEastAsia" w:hAnsiTheme="minorHAnsi" w:cstheme="minorBidi"/>
            <w:kern w:val="2"/>
            <w:sz w:val="24"/>
            <w:szCs w:val="24"/>
            <w:lang w:eastAsia="en-AU"/>
            <w14:ligatures w14:val="standardContextual"/>
          </w:rPr>
          <w:tab/>
        </w:r>
        <w:r w:rsidRPr="00D10390">
          <w:rPr>
            <w:rStyle w:val="Hyperlink"/>
          </w:rPr>
          <w:t>Home and Community Care Program for Younger People</w:t>
        </w:r>
        <w:r>
          <w:rPr>
            <w:webHidden/>
          </w:rPr>
          <w:tab/>
        </w:r>
        <w:r>
          <w:rPr>
            <w:webHidden/>
          </w:rPr>
          <w:fldChar w:fldCharType="begin"/>
        </w:r>
        <w:r>
          <w:rPr>
            <w:webHidden/>
          </w:rPr>
          <w:instrText xml:space="preserve"> PAGEREF _Toc231982267 \h </w:instrText>
        </w:r>
        <w:r>
          <w:rPr>
            <w:webHidden/>
          </w:rPr>
        </w:r>
        <w:r>
          <w:rPr>
            <w:webHidden/>
          </w:rPr>
          <w:fldChar w:fldCharType="separate"/>
        </w:r>
        <w:r w:rsidR="00536048">
          <w:rPr>
            <w:webHidden/>
          </w:rPr>
          <w:t>47</w:t>
        </w:r>
        <w:r>
          <w:rPr>
            <w:webHidden/>
          </w:rPr>
          <w:fldChar w:fldCharType="end"/>
        </w:r>
      </w:hyperlink>
    </w:p>
    <w:p w14:paraId="52BB72F1" w14:textId="56F0EF3D"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68" w:history="1">
        <w:r w:rsidRPr="00D10390">
          <w:rPr>
            <w:rStyle w:val="Hyperlink"/>
          </w:rPr>
          <w:t>6.3</w:t>
        </w:r>
        <w:r>
          <w:rPr>
            <w:rFonts w:asciiTheme="minorHAnsi" w:eastAsiaTheme="minorEastAsia" w:hAnsiTheme="minorHAnsi" w:cstheme="minorBidi"/>
            <w:kern w:val="2"/>
            <w:sz w:val="24"/>
            <w:szCs w:val="24"/>
            <w:lang w:eastAsia="en-AU"/>
            <w14:ligatures w14:val="standardContextual"/>
          </w:rPr>
          <w:tab/>
        </w:r>
        <w:r w:rsidRPr="00D10390">
          <w:rPr>
            <w:rStyle w:val="Hyperlink"/>
          </w:rPr>
          <w:t>Victorian Aids and Equipment Program</w:t>
        </w:r>
        <w:r>
          <w:rPr>
            <w:webHidden/>
          </w:rPr>
          <w:tab/>
        </w:r>
        <w:r>
          <w:rPr>
            <w:webHidden/>
          </w:rPr>
          <w:fldChar w:fldCharType="begin"/>
        </w:r>
        <w:r>
          <w:rPr>
            <w:webHidden/>
          </w:rPr>
          <w:instrText xml:space="preserve"> PAGEREF _Toc231982268 \h </w:instrText>
        </w:r>
        <w:r>
          <w:rPr>
            <w:webHidden/>
          </w:rPr>
        </w:r>
        <w:r>
          <w:rPr>
            <w:webHidden/>
          </w:rPr>
          <w:fldChar w:fldCharType="separate"/>
        </w:r>
        <w:r w:rsidR="00536048">
          <w:rPr>
            <w:webHidden/>
          </w:rPr>
          <w:t>47</w:t>
        </w:r>
        <w:r>
          <w:rPr>
            <w:webHidden/>
          </w:rPr>
          <w:fldChar w:fldCharType="end"/>
        </w:r>
      </w:hyperlink>
    </w:p>
    <w:p w14:paraId="7C35667B" w14:textId="66C74ABC"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69" w:history="1">
        <w:r w:rsidRPr="00D10390">
          <w:rPr>
            <w:rStyle w:val="Hyperlink"/>
          </w:rPr>
          <w:t>6.4</w:t>
        </w:r>
        <w:r>
          <w:rPr>
            <w:rFonts w:asciiTheme="minorHAnsi" w:eastAsiaTheme="minorEastAsia" w:hAnsiTheme="minorHAnsi" w:cstheme="minorBidi"/>
            <w:kern w:val="2"/>
            <w:sz w:val="24"/>
            <w:szCs w:val="24"/>
            <w:lang w:eastAsia="en-AU"/>
            <w14:ligatures w14:val="standardContextual"/>
          </w:rPr>
          <w:tab/>
        </w:r>
        <w:r w:rsidRPr="00D10390">
          <w:rPr>
            <w:rStyle w:val="Hyperlink"/>
          </w:rPr>
          <w:t>Aged support services</w:t>
        </w:r>
        <w:r>
          <w:rPr>
            <w:webHidden/>
          </w:rPr>
          <w:tab/>
        </w:r>
        <w:r>
          <w:rPr>
            <w:webHidden/>
          </w:rPr>
          <w:fldChar w:fldCharType="begin"/>
        </w:r>
        <w:r>
          <w:rPr>
            <w:webHidden/>
          </w:rPr>
          <w:instrText xml:space="preserve"> PAGEREF _Toc231982269 \h </w:instrText>
        </w:r>
        <w:r>
          <w:rPr>
            <w:webHidden/>
          </w:rPr>
        </w:r>
        <w:r>
          <w:rPr>
            <w:webHidden/>
          </w:rPr>
          <w:fldChar w:fldCharType="separate"/>
        </w:r>
        <w:r w:rsidR="00536048">
          <w:rPr>
            <w:webHidden/>
          </w:rPr>
          <w:t>48</w:t>
        </w:r>
        <w:r>
          <w:rPr>
            <w:webHidden/>
          </w:rPr>
          <w:fldChar w:fldCharType="end"/>
        </w:r>
      </w:hyperlink>
    </w:p>
    <w:p w14:paraId="27A98235" w14:textId="6CBD6212"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70" w:history="1">
        <w:r w:rsidRPr="00D10390">
          <w:rPr>
            <w:rStyle w:val="Hyperlink"/>
          </w:rPr>
          <w:t>7</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Rural and regional health</w:t>
        </w:r>
        <w:r>
          <w:rPr>
            <w:webHidden/>
          </w:rPr>
          <w:tab/>
        </w:r>
        <w:r>
          <w:rPr>
            <w:webHidden/>
          </w:rPr>
          <w:fldChar w:fldCharType="begin"/>
        </w:r>
        <w:r>
          <w:rPr>
            <w:webHidden/>
          </w:rPr>
          <w:instrText xml:space="preserve"> PAGEREF _Toc231982270 \h </w:instrText>
        </w:r>
        <w:r>
          <w:rPr>
            <w:webHidden/>
          </w:rPr>
        </w:r>
        <w:r>
          <w:rPr>
            <w:webHidden/>
          </w:rPr>
          <w:fldChar w:fldCharType="separate"/>
        </w:r>
        <w:r w:rsidR="00536048">
          <w:rPr>
            <w:webHidden/>
          </w:rPr>
          <w:t>50</w:t>
        </w:r>
        <w:r>
          <w:rPr>
            <w:webHidden/>
          </w:rPr>
          <w:fldChar w:fldCharType="end"/>
        </w:r>
      </w:hyperlink>
    </w:p>
    <w:p w14:paraId="2CF4F91B" w14:textId="0C7B8692"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71" w:history="1">
        <w:r w:rsidRPr="00D10390">
          <w:rPr>
            <w:rStyle w:val="Hyperlink"/>
          </w:rPr>
          <w:t>7.1</w:t>
        </w:r>
        <w:r>
          <w:rPr>
            <w:rFonts w:asciiTheme="minorHAnsi" w:eastAsiaTheme="minorEastAsia" w:hAnsiTheme="minorHAnsi" w:cstheme="minorBidi"/>
            <w:kern w:val="2"/>
            <w:sz w:val="24"/>
            <w:szCs w:val="24"/>
            <w:lang w:eastAsia="en-AU"/>
            <w14:ligatures w14:val="standardContextual"/>
          </w:rPr>
          <w:tab/>
        </w:r>
        <w:r w:rsidRPr="00D10390">
          <w:rPr>
            <w:rStyle w:val="Hyperlink"/>
          </w:rPr>
          <w:t>Small rural health services</w:t>
        </w:r>
        <w:r>
          <w:rPr>
            <w:webHidden/>
          </w:rPr>
          <w:tab/>
        </w:r>
        <w:r>
          <w:rPr>
            <w:webHidden/>
          </w:rPr>
          <w:fldChar w:fldCharType="begin"/>
        </w:r>
        <w:r>
          <w:rPr>
            <w:webHidden/>
          </w:rPr>
          <w:instrText xml:space="preserve"> PAGEREF _Toc231982271 \h </w:instrText>
        </w:r>
        <w:r>
          <w:rPr>
            <w:webHidden/>
          </w:rPr>
        </w:r>
        <w:r>
          <w:rPr>
            <w:webHidden/>
          </w:rPr>
          <w:fldChar w:fldCharType="separate"/>
        </w:r>
        <w:r w:rsidR="00536048">
          <w:rPr>
            <w:webHidden/>
          </w:rPr>
          <w:t>50</w:t>
        </w:r>
        <w:r>
          <w:rPr>
            <w:webHidden/>
          </w:rPr>
          <w:fldChar w:fldCharType="end"/>
        </w:r>
      </w:hyperlink>
    </w:p>
    <w:p w14:paraId="4D055015" w14:textId="022F5EB5"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72" w:history="1">
        <w:r w:rsidRPr="00D10390">
          <w:rPr>
            <w:rStyle w:val="Hyperlink"/>
          </w:rPr>
          <w:t>7.2</w:t>
        </w:r>
        <w:r>
          <w:rPr>
            <w:rFonts w:asciiTheme="minorHAnsi" w:eastAsiaTheme="minorEastAsia" w:hAnsiTheme="minorHAnsi" w:cstheme="minorBidi"/>
            <w:kern w:val="2"/>
            <w:sz w:val="24"/>
            <w:szCs w:val="24"/>
            <w:lang w:eastAsia="en-AU"/>
            <w14:ligatures w14:val="standardContextual"/>
          </w:rPr>
          <w:tab/>
        </w:r>
        <w:r w:rsidRPr="00D10390">
          <w:rPr>
            <w:rStyle w:val="Hyperlink"/>
          </w:rPr>
          <w:t>Bush nursing centres</w:t>
        </w:r>
        <w:r>
          <w:rPr>
            <w:webHidden/>
          </w:rPr>
          <w:tab/>
        </w:r>
        <w:r>
          <w:rPr>
            <w:webHidden/>
          </w:rPr>
          <w:fldChar w:fldCharType="begin"/>
        </w:r>
        <w:r>
          <w:rPr>
            <w:webHidden/>
          </w:rPr>
          <w:instrText xml:space="preserve"> PAGEREF _Toc231982272 \h </w:instrText>
        </w:r>
        <w:r>
          <w:rPr>
            <w:webHidden/>
          </w:rPr>
        </w:r>
        <w:r>
          <w:rPr>
            <w:webHidden/>
          </w:rPr>
          <w:fldChar w:fldCharType="separate"/>
        </w:r>
        <w:r w:rsidR="00536048">
          <w:rPr>
            <w:webHidden/>
          </w:rPr>
          <w:t>50</w:t>
        </w:r>
        <w:r>
          <w:rPr>
            <w:webHidden/>
          </w:rPr>
          <w:fldChar w:fldCharType="end"/>
        </w:r>
      </w:hyperlink>
    </w:p>
    <w:p w14:paraId="5FDE1636" w14:textId="738E89EB"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73" w:history="1">
        <w:r w:rsidRPr="00D10390">
          <w:rPr>
            <w:rStyle w:val="Hyperlink"/>
          </w:rPr>
          <w:t>7.3</w:t>
        </w:r>
        <w:r>
          <w:rPr>
            <w:rFonts w:asciiTheme="minorHAnsi" w:eastAsiaTheme="minorEastAsia" w:hAnsiTheme="minorHAnsi" w:cstheme="minorBidi"/>
            <w:kern w:val="2"/>
            <w:sz w:val="24"/>
            <w:szCs w:val="24"/>
            <w:lang w:eastAsia="en-AU"/>
            <w14:ligatures w14:val="standardContextual"/>
          </w:rPr>
          <w:tab/>
        </w:r>
        <w:r w:rsidRPr="00D10390">
          <w:rPr>
            <w:rStyle w:val="Hyperlink"/>
          </w:rPr>
          <w:t>Victorian Patient Transport Assistance Scheme</w:t>
        </w:r>
        <w:r>
          <w:rPr>
            <w:webHidden/>
          </w:rPr>
          <w:tab/>
        </w:r>
        <w:r>
          <w:rPr>
            <w:webHidden/>
          </w:rPr>
          <w:fldChar w:fldCharType="begin"/>
        </w:r>
        <w:r>
          <w:rPr>
            <w:webHidden/>
          </w:rPr>
          <w:instrText xml:space="preserve"> PAGEREF _Toc231982273 \h </w:instrText>
        </w:r>
        <w:r>
          <w:rPr>
            <w:webHidden/>
          </w:rPr>
        </w:r>
        <w:r>
          <w:rPr>
            <w:webHidden/>
          </w:rPr>
          <w:fldChar w:fldCharType="separate"/>
        </w:r>
        <w:r w:rsidR="00536048">
          <w:rPr>
            <w:webHidden/>
          </w:rPr>
          <w:t>51</w:t>
        </w:r>
        <w:r>
          <w:rPr>
            <w:webHidden/>
          </w:rPr>
          <w:fldChar w:fldCharType="end"/>
        </w:r>
      </w:hyperlink>
    </w:p>
    <w:p w14:paraId="6606F4A0" w14:textId="7D4CBD51"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74" w:history="1">
        <w:r w:rsidRPr="00D10390">
          <w:rPr>
            <w:rStyle w:val="Hyperlink"/>
          </w:rPr>
          <w:t>7.4</w:t>
        </w:r>
        <w:r>
          <w:rPr>
            <w:rFonts w:asciiTheme="minorHAnsi" w:eastAsiaTheme="minorEastAsia" w:hAnsiTheme="minorHAnsi" w:cstheme="minorBidi"/>
            <w:kern w:val="2"/>
            <w:sz w:val="24"/>
            <w:szCs w:val="24"/>
            <w:lang w:eastAsia="en-AU"/>
            <w14:ligatures w14:val="standardContextual"/>
          </w:rPr>
          <w:tab/>
        </w:r>
        <w:r w:rsidRPr="00D10390">
          <w:rPr>
            <w:rStyle w:val="Hyperlink"/>
          </w:rPr>
          <w:t>Improving access to primary care in rural and remote areas</w:t>
        </w:r>
        <w:r>
          <w:rPr>
            <w:webHidden/>
          </w:rPr>
          <w:tab/>
        </w:r>
        <w:r>
          <w:rPr>
            <w:webHidden/>
          </w:rPr>
          <w:fldChar w:fldCharType="begin"/>
        </w:r>
        <w:r>
          <w:rPr>
            <w:webHidden/>
          </w:rPr>
          <w:instrText xml:space="preserve"> PAGEREF _Toc231982274 \h </w:instrText>
        </w:r>
        <w:r>
          <w:rPr>
            <w:webHidden/>
          </w:rPr>
        </w:r>
        <w:r>
          <w:rPr>
            <w:webHidden/>
          </w:rPr>
          <w:fldChar w:fldCharType="separate"/>
        </w:r>
        <w:r w:rsidR="00536048">
          <w:rPr>
            <w:webHidden/>
          </w:rPr>
          <w:t>51</w:t>
        </w:r>
        <w:r>
          <w:rPr>
            <w:webHidden/>
          </w:rPr>
          <w:fldChar w:fldCharType="end"/>
        </w:r>
      </w:hyperlink>
    </w:p>
    <w:p w14:paraId="33E38441" w14:textId="50A74C75"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75" w:history="1">
        <w:r w:rsidRPr="00D10390">
          <w:rPr>
            <w:rStyle w:val="Hyperlink"/>
          </w:rPr>
          <w:t>8</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Primary, community and dental health</w:t>
        </w:r>
        <w:r>
          <w:rPr>
            <w:webHidden/>
          </w:rPr>
          <w:tab/>
        </w:r>
        <w:r>
          <w:rPr>
            <w:webHidden/>
          </w:rPr>
          <w:fldChar w:fldCharType="begin"/>
        </w:r>
        <w:r>
          <w:rPr>
            <w:webHidden/>
          </w:rPr>
          <w:instrText xml:space="preserve"> PAGEREF _Toc231982275 \h </w:instrText>
        </w:r>
        <w:r>
          <w:rPr>
            <w:webHidden/>
          </w:rPr>
        </w:r>
        <w:r>
          <w:rPr>
            <w:webHidden/>
          </w:rPr>
          <w:fldChar w:fldCharType="separate"/>
        </w:r>
        <w:r w:rsidR="00536048">
          <w:rPr>
            <w:webHidden/>
          </w:rPr>
          <w:t>53</w:t>
        </w:r>
        <w:r>
          <w:rPr>
            <w:webHidden/>
          </w:rPr>
          <w:fldChar w:fldCharType="end"/>
        </w:r>
      </w:hyperlink>
    </w:p>
    <w:p w14:paraId="3A557B32" w14:textId="1953B500"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76" w:history="1">
        <w:r w:rsidRPr="00D10390">
          <w:rPr>
            <w:rStyle w:val="Hyperlink"/>
          </w:rPr>
          <w:t>8.1</w:t>
        </w:r>
        <w:r>
          <w:rPr>
            <w:rFonts w:asciiTheme="minorHAnsi" w:eastAsiaTheme="minorEastAsia" w:hAnsiTheme="minorHAnsi" w:cstheme="minorBidi"/>
            <w:kern w:val="2"/>
            <w:sz w:val="24"/>
            <w:szCs w:val="24"/>
            <w:lang w:eastAsia="en-AU"/>
            <w14:ligatures w14:val="standardContextual"/>
          </w:rPr>
          <w:tab/>
        </w:r>
        <w:r w:rsidRPr="00D10390">
          <w:rPr>
            <w:rStyle w:val="Hyperlink"/>
          </w:rPr>
          <w:t>Primary health services</w:t>
        </w:r>
        <w:r>
          <w:rPr>
            <w:webHidden/>
          </w:rPr>
          <w:tab/>
        </w:r>
        <w:r>
          <w:rPr>
            <w:webHidden/>
          </w:rPr>
          <w:fldChar w:fldCharType="begin"/>
        </w:r>
        <w:r>
          <w:rPr>
            <w:webHidden/>
          </w:rPr>
          <w:instrText xml:space="preserve"> PAGEREF _Toc231982276 \h </w:instrText>
        </w:r>
        <w:r>
          <w:rPr>
            <w:webHidden/>
          </w:rPr>
        </w:r>
        <w:r>
          <w:rPr>
            <w:webHidden/>
          </w:rPr>
          <w:fldChar w:fldCharType="separate"/>
        </w:r>
        <w:r w:rsidR="00536048">
          <w:rPr>
            <w:webHidden/>
          </w:rPr>
          <w:t>53</w:t>
        </w:r>
        <w:r>
          <w:rPr>
            <w:webHidden/>
          </w:rPr>
          <w:fldChar w:fldCharType="end"/>
        </w:r>
      </w:hyperlink>
    </w:p>
    <w:p w14:paraId="7C63EEDF" w14:textId="5B1EB0C9"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77" w:history="1">
        <w:r w:rsidRPr="00D10390">
          <w:rPr>
            <w:rStyle w:val="Hyperlink"/>
          </w:rPr>
          <w:t>8.2</w:t>
        </w:r>
        <w:r>
          <w:rPr>
            <w:rFonts w:asciiTheme="minorHAnsi" w:eastAsiaTheme="minorEastAsia" w:hAnsiTheme="minorHAnsi" w:cstheme="minorBidi"/>
            <w:kern w:val="2"/>
            <w:sz w:val="24"/>
            <w:szCs w:val="24"/>
            <w:lang w:eastAsia="en-AU"/>
            <w14:ligatures w14:val="standardContextual"/>
          </w:rPr>
          <w:tab/>
        </w:r>
        <w:r w:rsidRPr="00D10390">
          <w:rPr>
            <w:rStyle w:val="Hyperlink"/>
          </w:rPr>
          <w:t>Dental health services</w:t>
        </w:r>
        <w:r>
          <w:rPr>
            <w:webHidden/>
          </w:rPr>
          <w:tab/>
        </w:r>
        <w:r>
          <w:rPr>
            <w:webHidden/>
          </w:rPr>
          <w:fldChar w:fldCharType="begin"/>
        </w:r>
        <w:r>
          <w:rPr>
            <w:webHidden/>
          </w:rPr>
          <w:instrText xml:space="preserve"> PAGEREF _Toc231982277 \h </w:instrText>
        </w:r>
        <w:r>
          <w:rPr>
            <w:webHidden/>
          </w:rPr>
        </w:r>
        <w:r>
          <w:rPr>
            <w:webHidden/>
          </w:rPr>
          <w:fldChar w:fldCharType="separate"/>
        </w:r>
        <w:r w:rsidR="00536048">
          <w:rPr>
            <w:webHidden/>
          </w:rPr>
          <w:t>54</w:t>
        </w:r>
        <w:r>
          <w:rPr>
            <w:webHidden/>
          </w:rPr>
          <w:fldChar w:fldCharType="end"/>
        </w:r>
      </w:hyperlink>
    </w:p>
    <w:p w14:paraId="20CFECAE" w14:textId="2732B0CD"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78" w:history="1">
        <w:r w:rsidRPr="00D10390">
          <w:rPr>
            <w:rStyle w:val="Hyperlink"/>
          </w:rPr>
          <w:t>9</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Public health</w:t>
        </w:r>
        <w:r>
          <w:rPr>
            <w:webHidden/>
          </w:rPr>
          <w:tab/>
        </w:r>
        <w:r>
          <w:rPr>
            <w:webHidden/>
          </w:rPr>
          <w:fldChar w:fldCharType="begin"/>
        </w:r>
        <w:r>
          <w:rPr>
            <w:webHidden/>
          </w:rPr>
          <w:instrText xml:space="preserve"> PAGEREF _Toc231982278 \h </w:instrText>
        </w:r>
        <w:r>
          <w:rPr>
            <w:webHidden/>
          </w:rPr>
        </w:r>
        <w:r>
          <w:rPr>
            <w:webHidden/>
          </w:rPr>
          <w:fldChar w:fldCharType="separate"/>
        </w:r>
        <w:r w:rsidR="00536048">
          <w:rPr>
            <w:webHidden/>
          </w:rPr>
          <w:t>56</w:t>
        </w:r>
        <w:r>
          <w:rPr>
            <w:webHidden/>
          </w:rPr>
          <w:fldChar w:fldCharType="end"/>
        </w:r>
      </w:hyperlink>
    </w:p>
    <w:p w14:paraId="63B798DD" w14:textId="20EA874C"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79" w:history="1">
        <w:r w:rsidRPr="00D10390">
          <w:rPr>
            <w:rStyle w:val="Hyperlink"/>
          </w:rPr>
          <w:t>9.1</w:t>
        </w:r>
        <w:r>
          <w:rPr>
            <w:rFonts w:asciiTheme="minorHAnsi" w:eastAsiaTheme="minorEastAsia" w:hAnsiTheme="minorHAnsi" w:cstheme="minorBidi"/>
            <w:kern w:val="2"/>
            <w:sz w:val="24"/>
            <w:szCs w:val="24"/>
            <w:lang w:eastAsia="en-AU"/>
            <w14:ligatures w14:val="standardContextual"/>
          </w:rPr>
          <w:tab/>
        </w:r>
        <w:r w:rsidRPr="00D10390">
          <w:rPr>
            <w:rStyle w:val="Hyperlink"/>
          </w:rPr>
          <w:t>Public health and prevention</w:t>
        </w:r>
        <w:r>
          <w:rPr>
            <w:webHidden/>
          </w:rPr>
          <w:tab/>
        </w:r>
        <w:r>
          <w:rPr>
            <w:webHidden/>
          </w:rPr>
          <w:fldChar w:fldCharType="begin"/>
        </w:r>
        <w:r>
          <w:rPr>
            <w:webHidden/>
          </w:rPr>
          <w:instrText xml:space="preserve"> PAGEREF _Toc231982279 \h </w:instrText>
        </w:r>
        <w:r>
          <w:rPr>
            <w:webHidden/>
          </w:rPr>
        </w:r>
        <w:r>
          <w:rPr>
            <w:webHidden/>
          </w:rPr>
          <w:fldChar w:fldCharType="separate"/>
        </w:r>
        <w:r w:rsidR="00536048">
          <w:rPr>
            <w:webHidden/>
          </w:rPr>
          <w:t>56</w:t>
        </w:r>
        <w:r>
          <w:rPr>
            <w:webHidden/>
          </w:rPr>
          <w:fldChar w:fldCharType="end"/>
        </w:r>
      </w:hyperlink>
    </w:p>
    <w:p w14:paraId="15704555" w14:textId="00C22FFD"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80" w:history="1">
        <w:r w:rsidRPr="00D10390">
          <w:rPr>
            <w:rStyle w:val="Hyperlink"/>
          </w:rPr>
          <w:t>9.2</w:t>
        </w:r>
        <w:r>
          <w:rPr>
            <w:rFonts w:asciiTheme="minorHAnsi" w:eastAsiaTheme="minorEastAsia" w:hAnsiTheme="minorHAnsi" w:cstheme="minorBidi"/>
            <w:kern w:val="2"/>
            <w:sz w:val="24"/>
            <w:szCs w:val="24"/>
            <w:lang w:eastAsia="en-AU"/>
            <w14:ligatures w14:val="standardContextual"/>
          </w:rPr>
          <w:tab/>
        </w:r>
        <w:r w:rsidRPr="00D10390">
          <w:rPr>
            <w:rStyle w:val="Hyperlink"/>
          </w:rPr>
          <w:t>Public health and health protection</w:t>
        </w:r>
        <w:r>
          <w:rPr>
            <w:webHidden/>
          </w:rPr>
          <w:tab/>
        </w:r>
        <w:r>
          <w:rPr>
            <w:webHidden/>
          </w:rPr>
          <w:fldChar w:fldCharType="begin"/>
        </w:r>
        <w:r>
          <w:rPr>
            <w:webHidden/>
          </w:rPr>
          <w:instrText xml:space="preserve"> PAGEREF _Toc231982280 \h </w:instrText>
        </w:r>
        <w:r>
          <w:rPr>
            <w:webHidden/>
          </w:rPr>
        </w:r>
        <w:r>
          <w:rPr>
            <w:webHidden/>
          </w:rPr>
          <w:fldChar w:fldCharType="separate"/>
        </w:r>
        <w:r w:rsidR="00536048">
          <w:rPr>
            <w:webHidden/>
          </w:rPr>
          <w:t>62</w:t>
        </w:r>
        <w:r>
          <w:rPr>
            <w:webHidden/>
          </w:rPr>
          <w:fldChar w:fldCharType="end"/>
        </w:r>
      </w:hyperlink>
    </w:p>
    <w:p w14:paraId="0F2088B3" w14:textId="21007585"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81" w:history="1">
        <w:r w:rsidRPr="00D10390">
          <w:rPr>
            <w:rStyle w:val="Hyperlink"/>
          </w:rPr>
          <w:t>9.3</w:t>
        </w:r>
        <w:r>
          <w:rPr>
            <w:rFonts w:asciiTheme="minorHAnsi" w:eastAsiaTheme="minorEastAsia" w:hAnsiTheme="minorHAnsi" w:cstheme="minorBidi"/>
            <w:kern w:val="2"/>
            <w:sz w:val="24"/>
            <w:szCs w:val="24"/>
            <w:lang w:eastAsia="en-AU"/>
            <w14:ligatures w14:val="standardContextual"/>
          </w:rPr>
          <w:tab/>
        </w:r>
        <w:r w:rsidRPr="00D10390">
          <w:rPr>
            <w:rStyle w:val="Hyperlink"/>
          </w:rPr>
          <w:t>Early Parenting Centres</w:t>
        </w:r>
        <w:r>
          <w:rPr>
            <w:webHidden/>
          </w:rPr>
          <w:tab/>
        </w:r>
        <w:r>
          <w:rPr>
            <w:webHidden/>
          </w:rPr>
          <w:fldChar w:fldCharType="begin"/>
        </w:r>
        <w:r>
          <w:rPr>
            <w:webHidden/>
          </w:rPr>
          <w:instrText xml:space="preserve"> PAGEREF _Toc231982281 \h </w:instrText>
        </w:r>
        <w:r>
          <w:rPr>
            <w:webHidden/>
          </w:rPr>
        </w:r>
        <w:r>
          <w:rPr>
            <w:webHidden/>
          </w:rPr>
          <w:fldChar w:fldCharType="separate"/>
        </w:r>
        <w:r w:rsidR="00536048">
          <w:rPr>
            <w:webHidden/>
          </w:rPr>
          <w:t>64</w:t>
        </w:r>
        <w:r>
          <w:rPr>
            <w:webHidden/>
          </w:rPr>
          <w:fldChar w:fldCharType="end"/>
        </w:r>
      </w:hyperlink>
    </w:p>
    <w:p w14:paraId="6E29050E" w14:textId="3A94C951" w:rsidR="009570FC" w:rsidRDefault="009570F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1982282" w:history="1">
        <w:r w:rsidRPr="00D10390">
          <w:rPr>
            <w:rStyle w:val="Hyperlink"/>
          </w:rPr>
          <w:t>9.4</w:t>
        </w:r>
        <w:r>
          <w:rPr>
            <w:rFonts w:asciiTheme="minorHAnsi" w:eastAsiaTheme="minorEastAsia" w:hAnsiTheme="minorHAnsi" w:cstheme="minorBidi"/>
            <w:kern w:val="2"/>
            <w:sz w:val="24"/>
            <w:szCs w:val="24"/>
            <w:lang w:eastAsia="en-AU"/>
            <w14:ligatures w14:val="standardContextual"/>
          </w:rPr>
          <w:tab/>
        </w:r>
        <w:r w:rsidRPr="00D10390">
          <w:rPr>
            <w:rStyle w:val="Hyperlink"/>
          </w:rPr>
          <w:t>LPHUs</w:t>
        </w:r>
        <w:r>
          <w:rPr>
            <w:webHidden/>
          </w:rPr>
          <w:tab/>
        </w:r>
        <w:r>
          <w:rPr>
            <w:webHidden/>
          </w:rPr>
          <w:fldChar w:fldCharType="begin"/>
        </w:r>
        <w:r>
          <w:rPr>
            <w:webHidden/>
          </w:rPr>
          <w:instrText xml:space="preserve"> PAGEREF _Toc231982282 \h </w:instrText>
        </w:r>
        <w:r>
          <w:rPr>
            <w:webHidden/>
          </w:rPr>
        </w:r>
        <w:r>
          <w:rPr>
            <w:webHidden/>
          </w:rPr>
          <w:fldChar w:fldCharType="separate"/>
        </w:r>
        <w:r w:rsidR="00536048">
          <w:rPr>
            <w:webHidden/>
          </w:rPr>
          <w:t>64</w:t>
        </w:r>
        <w:r>
          <w:rPr>
            <w:webHidden/>
          </w:rPr>
          <w:fldChar w:fldCharType="end"/>
        </w:r>
      </w:hyperlink>
    </w:p>
    <w:p w14:paraId="36B3D59C" w14:textId="5BA1B219"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83" w:history="1">
        <w:r w:rsidRPr="00D10390">
          <w:rPr>
            <w:rStyle w:val="Hyperlink"/>
          </w:rPr>
          <w:t>10</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Health workforce training and development</w:t>
        </w:r>
        <w:r>
          <w:rPr>
            <w:webHidden/>
          </w:rPr>
          <w:tab/>
        </w:r>
        <w:r>
          <w:rPr>
            <w:webHidden/>
          </w:rPr>
          <w:fldChar w:fldCharType="begin"/>
        </w:r>
        <w:r>
          <w:rPr>
            <w:webHidden/>
          </w:rPr>
          <w:instrText xml:space="preserve"> PAGEREF _Toc231982283 \h </w:instrText>
        </w:r>
        <w:r>
          <w:rPr>
            <w:webHidden/>
          </w:rPr>
        </w:r>
        <w:r>
          <w:rPr>
            <w:webHidden/>
          </w:rPr>
          <w:fldChar w:fldCharType="separate"/>
        </w:r>
        <w:r w:rsidR="00536048">
          <w:rPr>
            <w:webHidden/>
          </w:rPr>
          <w:t>66</w:t>
        </w:r>
        <w:r>
          <w:rPr>
            <w:webHidden/>
          </w:rPr>
          <w:fldChar w:fldCharType="end"/>
        </w:r>
      </w:hyperlink>
    </w:p>
    <w:p w14:paraId="2C168E53" w14:textId="142A89DD"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284" w:history="1">
        <w:r w:rsidRPr="00D10390">
          <w:rPr>
            <w:rStyle w:val="Hyperlink"/>
          </w:rPr>
          <w:t>10.1</w:t>
        </w:r>
        <w:r>
          <w:rPr>
            <w:rFonts w:asciiTheme="minorHAnsi" w:eastAsiaTheme="minorEastAsia" w:hAnsiTheme="minorHAnsi" w:cstheme="minorBidi"/>
            <w:kern w:val="2"/>
            <w:sz w:val="24"/>
            <w:szCs w:val="24"/>
            <w:lang w:eastAsia="en-AU"/>
            <w14:ligatures w14:val="standardContextual"/>
          </w:rPr>
          <w:tab/>
        </w:r>
        <w:r w:rsidRPr="00D10390">
          <w:rPr>
            <w:rStyle w:val="Hyperlink"/>
          </w:rPr>
          <w:t>Training and development funding</w:t>
        </w:r>
        <w:r>
          <w:rPr>
            <w:webHidden/>
          </w:rPr>
          <w:tab/>
        </w:r>
        <w:r>
          <w:rPr>
            <w:webHidden/>
          </w:rPr>
          <w:fldChar w:fldCharType="begin"/>
        </w:r>
        <w:r>
          <w:rPr>
            <w:webHidden/>
          </w:rPr>
          <w:instrText xml:space="preserve"> PAGEREF _Toc231982284 \h </w:instrText>
        </w:r>
        <w:r>
          <w:rPr>
            <w:webHidden/>
          </w:rPr>
        </w:r>
        <w:r>
          <w:rPr>
            <w:webHidden/>
          </w:rPr>
          <w:fldChar w:fldCharType="separate"/>
        </w:r>
        <w:r w:rsidR="00536048">
          <w:rPr>
            <w:webHidden/>
          </w:rPr>
          <w:t>66</w:t>
        </w:r>
        <w:r>
          <w:rPr>
            <w:webHidden/>
          </w:rPr>
          <w:fldChar w:fldCharType="end"/>
        </w:r>
      </w:hyperlink>
    </w:p>
    <w:p w14:paraId="785ED905" w14:textId="4BC23BB2"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85" w:history="1">
        <w:r w:rsidRPr="00D10390">
          <w:rPr>
            <w:rStyle w:val="Hyperlink"/>
          </w:rPr>
          <w:t>11</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Capital funding programs</w:t>
        </w:r>
        <w:r>
          <w:rPr>
            <w:webHidden/>
          </w:rPr>
          <w:tab/>
        </w:r>
        <w:r>
          <w:rPr>
            <w:webHidden/>
          </w:rPr>
          <w:fldChar w:fldCharType="begin"/>
        </w:r>
        <w:r>
          <w:rPr>
            <w:webHidden/>
          </w:rPr>
          <w:instrText xml:space="preserve"> PAGEREF _Toc231982285 \h </w:instrText>
        </w:r>
        <w:r>
          <w:rPr>
            <w:webHidden/>
          </w:rPr>
        </w:r>
        <w:r>
          <w:rPr>
            <w:webHidden/>
          </w:rPr>
          <w:fldChar w:fldCharType="separate"/>
        </w:r>
        <w:r w:rsidR="00536048">
          <w:rPr>
            <w:webHidden/>
          </w:rPr>
          <w:t>68</w:t>
        </w:r>
        <w:r>
          <w:rPr>
            <w:webHidden/>
          </w:rPr>
          <w:fldChar w:fldCharType="end"/>
        </w:r>
      </w:hyperlink>
    </w:p>
    <w:p w14:paraId="69B890F8" w14:textId="1F2E88E4"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286" w:history="1">
        <w:r w:rsidRPr="00D10390">
          <w:rPr>
            <w:rStyle w:val="Hyperlink"/>
          </w:rPr>
          <w:t>11.1</w:t>
        </w:r>
        <w:r>
          <w:rPr>
            <w:rFonts w:asciiTheme="minorHAnsi" w:eastAsiaTheme="minorEastAsia" w:hAnsiTheme="minorHAnsi" w:cstheme="minorBidi"/>
            <w:kern w:val="2"/>
            <w:sz w:val="24"/>
            <w:szCs w:val="24"/>
            <w:lang w:eastAsia="en-AU"/>
            <w14:ligatures w14:val="standardContextual"/>
          </w:rPr>
          <w:tab/>
        </w:r>
        <w:r w:rsidRPr="00D10390">
          <w:rPr>
            <w:rStyle w:val="Hyperlink"/>
          </w:rPr>
          <w:t>Infrastructure Renewal Contribution Grant (IRCG)</w:t>
        </w:r>
        <w:r>
          <w:rPr>
            <w:webHidden/>
          </w:rPr>
          <w:tab/>
        </w:r>
        <w:r>
          <w:rPr>
            <w:webHidden/>
          </w:rPr>
          <w:fldChar w:fldCharType="begin"/>
        </w:r>
        <w:r>
          <w:rPr>
            <w:webHidden/>
          </w:rPr>
          <w:instrText xml:space="preserve"> PAGEREF _Toc231982286 \h </w:instrText>
        </w:r>
        <w:r>
          <w:rPr>
            <w:webHidden/>
          </w:rPr>
        </w:r>
        <w:r>
          <w:rPr>
            <w:webHidden/>
          </w:rPr>
          <w:fldChar w:fldCharType="separate"/>
        </w:r>
        <w:r w:rsidR="00536048">
          <w:rPr>
            <w:webHidden/>
          </w:rPr>
          <w:t>68</w:t>
        </w:r>
        <w:r>
          <w:rPr>
            <w:webHidden/>
          </w:rPr>
          <w:fldChar w:fldCharType="end"/>
        </w:r>
      </w:hyperlink>
    </w:p>
    <w:p w14:paraId="689E798B" w14:textId="0CD8C248" w:rsidR="009570FC" w:rsidRDefault="009570FC" w:rsidP="00C36DCB">
      <w:pPr>
        <w:pStyle w:val="TOC2"/>
        <w:tabs>
          <w:tab w:val="left" w:pos="851"/>
        </w:tabs>
        <w:ind w:left="851" w:hanging="851"/>
        <w:rPr>
          <w:rFonts w:asciiTheme="minorHAnsi" w:eastAsiaTheme="minorEastAsia" w:hAnsiTheme="minorHAnsi" w:cstheme="minorBidi"/>
          <w:kern w:val="2"/>
          <w:sz w:val="24"/>
          <w:szCs w:val="24"/>
          <w:lang w:eastAsia="en-AU"/>
          <w14:ligatures w14:val="standardContextual"/>
        </w:rPr>
      </w:pPr>
      <w:hyperlink w:anchor="_Toc231982287" w:history="1">
        <w:r w:rsidRPr="00D10390">
          <w:rPr>
            <w:rStyle w:val="Hyperlink"/>
          </w:rPr>
          <w:t>11.2</w:t>
        </w:r>
        <w:r>
          <w:rPr>
            <w:rFonts w:asciiTheme="minorHAnsi" w:eastAsiaTheme="minorEastAsia" w:hAnsiTheme="minorHAnsi" w:cstheme="minorBidi"/>
            <w:kern w:val="2"/>
            <w:sz w:val="24"/>
            <w:szCs w:val="24"/>
            <w:lang w:eastAsia="en-AU"/>
            <w14:ligatures w14:val="standardContextual"/>
          </w:rPr>
          <w:tab/>
        </w:r>
        <w:r w:rsidRPr="00D10390">
          <w:rPr>
            <w:rStyle w:val="Hyperlink"/>
          </w:rPr>
          <w:t>Regional Health Infrastructure Fund (RHIF) and Metropolitan Health Infrastructure Fund (MHIF)</w:t>
        </w:r>
        <w:r>
          <w:rPr>
            <w:webHidden/>
          </w:rPr>
          <w:tab/>
        </w:r>
        <w:r>
          <w:rPr>
            <w:webHidden/>
          </w:rPr>
          <w:fldChar w:fldCharType="begin"/>
        </w:r>
        <w:r>
          <w:rPr>
            <w:webHidden/>
          </w:rPr>
          <w:instrText xml:space="preserve"> PAGEREF _Toc231982287 \h </w:instrText>
        </w:r>
        <w:r>
          <w:rPr>
            <w:webHidden/>
          </w:rPr>
        </w:r>
        <w:r>
          <w:rPr>
            <w:webHidden/>
          </w:rPr>
          <w:fldChar w:fldCharType="separate"/>
        </w:r>
        <w:r w:rsidR="00536048">
          <w:rPr>
            <w:webHidden/>
          </w:rPr>
          <w:t>68</w:t>
        </w:r>
        <w:r>
          <w:rPr>
            <w:webHidden/>
          </w:rPr>
          <w:fldChar w:fldCharType="end"/>
        </w:r>
      </w:hyperlink>
    </w:p>
    <w:p w14:paraId="22A9C894" w14:textId="18137EA2" w:rsidR="009570FC" w:rsidRDefault="009570FC" w:rsidP="00C36DCB">
      <w:pPr>
        <w:pStyle w:val="TOC2"/>
        <w:tabs>
          <w:tab w:val="left" w:pos="851"/>
        </w:tabs>
        <w:ind w:left="851" w:hanging="851"/>
        <w:rPr>
          <w:rFonts w:asciiTheme="minorHAnsi" w:eastAsiaTheme="minorEastAsia" w:hAnsiTheme="minorHAnsi" w:cstheme="minorBidi"/>
          <w:kern w:val="2"/>
          <w:sz w:val="24"/>
          <w:szCs w:val="24"/>
          <w:lang w:eastAsia="en-AU"/>
          <w14:ligatures w14:val="standardContextual"/>
        </w:rPr>
      </w:pPr>
      <w:hyperlink w:anchor="_Toc231982288" w:history="1">
        <w:r w:rsidRPr="00D10390">
          <w:rPr>
            <w:rStyle w:val="Hyperlink"/>
          </w:rPr>
          <w:t>11.3</w:t>
        </w:r>
        <w:r>
          <w:rPr>
            <w:rFonts w:asciiTheme="minorHAnsi" w:eastAsiaTheme="minorEastAsia" w:hAnsiTheme="minorHAnsi" w:cstheme="minorBidi"/>
            <w:kern w:val="2"/>
            <w:sz w:val="24"/>
            <w:szCs w:val="24"/>
            <w:lang w:eastAsia="en-AU"/>
            <w14:ligatures w14:val="standardContextual"/>
          </w:rPr>
          <w:tab/>
        </w:r>
        <w:r w:rsidRPr="00D10390">
          <w:rPr>
            <w:rStyle w:val="Hyperlink"/>
          </w:rPr>
          <w:t>Minor Capital Renewal Program: Medical Equipment Replacement Program and Engineering Infrastructure Replacement Program</w:t>
        </w:r>
        <w:r>
          <w:rPr>
            <w:webHidden/>
          </w:rPr>
          <w:tab/>
        </w:r>
        <w:r>
          <w:rPr>
            <w:webHidden/>
          </w:rPr>
          <w:fldChar w:fldCharType="begin"/>
        </w:r>
        <w:r>
          <w:rPr>
            <w:webHidden/>
          </w:rPr>
          <w:instrText xml:space="preserve"> PAGEREF _Toc231982288 \h </w:instrText>
        </w:r>
        <w:r>
          <w:rPr>
            <w:webHidden/>
          </w:rPr>
        </w:r>
        <w:r>
          <w:rPr>
            <w:webHidden/>
          </w:rPr>
          <w:fldChar w:fldCharType="separate"/>
        </w:r>
        <w:r w:rsidR="00536048">
          <w:rPr>
            <w:webHidden/>
          </w:rPr>
          <w:t>69</w:t>
        </w:r>
        <w:r>
          <w:rPr>
            <w:webHidden/>
          </w:rPr>
          <w:fldChar w:fldCharType="end"/>
        </w:r>
      </w:hyperlink>
    </w:p>
    <w:p w14:paraId="66808BA3" w14:textId="21E8D2BC"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289" w:history="1">
        <w:r w:rsidRPr="00D10390">
          <w:rPr>
            <w:rStyle w:val="Hyperlink"/>
          </w:rPr>
          <w:t>11.4</w:t>
        </w:r>
        <w:r>
          <w:rPr>
            <w:rFonts w:asciiTheme="minorHAnsi" w:eastAsiaTheme="minorEastAsia" w:hAnsiTheme="minorHAnsi" w:cstheme="minorBidi"/>
            <w:kern w:val="2"/>
            <w:sz w:val="24"/>
            <w:szCs w:val="24"/>
            <w:lang w:eastAsia="en-AU"/>
            <w14:ligatures w14:val="standardContextual"/>
          </w:rPr>
          <w:tab/>
        </w:r>
        <w:r w:rsidRPr="00D10390">
          <w:rPr>
            <w:rStyle w:val="Hyperlink"/>
          </w:rPr>
          <w:t>Minor Capital Renewal Program: PSRACS</w:t>
        </w:r>
        <w:r>
          <w:rPr>
            <w:webHidden/>
          </w:rPr>
          <w:tab/>
        </w:r>
        <w:r>
          <w:rPr>
            <w:webHidden/>
          </w:rPr>
          <w:fldChar w:fldCharType="begin"/>
        </w:r>
        <w:r>
          <w:rPr>
            <w:webHidden/>
          </w:rPr>
          <w:instrText xml:space="preserve"> PAGEREF _Toc231982289 \h </w:instrText>
        </w:r>
        <w:r>
          <w:rPr>
            <w:webHidden/>
          </w:rPr>
        </w:r>
        <w:r>
          <w:rPr>
            <w:webHidden/>
          </w:rPr>
          <w:fldChar w:fldCharType="separate"/>
        </w:r>
        <w:r w:rsidR="00536048">
          <w:rPr>
            <w:webHidden/>
          </w:rPr>
          <w:t>70</w:t>
        </w:r>
        <w:r>
          <w:rPr>
            <w:webHidden/>
          </w:rPr>
          <w:fldChar w:fldCharType="end"/>
        </w:r>
      </w:hyperlink>
    </w:p>
    <w:p w14:paraId="6C79DD0E" w14:textId="14487A26"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290" w:history="1">
        <w:r w:rsidRPr="00D10390">
          <w:rPr>
            <w:rStyle w:val="Hyperlink"/>
          </w:rPr>
          <w:t>11.5</w:t>
        </w:r>
        <w:r>
          <w:rPr>
            <w:rFonts w:asciiTheme="minorHAnsi" w:eastAsiaTheme="minorEastAsia" w:hAnsiTheme="minorHAnsi" w:cstheme="minorBidi"/>
            <w:kern w:val="2"/>
            <w:sz w:val="24"/>
            <w:szCs w:val="24"/>
            <w:lang w:eastAsia="en-AU"/>
            <w14:ligatures w14:val="standardContextual"/>
          </w:rPr>
          <w:tab/>
        </w:r>
        <w:r w:rsidRPr="00D10390">
          <w:rPr>
            <w:rStyle w:val="Hyperlink"/>
          </w:rPr>
          <w:t>The Mental Health Capital Renewal Fund</w:t>
        </w:r>
        <w:r>
          <w:rPr>
            <w:webHidden/>
          </w:rPr>
          <w:tab/>
        </w:r>
        <w:r>
          <w:rPr>
            <w:webHidden/>
          </w:rPr>
          <w:fldChar w:fldCharType="begin"/>
        </w:r>
        <w:r>
          <w:rPr>
            <w:webHidden/>
          </w:rPr>
          <w:instrText xml:space="preserve"> PAGEREF _Toc231982290 \h </w:instrText>
        </w:r>
        <w:r>
          <w:rPr>
            <w:webHidden/>
          </w:rPr>
        </w:r>
        <w:r>
          <w:rPr>
            <w:webHidden/>
          </w:rPr>
          <w:fldChar w:fldCharType="separate"/>
        </w:r>
        <w:r w:rsidR="00536048">
          <w:rPr>
            <w:webHidden/>
          </w:rPr>
          <w:t>70</w:t>
        </w:r>
        <w:r>
          <w:rPr>
            <w:webHidden/>
          </w:rPr>
          <w:fldChar w:fldCharType="end"/>
        </w:r>
      </w:hyperlink>
    </w:p>
    <w:p w14:paraId="1A22510F" w14:textId="073EC720"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91" w:history="1">
        <w:r w:rsidRPr="00D10390">
          <w:rPr>
            <w:rStyle w:val="Hyperlink"/>
          </w:rPr>
          <w:t>12</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Health service compensable and ineligible patients</w:t>
        </w:r>
        <w:r>
          <w:rPr>
            <w:webHidden/>
          </w:rPr>
          <w:tab/>
        </w:r>
        <w:r>
          <w:rPr>
            <w:webHidden/>
          </w:rPr>
          <w:fldChar w:fldCharType="begin"/>
        </w:r>
        <w:r>
          <w:rPr>
            <w:webHidden/>
          </w:rPr>
          <w:instrText xml:space="preserve"> PAGEREF _Toc231982291 \h </w:instrText>
        </w:r>
        <w:r>
          <w:rPr>
            <w:webHidden/>
          </w:rPr>
        </w:r>
        <w:r>
          <w:rPr>
            <w:webHidden/>
          </w:rPr>
          <w:fldChar w:fldCharType="separate"/>
        </w:r>
        <w:r w:rsidR="00536048">
          <w:rPr>
            <w:webHidden/>
          </w:rPr>
          <w:t>71</w:t>
        </w:r>
        <w:r>
          <w:rPr>
            <w:webHidden/>
          </w:rPr>
          <w:fldChar w:fldCharType="end"/>
        </w:r>
      </w:hyperlink>
    </w:p>
    <w:p w14:paraId="318C6060" w14:textId="2B336F8C"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292" w:history="1">
        <w:r w:rsidRPr="00D10390">
          <w:rPr>
            <w:rStyle w:val="Hyperlink"/>
          </w:rPr>
          <w:t>12.1</w:t>
        </w:r>
        <w:r>
          <w:rPr>
            <w:rFonts w:asciiTheme="minorHAnsi" w:eastAsiaTheme="minorEastAsia" w:hAnsiTheme="minorHAnsi" w:cstheme="minorBidi"/>
            <w:kern w:val="2"/>
            <w:sz w:val="24"/>
            <w:szCs w:val="24"/>
            <w:lang w:eastAsia="en-AU"/>
            <w14:ligatures w14:val="standardContextual"/>
          </w:rPr>
          <w:tab/>
        </w:r>
        <w:r w:rsidRPr="00D10390">
          <w:rPr>
            <w:rStyle w:val="Hyperlink"/>
          </w:rPr>
          <w:t>Interstate patients</w:t>
        </w:r>
        <w:r>
          <w:rPr>
            <w:webHidden/>
          </w:rPr>
          <w:tab/>
        </w:r>
        <w:r>
          <w:rPr>
            <w:webHidden/>
          </w:rPr>
          <w:fldChar w:fldCharType="begin"/>
        </w:r>
        <w:r>
          <w:rPr>
            <w:webHidden/>
          </w:rPr>
          <w:instrText xml:space="preserve"> PAGEREF _Toc231982292 \h </w:instrText>
        </w:r>
        <w:r>
          <w:rPr>
            <w:webHidden/>
          </w:rPr>
        </w:r>
        <w:r>
          <w:rPr>
            <w:webHidden/>
          </w:rPr>
          <w:fldChar w:fldCharType="separate"/>
        </w:r>
        <w:r w:rsidR="00536048">
          <w:rPr>
            <w:webHidden/>
          </w:rPr>
          <w:t>71</w:t>
        </w:r>
        <w:r>
          <w:rPr>
            <w:webHidden/>
          </w:rPr>
          <w:fldChar w:fldCharType="end"/>
        </w:r>
      </w:hyperlink>
    </w:p>
    <w:p w14:paraId="715A17FE" w14:textId="1C3FDEEE"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293" w:history="1">
        <w:r w:rsidRPr="00D10390">
          <w:rPr>
            <w:rStyle w:val="Hyperlink"/>
          </w:rPr>
          <w:t>12.2</w:t>
        </w:r>
        <w:r>
          <w:rPr>
            <w:rFonts w:asciiTheme="minorHAnsi" w:eastAsiaTheme="minorEastAsia" w:hAnsiTheme="minorHAnsi" w:cstheme="minorBidi"/>
            <w:kern w:val="2"/>
            <w:sz w:val="24"/>
            <w:szCs w:val="24"/>
            <w:lang w:eastAsia="en-AU"/>
            <w14:ligatures w14:val="standardContextual"/>
          </w:rPr>
          <w:tab/>
        </w:r>
        <w:r w:rsidRPr="00D10390">
          <w:rPr>
            <w:rStyle w:val="Hyperlink"/>
          </w:rPr>
          <w:t>Medicare-ineligible patients and international patients</w:t>
        </w:r>
        <w:r>
          <w:rPr>
            <w:webHidden/>
          </w:rPr>
          <w:tab/>
        </w:r>
        <w:r>
          <w:rPr>
            <w:webHidden/>
          </w:rPr>
          <w:fldChar w:fldCharType="begin"/>
        </w:r>
        <w:r>
          <w:rPr>
            <w:webHidden/>
          </w:rPr>
          <w:instrText xml:space="preserve"> PAGEREF _Toc231982293 \h </w:instrText>
        </w:r>
        <w:r>
          <w:rPr>
            <w:webHidden/>
          </w:rPr>
        </w:r>
        <w:r>
          <w:rPr>
            <w:webHidden/>
          </w:rPr>
          <w:fldChar w:fldCharType="separate"/>
        </w:r>
        <w:r w:rsidR="00536048">
          <w:rPr>
            <w:webHidden/>
          </w:rPr>
          <w:t>71</w:t>
        </w:r>
        <w:r>
          <w:rPr>
            <w:webHidden/>
          </w:rPr>
          <w:fldChar w:fldCharType="end"/>
        </w:r>
      </w:hyperlink>
    </w:p>
    <w:p w14:paraId="2857524D" w14:textId="66A62864"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94" w:history="1">
        <w:r w:rsidRPr="00D10390">
          <w:rPr>
            <w:rStyle w:val="Hyperlink"/>
          </w:rPr>
          <w:t>13</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Notification obligations</w:t>
        </w:r>
        <w:r>
          <w:rPr>
            <w:webHidden/>
          </w:rPr>
          <w:tab/>
        </w:r>
        <w:r>
          <w:rPr>
            <w:webHidden/>
          </w:rPr>
          <w:fldChar w:fldCharType="begin"/>
        </w:r>
        <w:r>
          <w:rPr>
            <w:webHidden/>
          </w:rPr>
          <w:instrText xml:space="preserve"> PAGEREF _Toc231982294 \h </w:instrText>
        </w:r>
        <w:r>
          <w:rPr>
            <w:webHidden/>
          </w:rPr>
        </w:r>
        <w:r>
          <w:rPr>
            <w:webHidden/>
          </w:rPr>
          <w:fldChar w:fldCharType="separate"/>
        </w:r>
        <w:r w:rsidR="00536048">
          <w:rPr>
            <w:webHidden/>
          </w:rPr>
          <w:t>75</w:t>
        </w:r>
        <w:r>
          <w:rPr>
            <w:webHidden/>
          </w:rPr>
          <w:fldChar w:fldCharType="end"/>
        </w:r>
      </w:hyperlink>
    </w:p>
    <w:p w14:paraId="38FD2485" w14:textId="4DE3391D"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295" w:history="1">
        <w:r w:rsidRPr="00D10390">
          <w:rPr>
            <w:rStyle w:val="Hyperlink"/>
          </w:rPr>
          <w:t>13.1</w:t>
        </w:r>
        <w:r>
          <w:rPr>
            <w:rFonts w:asciiTheme="minorHAnsi" w:eastAsiaTheme="minorEastAsia" w:hAnsiTheme="minorHAnsi" w:cstheme="minorBidi"/>
            <w:kern w:val="2"/>
            <w:sz w:val="24"/>
            <w:szCs w:val="24"/>
            <w:lang w:eastAsia="en-AU"/>
            <w14:ligatures w14:val="standardContextual"/>
          </w:rPr>
          <w:tab/>
        </w:r>
        <w:r w:rsidRPr="00D10390">
          <w:rPr>
            <w:rStyle w:val="Hyperlink"/>
          </w:rPr>
          <w:t>Issues of public concern</w:t>
        </w:r>
        <w:r>
          <w:rPr>
            <w:webHidden/>
          </w:rPr>
          <w:tab/>
        </w:r>
        <w:r>
          <w:rPr>
            <w:webHidden/>
          </w:rPr>
          <w:fldChar w:fldCharType="begin"/>
        </w:r>
        <w:r>
          <w:rPr>
            <w:webHidden/>
          </w:rPr>
          <w:instrText xml:space="preserve"> PAGEREF _Toc231982295 \h </w:instrText>
        </w:r>
        <w:r>
          <w:rPr>
            <w:webHidden/>
          </w:rPr>
        </w:r>
        <w:r>
          <w:rPr>
            <w:webHidden/>
          </w:rPr>
          <w:fldChar w:fldCharType="separate"/>
        </w:r>
        <w:r w:rsidR="00536048">
          <w:rPr>
            <w:webHidden/>
          </w:rPr>
          <w:t>75</w:t>
        </w:r>
        <w:r>
          <w:rPr>
            <w:webHidden/>
          </w:rPr>
          <w:fldChar w:fldCharType="end"/>
        </w:r>
      </w:hyperlink>
    </w:p>
    <w:p w14:paraId="626EE645" w14:textId="0ED1422D"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296" w:history="1">
        <w:r w:rsidRPr="00D10390">
          <w:rPr>
            <w:rStyle w:val="Hyperlink"/>
          </w:rPr>
          <w:t>13.2</w:t>
        </w:r>
        <w:r>
          <w:rPr>
            <w:rFonts w:asciiTheme="minorHAnsi" w:eastAsiaTheme="minorEastAsia" w:hAnsiTheme="minorHAnsi" w:cstheme="minorBidi"/>
            <w:kern w:val="2"/>
            <w:sz w:val="24"/>
            <w:szCs w:val="24"/>
            <w:lang w:eastAsia="en-AU"/>
            <w14:ligatures w14:val="standardContextual"/>
          </w:rPr>
          <w:tab/>
        </w:r>
        <w:r w:rsidRPr="00D10390">
          <w:rPr>
            <w:rStyle w:val="Hyperlink"/>
          </w:rPr>
          <w:t>Changes to range or scope of activities</w:t>
        </w:r>
        <w:r>
          <w:rPr>
            <w:webHidden/>
          </w:rPr>
          <w:tab/>
        </w:r>
        <w:r>
          <w:rPr>
            <w:webHidden/>
          </w:rPr>
          <w:fldChar w:fldCharType="begin"/>
        </w:r>
        <w:r>
          <w:rPr>
            <w:webHidden/>
          </w:rPr>
          <w:instrText xml:space="preserve"> PAGEREF _Toc231982296 \h </w:instrText>
        </w:r>
        <w:r>
          <w:rPr>
            <w:webHidden/>
          </w:rPr>
        </w:r>
        <w:r>
          <w:rPr>
            <w:webHidden/>
          </w:rPr>
          <w:fldChar w:fldCharType="separate"/>
        </w:r>
        <w:r w:rsidR="00536048">
          <w:rPr>
            <w:webHidden/>
          </w:rPr>
          <w:t>75</w:t>
        </w:r>
        <w:r>
          <w:rPr>
            <w:webHidden/>
          </w:rPr>
          <w:fldChar w:fldCharType="end"/>
        </w:r>
      </w:hyperlink>
    </w:p>
    <w:p w14:paraId="5384CABE" w14:textId="55020709"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297" w:history="1">
        <w:r w:rsidRPr="00D10390">
          <w:rPr>
            <w:rStyle w:val="Hyperlink"/>
          </w:rPr>
          <w:t>13.3</w:t>
        </w:r>
        <w:r>
          <w:rPr>
            <w:rFonts w:asciiTheme="minorHAnsi" w:eastAsiaTheme="minorEastAsia" w:hAnsiTheme="minorHAnsi" w:cstheme="minorBidi"/>
            <w:kern w:val="2"/>
            <w:sz w:val="24"/>
            <w:szCs w:val="24"/>
            <w:lang w:eastAsia="en-AU"/>
            <w14:ligatures w14:val="standardContextual"/>
          </w:rPr>
          <w:tab/>
        </w:r>
        <w:r w:rsidRPr="00D10390">
          <w:rPr>
            <w:rStyle w:val="Hyperlink"/>
          </w:rPr>
          <w:t>Exceptional events</w:t>
        </w:r>
        <w:r>
          <w:rPr>
            <w:webHidden/>
          </w:rPr>
          <w:tab/>
        </w:r>
        <w:r>
          <w:rPr>
            <w:webHidden/>
          </w:rPr>
          <w:fldChar w:fldCharType="begin"/>
        </w:r>
        <w:r>
          <w:rPr>
            <w:webHidden/>
          </w:rPr>
          <w:instrText xml:space="preserve"> PAGEREF _Toc231982297 \h </w:instrText>
        </w:r>
        <w:r>
          <w:rPr>
            <w:webHidden/>
          </w:rPr>
        </w:r>
        <w:r>
          <w:rPr>
            <w:webHidden/>
          </w:rPr>
          <w:fldChar w:fldCharType="separate"/>
        </w:r>
        <w:r w:rsidR="00536048">
          <w:rPr>
            <w:webHidden/>
          </w:rPr>
          <w:t>75</w:t>
        </w:r>
        <w:r>
          <w:rPr>
            <w:webHidden/>
          </w:rPr>
          <w:fldChar w:fldCharType="end"/>
        </w:r>
      </w:hyperlink>
    </w:p>
    <w:p w14:paraId="2862C785" w14:textId="1FF5D491"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298" w:history="1">
        <w:r w:rsidRPr="00D10390">
          <w:rPr>
            <w:rStyle w:val="Hyperlink"/>
          </w:rPr>
          <w:t>13.4</w:t>
        </w:r>
        <w:r>
          <w:rPr>
            <w:rFonts w:asciiTheme="minorHAnsi" w:eastAsiaTheme="minorEastAsia" w:hAnsiTheme="minorHAnsi" w:cstheme="minorBidi"/>
            <w:kern w:val="2"/>
            <w:sz w:val="24"/>
            <w:szCs w:val="24"/>
            <w:lang w:eastAsia="en-AU"/>
            <w14:ligatures w14:val="standardContextual"/>
          </w:rPr>
          <w:tab/>
        </w:r>
        <w:r w:rsidRPr="00D10390">
          <w:rPr>
            <w:rStyle w:val="Hyperlink"/>
          </w:rPr>
          <w:t>Public health events</w:t>
        </w:r>
        <w:r>
          <w:rPr>
            <w:webHidden/>
          </w:rPr>
          <w:tab/>
        </w:r>
        <w:r>
          <w:rPr>
            <w:webHidden/>
          </w:rPr>
          <w:fldChar w:fldCharType="begin"/>
        </w:r>
        <w:r>
          <w:rPr>
            <w:webHidden/>
          </w:rPr>
          <w:instrText xml:space="preserve"> PAGEREF _Toc231982298 \h </w:instrText>
        </w:r>
        <w:r>
          <w:rPr>
            <w:webHidden/>
          </w:rPr>
        </w:r>
        <w:r>
          <w:rPr>
            <w:webHidden/>
          </w:rPr>
          <w:fldChar w:fldCharType="separate"/>
        </w:r>
        <w:r w:rsidR="00536048">
          <w:rPr>
            <w:webHidden/>
          </w:rPr>
          <w:t>76</w:t>
        </w:r>
        <w:r>
          <w:rPr>
            <w:webHidden/>
          </w:rPr>
          <w:fldChar w:fldCharType="end"/>
        </w:r>
      </w:hyperlink>
    </w:p>
    <w:p w14:paraId="708D13C1" w14:textId="6C9016E0"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299" w:history="1">
        <w:r w:rsidRPr="00D10390">
          <w:rPr>
            <w:rStyle w:val="Hyperlink"/>
          </w:rPr>
          <w:t>14</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Standards</w:t>
        </w:r>
        <w:r>
          <w:rPr>
            <w:webHidden/>
          </w:rPr>
          <w:tab/>
        </w:r>
        <w:r>
          <w:rPr>
            <w:webHidden/>
          </w:rPr>
          <w:fldChar w:fldCharType="begin"/>
        </w:r>
        <w:r>
          <w:rPr>
            <w:webHidden/>
          </w:rPr>
          <w:instrText xml:space="preserve"> PAGEREF _Toc231982299 \h </w:instrText>
        </w:r>
        <w:r>
          <w:rPr>
            <w:webHidden/>
          </w:rPr>
        </w:r>
        <w:r>
          <w:rPr>
            <w:webHidden/>
          </w:rPr>
          <w:fldChar w:fldCharType="separate"/>
        </w:r>
        <w:r w:rsidR="00536048">
          <w:rPr>
            <w:webHidden/>
          </w:rPr>
          <w:t>77</w:t>
        </w:r>
        <w:r>
          <w:rPr>
            <w:webHidden/>
          </w:rPr>
          <w:fldChar w:fldCharType="end"/>
        </w:r>
      </w:hyperlink>
    </w:p>
    <w:p w14:paraId="6F3BB62A" w14:textId="4DC1CEAE"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00" w:history="1">
        <w:r w:rsidRPr="00D10390">
          <w:rPr>
            <w:rStyle w:val="Hyperlink"/>
          </w:rPr>
          <w:t>14.1</w:t>
        </w:r>
        <w:r>
          <w:rPr>
            <w:rFonts w:asciiTheme="minorHAnsi" w:eastAsiaTheme="minorEastAsia" w:hAnsiTheme="minorHAnsi" w:cstheme="minorBidi"/>
            <w:kern w:val="2"/>
            <w:sz w:val="24"/>
            <w:szCs w:val="24"/>
            <w:lang w:eastAsia="en-AU"/>
            <w14:ligatures w14:val="standardContextual"/>
          </w:rPr>
          <w:tab/>
        </w:r>
        <w:r w:rsidRPr="00D10390">
          <w:rPr>
            <w:rStyle w:val="Hyperlink"/>
          </w:rPr>
          <w:t>Public sector values and employment principles</w:t>
        </w:r>
        <w:r>
          <w:rPr>
            <w:webHidden/>
          </w:rPr>
          <w:tab/>
        </w:r>
        <w:r>
          <w:rPr>
            <w:webHidden/>
          </w:rPr>
          <w:fldChar w:fldCharType="begin"/>
        </w:r>
        <w:r>
          <w:rPr>
            <w:webHidden/>
          </w:rPr>
          <w:instrText xml:space="preserve"> PAGEREF _Toc231982300 \h </w:instrText>
        </w:r>
        <w:r>
          <w:rPr>
            <w:webHidden/>
          </w:rPr>
        </w:r>
        <w:r>
          <w:rPr>
            <w:webHidden/>
          </w:rPr>
          <w:fldChar w:fldCharType="separate"/>
        </w:r>
        <w:r w:rsidR="00536048">
          <w:rPr>
            <w:webHidden/>
          </w:rPr>
          <w:t>77</w:t>
        </w:r>
        <w:r>
          <w:rPr>
            <w:webHidden/>
          </w:rPr>
          <w:fldChar w:fldCharType="end"/>
        </w:r>
      </w:hyperlink>
    </w:p>
    <w:p w14:paraId="60C86E8E" w14:textId="662A51A3"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01" w:history="1">
        <w:r w:rsidRPr="00D10390">
          <w:rPr>
            <w:rStyle w:val="Hyperlink"/>
          </w:rPr>
          <w:t>15</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Safety</w:t>
        </w:r>
        <w:r>
          <w:rPr>
            <w:webHidden/>
          </w:rPr>
          <w:tab/>
        </w:r>
        <w:r>
          <w:rPr>
            <w:webHidden/>
          </w:rPr>
          <w:fldChar w:fldCharType="begin"/>
        </w:r>
        <w:r>
          <w:rPr>
            <w:webHidden/>
          </w:rPr>
          <w:instrText xml:space="preserve"> PAGEREF _Toc231982301 \h </w:instrText>
        </w:r>
        <w:r>
          <w:rPr>
            <w:webHidden/>
          </w:rPr>
        </w:r>
        <w:r>
          <w:rPr>
            <w:webHidden/>
          </w:rPr>
          <w:fldChar w:fldCharType="separate"/>
        </w:r>
        <w:r w:rsidR="00536048">
          <w:rPr>
            <w:webHidden/>
          </w:rPr>
          <w:t>78</w:t>
        </w:r>
        <w:r>
          <w:rPr>
            <w:webHidden/>
          </w:rPr>
          <w:fldChar w:fldCharType="end"/>
        </w:r>
      </w:hyperlink>
    </w:p>
    <w:p w14:paraId="04461CD3" w14:textId="7B1D2E65"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02" w:history="1">
        <w:r w:rsidRPr="00D10390">
          <w:rPr>
            <w:rStyle w:val="Hyperlink"/>
          </w:rPr>
          <w:t>15.1</w:t>
        </w:r>
        <w:r>
          <w:rPr>
            <w:rFonts w:asciiTheme="minorHAnsi" w:eastAsiaTheme="minorEastAsia" w:hAnsiTheme="minorHAnsi" w:cstheme="minorBidi"/>
            <w:kern w:val="2"/>
            <w:sz w:val="24"/>
            <w:szCs w:val="24"/>
            <w:lang w:eastAsia="en-AU"/>
            <w14:ligatures w14:val="standardContextual"/>
          </w:rPr>
          <w:tab/>
        </w:r>
        <w:r w:rsidRPr="00D10390">
          <w:rPr>
            <w:rStyle w:val="Hyperlink"/>
          </w:rPr>
          <w:t>Pre-employment safety screening</w:t>
        </w:r>
        <w:r>
          <w:rPr>
            <w:webHidden/>
          </w:rPr>
          <w:tab/>
        </w:r>
        <w:r>
          <w:rPr>
            <w:webHidden/>
          </w:rPr>
          <w:fldChar w:fldCharType="begin"/>
        </w:r>
        <w:r>
          <w:rPr>
            <w:webHidden/>
          </w:rPr>
          <w:instrText xml:space="preserve"> PAGEREF _Toc231982302 \h </w:instrText>
        </w:r>
        <w:r>
          <w:rPr>
            <w:webHidden/>
          </w:rPr>
        </w:r>
        <w:r>
          <w:rPr>
            <w:webHidden/>
          </w:rPr>
          <w:fldChar w:fldCharType="separate"/>
        </w:r>
        <w:r w:rsidR="00536048">
          <w:rPr>
            <w:webHidden/>
          </w:rPr>
          <w:t>78</w:t>
        </w:r>
        <w:r>
          <w:rPr>
            <w:webHidden/>
          </w:rPr>
          <w:fldChar w:fldCharType="end"/>
        </w:r>
      </w:hyperlink>
    </w:p>
    <w:p w14:paraId="10CC78F6" w14:textId="5A504E90"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03" w:history="1">
        <w:r w:rsidRPr="00D10390">
          <w:rPr>
            <w:rStyle w:val="Hyperlink"/>
          </w:rPr>
          <w:t>15.2</w:t>
        </w:r>
        <w:r>
          <w:rPr>
            <w:rFonts w:asciiTheme="minorHAnsi" w:eastAsiaTheme="minorEastAsia" w:hAnsiTheme="minorHAnsi" w:cstheme="minorBidi"/>
            <w:kern w:val="2"/>
            <w:sz w:val="24"/>
            <w:szCs w:val="24"/>
            <w:lang w:eastAsia="en-AU"/>
            <w14:ligatures w14:val="standardContextual"/>
          </w:rPr>
          <w:tab/>
        </w:r>
        <w:r w:rsidRPr="00D10390">
          <w:rPr>
            <w:rStyle w:val="Hyperlink"/>
          </w:rPr>
          <w:t>Staff safety and wellbeing in Victorian health services</w:t>
        </w:r>
        <w:r>
          <w:rPr>
            <w:webHidden/>
          </w:rPr>
          <w:tab/>
        </w:r>
        <w:r>
          <w:rPr>
            <w:webHidden/>
          </w:rPr>
          <w:fldChar w:fldCharType="begin"/>
        </w:r>
        <w:r>
          <w:rPr>
            <w:webHidden/>
          </w:rPr>
          <w:instrText xml:space="preserve"> PAGEREF _Toc231982303 \h </w:instrText>
        </w:r>
        <w:r>
          <w:rPr>
            <w:webHidden/>
          </w:rPr>
        </w:r>
        <w:r>
          <w:rPr>
            <w:webHidden/>
          </w:rPr>
          <w:fldChar w:fldCharType="separate"/>
        </w:r>
        <w:r w:rsidR="00536048">
          <w:rPr>
            <w:webHidden/>
          </w:rPr>
          <w:t>78</w:t>
        </w:r>
        <w:r>
          <w:rPr>
            <w:webHidden/>
          </w:rPr>
          <w:fldChar w:fldCharType="end"/>
        </w:r>
      </w:hyperlink>
    </w:p>
    <w:p w14:paraId="0F493296" w14:textId="186936BA"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04" w:history="1">
        <w:r w:rsidRPr="00D10390">
          <w:rPr>
            <w:rStyle w:val="Hyperlink"/>
          </w:rPr>
          <w:t>15.3</w:t>
        </w:r>
        <w:r>
          <w:rPr>
            <w:rFonts w:asciiTheme="minorHAnsi" w:eastAsiaTheme="minorEastAsia" w:hAnsiTheme="minorHAnsi" w:cstheme="minorBidi"/>
            <w:kern w:val="2"/>
            <w:sz w:val="24"/>
            <w:szCs w:val="24"/>
            <w:lang w:eastAsia="en-AU"/>
            <w14:ligatures w14:val="standardContextual"/>
          </w:rPr>
          <w:tab/>
        </w:r>
        <w:r w:rsidRPr="00D10390">
          <w:rPr>
            <w:rStyle w:val="Hyperlink"/>
          </w:rPr>
          <w:t>Child safety</w:t>
        </w:r>
        <w:r>
          <w:rPr>
            <w:webHidden/>
          </w:rPr>
          <w:tab/>
        </w:r>
        <w:r>
          <w:rPr>
            <w:webHidden/>
          </w:rPr>
          <w:fldChar w:fldCharType="begin"/>
        </w:r>
        <w:r>
          <w:rPr>
            <w:webHidden/>
          </w:rPr>
          <w:instrText xml:space="preserve"> PAGEREF _Toc231982304 \h </w:instrText>
        </w:r>
        <w:r>
          <w:rPr>
            <w:webHidden/>
          </w:rPr>
        </w:r>
        <w:r>
          <w:rPr>
            <w:webHidden/>
          </w:rPr>
          <w:fldChar w:fldCharType="separate"/>
        </w:r>
        <w:r w:rsidR="00536048">
          <w:rPr>
            <w:webHidden/>
          </w:rPr>
          <w:t>79</w:t>
        </w:r>
        <w:r>
          <w:rPr>
            <w:webHidden/>
          </w:rPr>
          <w:fldChar w:fldCharType="end"/>
        </w:r>
      </w:hyperlink>
    </w:p>
    <w:p w14:paraId="06266755" w14:textId="733FF216"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05" w:history="1">
        <w:r w:rsidRPr="00D10390">
          <w:rPr>
            <w:rStyle w:val="Hyperlink"/>
          </w:rPr>
          <w:t>15.4</w:t>
        </w:r>
        <w:r>
          <w:rPr>
            <w:rFonts w:asciiTheme="minorHAnsi" w:eastAsiaTheme="minorEastAsia" w:hAnsiTheme="minorHAnsi" w:cstheme="minorBidi"/>
            <w:kern w:val="2"/>
            <w:sz w:val="24"/>
            <w:szCs w:val="24"/>
            <w:lang w:eastAsia="en-AU"/>
            <w14:ligatures w14:val="standardContextual"/>
          </w:rPr>
          <w:tab/>
        </w:r>
        <w:r w:rsidRPr="00D10390">
          <w:rPr>
            <w:rStyle w:val="Hyperlink"/>
          </w:rPr>
          <w:t>Patient and client safety</w:t>
        </w:r>
        <w:r>
          <w:rPr>
            <w:webHidden/>
          </w:rPr>
          <w:tab/>
        </w:r>
        <w:r>
          <w:rPr>
            <w:webHidden/>
          </w:rPr>
          <w:fldChar w:fldCharType="begin"/>
        </w:r>
        <w:r>
          <w:rPr>
            <w:webHidden/>
          </w:rPr>
          <w:instrText xml:space="preserve"> PAGEREF _Toc231982305 \h </w:instrText>
        </w:r>
        <w:r>
          <w:rPr>
            <w:webHidden/>
          </w:rPr>
        </w:r>
        <w:r>
          <w:rPr>
            <w:webHidden/>
          </w:rPr>
          <w:fldChar w:fldCharType="separate"/>
        </w:r>
        <w:r w:rsidR="00536048">
          <w:rPr>
            <w:webHidden/>
          </w:rPr>
          <w:t>80</w:t>
        </w:r>
        <w:r>
          <w:rPr>
            <w:webHidden/>
          </w:rPr>
          <w:fldChar w:fldCharType="end"/>
        </w:r>
      </w:hyperlink>
    </w:p>
    <w:p w14:paraId="0A56DC42" w14:textId="75B3F88A"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06" w:history="1">
        <w:r w:rsidRPr="00D10390">
          <w:rPr>
            <w:rStyle w:val="Hyperlink"/>
          </w:rPr>
          <w:t>16</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Meeting the needs of all Victorians</w:t>
        </w:r>
        <w:r>
          <w:rPr>
            <w:webHidden/>
          </w:rPr>
          <w:tab/>
        </w:r>
        <w:r>
          <w:rPr>
            <w:webHidden/>
          </w:rPr>
          <w:fldChar w:fldCharType="begin"/>
        </w:r>
        <w:r>
          <w:rPr>
            <w:webHidden/>
          </w:rPr>
          <w:instrText xml:space="preserve"> PAGEREF _Toc231982306 \h </w:instrText>
        </w:r>
        <w:r>
          <w:rPr>
            <w:webHidden/>
          </w:rPr>
        </w:r>
        <w:r>
          <w:rPr>
            <w:webHidden/>
          </w:rPr>
          <w:fldChar w:fldCharType="separate"/>
        </w:r>
        <w:r w:rsidR="00536048">
          <w:rPr>
            <w:webHidden/>
          </w:rPr>
          <w:t>82</w:t>
        </w:r>
        <w:r>
          <w:rPr>
            <w:webHidden/>
          </w:rPr>
          <w:fldChar w:fldCharType="end"/>
        </w:r>
      </w:hyperlink>
    </w:p>
    <w:p w14:paraId="414C822E" w14:textId="22B89312"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07" w:history="1">
        <w:r w:rsidRPr="00D10390">
          <w:rPr>
            <w:rStyle w:val="Hyperlink"/>
          </w:rPr>
          <w:t>16.1</w:t>
        </w:r>
        <w:r>
          <w:rPr>
            <w:rFonts w:asciiTheme="minorHAnsi" w:eastAsiaTheme="minorEastAsia" w:hAnsiTheme="minorHAnsi" w:cstheme="minorBidi"/>
            <w:kern w:val="2"/>
            <w:sz w:val="24"/>
            <w:szCs w:val="24"/>
            <w:lang w:eastAsia="en-AU"/>
            <w14:ligatures w14:val="standardContextual"/>
          </w:rPr>
          <w:tab/>
        </w:r>
        <w:r w:rsidRPr="00D10390">
          <w:rPr>
            <w:rStyle w:val="Hyperlink"/>
          </w:rPr>
          <w:t>Improving health and wellbeing outcomes of Aboriginal people living in Victoria</w:t>
        </w:r>
        <w:r>
          <w:rPr>
            <w:webHidden/>
          </w:rPr>
          <w:tab/>
        </w:r>
        <w:r>
          <w:rPr>
            <w:webHidden/>
          </w:rPr>
          <w:fldChar w:fldCharType="begin"/>
        </w:r>
        <w:r>
          <w:rPr>
            <w:webHidden/>
          </w:rPr>
          <w:instrText xml:space="preserve"> PAGEREF _Toc231982307 \h </w:instrText>
        </w:r>
        <w:r>
          <w:rPr>
            <w:webHidden/>
          </w:rPr>
        </w:r>
        <w:r>
          <w:rPr>
            <w:webHidden/>
          </w:rPr>
          <w:fldChar w:fldCharType="separate"/>
        </w:r>
        <w:r w:rsidR="00536048">
          <w:rPr>
            <w:webHidden/>
          </w:rPr>
          <w:t>83</w:t>
        </w:r>
        <w:r>
          <w:rPr>
            <w:webHidden/>
          </w:rPr>
          <w:fldChar w:fldCharType="end"/>
        </w:r>
      </w:hyperlink>
    </w:p>
    <w:p w14:paraId="2F2AED03" w14:textId="660D87AE"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08" w:history="1">
        <w:r w:rsidRPr="00D10390">
          <w:rPr>
            <w:rStyle w:val="Hyperlink"/>
          </w:rPr>
          <w:t>16.2</w:t>
        </w:r>
        <w:r>
          <w:rPr>
            <w:rFonts w:asciiTheme="minorHAnsi" w:eastAsiaTheme="minorEastAsia" w:hAnsiTheme="minorHAnsi" w:cstheme="minorBidi"/>
            <w:kern w:val="2"/>
            <w:sz w:val="24"/>
            <w:szCs w:val="24"/>
            <w:lang w:eastAsia="en-AU"/>
            <w14:ligatures w14:val="standardContextual"/>
          </w:rPr>
          <w:tab/>
        </w:r>
        <w:r w:rsidRPr="00D10390">
          <w:rPr>
            <w:rStyle w:val="Hyperlink"/>
          </w:rPr>
          <w:t>Culturally safe services for Aboriginal people living in Victoria</w:t>
        </w:r>
        <w:r>
          <w:rPr>
            <w:webHidden/>
          </w:rPr>
          <w:tab/>
        </w:r>
        <w:r>
          <w:rPr>
            <w:webHidden/>
          </w:rPr>
          <w:fldChar w:fldCharType="begin"/>
        </w:r>
        <w:r>
          <w:rPr>
            <w:webHidden/>
          </w:rPr>
          <w:instrText xml:space="preserve"> PAGEREF _Toc231982308 \h </w:instrText>
        </w:r>
        <w:r>
          <w:rPr>
            <w:webHidden/>
          </w:rPr>
        </w:r>
        <w:r>
          <w:rPr>
            <w:webHidden/>
          </w:rPr>
          <w:fldChar w:fldCharType="separate"/>
        </w:r>
        <w:r w:rsidR="00536048">
          <w:rPr>
            <w:webHidden/>
          </w:rPr>
          <w:t>84</w:t>
        </w:r>
        <w:r>
          <w:rPr>
            <w:webHidden/>
          </w:rPr>
          <w:fldChar w:fldCharType="end"/>
        </w:r>
      </w:hyperlink>
    </w:p>
    <w:p w14:paraId="1CD35ED0" w14:textId="789CCB5B"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09" w:history="1">
        <w:r w:rsidRPr="00D10390">
          <w:rPr>
            <w:rStyle w:val="Hyperlink"/>
          </w:rPr>
          <w:t>16.3</w:t>
        </w:r>
        <w:r>
          <w:rPr>
            <w:rFonts w:asciiTheme="minorHAnsi" w:eastAsiaTheme="minorEastAsia" w:hAnsiTheme="minorHAnsi" w:cstheme="minorBidi"/>
            <w:kern w:val="2"/>
            <w:sz w:val="24"/>
            <w:szCs w:val="24"/>
            <w:lang w:eastAsia="en-AU"/>
            <w14:ligatures w14:val="standardContextual"/>
          </w:rPr>
          <w:tab/>
        </w:r>
        <w:r w:rsidRPr="00D10390">
          <w:rPr>
            <w:rStyle w:val="Hyperlink"/>
          </w:rPr>
          <w:t>Inclusive and accessible healthcare for LGBTIQA+ communities</w:t>
        </w:r>
        <w:r>
          <w:rPr>
            <w:webHidden/>
          </w:rPr>
          <w:tab/>
        </w:r>
        <w:r>
          <w:rPr>
            <w:webHidden/>
          </w:rPr>
          <w:fldChar w:fldCharType="begin"/>
        </w:r>
        <w:r>
          <w:rPr>
            <w:webHidden/>
          </w:rPr>
          <w:instrText xml:space="preserve"> PAGEREF _Toc231982309 \h </w:instrText>
        </w:r>
        <w:r>
          <w:rPr>
            <w:webHidden/>
          </w:rPr>
        </w:r>
        <w:r>
          <w:rPr>
            <w:webHidden/>
          </w:rPr>
          <w:fldChar w:fldCharType="separate"/>
        </w:r>
        <w:r w:rsidR="00536048">
          <w:rPr>
            <w:webHidden/>
          </w:rPr>
          <w:t>86</w:t>
        </w:r>
        <w:r>
          <w:rPr>
            <w:webHidden/>
          </w:rPr>
          <w:fldChar w:fldCharType="end"/>
        </w:r>
      </w:hyperlink>
    </w:p>
    <w:p w14:paraId="73E9196A" w14:textId="30968409"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10" w:history="1">
        <w:r w:rsidRPr="00D10390">
          <w:rPr>
            <w:rStyle w:val="Hyperlink"/>
          </w:rPr>
          <w:t>16.4</w:t>
        </w:r>
        <w:r>
          <w:rPr>
            <w:rFonts w:asciiTheme="minorHAnsi" w:eastAsiaTheme="minorEastAsia" w:hAnsiTheme="minorHAnsi" w:cstheme="minorBidi"/>
            <w:kern w:val="2"/>
            <w:sz w:val="24"/>
            <w:szCs w:val="24"/>
            <w:lang w:eastAsia="en-AU"/>
            <w14:ligatures w14:val="standardContextual"/>
          </w:rPr>
          <w:tab/>
        </w:r>
        <w:r w:rsidRPr="00D10390">
          <w:rPr>
            <w:rStyle w:val="Hyperlink"/>
          </w:rPr>
          <w:t>Supporting health access and outcomes for people with disability</w:t>
        </w:r>
        <w:r>
          <w:rPr>
            <w:webHidden/>
          </w:rPr>
          <w:tab/>
        </w:r>
        <w:r>
          <w:rPr>
            <w:webHidden/>
          </w:rPr>
          <w:fldChar w:fldCharType="begin"/>
        </w:r>
        <w:r>
          <w:rPr>
            <w:webHidden/>
          </w:rPr>
          <w:instrText xml:space="preserve"> PAGEREF _Toc231982310 \h </w:instrText>
        </w:r>
        <w:r>
          <w:rPr>
            <w:webHidden/>
          </w:rPr>
        </w:r>
        <w:r>
          <w:rPr>
            <w:webHidden/>
          </w:rPr>
          <w:fldChar w:fldCharType="separate"/>
        </w:r>
        <w:r w:rsidR="00536048">
          <w:rPr>
            <w:webHidden/>
          </w:rPr>
          <w:t>89</w:t>
        </w:r>
        <w:r>
          <w:rPr>
            <w:webHidden/>
          </w:rPr>
          <w:fldChar w:fldCharType="end"/>
        </w:r>
      </w:hyperlink>
    </w:p>
    <w:p w14:paraId="5080FF21" w14:textId="406F012D"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11" w:history="1">
        <w:r w:rsidRPr="00D10390">
          <w:rPr>
            <w:rStyle w:val="Hyperlink"/>
          </w:rPr>
          <w:t>16.5</w:t>
        </w:r>
        <w:r>
          <w:rPr>
            <w:rFonts w:asciiTheme="minorHAnsi" w:eastAsiaTheme="minorEastAsia" w:hAnsiTheme="minorHAnsi" w:cstheme="minorBidi"/>
            <w:kern w:val="2"/>
            <w:sz w:val="24"/>
            <w:szCs w:val="24"/>
            <w:lang w:eastAsia="en-AU"/>
            <w14:ligatures w14:val="standardContextual"/>
          </w:rPr>
          <w:tab/>
        </w:r>
        <w:r w:rsidRPr="00D10390">
          <w:rPr>
            <w:rStyle w:val="Hyperlink"/>
          </w:rPr>
          <w:t>Identifying and managing vulnerable children</w:t>
        </w:r>
        <w:r>
          <w:rPr>
            <w:webHidden/>
          </w:rPr>
          <w:tab/>
        </w:r>
        <w:r>
          <w:rPr>
            <w:webHidden/>
          </w:rPr>
          <w:fldChar w:fldCharType="begin"/>
        </w:r>
        <w:r>
          <w:rPr>
            <w:webHidden/>
          </w:rPr>
          <w:instrText xml:space="preserve"> PAGEREF _Toc231982311 \h </w:instrText>
        </w:r>
        <w:r>
          <w:rPr>
            <w:webHidden/>
          </w:rPr>
        </w:r>
        <w:r>
          <w:rPr>
            <w:webHidden/>
          </w:rPr>
          <w:fldChar w:fldCharType="separate"/>
        </w:r>
        <w:r w:rsidR="00536048">
          <w:rPr>
            <w:webHidden/>
          </w:rPr>
          <w:t>89</w:t>
        </w:r>
        <w:r>
          <w:rPr>
            <w:webHidden/>
          </w:rPr>
          <w:fldChar w:fldCharType="end"/>
        </w:r>
      </w:hyperlink>
    </w:p>
    <w:p w14:paraId="7FC86622" w14:textId="5E85C7EF"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12" w:history="1">
        <w:r w:rsidRPr="00D10390">
          <w:rPr>
            <w:rStyle w:val="Hyperlink"/>
          </w:rPr>
          <w:t>16.6</w:t>
        </w:r>
        <w:r>
          <w:rPr>
            <w:rFonts w:asciiTheme="minorHAnsi" w:eastAsiaTheme="minorEastAsia" w:hAnsiTheme="minorHAnsi" w:cstheme="minorBidi"/>
            <w:kern w:val="2"/>
            <w:sz w:val="24"/>
            <w:szCs w:val="24"/>
            <w:lang w:eastAsia="en-AU"/>
            <w14:ligatures w14:val="standardContextual"/>
          </w:rPr>
          <w:tab/>
        </w:r>
        <w:r w:rsidRPr="00D10390">
          <w:rPr>
            <w:rStyle w:val="Hyperlink"/>
          </w:rPr>
          <w:t>Inclusive and culturally responsive healthcare for multicultural communities</w:t>
        </w:r>
        <w:r>
          <w:rPr>
            <w:webHidden/>
          </w:rPr>
          <w:tab/>
        </w:r>
        <w:r>
          <w:rPr>
            <w:webHidden/>
          </w:rPr>
          <w:fldChar w:fldCharType="begin"/>
        </w:r>
        <w:r>
          <w:rPr>
            <w:webHidden/>
          </w:rPr>
          <w:instrText xml:space="preserve"> PAGEREF _Toc231982312 \h </w:instrText>
        </w:r>
        <w:r>
          <w:rPr>
            <w:webHidden/>
          </w:rPr>
        </w:r>
        <w:r>
          <w:rPr>
            <w:webHidden/>
          </w:rPr>
          <w:fldChar w:fldCharType="separate"/>
        </w:r>
        <w:r w:rsidR="00536048">
          <w:rPr>
            <w:webHidden/>
          </w:rPr>
          <w:t>90</w:t>
        </w:r>
        <w:r>
          <w:rPr>
            <w:webHidden/>
          </w:rPr>
          <w:fldChar w:fldCharType="end"/>
        </w:r>
      </w:hyperlink>
    </w:p>
    <w:p w14:paraId="46031BB0" w14:textId="25D21BFA"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13" w:history="1">
        <w:r w:rsidRPr="00D10390">
          <w:rPr>
            <w:rStyle w:val="Hyperlink"/>
          </w:rPr>
          <w:t>16.7</w:t>
        </w:r>
        <w:r>
          <w:rPr>
            <w:rFonts w:asciiTheme="minorHAnsi" w:eastAsiaTheme="minorEastAsia" w:hAnsiTheme="minorHAnsi" w:cstheme="minorBidi"/>
            <w:kern w:val="2"/>
            <w:sz w:val="24"/>
            <w:szCs w:val="24"/>
            <w:lang w:eastAsia="en-AU"/>
            <w14:ligatures w14:val="standardContextual"/>
          </w:rPr>
          <w:tab/>
        </w:r>
        <w:r w:rsidRPr="00D10390">
          <w:rPr>
            <w:rStyle w:val="Hyperlink"/>
          </w:rPr>
          <w:t>Accessible and equitable health services for women</w:t>
        </w:r>
        <w:r>
          <w:rPr>
            <w:webHidden/>
          </w:rPr>
          <w:tab/>
        </w:r>
        <w:r>
          <w:rPr>
            <w:webHidden/>
          </w:rPr>
          <w:fldChar w:fldCharType="begin"/>
        </w:r>
        <w:r>
          <w:rPr>
            <w:webHidden/>
          </w:rPr>
          <w:instrText xml:space="preserve"> PAGEREF _Toc231982313 \h </w:instrText>
        </w:r>
        <w:r>
          <w:rPr>
            <w:webHidden/>
          </w:rPr>
        </w:r>
        <w:r>
          <w:rPr>
            <w:webHidden/>
          </w:rPr>
          <w:fldChar w:fldCharType="separate"/>
        </w:r>
        <w:r w:rsidR="00536048">
          <w:rPr>
            <w:webHidden/>
          </w:rPr>
          <w:t>93</w:t>
        </w:r>
        <w:r>
          <w:rPr>
            <w:webHidden/>
          </w:rPr>
          <w:fldChar w:fldCharType="end"/>
        </w:r>
      </w:hyperlink>
    </w:p>
    <w:p w14:paraId="004A1A2A" w14:textId="06DC4CD1"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14" w:history="1">
        <w:r w:rsidRPr="00D10390">
          <w:rPr>
            <w:rStyle w:val="Hyperlink"/>
          </w:rPr>
          <w:t>17</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Service capability frameworks</w:t>
        </w:r>
        <w:r>
          <w:rPr>
            <w:webHidden/>
          </w:rPr>
          <w:tab/>
        </w:r>
        <w:r>
          <w:rPr>
            <w:webHidden/>
          </w:rPr>
          <w:fldChar w:fldCharType="begin"/>
        </w:r>
        <w:r>
          <w:rPr>
            <w:webHidden/>
          </w:rPr>
          <w:instrText xml:space="preserve"> PAGEREF _Toc231982314 \h </w:instrText>
        </w:r>
        <w:r>
          <w:rPr>
            <w:webHidden/>
          </w:rPr>
        </w:r>
        <w:r>
          <w:rPr>
            <w:webHidden/>
          </w:rPr>
          <w:fldChar w:fldCharType="separate"/>
        </w:r>
        <w:r w:rsidR="00536048">
          <w:rPr>
            <w:webHidden/>
          </w:rPr>
          <w:t>95</w:t>
        </w:r>
        <w:r>
          <w:rPr>
            <w:webHidden/>
          </w:rPr>
          <w:fldChar w:fldCharType="end"/>
        </w:r>
      </w:hyperlink>
    </w:p>
    <w:p w14:paraId="35DA6DF6" w14:textId="7601AD43"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15" w:history="1">
        <w:r w:rsidRPr="00D10390">
          <w:rPr>
            <w:rStyle w:val="Hyperlink"/>
          </w:rPr>
          <w:t>17.1</w:t>
        </w:r>
        <w:r>
          <w:rPr>
            <w:rFonts w:asciiTheme="minorHAnsi" w:eastAsiaTheme="minorEastAsia" w:hAnsiTheme="minorHAnsi" w:cstheme="minorBidi"/>
            <w:kern w:val="2"/>
            <w:sz w:val="24"/>
            <w:szCs w:val="24"/>
            <w:lang w:eastAsia="en-AU"/>
            <w14:ligatures w14:val="standardContextual"/>
          </w:rPr>
          <w:tab/>
        </w:r>
        <w:r w:rsidRPr="00D10390">
          <w:rPr>
            <w:rStyle w:val="Hyperlink"/>
          </w:rPr>
          <w:t>Service capability frameworks and levels</w:t>
        </w:r>
        <w:r>
          <w:rPr>
            <w:webHidden/>
          </w:rPr>
          <w:tab/>
        </w:r>
        <w:r>
          <w:rPr>
            <w:webHidden/>
          </w:rPr>
          <w:fldChar w:fldCharType="begin"/>
        </w:r>
        <w:r>
          <w:rPr>
            <w:webHidden/>
          </w:rPr>
          <w:instrText xml:space="preserve"> PAGEREF _Toc231982315 \h </w:instrText>
        </w:r>
        <w:r>
          <w:rPr>
            <w:webHidden/>
          </w:rPr>
        </w:r>
        <w:r>
          <w:rPr>
            <w:webHidden/>
          </w:rPr>
          <w:fldChar w:fldCharType="separate"/>
        </w:r>
        <w:r w:rsidR="00536048">
          <w:rPr>
            <w:webHidden/>
          </w:rPr>
          <w:t>95</w:t>
        </w:r>
        <w:r>
          <w:rPr>
            <w:webHidden/>
          </w:rPr>
          <w:fldChar w:fldCharType="end"/>
        </w:r>
      </w:hyperlink>
    </w:p>
    <w:p w14:paraId="17B952C2" w14:textId="614BC2AB"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16" w:history="1">
        <w:r w:rsidRPr="00D10390">
          <w:rPr>
            <w:rStyle w:val="Hyperlink"/>
          </w:rPr>
          <w:t>17.2</w:t>
        </w:r>
        <w:r>
          <w:rPr>
            <w:rFonts w:asciiTheme="minorHAnsi" w:eastAsiaTheme="minorEastAsia" w:hAnsiTheme="minorHAnsi" w:cstheme="minorBidi"/>
            <w:kern w:val="2"/>
            <w:sz w:val="24"/>
            <w:szCs w:val="24"/>
            <w:lang w:eastAsia="en-AU"/>
            <w14:ligatures w14:val="standardContextual"/>
          </w:rPr>
          <w:tab/>
        </w:r>
        <w:r w:rsidRPr="00D10390">
          <w:rPr>
            <w:rStyle w:val="Hyperlink"/>
          </w:rPr>
          <w:t>Future service capability frameworks</w:t>
        </w:r>
        <w:r>
          <w:rPr>
            <w:webHidden/>
          </w:rPr>
          <w:tab/>
        </w:r>
        <w:r>
          <w:rPr>
            <w:webHidden/>
          </w:rPr>
          <w:fldChar w:fldCharType="begin"/>
        </w:r>
        <w:r>
          <w:rPr>
            <w:webHidden/>
          </w:rPr>
          <w:instrText xml:space="preserve"> PAGEREF _Toc231982316 \h </w:instrText>
        </w:r>
        <w:r>
          <w:rPr>
            <w:webHidden/>
          </w:rPr>
        </w:r>
        <w:r>
          <w:rPr>
            <w:webHidden/>
          </w:rPr>
          <w:fldChar w:fldCharType="separate"/>
        </w:r>
        <w:r w:rsidR="00536048">
          <w:rPr>
            <w:webHidden/>
          </w:rPr>
          <w:t>95</w:t>
        </w:r>
        <w:r>
          <w:rPr>
            <w:webHidden/>
          </w:rPr>
          <w:fldChar w:fldCharType="end"/>
        </w:r>
      </w:hyperlink>
    </w:p>
    <w:p w14:paraId="3BA89CEA" w14:textId="1E905595"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17" w:history="1">
        <w:r w:rsidRPr="00D10390">
          <w:rPr>
            <w:rStyle w:val="Hyperlink"/>
          </w:rPr>
          <w:t>18</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Expectations, policies and performance</w:t>
        </w:r>
        <w:r>
          <w:rPr>
            <w:webHidden/>
          </w:rPr>
          <w:tab/>
        </w:r>
        <w:r>
          <w:rPr>
            <w:webHidden/>
          </w:rPr>
          <w:fldChar w:fldCharType="begin"/>
        </w:r>
        <w:r>
          <w:rPr>
            <w:webHidden/>
          </w:rPr>
          <w:instrText xml:space="preserve"> PAGEREF _Toc231982317 \h </w:instrText>
        </w:r>
        <w:r>
          <w:rPr>
            <w:webHidden/>
          </w:rPr>
        </w:r>
        <w:r>
          <w:rPr>
            <w:webHidden/>
          </w:rPr>
          <w:fldChar w:fldCharType="separate"/>
        </w:r>
        <w:r w:rsidR="00536048">
          <w:rPr>
            <w:webHidden/>
          </w:rPr>
          <w:t>97</w:t>
        </w:r>
        <w:r>
          <w:rPr>
            <w:webHidden/>
          </w:rPr>
          <w:fldChar w:fldCharType="end"/>
        </w:r>
      </w:hyperlink>
    </w:p>
    <w:p w14:paraId="4E989EF0" w14:textId="00162EE9"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18" w:history="1">
        <w:r w:rsidRPr="00D10390">
          <w:rPr>
            <w:rStyle w:val="Hyperlink"/>
          </w:rPr>
          <w:t>18.1</w:t>
        </w:r>
        <w:r>
          <w:rPr>
            <w:rFonts w:asciiTheme="minorHAnsi" w:eastAsiaTheme="minorEastAsia" w:hAnsiTheme="minorHAnsi" w:cstheme="minorBidi"/>
            <w:kern w:val="2"/>
            <w:sz w:val="24"/>
            <w:szCs w:val="24"/>
            <w:lang w:eastAsia="en-AU"/>
            <w14:ligatures w14:val="standardContextual"/>
          </w:rPr>
          <w:tab/>
        </w:r>
        <w:r w:rsidRPr="00D10390">
          <w:rPr>
            <w:rStyle w:val="Hyperlink"/>
          </w:rPr>
          <w:t>Acute and specialist care</w:t>
        </w:r>
        <w:r>
          <w:rPr>
            <w:webHidden/>
          </w:rPr>
          <w:tab/>
        </w:r>
        <w:r>
          <w:rPr>
            <w:webHidden/>
          </w:rPr>
          <w:fldChar w:fldCharType="begin"/>
        </w:r>
        <w:r>
          <w:rPr>
            <w:webHidden/>
          </w:rPr>
          <w:instrText xml:space="preserve"> PAGEREF _Toc231982318 \h </w:instrText>
        </w:r>
        <w:r>
          <w:rPr>
            <w:webHidden/>
          </w:rPr>
        </w:r>
        <w:r>
          <w:rPr>
            <w:webHidden/>
          </w:rPr>
          <w:fldChar w:fldCharType="separate"/>
        </w:r>
        <w:r w:rsidR="00536048">
          <w:rPr>
            <w:webHidden/>
          </w:rPr>
          <w:t>97</w:t>
        </w:r>
        <w:r>
          <w:rPr>
            <w:webHidden/>
          </w:rPr>
          <w:fldChar w:fldCharType="end"/>
        </w:r>
      </w:hyperlink>
    </w:p>
    <w:p w14:paraId="50164689" w14:textId="059D4015"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19" w:history="1">
        <w:r w:rsidRPr="00D10390">
          <w:rPr>
            <w:rStyle w:val="Hyperlink"/>
          </w:rPr>
          <w:t>18.2</w:t>
        </w:r>
        <w:r>
          <w:rPr>
            <w:rFonts w:asciiTheme="minorHAnsi" w:eastAsiaTheme="minorEastAsia" w:hAnsiTheme="minorHAnsi" w:cstheme="minorBidi"/>
            <w:kern w:val="2"/>
            <w:sz w:val="24"/>
            <w:szCs w:val="24"/>
            <w:lang w:eastAsia="en-AU"/>
            <w14:ligatures w14:val="standardContextual"/>
          </w:rPr>
          <w:tab/>
        </w:r>
        <w:r w:rsidRPr="00D10390">
          <w:rPr>
            <w:rStyle w:val="Hyperlink"/>
          </w:rPr>
          <w:t>Subacute and non-acute care</w:t>
        </w:r>
        <w:r>
          <w:rPr>
            <w:webHidden/>
          </w:rPr>
          <w:tab/>
        </w:r>
        <w:r>
          <w:rPr>
            <w:webHidden/>
          </w:rPr>
          <w:fldChar w:fldCharType="begin"/>
        </w:r>
        <w:r>
          <w:rPr>
            <w:webHidden/>
          </w:rPr>
          <w:instrText xml:space="preserve"> PAGEREF _Toc231982319 \h </w:instrText>
        </w:r>
        <w:r>
          <w:rPr>
            <w:webHidden/>
          </w:rPr>
        </w:r>
        <w:r>
          <w:rPr>
            <w:webHidden/>
          </w:rPr>
          <w:fldChar w:fldCharType="separate"/>
        </w:r>
        <w:r w:rsidR="00536048">
          <w:rPr>
            <w:webHidden/>
          </w:rPr>
          <w:t>108</w:t>
        </w:r>
        <w:r>
          <w:rPr>
            <w:webHidden/>
          </w:rPr>
          <w:fldChar w:fldCharType="end"/>
        </w:r>
      </w:hyperlink>
    </w:p>
    <w:p w14:paraId="019CDE73" w14:textId="3D63C7F3"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20" w:history="1">
        <w:r w:rsidRPr="00D10390">
          <w:rPr>
            <w:rStyle w:val="Hyperlink"/>
          </w:rPr>
          <w:t>18.3</w:t>
        </w:r>
        <w:r>
          <w:rPr>
            <w:rFonts w:asciiTheme="minorHAnsi" w:eastAsiaTheme="minorEastAsia" w:hAnsiTheme="minorHAnsi" w:cstheme="minorBidi"/>
            <w:kern w:val="2"/>
            <w:sz w:val="24"/>
            <w:szCs w:val="24"/>
            <w:lang w:eastAsia="en-AU"/>
            <w14:ligatures w14:val="standardContextual"/>
          </w:rPr>
          <w:tab/>
        </w:r>
        <w:r w:rsidRPr="00D10390">
          <w:rPr>
            <w:rStyle w:val="Hyperlink"/>
          </w:rPr>
          <w:t>System improvements</w:t>
        </w:r>
        <w:r>
          <w:rPr>
            <w:webHidden/>
          </w:rPr>
          <w:tab/>
        </w:r>
        <w:r>
          <w:rPr>
            <w:webHidden/>
          </w:rPr>
          <w:fldChar w:fldCharType="begin"/>
        </w:r>
        <w:r>
          <w:rPr>
            <w:webHidden/>
          </w:rPr>
          <w:instrText xml:space="preserve"> PAGEREF _Toc231982320 \h </w:instrText>
        </w:r>
        <w:r>
          <w:rPr>
            <w:webHidden/>
          </w:rPr>
        </w:r>
        <w:r>
          <w:rPr>
            <w:webHidden/>
          </w:rPr>
          <w:fldChar w:fldCharType="separate"/>
        </w:r>
        <w:r w:rsidR="00536048">
          <w:rPr>
            <w:webHidden/>
          </w:rPr>
          <w:t>116</w:t>
        </w:r>
        <w:r>
          <w:rPr>
            <w:webHidden/>
          </w:rPr>
          <w:fldChar w:fldCharType="end"/>
        </w:r>
      </w:hyperlink>
    </w:p>
    <w:p w14:paraId="7A0E8BBC" w14:textId="76BC5ED0"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21" w:history="1">
        <w:r w:rsidRPr="00D10390">
          <w:rPr>
            <w:rStyle w:val="Hyperlink"/>
          </w:rPr>
          <w:t>18.4</w:t>
        </w:r>
        <w:r>
          <w:rPr>
            <w:rFonts w:asciiTheme="minorHAnsi" w:eastAsiaTheme="minorEastAsia" w:hAnsiTheme="minorHAnsi" w:cstheme="minorBidi"/>
            <w:kern w:val="2"/>
            <w:sz w:val="24"/>
            <w:szCs w:val="24"/>
            <w:lang w:eastAsia="en-AU"/>
            <w14:ligatures w14:val="standardContextual"/>
          </w:rPr>
          <w:tab/>
        </w:r>
        <w:r w:rsidRPr="00D10390">
          <w:rPr>
            <w:rStyle w:val="Hyperlink"/>
          </w:rPr>
          <w:t>Integrated cancer services</w:t>
        </w:r>
        <w:r>
          <w:rPr>
            <w:webHidden/>
          </w:rPr>
          <w:tab/>
        </w:r>
        <w:r>
          <w:rPr>
            <w:webHidden/>
          </w:rPr>
          <w:fldChar w:fldCharType="begin"/>
        </w:r>
        <w:r>
          <w:rPr>
            <w:webHidden/>
          </w:rPr>
          <w:instrText xml:space="preserve"> PAGEREF _Toc231982321 \h </w:instrText>
        </w:r>
        <w:r>
          <w:rPr>
            <w:webHidden/>
          </w:rPr>
        </w:r>
        <w:r>
          <w:rPr>
            <w:webHidden/>
          </w:rPr>
          <w:fldChar w:fldCharType="separate"/>
        </w:r>
        <w:r w:rsidR="00536048">
          <w:rPr>
            <w:webHidden/>
          </w:rPr>
          <w:t>121</w:t>
        </w:r>
        <w:r>
          <w:rPr>
            <w:webHidden/>
          </w:rPr>
          <w:fldChar w:fldCharType="end"/>
        </w:r>
      </w:hyperlink>
    </w:p>
    <w:p w14:paraId="1B13A0B7" w14:textId="0BE8CE23"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22" w:history="1">
        <w:r w:rsidRPr="00D10390">
          <w:rPr>
            <w:rStyle w:val="Hyperlink"/>
          </w:rPr>
          <w:t>18.5</w:t>
        </w:r>
        <w:r>
          <w:rPr>
            <w:rFonts w:asciiTheme="minorHAnsi" w:eastAsiaTheme="minorEastAsia" w:hAnsiTheme="minorHAnsi" w:cstheme="minorBidi"/>
            <w:kern w:val="2"/>
            <w:sz w:val="24"/>
            <w:szCs w:val="24"/>
            <w:lang w:eastAsia="en-AU"/>
            <w14:ligatures w14:val="standardContextual"/>
          </w:rPr>
          <w:tab/>
        </w:r>
        <w:r w:rsidRPr="00D10390">
          <w:rPr>
            <w:rStyle w:val="Hyperlink"/>
          </w:rPr>
          <w:t>Blood Matters Program</w:t>
        </w:r>
        <w:r>
          <w:rPr>
            <w:webHidden/>
          </w:rPr>
          <w:tab/>
        </w:r>
        <w:r>
          <w:rPr>
            <w:webHidden/>
          </w:rPr>
          <w:fldChar w:fldCharType="begin"/>
        </w:r>
        <w:r>
          <w:rPr>
            <w:webHidden/>
          </w:rPr>
          <w:instrText xml:space="preserve"> PAGEREF _Toc231982322 \h </w:instrText>
        </w:r>
        <w:r>
          <w:rPr>
            <w:webHidden/>
          </w:rPr>
        </w:r>
        <w:r>
          <w:rPr>
            <w:webHidden/>
          </w:rPr>
          <w:fldChar w:fldCharType="separate"/>
        </w:r>
        <w:r w:rsidR="00536048">
          <w:rPr>
            <w:webHidden/>
          </w:rPr>
          <w:t>122</w:t>
        </w:r>
        <w:r>
          <w:rPr>
            <w:webHidden/>
          </w:rPr>
          <w:fldChar w:fldCharType="end"/>
        </w:r>
      </w:hyperlink>
    </w:p>
    <w:p w14:paraId="5B093D68" w14:textId="1FB6AE83"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23" w:history="1">
        <w:r w:rsidRPr="00D10390">
          <w:rPr>
            <w:rStyle w:val="Hyperlink"/>
          </w:rPr>
          <w:t>18.6</w:t>
        </w:r>
        <w:r>
          <w:rPr>
            <w:rFonts w:asciiTheme="minorHAnsi" w:eastAsiaTheme="minorEastAsia" w:hAnsiTheme="minorHAnsi" w:cstheme="minorBidi"/>
            <w:kern w:val="2"/>
            <w:sz w:val="24"/>
            <w:szCs w:val="24"/>
            <w:lang w:eastAsia="en-AU"/>
            <w14:ligatures w14:val="standardContextual"/>
          </w:rPr>
          <w:tab/>
        </w:r>
        <w:r w:rsidRPr="00D10390">
          <w:rPr>
            <w:rStyle w:val="Hyperlink"/>
          </w:rPr>
          <w:t>Pathology reform</w:t>
        </w:r>
        <w:r>
          <w:rPr>
            <w:webHidden/>
          </w:rPr>
          <w:tab/>
        </w:r>
        <w:r>
          <w:rPr>
            <w:webHidden/>
          </w:rPr>
          <w:fldChar w:fldCharType="begin"/>
        </w:r>
        <w:r>
          <w:rPr>
            <w:webHidden/>
          </w:rPr>
          <w:instrText xml:space="preserve"> PAGEREF _Toc231982323 \h </w:instrText>
        </w:r>
        <w:r>
          <w:rPr>
            <w:webHidden/>
          </w:rPr>
        </w:r>
        <w:r>
          <w:rPr>
            <w:webHidden/>
          </w:rPr>
          <w:fldChar w:fldCharType="separate"/>
        </w:r>
        <w:r w:rsidR="00536048">
          <w:rPr>
            <w:webHidden/>
          </w:rPr>
          <w:t>123</w:t>
        </w:r>
        <w:r>
          <w:rPr>
            <w:webHidden/>
          </w:rPr>
          <w:fldChar w:fldCharType="end"/>
        </w:r>
      </w:hyperlink>
    </w:p>
    <w:p w14:paraId="0C85B014" w14:textId="4B65D357"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24" w:history="1">
        <w:r w:rsidRPr="00D10390">
          <w:rPr>
            <w:rStyle w:val="Hyperlink"/>
          </w:rPr>
          <w:t>18.7</w:t>
        </w:r>
        <w:r>
          <w:rPr>
            <w:rFonts w:asciiTheme="minorHAnsi" w:eastAsiaTheme="minorEastAsia" w:hAnsiTheme="minorHAnsi" w:cstheme="minorBidi"/>
            <w:kern w:val="2"/>
            <w:sz w:val="24"/>
            <w:szCs w:val="24"/>
            <w:lang w:eastAsia="en-AU"/>
            <w14:ligatures w14:val="standardContextual"/>
          </w:rPr>
          <w:tab/>
        </w:r>
        <w:r w:rsidRPr="00D10390">
          <w:rPr>
            <w:rStyle w:val="Hyperlink"/>
          </w:rPr>
          <w:t>VVED</w:t>
        </w:r>
        <w:r>
          <w:rPr>
            <w:webHidden/>
          </w:rPr>
          <w:tab/>
        </w:r>
        <w:r>
          <w:rPr>
            <w:webHidden/>
          </w:rPr>
          <w:fldChar w:fldCharType="begin"/>
        </w:r>
        <w:r>
          <w:rPr>
            <w:webHidden/>
          </w:rPr>
          <w:instrText xml:space="preserve"> PAGEREF _Toc231982324 \h </w:instrText>
        </w:r>
        <w:r>
          <w:rPr>
            <w:webHidden/>
          </w:rPr>
        </w:r>
        <w:r>
          <w:rPr>
            <w:webHidden/>
          </w:rPr>
          <w:fldChar w:fldCharType="separate"/>
        </w:r>
        <w:r w:rsidR="00536048">
          <w:rPr>
            <w:webHidden/>
          </w:rPr>
          <w:t>123</w:t>
        </w:r>
        <w:r>
          <w:rPr>
            <w:webHidden/>
          </w:rPr>
          <w:fldChar w:fldCharType="end"/>
        </w:r>
      </w:hyperlink>
    </w:p>
    <w:p w14:paraId="7FC094F3" w14:textId="38BD5746"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25" w:history="1">
        <w:r w:rsidRPr="00D10390">
          <w:rPr>
            <w:rStyle w:val="Hyperlink"/>
          </w:rPr>
          <w:t>18.8</w:t>
        </w:r>
        <w:r>
          <w:rPr>
            <w:rFonts w:asciiTheme="minorHAnsi" w:eastAsiaTheme="minorEastAsia" w:hAnsiTheme="minorHAnsi" w:cstheme="minorBidi"/>
            <w:kern w:val="2"/>
            <w:sz w:val="24"/>
            <w:szCs w:val="24"/>
            <w:lang w:eastAsia="en-AU"/>
            <w14:ligatures w14:val="standardContextual"/>
          </w:rPr>
          <w:tab/>
        </w:r>
        <w:r w:rsidRPr="00D10390">
          <w:rPr>
            <w:rStyle w:val="Hyperlink"/>
          </w:rPr>
          <w:t>Local Health Service Networks</w:t>
        </w:r>
        <w:r>
          <w:rPr>
            <w:webHidden/>
          </w:rPr>
          <w:tab/>
        </w:r>
        <w:r>
          <w:rPr>
            <w:webHidden/>
          </w:rPr>
          <w:fldChar w:fldCharType="begin"/>
        </w:r>
        <w:r>
          <w:rPr>
            <w:webHidden/>
          </w:rPr>
          <w:instrText xml:space="preserve"> PAGEREF _Toc231982325 \h </w:instrText>
        </w:r>
        <w:r>
          <w:rPr>
            <w:webHidden/>
          </w:rPr>
        </w:r>
        <w:r>
          <w:rPr>
            <w:webHidden/>
          </w:rPr>
          <w:fldChar w:fldCharType="separate"/>
        </w:r>
        <w:r w:rsidR="00536048">
          <w:rPr>
            <w:webHidden/>
          </w:rPr>
          <w:t>124</w:t>
        </w:r>
        <w:r>
          <w:rPr>
            <w:webHidden/>
          </w:rPr>
          <w:fldChar w:fldCharType="end"/>
        </w:r>
      </w:hyperlink>
    </w:p>
    <w:p w14:paraId="1A1F3C7E" w14:textId="17129E24"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26" w:history="1">
        <w:r w:rsidRPr="00D10390">
          <w:rPr>
            <w:rStyle w:val="Hyperlink"/>
          </w:rPr>
          <w:t>18.9</w:t>
        </w:r>
        <w:r>
          <w:rPr>
            <w:rFonts w:asciiTheme="minorHAnsi" w:eastAsiaTheme="minorEastAsia" w:hAnsiTheme="minorHAnsi" w:cstheme="minorBidi"/>
            <w:kern w:val="2"/>
            <w:sz w:val="24"/>
            <w:szCs w:val="24"/>
            <w:lang w:eastAsia="en-AU"/>
            <w14:ligatures w14:val="standardContextual"/>
          </w:rPr>
          <w:tab/>
        </w:r>
        <w:r w:rsidRPr="00D10390">
          <w:rPr>
            <w:rStyle w:val="Hyperlink"/>
          </w:rPr>
          <w:t>Timely Emergency Care Program</w:t>
        </w:r>
        <w:r>
          <w:rPr>
            <w:webHidden/>
          </w:rPr>
          <w:tab/>
        </w:r>
        <w:r>
          <w:rPr>
            <w:webHidden/>
          </w:rPr>
          <w:fldChar w:fldCharType="begin"/>
        </w:r>
        <w:r>
          <w:rPr>
            <w:webHidden/>
          </w:rPr>
          <w:instrText xml:space="preserve"> PAGEREF _Toc231982326 \h </w:instrText>
        </w:r>
        <w:r>
          <w:rPr>
            <w:webHidden/>
          </w:rPr>
        </w:r>
        <w:r>
          <w:rPr>
            <w:webHidden/>
          </w:rPr>
          <w:fldChar w:fldCharType="separate"/>
        </w:r>
        <w:r w:rsidR="00536048">
          <w:rPr>
            <w:webHidden/>
          </w:rPr>
          <w:t>125</w:t>
        </w:r>
        <w:r>
          <w:rPr>
            <w:webHidden/>
          </w:rPr>
          <w:fldChar w:fldCharType="end"/>
        </w:r>
      </w:hyperlink>
    </w:p>
    <w:p w14:paraId="3B607E52" w14:textId="7985A45F"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27" w:history="1">
        <w:r w:rsidRPr="00D10390">
          <w:rPr>
            <w:rStyle w:val="Hyperlink"/>
          </w:rPr>
          <w:t>18.10</w:t>
        </w:r>
        <w:r>
          <w:rPr>
            <w:rFonts w:asciiTheme="minorHAnsi" w:eastAsiaTheme="minorEastAsia" w:hAnsiTheme="minorHAnsi" w:cstheme="minorBidi"/>
            <w:kern w:val="2"/>
            <w:sz w:val="24"/>
            <w:szCs w:val="24"/>
            <w:lang w:eastAsia="en-AU"/>
            <w14:ligatures w14:val="standardContextual"/>
          </w:rPr>
          <w:tab/>
        </w:r>
        <w:r w:rsidRPr="00D10390">
          <w:rPr>
            <w:rStyle w:val="Hyperlink"/>
          </w:rPr>
          <w:t>Mental health and wellbeing services</w:t>
        </w:r>
        <w:r>
          <w:rPr>
            <w:webHidden/>
          </w:rPr>
          <w:tab/>
        </w:r>
        <w:r>
          <w:rPr>
            <w:webHidden/>
          </w:rPr>
          <w:fldChar w:fldCharType="begin"/>
        </w:r>
        <w:r>
          <w:rPr>
            <w:webHidden/>
          </w:rPr>
          <w:instrText xml:space="preserve"> PAGEREF _Toc231982327 \h </w:instrText>
        </w:r>
        <w:r>
          <w:rPr>
            <w:webHidden/>
          </w:rPr>
        </w:r>
        <w:r>
          <w:rPr>
            <w:webHidden/>
          </w:rPr>
          <w:fldChar w:fldCharType="separate"/>
        </w:r>
        <w:r w:rsidR="00536048">
          <w:rPr>
            <w:webHidden/>
          </w:rPr>
          <w:t>125</w:t>
        </w:r>
        <w:r>
          <w:rPr>
            <w:webHidden/>
          </w:rPr>
          <w:fldChar w:fldCharType="end"/>
        </w:r>
      </w:hyperlink>
    </w:p>
    <w:p w14:paraId="7FDAF3BD" w14:textId="414BCB18"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28" w:history="1">
        <w:r w:rsidRPr="00D10390">
          <w:rPr>
            <w:rStyle w:val="Hyperlink"/>
          </w:rPr>
          <w:t>18.11</w:t>
        </w:r>
        <w:r>
          <w:rPr>
            <w:rFonts w:asciiTheme="minorHAnsi" w:eastAsiaTheme="minorEastAsia" w:hAnsiTheme="minorHAnsi" w:cstheme="minorBidi"/>
            <w:kern w:val="2"/>
            <w:sz w:val="24"/>
            <w:szCs w:val="24"/>
            <w:lang w:eastAsia="en-AU"/>
            <w14:ligatures w14:val="standardContextual"/>
          </w:rPr>
          <w:tab/>
        </w:r>
        <w:r w:rsidRPr="00D10390">
          <w:rPr>
            <w:rStyle w:val="Hyperlink"/>
          </w:rPr>
          <w:t>Ageing, aged and home care services</w:t>
        </w:r>
        <w:r>
          <w:rPr>
            <w:webHidden/>
          </w:rPr>
          <w:tab/>
        </w:r>
        <w:r>
          <w:rPr>
            <w:webHidden/>
          </w:rPr>
          <w:fldChar w:fldCharType="begin"/>
        </w:r>
        <w:r>
          <w:rPr>
            <w:webHidden/>
          </w:rPr>
          <w:instrText xml:space="preserve"> PAGEREF _Toc231982328 \h </w:instrText>
        </w:r>
        <w:r>
          <w:rPr>
            <w:webHidden/>
          </w:rPr>
        </w:r>
        <w:r>
          <w:rPr>
            <w:webHidden/>
          </w:rPr>
          <w:fldChar w:fldCharType="separate"/>
        </w:r>
        <w:r w:rsidR="00536048">
          <w:rPr>
            <w:webHidden/>
          </w:rPr>
          <w:t>130</w:t>
        </w:r>
        <w:r>
          <w:rPr>
            <w:webHidden/>
          </w:rPr>
          <w:fldChar w:fldCharType="end"/>
        </w:r>
      </w:hyperlink>
    </w:p>
    <w:p w14:paraId="0DC5A5B4" w14:textId="41A836C4"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29" w:history="1">
        <w:r w:rsidRPr="00D10390">
          <w:rPr>
            <w:rStyle w:val="Hyperlink"/>
          </w:rPr>
          <w:t>18.12</w:t>
        </w:r>
        <w:r>
          <w:rPr>
            <w:rFonts w:asciiTheme="minorHAnsi" w:eastAsiaTheme="minorEastAsia" w:hAnsiTheme="minorHAnsi" w:cstheme="minorBidi"/>
            <w:kern w:val="2"/>
            <w:sz w:val="24"/>
            <w:szCs w:val="24"/>
            <w:lang w:eastAsia="en-AU"/>
            <w14:ligatures w14:val="standardContextual"/>
          </w:rPr>
          <w:tab/>
        </w:r>
        <w:r w:rsidRPr="00D10390">
          <w:rPr>
            <w:rStyle w:val="Hyperlink"/>
          </w:rPr>
          <w:t>Proactive management of primary, community and dental health</w:t>
        </w:r>
        <w:r>
          <w:rPr>
            <w:webHidden/>
          </w:rPr>
          <w:tab/>
        </w:r>
        <w:r>
          <w:rPr>
            <w:webHidden/>
          </w:rPr>
          <w:fldChar w:fldCharType="begin"/>
        </w:r>
        <w:r>
          <w:rPr>
            <w:webHidden/>
          </w:rPr>
          <w:instrText xml:space="preserve"> PAGEREF _Toc231982329 \h </w:instrText>
        </w:r>
        <w:r>
          <w:rPr>
            <w:webHidden/>
          </w:rPr>
        </w:r>
        <w:r>
          <w:rPr>
            <w:webHidden/>
          </w:rPr>
          <w:fldChar w:fldCharType="separate"/>
        </w:r>
        <w:r w:rsidR="00536048">
          <w:rPr>
            <w:webHidden/>
          </w:rPr>
          <w:t>131</w:t>
        </w:r>
        <w:r>
          <w:rPr>
            <w:webHidden/>
          </w:rPr>
          <w:fldChar w:fldCharType="end"/>
        </w:r>
      </w:hyperlink>
    </w:p>
    <w:p w14:paraId="7272B098" w14:textId="03AC9FB4"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30" w:history="1">
        <w:r w:rsidRPr="00D10390">
          <w:rPr>
            <w:rStyle w:val="Hyperlink"/>
          </w:rPr>
          <w:t>18.13</w:t>
        </w:r>
        <w:r>
          <w:rPr>
            <w:rFonts w:asciiTheme="minorHAnsi" w:eastAsiaTheme="minorEastAsia" w:hAnsiTheme="minorHAnsi" w:cstheme="minorBidi"/>
            <w:kern w:val="2"/>
            <w:sz w:val="24"/>
            <w:szCs w:val="24"/>
            <w:lang w:eastAsia="en-AU"/>
            <w14:ligatures w14:val="standardContextual"/>
          </w:rPr>
          <w:tab/>
        </w:r>
        <w:r w:rsidRPr="00D10390">
          <w:rPr>
            <w:rStyle w:val="Hyperlink"/>
          </w:rPr>
          <w:t>LPHUs</w:t>
        </w:r>
        <w:r>
          <w:rPr>
            <w:webHidden/>
          </w:rPr>
          <w:tab/>
        </w:r>
        <w:r>
          <w:rPr>
            <w:webHidden/>
          </w:rPr>
          <w:fldChar w:fldCharType="begin"/>
        </w:r>
        <w:r>
          <w:rPr>
            <w:webHidden/>
          </w:rPr>
          <w:instrText xml:space="preserve"> PAGEREF _Toc231982330 \h </w:instrText>
        </w:r>
        <w:r>
          <w:rPr>
            <w:webHidden/>
          </w:rPr>
        </w:r>
        <w:r>
          <w:rPr>
            <w:webHidden/>
          </w:rPr>
          <w:fldChar w:fldCharType="separate"/>
        </w:r>
        <w:r w:rsidR="00536048">
          <w:rPr>
            <w:webHidden/>
          </w:rPr>
          <w:t>132</w:t>
        </w:r>
        <w:r>
          <w:rPr>
            <w:webHidden/>
          </w:rPr>
          <w:fldChar w:fldCharType="end"/>
        </w:r>
      </w:hyperlink>
    </w:p>
    <w:p w14:paraId="34EDBEFD" w14:textId="4F3F7E96"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31" w:history="1">
        <w:r w:rsidRPr="00D10390">
          <w:rPr>
            <w:rStyle w:val="Hyperlink"/>
            <w:rFonts w:eastAsia="Aptos"/>
          </w:rPr>
          <w:t>18.14</w:t>
        </w:r>
        <w:r>
          <w:rPr>
            <w:rFonts w:asciiTheme="minorHAnsi" w:eastAsiaTheme="minorEastAsia" w:hAnsiTheme="minorHAnsi" w:cstheme="minorBidi"/>
            <w:kern w:val="2"/>
            <w:sz w:val="24"/>
            <w:szCs w:val="24"/>
            <w:lang w:eastAsia="en-AU"/>
            <w14:ligatures w14:val="standardContextual"/>
          </w:rPr>
          <w:tab/>
        </w:r>
        <w:r w:rsidRPr="00D10390">
          <w:rPr>
            <w:rStyle w:val="Hyperlink"/>
            <w:rFonts w:eastAsia="Aptos"/>
          </w:rPr>
          <w:t>Capital Projects</w:t>
        </w:r>
        <w:r>
          <w:rPr>
            <w:webHidden/>
          </w:rPr>
          <w:tab/>
        </w:r>
        <w:r>
          <w:rPr>
            <w:webHidden/>
          </w:rPr>
          <w:fldChar w:fldCharType="begin"/>
        </w:r>
        <w:r>
          <w:rPr>
            <w:webHidden/>
          </w:rPr>
          <w:instrText xml:space="preserve"> PAGEREF _Toc231982331 \h </w:instrText>
        </w:r>
        <w:r>
          <w:rPr>
            <w:webHidden/>
          </w:rPr>
        </w:r>
        <w:r>
          <w:rPr>
            <w:webHidden/>
          </w:rPr>
          <w:fldChar w:fldCharType="separate"/>
        </w:r>
        <w:r w:rsidR="00536048">
          <w:rPr>
            <w:webHidden/>
          </w:rPr>
          <w:t>132</w:t>
        </w:r>
        <w:r>
          <w:rPr>
            <w:webHidden/>
          </w:rPr>
          <w:fldChar w:fldCharType="end"/>
        </w:r>
      </w:hyperlink>
    </w:p>
    <w:p w14:paraId="1FC4CED9" w14:textId="59F4A5A3"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32" w:history="1">
        <w:r w:rsidRPr="00D10390">
          <w:rPr>
            <w:rStyle w:val="Hyperlink"/>
          </w:rPr>
          <w:t>18.15</w:t>
        </w:r>
        <w:r>
          <w:rPr>
            <w:rFonts w:asciiTheme="minorHAnsi" w:eastAsiaTheme="minorEastAsia" w:hAnsiTheme="minorHAnsi" w:cstheme="minorBidi"/>
            <w:kern w:val="2"/>
            <w:sz w:val="24"/>
            <w:szCs w:val="24"/>
            <w:lang w:eastAsia="en-AU"/>
            <w14:ligatures w14:val="standardContextual"/>
          </w:rPr>
          <w:tab/>
        </w:r>
        <w:r w:rsidRPr="00D10390">
          <w:rPr>
            <w:rStyle w:val="Hyperlink"/>
          </w:rPr>
          <w:t>Virtual care</w:t>
        </w:r>
        <w:r>
          <w:rPr>
            <w:webHidden/>
          </w:rPr>
          <w:tab/>
        </w:r>
        <w:r>
          <w:rPr>
            <w:webHidden/>
          </w:rPr>
          <w:fldChar w:fldCharType="begin"/>
        </w:r>
        <w:r>
          <w:rPr>
            <w:webHidden/>
          </w:rPr>
          <w:instrText xml:space="preserve"> PAGEREF _Toc231982332 \h </w:instrText>
        </w:r>
        <w:r>
          <w:rPr>
            <w:webHidden/>
          </w:rPr>
        </w:r>
        <w:r>
          <w:rPr>
            <w:webHidden/>
          </w:rPr>
          <w:fldChar w:fldCharType="separate"/>
        </w:r>
        <w:r w:rsidR="00536048">
          <w:rPr>
            <w:webHidden/>
          </w:rPr>
          <w:t>133</w:t>
        </w:r>
        <w:r>
          <w:rPr>
            <w:webHidden/>
          </w:rPr>
          <w:fldChar w:fldCharType="end"/>
        </w:r>
      </w:hyperlink>
    </w:p>
    <w:p w14:paraId="5C4013A0" w14:textId="211D29FF"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33" w:history="1">
        <w:r w:rsidRPr="00D10390">
          <w:rPr>
            <w:rStyle w:val="Hyperlink"/>
          </w:rPr>
          <w:t>19</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Accreditation</w:t>
        </w:r>
        <w:r>
          <w:rPr>
            <w:webHidden/>
          </w:rPr>
          <w:tab/>
        </w:r>
        <w:r>
          <w:rPr>
            <w:webHidden/>
          </w:rPr>
          <w:fldChar w:fldCharType="begin"/>
        </w:r>
        <w:r>
          <w:rPr>
            <w:webHidden/>
          </w:rPr>
          <w:instrText xml:space="preserve"> PAGEREF _Toc231982333 \h </w:instrText>
        </w:r>
        <w:r>
          <w:rPr>
            <w:webHidden/>
          </w:rPr>
        </w:r>
        <w:r>
          <w:rPr>
            <w:webHidden/>
          </w:rPr>
          <w:fldChar w:fldCharType="separate"/>
        </w:r>
        <w:r w:rsidR="00536048">
          <w:rPr>
            <w:webHidden/>
          </w:rPr>
          <w:t>135</w:t>
        </w:r>
        <w:r>
          <w:rPr>
            <w:webHidden/>
          </w:rPr>
          <w:fldChar w:fldCharType="end"/>
        </w:r>
      </w:hyperlink>
    </w:p>
    <w:p w14:paraId="213DD531" w14:textId="5488D5D7"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34" w:history="1">
        <w:r w:rsidRPr="00D10390">
          <w:rPr>
            <w:rStyle w:val="Hyperlink"/>
          </w:rPr>
          <w:t>19.1</w:t>
        </w:r>
        <w:r>
          <w:rPr>
            <w:rFonts w:asciiTheme="minorHAnsi" w:eastAsiaTheme="minorEastAsia" w:hAnsiTheme="minorHAnsi" w:cstheme="minorBidi"/>
            <w:kern w:val="2"/>
            <w:sz w:val="24"/>
            <w:szCs w:val="24"/>
            <w:lang w:eastAsia="en-AU"/>
            <w14:ligatures w14:val="standardContextual"/>
          </w:rPr>
          <w:tab/>
        </w:r>
        <w:r w:rsidRPr="00D10390">
          <w:rPr>
            <w:rStyle w:val="Hyperlink"/>
          </w:rPr>
          <w:t>Australian Commission on Safety and Quality in Health Care</w:t>
        </w:r>
        <w:r>
          <w:rPr>
            <w:webHidden/>
          </w:rPr>
          <w:tab/>
        </w:r>
        <w:r>
          <w:rPr>
            <w:webHidden/>
          </w:rPr>
          <w:fldChar w:fldCharType="begin"/>
        </w:r>
        <w:r>
          <w:rPr>
            <w:webHidden/>
          </w:rPr>
          <w:instrText xml:space="preserve"> PAGEREF _Toc231982334 \h </w:instrText>
        </w:r>
        <w:r>
          <w:rPr>
            <w:webHidden/>
          </w:rPr>
        </w:r>
        <w:r>
          <w:rPr>
            <w:webHidden/>
          </w:rPr>
          <w:fldChar w:fldCharType="separate"/>
        </w:r>
        <w:r w:rsidR="00536048">
          <w:rPr>
            <w:webHidden/>
          </w:rPr>
          <w:t>135</w:t>
        </w:r>
        <w:r>
          <w:rPr>
            <w:webHidden/>
          </w:rPr>
          <w:fldChar w:fldCharType="end"/>
        </w:r>
      </w:hyperlink>
    </w:p>
    <w:p w14:paraId="5C287A23" w14:textId="10F1F551"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35" w:history="1">
        <w:r w:rsidRPr="00D10390">
          <w:rPr>
            <w:rStyle w:val="Hyperlink"/>
          </w:rPr>
          <w:t>19.2</w:t>
        </w:r>
        <w:r>
          <w:rPr>
            <w:rFonts w:asciiTheme="minorHAnsi" w:eastAsiaTheme="minorEastAsia" w:hAnsiTheme="minorHAnsi" w:cstheme="minorBidi"/>
            <w:kern w:val="2"/>
            <w:sz w:val="24"/>
            <w:szCs w:val="24"/>
            <w:lang w:eastAsia="en-AU"/>
            <w14:ligatures w14:val="standardContextual"/>
          </w:rPr>
          <w:tab/>
        </w:r>
        <w:r w:rsidRPr="00D10390">
          <w:rPr>
            <w:rStyle w:val="Hyperlink"/>
          </w:rPr>
          <w:t>Pathology services</w:t>
        </w:r>
        <w:r>
          <w:rPr>
            <w:webHidden/>
          </w:rPr>
          <w:tab/>
        </w:r>
        <w:r>
          <w:rPr>
            <w:webHidden/>
          </w:rPr>
          <w:fldChar w:fldCharType="begin"/>
        </w:r>
        <w:r>
          <w:rPr>
            <w:webHidden/>
          </w:rPr>
          <w:instrText xml:space="preserve"> PAGEREF _Toc231982335 \h </w:instrText>
        </w:r>
        <w:r>
          <w:rPr>
            <w:webHidden/>
          </w:rPr>
        </w:r>
        <w:r>
          <w:rPr>
            <w:webHidden/>
          </w:rPr>
          <w:fldChar w:fldCharType="separate"/>
        </w:r>
        <w:r w:rsidR="00536048">
          <w:rPr>
            <w:webHidden/>
          </w:rPr>
          <w:t>135</w:t>
        </w:r>
        <w:r>
          <w:rPr>
            <w:webHidden/>
          </w:rPr>
          <w:fldChar w:fldCharType="end"/>
        </w:r>
      </w:hyperlink>
    </w:p>
    <w:p w14:paraId="17E2798B" w14:textId="6B34E09F"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36" w:history="1">
        <w:r w:rsidRPr="00D10390">
          <w:rPr>
            <w:rStyle w:val="Hyperlink"/>
          </w:rPr>
          <w:t>19.3</w:t>
        </w:r>
        <w:r>
          <w:rPr>
            <w:rFonts w:asciiTheme="minorHAnsi" w:eastAsiaTheme="minorEastAsia" w:hAnsiTheme="minorHAnsi" w:cstheme="minorBidi"/>
            <w:kern w:val="2"/>
            <w:sz w:val="24"/>
            <w:szCs w:val="24"/>
            <w:lang w:eastAsia="en-AU"/>
            <w14:ligatures w14:val="standardContextual"/>
          </w:rPr>
          <w:tab/>
        </w:r>
        <w:r w:rsidRPr="00D10390">
          <w:rPr>
            <w:rStyle w:val="Hyperlink"/>
          </w:rPr>
          <w:t>MHAOD clinical and community support services</w:t>
        </w:r>
        <w:r>
          <w:rPr>
            <w:webHidden/>
          </w:rPr>
          <w:tab/>
        </w:r>
        <w:r>
          <w:rPr>
            <w:webHidden/>
          </w:rPr>
          <w:fldChar w:fldCharType="begin"/>
        </w:r>
        <w:r>
          <w:rPr>
            <w:webHidden/>
          </w:rPr>
          <w:instrText xml:space="preserve"> PAGEREF _Toc231982336 \h </w:instrText>
        </w:r>
        <w:r>
          <w:rPr>
            <w:webHidden/>
          </w:rPr>
        </w:r>
        <w:r>
          <w:rPr>
            <w:webHidden/>
          </w:rPr>
          <w:fldChar w:fldCharType="separate"/>
        </w:r>
        <w:r w:rsidR="00536048">
          <w:rPr>
            <w:webHidden/>
          </w:rPr>
          <w:t>136</w:t>
        </w:r>
        <w:r>
          <w:rPr>
            <w:webHidden/>
          </w:rPr>
          <w:fldChar w:fldCharType="end"/>
        </w:r>
      </w:hyperlink>
    </w:p>
    <w:p w14:paraId="665D8164" w14:textId="6A022320"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37" w:history="1">
        <w:r w:rsidRPr="00D10390">
          <w:rPr>
            <w:rStyle w:val="Hyperlink"/>
          </w:rPr>
          <w:t>19.4</w:t>
        </w:r>
        <w:r>
          <w:rPr>
            <w:rFonts w:asciiTheme="minorHAnsi" w:eastAsiaTheme="minorEastAsia" w:hAnsiTheme="minorHAnsi" w:cstheme="minorBidi"/>
            <w:kern w:val="2"/>
            <w:sz w:val="24"/>
            <w:szCs w:val="24"/>
            <w:lang w:eastAsia="en-AU"/>
            <w14:ligatures w14:val="standardContextual"/>
          </w:rPr>
          <w:tab/>
        </w:r>
        <w:r w:rsidRPr="00D10390">
          <w:rPr>
            <w:rStyle w:val="Hyperlink"/>
          </w:rPr>
          <w:t>Aged care</w:t>
        </w:r>
        <w:r>
          <w:rPr>
            <w:webHidden/>
          </w:rPr>
          <w:tab/>
        </w:r>
        <w:r>
          <w:rPr>
            <w:webHidden/>
          </w:rPr>
          <w:fldChar w:fldCharType="begin"/>
        </w:r>
        <w:r>
          <w:rPr>
            <w:webHidden/>
          </w:rPr>
          <w:instrText xml:space="preserve"> PAGEREF _Toc231982337 \h </w:instrText>
        </w:r>
        <w:r>
          <w:rPr>
            <w:webHidden/>
          </w:rPr>
        </w:r>
        <w:r>
          <w:rPr>
            <w:webHidden/>
          </w:rPr>
          <w:fldChar w:fldCharType="separate"/>
        </w:r>
        <w:r w:rsidR="00536048">
          <w:rPr>
            <w:webHidden/>
          </w:rPr>
          <w:t>136</w:t>
        </w:r>
        <w:r>
          <w:rPr>
            <w:webHidden/>
          </w:rPr>
          <w:fldChar w:fldCharType="end"/>
        </w:r>
      </w:hyperlink>
    </w:p>
    <w:p w14:paraId="2C39C680" w14:textId="692CA04D"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38" w:history="1">
        <w:r w:rsidRPr="00D10390">
          <w:rPr>
            <w:rStyle w:val="Hyperlink"/>
          </w:rPr>
          <w:t>20</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Clinical governance</w:t>
        </w:r>
        <w:r>
          <w:rPr>
            <w:webHidden/>
          </w:rPr>
          <w:tab/>
        </w:r>
        <w:r>
          <w:rPr>
            <w:webHidden/>
          </w:rPr>
          <w:fldChar w:fldCharType="begin"/>
        </w:r>
        <w:r>
          <w:rPr>
            <w:webHidden/>
          </w:rPr>
          <w:instrText xml:space="preserve"> PAGEREF _Toc231982338 \h </w:instrText>
        </w:r>
        <w:r>
          <w:rPr>
            <w:webHidden/>
          </w:rPr>
        </w:r>
        <w:r>
          <w:rPr>
            <w:webHidden/>
          </w:rPr>
          <w:fldChar w:fldCharType="separate"/>
        </w:r>
        <w:r w:rsidR="00536048">
          <w:rPr>
            <w:webHidden/>
          </w:rPr>
          <w:t>138</w:t>
        </w:r>
        <w:r>
          <w:rPr>
            <w:webHidden/>
          </w:rPr>
          <w:fldChar w:fldCharType="end"/>
        </w:r>
      </w:hyperlink>
    </w:p>
    <w:p w14:paraId="3F80E8ED" w14:textId="0036B123"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39" w:history="1">
        <w:r w:rsidRPr="00D10390">
          <w:rPr>
            <w:rStyle w:val="Hyperlink"/>
          </w:rPr>
          <w:t>20.1</w:t>
        </w:r>
        <w:r>
          <w:rPr>
            <w:rFonts w:asciiTheme="minorHAnsi" w:eastAsiaTheme="minorEastAsia" w:hAnsiTheme="minorHAnsi" w:cstheme="minorBidi"/>
            <w:kern w:val="2"/>
            <w:sz w:val="24"/>
            <w:szCs w:val="24"/>
            <w:lang w:eastAsia="en-AU"/>
            <w14:ligatures w14:val="standardContextual"/>
          </w:rPr>
          <w:tab/>
        </w:r>
        <w:r w:rsidRPr="00D10390">
          <w:rPr>
            <w:rStyle w:val="Hyperlink"/>
          </w:rPr>
          <w:t>Health service clinical governance</w:t>
        </w:r>
        <w:r>
          <w:rPr>
            <w:webHidden/>
          </w:rPr>
          <w:tab/>
        </w:r>
        <w:r>
          <w:rPr>
            <w:webHidden/>
          </w:rPr>
          <w:fldChar w:fldCharType="begin"/>
        </w:r>
        <w:r>
          <w:rPr>
            <w:webHidden/>
          </w:rPr>
          <w:instrText xml:space="preserve"> PAGEREF _Toc231982339 \h </w:instrText>
        </w:r>
        <w:r>
          <w:rPr>
            <w:webHidden/>
          </w:rPr>
        </w:r>
        <w:r>
          <w:rPr>
            <w:webHidden/>
          </w:rPr>
          <w:fldChar w:fldCharType="separate"/>
        </w:r>
        <w:r w:rsidR="00536048">
          <w:rPr>
            <w:webHidden/>
          </w:rPr>
          <w:t>138</w:t>
        </w:r>
        <w:r>
          <w:rPr>
            <w:webHidden/>
          </w:rPr>
          <w:fldChar w:fldCharType="end"/>
        </w:r>
      </w:hyperlink>
    </w:p>
    <w:p w14:paraId="4F74B06D" w14:textId="64E91A9D"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40" w:history="1">
        <w:r w:rsidRPr="00D10390">
          <w:rPr>
            <w:rStyle w:val="Hyperlink"/>
          </w:rPr>
          <w:t>20.2</w:t>
        </w:r>
        <w:r>
          <w:rPr>
            <w:rFonts w:asciiTheme="minorHAnsi" w:eastAsiaTheme="minorEastAsia" w:hAnsiTheme="minorHAnsi" w:cstheme="minorBidi"/>
            <w:kern w:val="2"/>
            <w:sz w:val="24"/>
            <w:szCs w:val="24"/>
            <w:lang w:eastAsia="en-AU"/>
            <w14:ligatures w14:val="standardContextual"/>
          </w:rPr>
          <w:tab/>
        </w:r>
        <w:r w:rsidRPr="00D10390">
          <w:rPr>
            <w:rStyle w:val="Hyperlink"/>
          </w:rPr>
          <w:t>Community health clinical governance</w:t>
        </w:r>
        <w:r>
          <w:rPr>
            <w:webHidden/>
          </w:rPr>
          <w:tab/>
        </w:r>
        <w:r>
          <w:rPr>
            <w:webHidden/>
          </w:rPr>
          <w:fldChar w:fldCharType="begin"/>
        </w:r>
        <w:r>
          <w:rPr>
            <w:webHidden/>
          </w:rPr>
          <w:instrText xml:space="preserve"> PAGEREF _Toc231982340 \h </w:instrText>
        </w:r>
        <w:r>
          <w:rPr>
            <w:webHidden/>
          </w:rPr>
        </w:r>
        <w:r>
          <w:rPr>
            <w:webHidden/>
          </w:rPr>
          <w:fldChar w:fldCharType="separate"/>
        </w:r>
        <w:r w:rsidR="00536048">
          <w:rPr>
            <w:webHidden/>
          </w:rPr>
          <w:t>143</w:t>
        </w:r>
        <w:r>
          <w:rPr>
            <w:webHidden/>
          </w:rPr>
          <w:fldChar w:fldCharType="end"/>
        </w:r>
      </w:hyperlink>
    </w:p>
    <w:p w14:paraId="4AA127C1" w14:textId="10EC38DB"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41" w:history="1">
        <w:r w:rsidRPr="00D10390">
          <w:rPr>
            <w:rStyle w:val="Hyperlink"/>
          </w:rPr>
          <w:t>21</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Consumer rights and community participation</w:t>
        </w:r>
        <w:r>
          <w:rPr>
            <w:webHidden/>
          </w:rPr>
          <w:tab/>
        </w:r>
        <w:r>
          <w:rPr>
            <w:webHidden/>
          </w:rPr>
          <w:fldChar w:fldCharType="begin"/>
        </w:r>
        <w:r>
          <w:rPr>
            <w:webHidden/>
          </w:rPr>
          <w:instrText xml:space="preserve"> PAGEREF _Toc231982341 \h </w:instrText>
        </w:r>
        <w:r>
          <w:rPr>
            <w:webHidden/>
          </w:rPr>
        </w:r>
        <w:r>
          <w:rPr>
            <w:webHidden/>
          </w:rPr>
          <w:fldChar w:fldCharType="separate"/>
        </w:r>
        <w:r w:rsidR="00536048">
          <w:rPr>
            <w:webHidden/>
          </w:rPr>
          <w:t>145</w:t>
        </w:r>
        <w:r>
          <w:rPr>
            <w:webHidden/>
          </w:rPr>
          <w:fldChar w:fldCharType="end"/>
        </w:r>
      </w:hyperlink>
    </w:p>
    <w:p w14:paraId="237EEF02" w14:textId="5B2C5CDE"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42" w:history="1">
        <w:r w:rsidRPr="00D10390">
          <w:rPr>
            <w:rStyle w:val="Hyperlink"/>
          </w:rPr>
          <w:t>21.1</w:t>
        </w:r>
        <w:r>
          <w:rPr>
            <w:rFonts w:asciiTheme="minorHAnsi" w:eastAsiaTheme="minorEastAsia" w:hAnsiTheme="minorHAnsi" w:cstheme="minorBidi"/>
            <w:kern w:val="2"/>
            <w:sz w:val="24"/>
            <w:szCs w:val="24"/>
            <w:lang w:eastAsia="en-AU"/>
            <w14:ligatures w14:val="standardContextual"/>
          </w:rPr>
          <w:tab/>
        </w:r>
        <w:r w:rsidRPr="00D10390">
          <w:rPr>
            <w:rStyle w:val="Hyperlink"/>
          </w:rPr>
          <w:t>Consumer, carer and community participation</w:t>
        </w:r>
        <w:r>
          <w:rPr>
            <w:webHidden/>
          </w:rPr>
          <w:tab/>
        </w:r>
        <w:r>
          <w:rPr>
            <w:webHidden/>
          </w:rPr>
          <w:fldChar w:fldCharType="begin"/>
        </w:r>
        <w:r>
          <w:rPr>
            <w:webHidden/>
          </w:rPr>
          <w:instrText xml:space="preserve"> PAGEREF _Toc231982342 \h </w:instrText>
        </w:r>
        <w:r>
          <w:rPr>
            <w:webHidden/>
          </w:rPr>
        </w:r>
        <w:r>
          <w:rPr>
            <w:webHidden/>
          </w:rPr>
          <w:fldChar w:fldCharType="separate"/>
        </w:r>
        <w:r w:rsidR="00536048">
          <w:rPr>
            <w:webHidden/>
          </w:rPr>
          <w:t>145</w:t>
        </w:r>
        <w:r>
          <w:rPr>
            <w:webHidden/>
          </w:rPr>
          <w:fldChar w:fldCharType="end"/>
        </w:r>
      </w:hyperlink>
    </w:p>
    <w:p w14:paraId="57A3D5AC" w14:textId="15F20E59"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43" w:history="1">
        <w:r w:rsidRPr="00D10390">
          <w:rPr>
            <w:rStyle w:val="Hyperlink"/>
          </w:rPr>
          <w:t>21.2</w:t>
        </w:r>
        <w:r>
          <w:rPr>
            <w:rFonts w:asciiTheme="minorHAnsi" w:eastAsiaTheme="minorEastAsia" w:hAnsiTheme="minorHAnsi" w:cstheme="minorBidi"/>
            <w:kern w:val="2"/>
            <w:sz w:val="24"/>
            <w:szCs w:val="24"/>
            <w:lang w:eastAsia="en-AU"/>
            <w14:ligatures w14:val="standardContextual"/>
          </w:rPr>
          <w:tab/>
        </w:r>
        <w:r w:rsidRPr="00D10390">
          <w:rPr>
            <w:rStyle w:val="Hyperlink"/>
          </w:rPr>
          <w:t>Victoria’s health experience</w:t>
        </w:r>
        <w:r>
          <w:rPr>
            <w:webHidden/>
          </w:rPr>
          <w:tab/>
        </w:r>
        <w:r>
          <w:rPr>
            <w:webHidden/>
          </w:rPr>
          <w:fldChar w:fldCharType="begin"/>
        </w:r>
        <w:r>
          <w:rPr>
            <w:webHidden/>
          </w:rPr>
          <w:instrText xml:space="preserve"> PAGEREF _Toc231982343 \h </w:instrText>
        </w:r>
        <w:r>
          <w:rPr>
            <w:webHidden/>
          </w:rPr>
        </w:r>
        <w:r>
          <w:rPr>
            <w:webHidden/>
          </w:rPr>
          <w:fldChar w:fldCharType="separate"/>
        </w:r>
        <w:r w:rsidR="00536048">
          <w:rPr>
            <w:webHidden/>
          </w:rPr>
          <w:t>146</w:t>
        </w:r>
        <w:r>
          <w:rPr>
            <w:webHidden/>
          </w:rPr>
          <w:fldChar w:fldCharType="end"/>
        </w:r>
      </w:hyperlink>
    </w:p>
    <w:p w14:paraId="43491F4B" w14:textId="14E38135"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44" w:history="1">
        <w:r w:rsidRPr="00D10390">
          <w:rPr>
            <w:rStyle w:val="Hyperlink"/>
          </w:rPr>
          <w:t>21.3</w:t>
        </w:r>
        <w:r>
          <w:rPr>
            <w:rFonts w:asciiTheme="minorHAnsi" w:eastAsiaTheme="minorEastAsia" w:hAnsiTheme="minorHAnsi" w:cstheme="minorBidi"/>
            <w:kern w:val="2"/>
            <w:sz w:val="24"/>
            <w:szCs w:val="24"/>
            <w:lang w:eastAsia="en-AU"/>
            <w14:ligatures w14:val="standardContextual"/>
          </w:rPr>
          <w:tab/>
        </w:r>
        <w:r w:rsidRPr="00D10390">
          <w:rPr>
            <w:rStyle w:val="Hyperlink"/>
          </w:rPr>
          <w:t>Health service community advisory committees</w:t>
        </w:r>
        <w:r>
          <w:rPr>
            <w:webHidden/>
          </w:rPr>
          <w:tab/>
        </w:r>
        <w:r>
          <w:rPr>
            <w:webHidden/>
          </w:rPr>
          <w:fldChar w:fldCharType="begin"/>
        </w:r>
        <w:r>
          <w:rPr>
            <w:webHidden/>
          </w:rPr>
          <w:instrText xml:space="preserve"> PAGEREF _Toc231982344 \h </w:instrText>
        </w:r>
        <w:r>
          <w:rPr>
            <w:webHidden/>
          </w:rPr>
        </w:r>
        <w:r>
          <w:rPr>
            <w:webHidden/>
          </w:rPr>
          <w:fldChar w:fldCharType="separate"/>
        </w:r>
        <w:r w:rsidR="00536048">
          <w:rPr>
            <w:webHidden/>
          </w:rPr>
          <w:t>147</w:t>
        </w:r>
        <w:r>
          <w:rPr>
            <w:webHidden/>
          </w:rPr>
          <w:fldChar w:fldCharType="end"/>
        </w:r>
      </w:hyperlink>
    </w:p>
    <w:p w14:paraId="67426B17" w14:textId="5B50E578"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45" w:history="1">
        <w:r w:rsidRPr="00D10390">
          <w:rPr>
            <w:rStyle w:val="Hyperlink"/>
          </w:rPr>
          <w:t>21.4</w:t>
        </w:r>
        <w:r>
          <w:rPr>
            <w:rFonts w:asciiTheme="minorHAnsi" w:eastAsiaTheme="minorEastAsia" w:hAnsiTheme="minorHAnsi" w:cstheme="minorBidi"/>
            <w:kern w:val="2"/>
            <w:sz w:val="24"/>
            <w:szCs w:val="24"/>
            <w:lang w:eastAsia="en-AU"/>
            <w14:ligatures w14:val="standardContextual"/>
          </w:rPr>
          <w:tab/>
        </w:r>
        <w:r w:rsidRPr="00D10390">
          <w:rPr>
            <w:rStyle w:val="Hyperlink"/>
          </w:rPr>
          <w:t>Partnerships</w:t>
        </w:r>
        <w:r>
          <w:rPr>
            <w:webHidden/>
          </w:rPr>
          <w:tab/>
        </w:r>
        <w:r>
          <w:rPr>
            <w:webHidden/>
          </w:rPr>
          <w:fldChar w:fldCharType="begin"/>
        </w:r>
        <w:r>
          <w:rPr>
            <w:webHidden/>
          </w:rPr>
          <w:instrText xml:space="preserve"> PAGEREF _Toc231982345 \h </w:instrText>
        </w:r>
        <w:r>
          <w:rPr>
            <w:webHidden/>
          </w:rPr>
        </w:r>
        <w:r>
          <w:rPr>
            <w:webHidden/>
          </w:rPr>
          <w:fldChar w:fldCharType="separate"/>
        </w:r>
        <w:r w:rsidR="00536048">
          <w:rPr>
            <w:webHidden/>
          </w:rPr>
          <w:t>147</w:t>
        </w:r>
        <w:r>
          <w:rPr>
            <w:webHidden/>
          </w:rPr>
          <w:fldChar w:fldCharType="end"/>
        </w:r>
      </w:hyperlink>
    </w:p>
    <w:p w14:paraId="7A13524E" w14:textId="21F1390B"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46" w:history="1">
        <w:r w:rsidRPr="00D10390">
          <w:rPr>
            <w:rStyle w:val="Hyperlink"/>
          </w:rPr>
          <w:t>21.5</w:t>
        </w:r>
        <w:r>
          <w:rPr>
            <w:rFonts w:asciiTheme="minorHAnsi" w:eastAsiaTheme="minorEastAsia" w:hAnsiTheme="minorHAnsi" w:cstheme="minorBidi"/>
            <w:kern w:val="2"/>
            <w:sz w:val="24"/>
            <w:szCs w:val="24"/>
            <w:lang w:eastAsia="en-AU"/>
            <w14:ligatures w14:val="standardContextual"/>
          </w:rPr>
          <w:tab/>
        </w:r>
        <w:r w:rsidRPr="00D10390">
          <w:rPr>
            <w:rStyle w:val="Hyperlink"/>
          </w:rPr>
          <w:t>Complaint management</w:t>
        </w:r>
        <w:r>
          <w:rPr>
            <w:webHidden/>
          </w:rPr>
          <w:tab/>
        </w:r>
        <w:r>
          <w:rPr>
            <w:webHidden/>
          </w:rPr>
          <w:fldChar w:fldCharType="begin"/>
        </w:r>
        <w:r>
          <w:rPr>
            <w:webHidden/>
          </w:rPr>
          <w:instrText xml:space="preserve"> PAGEREF _Toc231982346 \h </w:instrText>
        </w:r>
        <w:r>
          <w:rPr>
            <w:webHidden/>
          </w:rPr>
        </w:r>
        <w:r>
          <w:rPr>
            <w:webHidden/>
          </w:rPr>
          <w:fldChar w:fldCharType="separate"/>
        </w:r>
        <w:r w:rsidR="00536048">
          <w:rPr>
            <w:webHidden/>
          </w:rPr>
          <w:t>147</w:t>
        </w:r>
        <w:r>
          <w:rPr>
            <w:webHidden/>
          </w:rPr>
          <w:fldChar w:fldCharType="end"/>
        </w:r>
      </w:hyperlink>
    </w:p>
    <w:p w14:paraId="52496B54" w14:textId="01848584"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47" w:history="1">
        <w:r w:rsidRPr="00D10390">
          <w:rPr>
            <w:rStyle w:val="Hyperlink"/>
          </w:rPr>
          <w:t>21.6</w:t>
        </w:r>
        <w:r>
          <w:rPr>
            <w:rFonts w:asciiTheme="minorHAnsi" w:eastAsiaTheme="minorEastAsia" w:hAnsiTheme="minorHAnsi" w:cstheme="minorBidi"/>
            <w:kern w:val="2"/>
            <w:sz w:val="24"/>
            <w:szCs w:val="24"/>
            <w:lang w:eastAsia="en-AU"/>
            <w14:ligatures w14:val="standardContextual"/>
          </w:rPr>
          <w:tab/>
        </w:r>
        <w:r w:rsidRPr="00D10390">
          <w:rPr>
            <w:rStyle w:val="Hyperlink"/>
          </w:rPr>
          <w:t>Historical forced adoption</w:t>
        </w:r>
        <w:r>
          <w:rPr>
            <w:webHidden/>
          </w:rPr>
          <w:tab/>
        </w:r>
        <w:r>
          <w:rPr>
            <w:webHidden/>
          </w:rPr>
          <w:fldChar w:fldCharType="begin"/>
        </w:r>
        <w:r>
          <w:rPr>
            <w:webHidden/>
          </w:rPr>
          <w:instrText xml:space="preserve"> PAGEREF _Toc231982347 \h </w:instrText>
        </w:r>
        <w:r>
          <w:rPr>
            <w:webHidden/>
          </w:rPr>
        </w:r>
        <w:r>
          <w:rPr>
            <w:webHidden/>
          </w:rPr>
          <w:fldChar w:fldCharType="separate"/>
        </w:r>
        <w:r w:rsidR="00536048">
          <w:rPr>
            <w:webHidden/>
          </w:rPr>
          <w:t>148</w:t>
        </w:r>
        <w:r>
          <w:rPr>
            <w:webHidden/>
          </w:rPr>
          <w:fldChar w:fldCharType="end"/>
        </w:r>
      </w:hyperlink>
    </w:p>
    <w:p w14:paraId="65A74C0E" w14:textId="42759CDB"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48" w:history="1">
        <w:r w:rsidRPr="00D10390">
          <w:rPr>
            <w:rStyle w:val="Hyperlink"/>
          </w:rPr>
          <w:t>22</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Financial requirements</w:t>
        </w:r>
        <w:r>
          <w:rPr>
            <w:webHidden/>
          </w:rPr>
          <w:tab/>
        </w:r>
        <w:r>
          <w:rPr>
            <w:webHidden/>
          </w:rPr>
          <w:fldChar w:fldCharType="begin"/>
        </w:r>
        <w:r>
          <w:rPr>
            <w:webHidden/>
          </w:rPr>
          <w:instrText xml:space="preserve"> PAGEREF _Toc231982348 \h </w:instrText>
        </w:r>
        <w:r>
          <w:rPr>
            <w:webHidden/>
          </w:rPr>
        </w:r>
        <w:r>
          <w:rPr>
            <w:webHidden/>
          </w:rPr>
          <w:fldChar w:fldCharType="separate"/>
        </w:r>
        <w:r w:rsidR="00536048">
          <w:rPr>
            <w:webHidden/>
          </w:rPr>
          <w:t>149</w:t>
        </w:r>
        <w:r>
          <w:rPr>
            <w:webHidden/>
          </w:rPr>
          <w:fldChar w:fldCharType="end"/>
        </w:r>
      </w:hyperlink>
    </w:p>
    <w:p w14:paraId="5E1DAD6B" w14:textId="2D73D880"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49" w:history="1">
        <w:r w:rsidRPr="00D10390">
          <w:rPr>
            <w:rStyle w:val="Hyperlink"/>
          </w:rPr>
          <w:t>22.1</w:t>
        </w:r>
        <w:r>
          <w:rPr>
            <w:rFonts w:asciiTheme="minorHAnsi" w:eastAsiaTheme="minorEastAsia" w:hAnsiTheme="minorHAnsi" w:cstheme="minorBidi"/>
            <w:kern w:val="2"/>
            <w:sz w:val="24"/>
            <w:szCs w:val="24"/>
            <w:lang w:eastAsia="en-AU"/>
            <w14:ligatures w14:val="standardContextual"/>
          </w:rPr>
          <w:tab/>
        </w:r>
        <w:r w:rsidRPr="00D10390">
          <w:rPr>
            <w:rStyle w:val="Hyperlink"/>
          </w:rPr>
          <w:t>Health service procurement and purchasing requirements</w:t>
        </w:r>
        <w:r>
          <w:rPr>
            <w:webHidden/>
          </w:rPr>
          <w:tab/>
        </w:r>
        <w:r>
          <w:rPr>
            <w:webHidden/>
          </w:rPr>
          <w:fldChar w:fldCharType="begin"/>
        </w:r>
        <w:r>
          <w:rPr>
            <w:webHidden/>
          </w:rPr>
          <w:instrText xml:space="preserve"> PAGEREF _Toc231982349 \h </w:instrText>
        </w:r>
        <w:r>
          <w:rPr>
            <w:webHidden/>
          </w:rPr>
        </w:r>
        <w:r>
          <w:rPr>
            <w:webHidden/>
          </w:rPr>
          <w:fldChar w:fldCharType="separate"/>
        </w:r>
        <w:r w:rsidR="00536048">
          <w:rPr>
            <w:webHidden/>
          </w:rPr>
          <w:t>149</w:t>
        </w:r>
        <w:r>
          <w:rPr>
            <w:webHidden/>
          </w:rPr>
          <w:fldChar w:fldCharType="end"/>
        </w:r>
      </w:hyperlink>
    </w:p>
    <w:p w14:paraId="3392D723" w14:textId="688E2AC6"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50" w:history="1">
        <w:r w:rsidRPr="00D10390">
          <w:rPr>
            <w:rStyle w:val="Hyperlink"/>
          </w:rPr>
          <w:t>22.2</w:t>
        </w:r>
        <w:r>
          <w:rPr>
            <w:rFonts w:asciiTheme="minorHAnsi" w:eastAsiaTheme="minorEastAsia" w:hAnsiTheme="minorHAnsi" w:cstheme="minorBidi"/>
            <w:kern w:val="2"/>
            <w:sz w:val="24"/>
            <w:szCs w:val="24"/>
            <w:lang w:eastAsia="en-AU"/>
            <w14:ligatures w14:val="standardContextual"/>
          </w:rPr>
          <w:tab/>
        </w:r>
        <w:r w:rsidRPr="00D10390">
          <w:rPr>
            <w:rStyle w:val="Hyperlink"/>
          </w:rPr>
          <w:t>Compliance with financial requirements</w:t>
        </w:r>
        <w:r>
          <w:rPr>
            <w:webHidden/>
          </w:rPr>
          <w:tab/>
        </w:r>
        <w:r>
          <w:rPr>
            <w:webHidden/>
          </w:rPr>
          <w:fldChar w:fldCharType="begin"/>
        </w:r>
        <w:r>
          <w:rPr>
            <w:webHidden/>
          </w:rPr>
          <w:instrText xml:space="preserve"> PAGEREF _Toc231982350 \h </w:instrText>
        </w:r>
        <w:r>
          <w:rPr>
            <w:webHidden/>
          </w:rPr>
        </w:r>
        <w:r>
          <w:rPr>
            <w:webHidden/>
          </w:rPr>
          <w:fldChar w:fldCharType="separate"/>
        </w:r>
        <w:r w:rsidR="00536048">
          <w:rPr>
            <w:webHidden/>
          </w:rPr>
          <w:t>150</w:t>
        </w:r>
        <w:r>
          <w:rPr>
            <w:webHidden/>
          </w:rPr>
          <w:fldChar w:fldCharType="end"/>
        </w:r>
      </w:hyperlink>
    </w:p>
    <w:p w14:paraId="23541775" w14:textId="6765CA77"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51" w:history="1">
        <w:r w:rsidRPr="00D10390">
          <w:rPr>
            <w:rStyle w:val="Hyperlink"/>
          </w:rPr>
          <w:t>22.3</w:t>
        </w:r>
        <w:r>
          <w:rPr>
            <w:rFonts w:asciiTheme="minorHAnsi" w:eastAsiaTheme="minorEastAsia" w:hAnsiTheme="minorHAnsi" w:cstheme="minorBidi"/>
            <w:kern w:val="2"/>
            <w:sz w:val="24"/>
            <w:szCs w:val="24"/>
            <w:lang w:eastAsia="en-AU"/>
            <w14:ligatures w14:val="standardContextual"/>
          </w:rPr>
          <w:tab/>
        </w:r>
        <w:r w:rsidRPr="00D10390">
          <w:rPr>
            <w:rStyle w:val="Hyperlink"/>
          </w:rPr>
          <w:t>Goods and services tax</w:t>
        </w:r>
        <w:r>
          <w:rPr>
            <w:webHidden/>
          </w:rPr>
          <w:tab/>
        </w:r>
        <w:r>
          <w:rPr>
            <w:webHidden/>
          </w:rPr>
          <w:fldChar w:fldCharType="begin"/>
        </w:r>
        <w:r>
          <w:rPr>
            <w:webHidden/>
          </w:rPr>
          <w:instrText xml:space="preserve"> PAGEREF _Toc231982351 \h </w:instrText>
        </w:r>
        <w:r>
          <w:rPr>
            <w:webHidden/>
          </w:rPr>
        </w:r>
        <w:r>
          <w:rPr>
            <w:webHidden/>
          </w:rPr>
          <w:fldChar w:fldCharType="separate"/>
        </w:r>
        <w:r w:rsidR="00536048">
          <w:rPr>
            <w:webHidden/>
          </w:rPr>
          <w:t>152</w:t>
        </w:r>
        <w:r>
          <w:rPr>
            <w:webHidden/>
          </w:rPr>
          <w:fldChar w:fldCharType="end"/>
        </w:r>
      </w:hyperlink>
    </w:p>
    <w:p w14:paraId="6C14B0C1" w14:textId="1F3008B2"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52" w:history="1">
        <w:r w:rsidRPr="00D10390">
          <w:rPr>
            <w:rStyle w:val="Hyperlink"/>
          </w:rPr>
          <w:t>23</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Asset and environmental management</w:t>
        </w:r>
        <w:r>
          <w:rPr>
            <w:webHidden/>
          </w:rPr>
          <w:tab/>
        </w:r>
        <w:r>
          <w:rPr>
            <w:webHidden/>
          </w:rPr>
          <w:fldChar w:fldCharType="begin"/>
        </w:r>
        <w:r>
          <w:rPr>
            <w:webHidden/>
          </w:rPr>
          <w:instrText xml:space="preserve"> PAGEREF _Toc231982352 \h </w:instrText>
        </w:r>
        <w:r>
          <w:rPr>
            <w:webHidden/>
          </w:rPr>
        </w:r>
        <w:r>
          <w:rPr>
            <w:webHidden/>
          </w:rPr>
          <w:fldChar w:fldCharType="separate"/>
        </w:r>
        <w:r w:rsidR="00536048">
          <w:rPr>
            <w:webHidden/>
          </w:rPr>
          <w:t>153</w:t>
        </w:r>
        <w:r>
          <w:rPr>
            <w:webHidden/>
          </w:rPr>
          <w:fldChar w:fldCharType="end"/>
        </w:r>
      </w:hyperlink>
    </w:p>
    <w:p w14:paraId="70CDC05D" w14:textId="11EF86D0"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53" w:history="1">
        <w:r w:rsidRPr="00D10390">
          <w:rPr>
            <w:rStyle w:val="Hyperlink"/>
          </w:rPr>
          <w:t>23.1</w:t>
        </w:r>
        <w:r>
          <w:rPr>
            <w:rFonts w:asciiTheme="minorHAnsi" w:eastAsiaTheme="minorEastAsia" w:hAnsiTheme="minorHAnsi" w:cstheme="minorBidi"/>
            <w:kern w:val="2"/>
            <w:sz w:val="24"/>
            <w:szCs w:val="24"/>
            <w:lang w:eastAsia="en-AU"/>
            <w14:ligatures w14:val="standardContextual"/>
          </w:rPr>
          <w:tab/>
        </w:r>
        <w:r w:rsidRPr="00D10390">
          <w:rPr>
            <w:rStyle w:val="Hyperlink"/>
          </w:rPr>
          <w:t>Asset management strategy and planning</w:t>
        </w:r>
        <w:r>
          <w:rPr>
            <w:webHidden/>
          </w:rPr>
          <w:tab/>
        </w:r>
        <w:r>
          <w:rPr>
            <w:webHidden/>
          </w:rPr>
          <w:fldChar w:fldCharType="begin"/>
        </w:r>
        <w:r>
          <w:rPr>
            <w:webHidden/>
          </w:rPr>
          <w:instrText xml:space="preserve"> PAGEREF _Toc231982353 \h </w:instrText>
        </w:r>
        <w:r>
          <w:rPr>
            <w:webHidden/>
          </w:rPr>
        </w:r>
        <w:r>
          <w:rPr>
            <w:webHidden/>
          </w:rPr>
          <w:fldChar w:fldCharType="separate"/>
        </w:r>
        <w:r w:rsidR="00536048">
          <w:rPr>
            <w:webHidden/>
          </w:rPr>
          <w:t>153</w:t>
        </w:r>
        <w:r>
          <w:rPr>
            <w:webHidden/>
          </w:rPr>
          <w:fldChar w:fldCharType="end"/>
        </w:r>
      </w:hyperlink>
    </w:p>
    <w:p w14:paraId="2059B17D" w14:textId="28E0C323"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54" w:history="1">
        <w:r w:rsidRPr="00D10390">
          <w:rPr>
            <w:rStyle w:val="Hyperlink"/>
          </w:rPr>
          <w:t>23.2</w:t>
        </w:r>
        <w:r>
          <w:rPr>
            <w:rFonts w:asciiTheme="minorHAnsi" w:eastAsiaTheme="minorEastAsia" w:hAnsiTheme="minorHAnsi" w:cstheme="minorBidi"/>
            <w:kern w:val="2"/>
            <w:sz w:val="24"/>
            <w:szCs w:val="24"/>
            <w:lang w:eastAsia="en-AU"/>
            <w14:ligatures w14:val="standardContextual"/>
          </w:rPr>
          <w:tab/>
        </w:r>
        <w:r w:rsidRPr="00D10390">
          <w:rPr>
            <w:rStyle w:val="Hyperlink"/>
          </w:rPr>
          <w:t>Property portfolio management</w:t>
        </w:r>
        <w:r>
          <w:rPr>
            <w:webHidden/>
          </w:rPr>
          <w:tab/>
        </w:r>
        <w:r>
          <w:rPr>
            <w:webHidden/>
          </w:rPr>
          <w:fldChar w:fldCharType="begin"/>
        </w:r>
        <w:r>
          <w:rPr>
            <w:webHidden/>
          </w:rPr>
          <w:instrText xml:space="preserve"> PAGEREF _Toc231982354 \h </w:instrText>
        </w:r>
        <w:r>
          <w:rPr>
            <w:webHidden/>
          </w:rPr>
        </w:r>
        <w:r>
          <w:rPr>
            <w:webHidden/>
          </w:rPr>
          <w:fldChar w:fldCharType="separate"/>
        </w:r>
        <w:r w:rsidR="00536048">
          <w:rPr>
            <w:webHidden/>
          </w:rPr>
          <w:t>155</w:t>
        </w:r>
        <w:r>
          <w:rPr>
            <w:webHidden/>
          </w:rPr>
          <w:fldChar w:fldCharType="end"/>
        </w:r>
      </w:hyperlink>
    </w:p>
    <w:p w14:paraId="2BFACC12" w14:textId="4879DC9E"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55" w:history="1">
        <w:r w:rsidRPr="00D10390">
          <w:rPr>
            <w:rStyle w:val="Hyperlink"/>
          </w:rPr>
          <w:t>23.3</w:t>
        </w:r>
        <w:r>
          <w:rPr>
            <w:rFonts w:asciiTheme="minorHAnsi" w:eastAsiaTheme="minorEastAsia" w:hAnsiTheme="minorHAnsi" w:cstheme="minorBidi"/>
            <w:kern w:val="2"/>
            <w:sz w:val="24"/>
            <w:szCs w:val="24"/>
            <w:lang w:eastAsia="en-AU"/>
            <w14:ligatures w14:val="standardContextual"/>
          </w:rPr>
          <w:tab/>
        </w:r>
        <w:r w:rsidRPr="00D10390">
          <w:rPr>
            <w:rStyle w:val="Hyperlink"/>
          </w:rPr>
          <w:t>Asset maintenance</w:t>
        </w:r>
        <w:r>
          <w:rPr>
            <w:webHidden/>
          </w:rPr>
          <w:tab/>
        </w:r>
        <w:r>
          <w:rPr>
            <w:webHidden/>
          </w:rPr>
          <w:fldChar w:fldCharType="begin"/>
        </w:r>
        <w:r>
          <w:rPr>
            <w:webHidden/>
          </w:rPr>
          <w:instrText xml:space="preserve"> PAGEREF _Toc231982355 \h </w:instrText>
        </w:r>
        <w:r>
          <w:rPr>
            <w:webHidden/>
          </w:rPr>
        </w:r>
        <w:r>
          <w:rPr>
            <w:webHidden/>
          </w:rPr>
          <w:fldChar w:fldCharType="separate"/>
        </w:r>
        <w:r w:rsidR="00536048">
          <w:rPr>
            <w:webHidden/>
          </w:rPr>
          <w:t>156</w:t>
        </w:r>
        <w:r>
          <w:rPr>
            <w:webHidden/>
          </w:rPr>
          <w:fldChar w:fldCharType="end"/>
        </w:r>
      </w:hyperlink>
    </w:p>
    <w:p w14:paraId="4F73A934" w14:textId="02DD74D4"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56" w:history="1">
        <w:r w:rsidRPr="00D10390">
          <w:rPr>
            <w:rStyle w:val="Hyperlink"/>
          </w:rPr>
          <w:t>23.4</w:t>
        </w:r>
        <w:r>
          <w:rPr>
            <w:rFonts w:asciiTheme="minorHAnsi" w:eastAsiaTheme="minorEastAsia" w:hAnsiTheme="minorHAnsi" w:cstheme="minorBidi"/>
            <w:kern w:val="2"/>
            <w:sz w:val="24"/>
            <w:szCs w:val="24"/>
            <w:lang w:eastAsia="en-AU"/>
            <w14:ligatures w14:val="standardContextual"/>
          </w:rPr>
          <w:tab/>
        </w:r>
        <w:r w:rsidRPr="00D10390">
          <w:rPr>
            <w:rStyle w:val="Hyperlink"/>
          </w:rPr>
          <w:t>Critical asset service failure</w:t>
        </w:r>
        <w:r>
          <w:rPr>
            <w:webHidden/>
          </w:rPr>
          <w:tab/>
        </w:r>
        <w:r>
          <w:rPr>
            <w:webHidden/>
          </w:rPr>
          <w:fldChar w:fldCharType="begin"/>
        </w:r>
        <w:r>
          <w:rPr>
            <w:webHidden/>
          </w:rPr>
          <w:instrText xml:space="preserve"> PAGEREF _Toc231982356 \h </w:instrText>
        </w:r>
        <w:r>
          <w:rPr>
            <w:webHidden/>
          </w:rPr>
        </w:r>
        <w:r>
          <w:rPr>
            <w:webHidden/>
          </w:rPr>
          <w:fldChar w:fldCharType="separate"/>
        </w:r>
        <w:r w:rsidR="00536048">
          <w:rPr>
            <w:webHidden/>
          </w:rPr>
          <w:t>157</w:t>
        </w:r>
        <w:r>
          <w:rPr>
            <w:webHidden/>
          </w:rPr>
          <w:fldChar w:fldCharType="end"/>
        </w:r>
      </w:hyperlink>
    </w:p>
    <w:p w14:paraId="232F017D" w14:textId="44054E3C"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57" w:history="1">
        <w:r w:rsidRPr="00D10390">
          <w:rPr>
            <w:rStyle w:val="Hyperlink"/>
          </w:rPr>
          <w:t>23.5</w:t>
        </w:r>
        <w:r>
          <w:rPr>
            <w:rFonts w:asciiTheme="minorHAnsi" w:eastAsiaTheme="minorEastAsia" w:hAnsiTheme="minorHAnsi" w:cstheme="minorBidi"/>
            <w:kern w:val="2"/>
            <w:sz w:val="24"/>
            <w:szCs w:val="24"/>
            <w:lang w:eastAsia="en-AU"/>
            <w14:ligatures w14:val="standardContextual"/>
          </w:rPr>
          <w:tab/>
        </w:r>
        <w:r w:rsidRPr="00D10390">
          <w:rPr>
            <w:rStyle w:val="Hyperlink"/>
          </w:rPr>
          <w:t>Health service environmental management and sustainability</w:t>
        </w:r>
        <w:r>
          <w:rPr>
            <w:webHidden/>
          </w:rPr>
          <w:tab/>
        </w:r>
        <w:r>
          <w:rPr>
            <w:webHidden/>
          </w:rPr>
          <w:fldChar w:fldCharType="begin"/>
        </w:r>
        <w:r>
          <w:rPr>
            <w:webHidden/>
          </w:rPr>
          <w:instrText xml:space="preserve"> PAGEREF _Toc231982357 \h </w:instrText>
        </w:r>
        <w:r>
          <w:rPr>
            <w:webHidden/>
          </w:rPr>
        </w:r>
        <w:r>
          <w:rPr>
            <w:webHidden/>
          </w:rPr>
          <w:fldChar w:fldCharType="separate"/>
        </w:r>
        <w:r w:rsidR="00536048">
          <w:rPr>
            <w:webHidden/>
          </w:rPr>
          <w:t>157</w:t>
        </w:r>
        <w:r>
          <w:rPr>
            <w:webHidden/>
          </w:rPr>
          <w:fldChar w:fldCharType="end"/>
        </w:r>
      </w:hyperlink>
    </w:p>
    <w:p w14:paraId="5D58EAD4" w14:textId="029103F9"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58" w:history="1">
        <w:r w:rsidRPr="00D10390">
          <w:rPr>
            <w:rStyle w:val="Hyperlink"/>
          </w:rPr>
          <w:t>24</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Digital health</w:t>
        </w:r>
        <w:r>
          <w:rPr>
            <w:webHidden/>
          </w:rPr>
          <w:tab/>
        </w:r>
        <w:r>
          <w:rPr>
            <w:webHidden/>
          </w:rPr>
          <w:fldChar w:fldCharType="begin"/>
        </w:r>
        <w:r>
          <w:rPr>
            <w:webHidden/>
          </w:rPr>
          <w:instrText xml:space="preserve"> PAGEREF _Toc231982358 \h </w:instrText>
        </w:r>
        <w:r>
          <w:rPr>
            <w:webHidden/>
          </w:rPr>
        </w:r>
        <w:r>
          <w:rPr>
            <w:webHidden/>
          </w:rPr>
          <w:fldChar w:fldCharType="separate"/>
        </w:r>
        <w:r w:rsidR="00536048">
          <w:rPr>
            <w:webHidden/>
          </w:rPr>
          <w:t>160</w:t>
        </w:r>
        <w:r>
          <w:rPr>
            <w:webHidden/>
          </w:rPr>
          <w:fldChar w:fldCharType="end"/>
        </w:r>
      </w:hyperlink>
    </w:p>
    <w:p w14:paraId="3735BFBA" w14:textId="642DE596"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59" w:history="1">
        <w:r w:rsidRPr="00D10390">
          <w:rPr>
            <w:rStyle w:val="Hyperlink"/>
          </w:rPr>
          <w:t>24.1</w:t>
        </w:r>
        <w:r>
          <w:rPr>
            <w:rFonts w:asciiTheme="minorHAnsi" w:eastAsiaTheme="minorEastAsia" w:hAnsiTheme="minorHAnsi" w:cstheme="minorBidi"/>
            <w:kern w:val="2"/>
            <w:sz w:val="24"/>
            <w:szCs w:val="24"/>
            <w:lang w:eastAsia="en-AU"/>
            <w14:ligatures w14:val="standardContextual"/>
          </w:rPr>
          <w:tab/>
        </w:r>
        <w:r w:rsidRPr="00D10390">
          <w:rPr>
            <w:rStyle w:val="Hyperlink"/>
          </w:rPr>
          <w:t>Role of the Department of Health</w:t>
        </w:r>
        <w:r>
          <w:rPr>
            <w:webHidden/>
          </w:rPr>
          <w:tab/>
        </w:r>
        <w:r>
          <w:rPr>
            <w:webHidden/>
          </w:rPr>
          <w:fldChar w:fldCharType="begin"/>
        </w:r>
        <w:r>
          <w:rPr>
            <w:webHidden/>
          </w:rPr>
          <w:instrText xml:space="preserve"> PAGEREF _Toc231982359 \h </w:instrText>
        </w:r>
        <w:r>
          <w:rPr>
            <w:webHidden/>
          </w:rPr>
        </w:r>
        <w:r>
          <w:rPr>
            <w:webHidden/>
          </w:rPr>
          <w:fldChar w:fldCharType="separate"/>
        </w:r>
        <w:r w:rsidR="00536048">
          <w:rPr>
            <w:webHidden/>
          </w:rPr>
          <w:t>160</w:t>
        </w:r>
        <w:r>
          <w:rPr>
            <w:webHidden/>
          </w:rPr>
          <w:fldChar w:fldCharType="end"/>
        </w:r>
      </w:hyperlink>
    </w:p>
    <w:p w14:paraId="24090DF3" w14:textId="577F7569"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60" w:history="1">
        <w:r w:rsidRPr="00D10390">
          <w:rPr>
            <w:rStyle w:val="Hyperlink"/>
          </w:rPr>
          <w:t>24.2</w:t>
        </w:r>
        <w:r>
          <w:rPr>
            <w:rFonts w:asciiTheme="minorHAnsi" w:eastAsiaTheme="minorEastAsia" w:hAnsiTheme="minorHAnsi" w:cstheme="minorBidi"/>
            <w:kern w:val="2"/>
            <w:sz w:val="24"/>
            <w:szCs w:val="24"/>
            <w:lang w:eastAsia="en-AU"/>
            <w14:ligatures w14:val="standardContextual"/>
          </w:rPr>
          <w:tab/>
        </w:r>
        <w:r w:rsidRPr="00D10390">
          <w:rPr>
            <w:rStyle w:val="Hyperlink"/>
          </w:rPr>
          <w:t>Governance</w:t>
        </w:r>
        <w:r>
          <w:rPr>
            <w:webHidden/>
          </w:rPr>
          <w:tab/>
        </w:r>
        <w:r>
          <w:rPr>
            <w:webHidden/>
          </w:rPr>
          <w:fldChar w:fldCharType="begin"/>
        </w:r>
        <w:r>
          <w:rPr>
            <w:webHidden/>
          </w:rPr>
          <w:instrText xml:space="preserve"> PAGEREF _Toc231982360 \h </w:instrText>
        </w:r>
        <w:r>
          <w:rPr>
            <w:webHidden/>
          </w:rPr>
        </w:r>
        <w:r>
          <w:rPr>
            <w:webHidden/>
          </w:rPr>
          <w:fldChar w:fldCharType="separate"/>
        </w:r>
        <w:r w:rsidR="00536048">
          <w:rPr>
            <w:webHidden/>
          </w:rPr>
          <w:t>161</w:t>
        </w:r>
        <w:r>
          <w:rPr>
            <w:webHidden/>
          </w:rPr>
          <w:fldChar w:fldCharType="end"/>
        </w:r>
      </w:hyperlink>
    </w:p>
    <w:p w14:paraId="0A68F2C8" w14:textId="5A191376"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61" w:history="1">
        <w:r w:rsidRPr="00D10390">
          <w:rPr>
            <w:rStyle w:val="Hyperlink"/>
          </w:rPr>
          <w:t>24.3</w:t>
        </w:r>
        <w:r>
          <w:rPr>
            <w:rFonts w:asciiTheme="minorHAnsi" w:eastAsiaTheme="minorEastAsia" w:hAnsiTheme="minorHAnsi" w:cstheme="minorBidi"/>
            <w:kern w:val="2"/>
            <w:sz w:val="24"/>
            <w:szCs w:val="24"/>
            <w:lang w:eastAsia="en-AU"/>
            <w14:ligatures w14:val="standardContextual"/>
          </w:rPr>
          <w:tab/>
        </w:r>
        <w:r w:rsidRPr="00D10390">
          <w:rPr>
            <w:rStyle w:val="Hyperlink"/>
          </w:rPr>
          <w:t>Statewide programs</w:t>
        </w:r>
        <w:r>
          <w:rPr>
            <w:webHidden/>
          </w:rPr>
          <w:tab/>
        </w:r>
        <w:r>
          <w:rPr>
            <w:webHidden/>
          </w:rPr>
          <w:fldChar w:fldCharType="begin"/>
        </w:r>
        <w:r>
          <w:rPr>
            <w:webHidden/>
          </w:rPr>
          <w:instrText xml:space="preserve"> PAGEREF _Toc231982361 \h </w:instrText>
        </w:r>
        <w:r>
          <w:rPr>
            <w:webHidden/>
          </w:rPr>
        </w:r>
        <w:r>
          <w:rPr>
            <w:webHidden/>
          </w:rPr>
          <w:fldChar w:fldCharType="separate"/>
        </w:r>
        <w:r w:rsidR="00536048">
          <w:rPr>
            <w:webHidden/>
          </w:rPr>
          <w:t>162</w:t>
        </w:r>
        <w:r>
          <w:rPr>
            <w:webHidden/>
          </w:rPr>
          <w:fldChar w:fldCharType="end"/>
        </w:r>
      </w:hyperlink>
    </w:p>
    <w:p w14:paraId="77368B6A" w14:textId="2F437E02"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62" w:history="1">
        <w:r w:rsidRPr="00D10390">
          <w:rPr>
            <w:rStyle w:val="Hyperlink"/>
          </w:rPr>
          <w:t>24.4</w:t>
        </w:r>
        <w:r>
          <w:rPr>
            <w:rFonts w:asciiTheme="minorHAnsi" w:eastAsiaTheme="minorEastAsia" w:hAnsiTheme="minorHAnsi" w:cstheme="minorBidi"/>
            <w:kern w:val="2"/>
            <w:sz w:val="24"/>
            <w:szCs w:val="24"/>
            <w:lang w:eastAsia="en-AU"/>
            <w14:ligatures w14:val="standardContextual"/>
          </w:rPr>
          <w:tab/>
        </w:r>
        <w:r w:rsidRPr="00D10390">
          <w:rPr>
            <w:rStyle w:val="Hyperlink"/>
          </w:rPr>
          <w:t>Connecting care</w:t>
        </w:r>
        <w:r>
          <w:rPr>
            <w:webHidden/>
          </w:rPr>
          <w:tab/>
        </w:r>
        <w:r>
          <w:rPr>
            <w:webHidden/>
          </w:rPr>
          <w:fldChar w:fldCharType="begin"/>
        </w:r>
        <w:r>
          <w:rPr>
            <w:webHidden/>
          </w:rPr>
          <w:instrText xml:space="preserve"> PAGEREF _Toc231982362 \h </w:instrText>
        </w:r>
        <w:r>
          <w:rPr>
            <w:webHidden/>
          </w:rPr>
        </w:r>
        <w:r>
          <w:rPr>
            <w:webHidden/>
          </w:rPr>
          <w:fldChar w:fldCharType="separate"/>
        </w:r>
        <w:r w:rsidR="00536048">
          <w:rPr>
            <w:webHidden/>
          </w:rPr>
          <w:t>164</w:t>
        </w:r>
        <w:r>
          <w:rPr>
            <w:webHidden/>
          </w:rPr>
          <w:fldChar w:fldCharType="end"/>
        </w:r>
      </w:hyperlink>
    </w:p>
    <w:p w14:paraId="028F5A85" w14:textId="1FC8F104"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63" w:history="1">
        <w:r w:rsidRPr="00D10390">
          <w:rPr>
            <w:rStyle w:val="Hyperlink"/>
          </w:rPr>
          <w:t>24.5</w:t>
        </w:r>
        <w:r>
          <w:rPr>
            <w:rFonts w:asciiTheme="minorHAnsi" w:eastAsiaTheme="minorEastAsia" w:hAnsiTheme="minorHAnsi" w:cstheme="minorBidi"/>
            <w:kern w:val="2"/>
            <w:sz w:val="24"/>
            <w:szCs w:val="24"/>
            <w:lang w:eastAsia="en-AU"/>
            <w14:ligatures w14:val="standardContextual"/>
          </w:rPr>
          <w:tab/>
        </w:r>
        <w:r w:rsidRPr="00D10390">
          <w:rPr>
            <w:rStyle w:val="Hyperlink"/>
          </w:rPr>
          <w:t>ICT and cybersecurity incidents</w:t>
        </w:r>
        <w:r>
          <w:rPr>
            <w:webHidden/>
          </w:rPr>
          <w:tab/>
        </w:r>
        <w:r>
          <w:rPr>
            <w:webHidden/>
          </w:rPr>
          <w:fldChar w:fldCharType="begin"/>
        </w:r>
        <w:r>
          <w:rPr>
            <w:webHidden/>
          </w:rPr>
          <w:instrText xml:space="preserve"> PAGEREF _Toc231982363 \h </w:instrText>
        </w:r>
        <w:r>
          <w:rPr>
            <w:webHidden/>
          </w:rPr>
        </w:r>
        <w:r>
          <w:rPr>
            <w:webHidden/>
          </w:rPr>
          <w:fldChar w:fldCharType="separate"/>
        </w:r>
        <w:r w:rsidR="00536048">
          <w:rPr>
            <w:webHidden/>
          </w:rPr>
          <w:t>168</w:t>
        </w:r>
        <w:r>
          <w:rPr>
            <w:webHidden/>
          </w:rPr>
          <w:fldChar w:fldCharType="end"/>
        </w:r>
      </w:hyperlink>
    </w:p>
    <w:p w14:paraId="50906147" w14:textId="0EC279B6"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64" w:history="1">
        <w:r w:rsidRPr="00D10390">
          <w:rPr>
            <w:rStyle w:val="Hyperlink"/>
          </w:rPr>
          <w:t>24.6</w:t>
        </w:r>
        <w:r>
          <w:rPr>
            <w:rFonts w:asciiTheme="minorHAnsi" w:eastAsiaTheme="minorEastAsia" w:hAnsiTheme="minorHAnsi" w:cstheme="minorBidi"/>
            <w:kern w:val="2"/>
            <w:sz w:val="24"/>
            <w:szCs w:val="24"/>
            <w:lang w:eastAsia="en-AU"/>
            <w14:ligatures w14:val="standardContextual"/>
          </w:rPr>
          <w:tab/>
        </w:r>
        <w:r w:rsidRPr="00D10390">
          <w:rPr>
            <w:rStyle w:val="Hyperlink"/>
          </w:rPr>
          <w:t>Health ICT asset management</w:t>
        </w:r>
        <w:r>
          <w:rPr>
            <w:webHidden/>
          </w:rPr>
          <w:tab/>
        </w:r>
        <w:r>
          <w:rPr>
            <w:webHidden/>
          </w:rPr>
          <w:fldChar w:fldCharType="begin"/>
        </w:r>
        <w:r>
          <w:rPr>
            <w:webHidden/>
          </w:rPr>
          <w:instrText xml:space="preserve"> PAGEREF _Toc231982364 \h </w:instrText>
        </w:r>
        <w:r>
          <w:rPr>
            <w:webHidden/>
          </w:rPr>
        </w:r>
        <w:r>
          <w:rPr>
            <w:webHidden/>
          </w:rPr>
          <w:fldChar w:fldCharType="separate"/>
        </w:r>
        <w:r w:rsidR="00536048">
          <w:rPr>
            <w:webHidden/>
          </w:rPr>
          <w:t>169</w:t>
        </w:r>
        <w:r>
          <w:rPr>
            <w:webHidden/>
          </w:rPr>
          <w:fldChar w:fldCharType="end"/>
        </w:r>
      </w:hyperlink>
    </w:p>
    <w:p w14:paraId="4DF0CD24" w14:textId="3A1DA166"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65" w:history="1">
        <w:r w:rsidRPr="00D10390">
          <w:rPr>
            <w:rStyle w:val="Hyperlink"/>
          </w:rPr>
          <w:t>24.7</w:t>
        </w:r>
        <w:r>
          <w:rPr>
            <w:rFonts w:asciiTheme="minorHAnsi" w:eastAsiaTheme="minorEastAsia" w:hAnsiTheme="minorHAnsi" w:cstheme="minorBidi"/>
            <w:kern w:val="2"/>
            <w:sz w:val="24"/>
            <w:szCs w:val="24"/>
            <w:lang w:eastAsia="en-AU"/>
            <w14:ligatures w14:val="standardContextual"/>
          </w:rPr>
          <w:tab/>
        </w:r>
        <w:r w:rsidRPr="00D10390">
          <w:rPr>
            <w:rStyle w:val="Hyperlink"/>
          </w:rPr>
          <w:t>Digital health standards</w:t>
        </w:r>
        <w:r>
          <w:rPr>
            <w:webHidden/>
          </w:rPr>
          <w:tab/>
        </w:r>
        <w:r>
          <w:rPr>
            <w:webHidden/>
          </w:rPr>
          <w:fldChar w:fldCharType="begin"/>
        </w:r>
        <w:r>
          <w:rPr>
            <w:webHidden/>
          </w:rPr>
          <w:instrText xml:space="preserve"> PAGEREF _Toc231982365 \h </w:instrText>
        </w:r>
        <w:r>
          <w:rPr>
            <w:webHidden/>
          </w:rPr>
        </w:r>
        <w:r>
          <w:rPr>
            <w:webHidden/>
          </w:rPr>
          <w:fldChar w:fldCharType="separate"/>
        </w:r>
        <w:r w:rsidR="00536048">
          <w:rPr>
            <w:webHidden/>
          </w:rPr>
          <w:t>170</w:t>
        </w:r>
        <w:r>
          <w:rPr>
            <w:webHidden/>
          </w:rPr>
          <w:fldChar w:fldCharType="end"/>
        </w:r>
      </w:hyperlink>
    </w:p>
    <w:p w14:paraId="29FAC196" w14:textId="74024CCD"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66" w:history="1">
        <w:r w:rsidRPr="00D10390">
          <w:rPr>
            <w:rStyle w:val="Hyperlink"/>
          </w:rPr>
          <w:t>24.8</w:t>
        </w:r>
        <w:r>
          <w:rPr>
            <w:rFonts w:asciiTheme="minorHAnsi" w:eastAsiaTheme="minorEastAsia" w:hAnsiTheme="minorHAnsi" w:cstheme="minorBidi"/>
            <w:kern w:val="2"/>
            <w:sz w:val="24"/>
            <w:szCs w:val="24"/>
            <w:lang w:eastAsia="en-AU"/>
            <w14:ligatures w14:val="standardContextual"/>
          </w:rPr>
          <w:tab/>
        </w:r>
        <w:r w:rsidRPr="00D10390">
          <w:rPr>
            <w:rStyle w:val="Hyperlink"/>
          </w:rPr>
          <w:t>AI</w:t>
        </w:r>
        <w:r>
          <w:rPr>
            <w:webHidden/>
          </w:rPr>
          <w:tab/>
        </w:r>
        <w:r>
          <w:rPr>
            <w:webHidden/>
          </w:rPr>
          <w:fldChar w:fldCharType="begin"/>
        </w:r>
        <w:r>
          <w:rPr>
            <w:webHidden/>
          </w:rPr>
          <w:instrText xml:space="preserve"> PAGEREF _Toc231982366 \h </w:instrText>
        </w:r>
        <w:r>
          <w:rPr>
            <w:webHidden/>
          </w:rPr>
        </w:r>
        <w:r>
          <w:rPr>
            <w:webHidden/>
          </w:rPr>
          <w:fldChar w:fldCharType="separate"/>
        </w:r>
        <w:r w:rsidR="00536048">
          <w:rPr>
            <w:webHidden/>
          </w:rPr>
          <w:t>171</w:t>
        </w:r>
        <w:r>
          <w:rPr>
            <w:webHidden/>
          </w:rPr>
          <w:fldChar w:fldCharType="end"/>
        </w:r>
      </w:hyperlink>
    </w:p>
    <w:p w14:paraId="13E1535D" w14:textId="6834CC8A"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67" w:history="1">
        <w:r w:rsidRPr="00D10390">
          <w:rPr>
            <w:rStyle w:val="Hyperlink"/>
          </w:rPr>
          <w:t>25</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Risk management</w:t>
        </w:r>
        <w:r>
          <w:rPr>
            <w:webHidden/>
          </w:rPr>
          <w:tab/>
        </w:r>
        <w:r>
          <w:rPr>
            <w:webHidden/>
          </w:rPr>
          <w:fldChar w:fldCharType="begin"/>
        </w:r>
        <w:r>
          <w:rPr>
            <w:webHidden/>
          </w:rPr>
          <w:instrText xml:space="preserve"> PAGEREF _Toc231982367 \h </w:instrText>
        </w:r>
        <w:r>
          <w:rPr>
            <w:webHidden/>
          </w:rPr>
        </w:r>
        <w:r>
          <w:rPr>
            <w:webHidden/>
          </w:rPr>
          <w:fldChar w:fldCharType="separate"/>
        </w:r>
        <w:r w:rsidR="00536048">
          <w:rPr>
            <w:webHidden/>
          </w:rPr>
          <w:t>172</w:t>
        </w:r>
        <w:r>
          <w:rPr>
            <w:webHidden/>
          </w:rPr>
          <w:fldChar w:fldCharType="end"/>
        </w:r>
      </w:hyperlink>
    </w:p>
    <w:p w14:paraId="4647CF48" w14:textId="7B064C91"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68" w:history="1">
        <w:r w:rsidRPr="00D10390">
          <w:rPr>
            <w:rStyle w:val="Hyperlink"/>
          </w:rPr>
          <w:t>25.1</w:t>
        </w:r>
        <w:r>
          <w:rPr>
            <w:rFonts w:asciiTheme="minorHAnsi" w:eastAsiaTheme="minorEastAsia" w:hAnsiTheme="minorHAnsi" w:cstheme="minorBidi"/>
            <w:kern w:val="2"/>
            <w:sz w:val="24"/>
            <w:szCs w:val="24"/>
            <w:lang w:eastAsia="en-AU"/>
            <w14:ligatures w14:val="standardContextual"/>
          </w:rPr>
          <w:tab/>
        </w:r>
        <w:r w:rsidRPr="00D10390">
          <w:rPr>
            <w:rStyle w:val="Hyperlink"/>
          </w:rPr>
          <w:t>Risk management and assurance</w:t>
        </w:r>
        <w:r>
          <w:rPr>
            <w:webHidden/>
          </w:rPr>
          <w:tab/>
        </w:r>
        <w:r>
          <w:rPr>
            <w:webHidden/>
          </w:rPr>
          <w:fldChar w:fldCharType="begin"/>
        </w:r>
        <w:r>
          <w:rPr>
            <w:webHidden/>
          </w:rPr>
          <w:instrText xml:space="preserve"> PAGEREF _Toc231982368 \h </w:instrText>
        </w:r>
        <w:r>
          <w:rPr>
            <w:webHidden/>
          </w:rPr>
        </w:r>
        <w:r>
          <w:rPr>
            <w:webHidden/>
          </w:rPr>
          <w:fldChar w:fldCharType="separate"/>
        </w:r>
        <w:r w:rsidR="00536048">
          <w:rPr>
            <w:webHidden/>
          </w:rPr>
          <w:t>172</w:t>
        </w:r>
        <w:r>
          <w:rPr>
            <w:webHidden/>
          </w:rPr>
          <w:fldChar w:fldCharType="end"/>
        </w:r>
      </w:hyperlink>
    </w:p>
    <w:p w14:paraId="4BE7D559" w14:textId="6541CEDA"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69" w:history="1">
        <w:r w:rsidRPr="00D10390">
          <w:rPr>
            <w:rStyle w:val="Hyperlink"/>
          </w:rPr>
          <w:t>25.2</w:t>
        </w:r>
        <w:r>
          <w:rPr>
            <w:rFonts w:asciiTheme="minorHAnsi" w:eastAsiaTheme="minorEastAsia" w:hAnsiTheme="minorHAnsi" w:cstheme="minorBidi"/>
            <w:kern w:val="2"/>
            <w:sz w:val="24"/>
            <w:szCs w:val="24"/>
            <w:lang w:eastAsia="en-AU"/>
            <w14:ligatures w14:val="standardContextual"/>
          </w:rPr>
          <w:tab/>
        </w:r>
        <w:r w:rsidRPr="00D10390">
          <w:rPr>
            <w:rStyle w:val="Hyperlink"/>
          </w:rPr>
          <w:t>Emergency management</w:t>
        </w:r>
        <w:r>
          <w:rPr>
            <w:webHidden/>
          </w:rPr>
          <w:tab/>
        </w:r>
        <w:r>
          <w:rPr>
            <w:webHidden/>
          </w:rPr>
          <w:fldChar w:fldCharType="begin"/>
        </w:r>
        <w:r>
          <w:rPr>
            <w:webHidden/>
          </w:rPr>
          <w:instrText xml:space="preserve"> PAGEREF _Toc231982369 \h </w:instrText>
        </w:r>
        <w:r>
          <w:rPr>
            <w:webHidden/>
          </w:rPr>
        </w:r>
        <w:r>
          <w:rPr>
            <w:webHidden/>
          </w:rPr>
          <w:fldChar w:fldCharType="separate"/>
        </w:r>
        <w:r w:rsidR="00536048">
          <w:rPr>
            <w:webHidden/>
          </w:rPr>
          <w:t>174</w:t>
        </w:r>
        <w:r>
          <w:rPr>
            <w:webHidden/>
          </w:rPr>
          <w:fldChar w:fldCharType="end"/>
        </w:r>
      </w:hyperlink>
    </w:p>
    <w:p w14:paraId="17F08928" w14:textId="39FABF7A"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70" w:history="1">
        <w:r w:rsidRPr="00D10390">
          <w:rPr>
            <w:rStyle w:val="Hyperlink"/>
          </w:rPr>
          <w:t>25.3</w:t>
        </w:r>
        <w:r>
          <w:rPr>
            <w:rFonts w:asciiTheme="minorHAnsi" w:eastAsiaTheme="minorEastAsia" w:hAnsiTheme="minorHAnsi" w:cstheme="minorBidi"/>
            <w:kern w:val="2"/>
            <w:sz w:val="24"/>
            <w:szCs w:val="24"/>
            <w:lang w:eastAsia="en-AU"/>
            <w14:ligatures w14:val="standardContextual"/>
          </w:rPr>
          <w:tab/>
        </w:r>
        <w:r w:rsidRPr="00D10390">
          <w:rPr>
            <w:rStyle w:val="Hyperlink"/>
          </w:rPr>
          <w:t>Fire risk management</w:t>
        </w:r>
        <w:r>
          <w:rPr>
            <w:webHidden/>
          </w:rPr>
          <w:tab/>
        </w:r>
        <w:r>
          <w:rPr>
            <w:webHidden/>
          </w:rPr>
          <w:fldChar w:fldCharType="begin"/>
        </w:r>
        <w:r>
          <w:rPr>
            <w:webHidden/>
          </w:rPr>
          <w:instrText xml:space="preserve"> PAGEREF _Toc231982370 \h </w:instrText>
        </w:r>
        <w:r>
          <w:rPr>
            <w:webHidden/>
          </w:rPr>
        </w:r>
        <w:r>
          <w:rPr>
            <w:webHidden/>
          </w:rPr>
          <w:fldChar w:fldCharType="separate"/>
        </w:r>
        <w:r w:rsidR="00536048">
          <w:rPr>
            <w:webHidden/>
          </w:rPr>
          <w:t>175</w:t>
        </w:r>
        <w:r>
          <w:rPr>
            <w:webHidden/>
          </w:rPr>
          <w:fldChar w:fldCharType="end"/>
        </w:r>
      </w:hyperlink>
    </w:p>
    <w:p w14:paraId="01CA8480" w14:textId="7A81AF39"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71" w:history="1">
        <w:r w:rsidRPr="00D10390">
          <w:rPr>
            <w:rStyle w:val="Hyperlink"/>
          </w:rPr>
          <w:t>26</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Legal obligations</w:t>
        </w:r>
        <w:r>
          <w:rPr>
            <w:webHidden/>
          </w:rPr>
          <w:tab/>
        </w:r>
        <w:r>
          <w:rPr>
            <w:webHidden/>
          </w:rPr>
          <w:fldChar w:fldCharType="begin"/>
        </w:r>
        <w:r>
          <w:rPr>
            <w:webHidden/>
          </w:rPr>
          <w:instrText xml:space="preserve"> PAGEREF _Toc231982371 \h </w:instrText>
        </w:r>
        <w:r>
          <w:rPr>
            <w:webHidden/>
          </w:rPr>
        </w:r>
        <w:r>
          <w:rPr>
            <w:webHidden/>
          </w:rPr>
          <w:fldChar w:fldCharType="separate"/>
        </w:r>
        <w:r w:rsidR="00536048">
          <w:rPr>
            <w:webHidden/>
          </w:rPr>
          <w:t>177</w:t>
        </w:r>
        <w:r>
          <w:rPr>
            <w:webHidden/>
          </w:rPr>
          <w:fldChar w:fldCharType="end"/>
        </w:r>
      </w:hyperlink>
    </w:p>
    <w:p w14:paraId="5149C21E" w14:textId="66EFD513"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72" w:history="1">
        <w:r w:rsidRPr="00D10390">
          <w:rPr>
            <w:rStyle w:val="Hyperlink"/>
          </w:rPr>
          <w:t>26.1</w:t>
        </w:r>
        <w:r>
          <w:rPr>
            <w:rFonts w:asciiTheme="minorHAnsi" w:eastAsiaTheme="minorEastAsia" w:hAnsiTheme="minorHAnsi" w:cstheme="minorBidi"/>
            <w:kern w:val="2"/>
            <w:sz w:val="24"/>
            <w:szCs w:val="24"/>
            <w:lang w:eastAsia="en-AU"/>
            <w14:ligatures w14:val="standardContextual"/>
          </w:rPr>
          <w:tab/>
        </w:r>
        <w:r w:rsidRPr="00D10390">
          <w:rPr>
            <w:rStyle w:val="Hyperlink"/>
          </w:rPr>
          <w:t>Privacy</w:t>
        </w:r>
        <w:r>
          <w:rPr>
            <w:webHidden/>
          </w:rPr>
          <w:tab/>
        </w:r>
        <w:r>
          <w:rPr>
            <w:webHidden/>
          </w:rPr>
          <w:fldChar w:fldCharType="begin"/>
        </w:r>
        <w:r>
          <w:rPr>
            <w:webHidden/>
          </w:rPr>
          <w:instrText xml:space="preserve"> PAGEREF _Toc231982372 \h </w:instrText>
        </w:r>
        <w:r>
          <w:rPr>
            <w:webHidden/>
          </w:rPr>
        </w:r>
        <w:r>
          <w:rPr>
            <w:webHidden/>
          </w:rPr>
          <w:fldChar w:fldCharType="separate"/>
        </w:r>
        <w:r w:rsidR="00536048">
          <w:rPr>
            <w:webHidden/>
          </w:rPr>
          <w:t>177</w:t>
        </w:r>
        <w:r>
          <w:rPr>
            <w:webHidden/>
          </w:rPr>
          <w:fldChar w:fldCharType="end"/>
        </w:r>
      </w:hyperlink>
    </w:p>
    <w:p w14:paraId="15A8EBC5" w14:textId="4885F956"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73" w:history="1">
        <w:r w:rsidRPr="00D10390">
          <w:rPr>
            <w:rStyle w:val="Hyperlink"/>
          </w:rPr>
          <w:t>26.2</w:t>
        </w:r>
        <w:r>
          <w:rPr>
            <w:rFonts w:asciiTheme="minorHAnsi" w:eastAsiaTheme="minorEastAsia" w:hAnsiTheme="minorHAnsi" w:cstheme="minorBidi"/>
            <w:kern w:val="2"/>
            <w:sz w:val="24"/>
            <w:szCs w:val="24"/>
            <w:lang w:eastAsia="en-AU"/>
            <w14:ligatures w14:val="standardContextual"/>
          </w:rPr>
          <w:tab/>
        </w:r>
        <w:r w:rsidRPr="00D10390">
          <w:rPr>
            <w:rStyle w:val="Hyperlink"/>
          </w:rPr>
          <w:t>Public interest disclosures and mandatory notifications</w:t>
        </w:r>
        <w:r>
          <w:rPr>
            <w:webHidden/>
          </w:rPr>
          <w:tab/>
        </w:r>
        <w:r>
          <w:rPr>
            <w:webHidden/>
          </w:rPr>
          <w:fldChar w:fldCharType="begin"/>
        </w:r>
        <w:r>
          <w:rPr>
            <w:webHidden/>
          </w:rPr>
          <w:instrText xml:space="preserve"> PAGEREF _Toc231982373 \h </w:instrText>
        </w:r>
        <w:r>
          <w:rPr>
            <w:webHidden/>
          </w:rPr>
        </w:r>
        <w:r>
          <w:rPr>
            <w:webHidden/>
          </w:rPr>
          <w:fldChar w:fldCharType="separate"/>
        </w:r>
        <w:r w:rsidR="00536048">
          <w:rPr>
            <w:webHidden/>
          </w:rPr>
          <w:t>177</w:t>
        </w:r>
        <w:r>
          <w:rPr>
            <w:webHidden/>
          </w:rPr>
          <w:fldChar w:fldCharType="end"/>
        </w:r>
      </w:hyperlink>
    </w:p>
    <w:p w14:paraId="0C699A25" w14:textId="59975B8A"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74" w:history="1">
        <w:r w:rsidRPr="00D10390">
          <w:rPr>
            <w:rStyle w:val="Hyperlink"/>
          </w:rPr>
          <w:t>26.3</w:t>
        </w:r>
        <w:r>
          <w:rPr>
            <w:rFonts w:asciiTheme="minorHAnsi" w:eastAsiaTheme="minorEastAsia" w:hAnsiTheme="minorHAnsi" w:cstheme="minorBidi"/>
            <w:kern w:val="2"/>
            <w:sz w:val="24"/>
            <w:szCs w:val="24"/>
            <w:lang w:eastAsia="en-AU"/>
            <w14:ligatures w14:val="standardContextual"/>
          </w:rPr>
          <w:tab/>
        </w:r>
        <w:r w:rsidRPr="00D10390">
          <w:rPr>
            <w:rStyle w:val="Hyperlink"/>
          </w:rPr>
          <w:t>Intellectual Property (IP)</w:t>
        </w:r>
        <w:r>
          <w:rPr>
            <w:webHidden/>
          </w:rPr>
          <w:tab/>
        </w:r>
        <w:r>
          <w:rPr>
            <w:webHidden/>
          </w:rPr>
          <w:fldChar w:fldCharType="begin"/>
        </w:r>
        <w:r>
          <w:rPr>
            <w:webHidden/>
          </w:rPr>
          <w:instrText xml:space="preserve"> PAGEREF _Toc231982374 \h </w:instrText>
        </w:r>
        <w:r>
          <w:rPr>
            <w:webHidden/>
          </w:rPr>
        </w:r>
        <w:r>
          <w:rPr>
            <w:webHidden/>
          </w:rPr>
          <w:fldChar w:fldCharType="separate"/>
        </w:r>
        <w:r w:rsidR="00536048">
          <w:rPr>
            <w:webHidden/>
          </w:rPr>
          <w:t>177</w:t>
        </w:r>
        <w:r>
          <w:rPr>
            <w:webHidden/>
          </w:rPr>
          <w:fldChar w:fldCharType="end"/>
        </w:r>
      </w:hyperlink>
    </w:p>
    <w:p w14:paraId="4A4B2C0C" w14:textId="4AD6EF47"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75" w:history="1">
        <w:r w:rsidRPr="00D10390">
          <w:rPr>
            <w:rStyle w:val="Hyperlink"/>
          </w:rPr>
          <w:t>27</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Payments and cash flow</w:t>
        </w:r>
        <w:r>
          <w:rPr>
            <w:webHidden/>
          </w:rPr>
          <w:tab/>
        </w:r>
        <w:r>
          <w:rPr>
            <w:webHidden/>
          </w:rPr>
          <w:fldChar w:fldCharType="begin"/>
        </w:r>
        <w:r>
          <w:rPr>
            <w:webHidden/>
          </w:rPr>
          <w:instrText xml:space="preserve"> PAGEREF _Toc231982375 \h </w:instrText>
        </w:r>
        <w:r>
          <w:rPr>
            <w:webHidden/>
          </w:rPr>
        </w:r>
        <w:r>
          <w:rPr>
            <w:webHidden/>
          </w:rPr>
          <w:fldChar w:fldCharType="separate"/>
        </w:r>
        <w:r w:rsidR="00536048">
          <w:rPr>
            <w:webHidden/>
          </w:rPr>
          <w:t>179</w:t>
        </w:r>
        <w:r>
          <w:rPr>
            <w:webHidden/>
          </w:rPr>
          <w:fldChar w:fldCharType="end"/>
        </w:r>
      </w:hyperlink>
    </w:p>
    <w:p w14:paraId="40E5A173" w14:textId="4637A6D2"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76" w:history="1">
        <w:r w:rsidRPr="00D10390">
          <w:rPr>
            <w:rStyle w:val="Hyperlink"/>
          </w:rPr>
          <w:t>27.1</w:t>
        </w:r>
        <w:r>
          <w:rPr>
            <w:rFonts w:asciiTheme="minorHAnsi" w:eastAsiaTheme="minorEastAsia" w:hAnsiTheme="minorHAnsi" w:cstheme="minorBidi"/>
            <w:kern w:val="2"/>
            <w:sz w:val="24"/>
            <w:szCs w:val="24"/>
            <w:lang w:eastAsia="en-AU"/>
            <w14:ligatures w14:val="standardContextual"/>
          </w:rPr>
          <w:tab/>
        </w:r>
        <w:r w:rsidRPr="00D10390">
          <w:rPr>
            <w:rStyle w:val="Hyperlink"/>
          </w:rPr>
          <w:t>Payments to funded organisations</w:t>
        </w:r>
        <w:r>
          <w:rPr>
            <w:webHidden/>
          </w:rPr>
          <w:tab/>
        </w:r>
        <w:r>
          <w:rPr>
            <w:webHidden/>
          </w:rPr>
          <w:fldChar w:fldCharType="begin"/>
        </w:r>
        <w:r>
          <w:rPr>
            <w:webHidden/>
          </w:rPr>
          <w:instrText xml:space="preserve"> PAGEREF _Toc231982376 \h </w:instrText>
        </w:r>
        <w:r>
          <w:rPr>
            <w:webHidden/>
          </w:rPr>
        </w:r>
        <w:r>
          <w:rPr>
            <w:webHidden/>
          </w:rPr>
          <w:fldChar w:fldCharType="separate"/>
        </w:r>
        <w:r w:rsidR="00536048">
          <w:rPr>
            <w:webHidden/>
          </w:rPr>
          <w:t>179</w:t>
        </w:r>
        <w:r>
          <w:rPr>
            <w:webHidden/>
          </w:rPr>
          <w:fldChar w:fldCharType="end"/>
        </w:r>
      </w:hyperlink>
    </w:p>
    <w:p w14:paraId="446F917E" w14:textId="5466B6D8"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77" w:history="1">
        <w:r w:rsidRPr="00D10390">
          <w:rPr>
            <w:rStyle w:val="Hyperlink"/>
          </w:rPr>
          <w:t>27.2</w:t>
        </w:r>
        <w:r>
          <w:rPr>
            <w:rFonts w:asciiTheme="minorHAnsi" w:eastAsiaTheme="minorEastAsia" w:hAnsiTheme="minorHAnsi" w:cstheme="minorBidi"/>
            <w:kern w:val="2"/>
            <w:sz w:val="24"/>
            <w:szCs w:val="24"/>
            <w:lang w:eastAsia="en-AU"/>
            <w14:ligatures w14:val="standardContextual"/>
          </w:rPr>
          <w:tab/>
        </w:r>
        <w:r w:rsidRPr="00D10390">
          <w:rPr>
            <w:rStyle w:val="Hyperlink"/>
          </w:rPr>
          <w:t>Enterprise bargaining</w:t>
        </w:r>
        <w:r>
          <w:rPr>
            <w:webHidden/>
          </w:rPr>
          <w:tab/>
        </w:r>
        <w:r>
          <w:rPr>
            <w:webHidden/>
          </w:rPr>
          <w:fldChar w:fldCharType="begin"/>
        </w:r>
        <w:r>
          <w:rPr>
            <w:webHidden/>
          </w:rPr>
          <w:instrText xml:space="preserve"> PAGEREF _Toc231982377 \h </w:instrText>
        </w:r>
        <w:r>
          <w:rPr>
            <w:webHidden/>
          </w:rPr>
        </w:r>
        <w:r>
          <w:rPr>
            <w:webHidden/>
          </w:rPr>
          <w:fldChar w:fldCharType="separate"/>
        </w:r>
        <w:r w:rsidR="00536048">
          <w:rPr>
            <w:webHidden/>
          </w:rPr>
          <w:t>179</w:t>
        </w:r>
        <w:r>
          <w:rPr>
            <w:webHidden/>
          </w:rPr>
          <w:fldChar w:fldCharType="end"/>
        </w:r>
      </w:hyperlink>
    </w:p>
    <w:p w14:paraId="072D6B04" w14:textId="6A998D43"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78" w:history="1">
        <w:r w:rsidRPr="00D10390">
          <w:rPr>
            <w:rStyle w:val="Hyperlink"/>
          </w:rPr>
          <w:t>27.3</w:t>
        </w:r>
        <w:r>
          <w:rPr>
            <w:rFonts w:asciiTheme="minorHAnsi" w:eastAsiaTheme="minorEastAsia" w:hAnsiTheme="minorHAnsi" w:cstheme="minorBidi"/>
            <w:kern w:val="2"/>
            <w:sz w:val="24"/>
            <w:szCs w:val="24"/>
            <w:lang w:eastAsia="en-AU"/>
            <w14:ligatures w14:val="standardContextual"/>
          </w:rPr>
          <w:tab/>
        </w:r>
        <w:r w:rsidRPr="00D10390">
          <w:rPr>
            <w:rStyle w:val="Hyperlink"/>
          </w:rPr>
          <w:t>Long service leave</w:t>
        </w:r>
        <w:r>
          <w:rPr>
            <w:webHidden/>
          </w:rPr>
          <w:tab/>
        </w:r>
        <w:r>
          <w:rPr>
            <w:webHidden/>
          </w:rPr>
          <w:fldChar w:fldCharType="begin"/>
        </w:r>
        <w:r>
          <w:rPr>
            <w:webHidden/>
          </w:rPr>
          <w:instrText xml:space="preserve"> PAGEREF _Toc231982378 \h </w:instrText>
        </w:r>
        <w:r>
          <w:rPr>
            <w:webHidden/>
          </w:rPr>
        </w:r>
        <w:r>
          <w:rPr>
            <w:webHidden/>
          </w:rPr>
          <w:fldChar w:fldCharType="separate"/>
        </w:r>
        <w:r w:rsidR="00536048">
          <w:rPr>
            <w:webHidden/>
          </w:rPr>
          <w:t>180</w:t>
        </w:r>
        <w:r>
          <w:rPr>
            <w:webHidden/>
          </w:rPr>
          <w:fldChar w:fldCharType="end"/>
        </w:r>
      </w:hyperlink>
    </w:p>
    <w:p w14:paraId="746F1C91" w14:textId="5AE80C1D"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79" w:history="1">
        <w:r w:rsidRPr="00D10390">
          <w:rPr>
            <w:rStyle w:val="Hyperlink"/>
          </w:rPr>
          <w:t>27.4</w:t>
        </w:r>
        <w:r>
          <w:rPr>
            <w:rFonts w:asciiTheme="minorHAnsi" w:eastAsiaTheme="minorEastAsia" w:hAnsiTheme="minorHAnsi" w:cstheme="minorBidi"/>
            <w:kern w:val="2"/>
            <w:sz w:val="24"/>
            <w:szCs w:val="24"/>
            <w:lang w:eastAsia="en-AU"/>
            <w14:ligatures w14:val="standardContextual"/>
          </w:rPr>
          <w:tab/>
        </w:r>
        <w:r w:rsidRPr="00D10390">
          <w:rPr>
            <w:rStyle w:val="Hyperlink"/>
          </w:rPr>
          <w:t>Medical indemnity insurance</w:t>
        </w:r>
        <w:r>
          <w:rPr>
            <w:webHidden/>
          </w:rPr>
          <w:tab/>
        </w:r>
        <w:r>
          <w:rPr>
            <w:webHidden/>
          </w:rPr>
          <w:fldChar w:fldCharType="begin"/>
        </w:r>
        <w:r>
          <w:rPr>
            <w:webHidden/>
          </w:rPr>
          <w:instrText xml:space="preserve"> PAGEREF _Toc231982379 \h </w:instrText>
        </w:r>
        <w:r>
          <w:rPr>
            <w:webHidden/>
          </w:rPr>
        </w:r>
        <w:r>
          <w:rPr>
            <w:webHidden/>
          </w:rPr>
          <w:fldChar w:fldCharType="separate"/>
        </w:r>
        <w:r w:rsidR="00536048">
          <w:rPr>
            <w:webHidden/>
          </w:rPr>
          <w:t>181</w:t>
        </w:r>
        <w:r>
          <w:rPr>
            <w:webHidden/>
          </w:rPr>
          <w:fldChar w:fldCharType="end"/>
        </w:r>
      </w:hyperlink>
    </w:p>
    <w:p w14:paraId="65A7D5A5" w14:textId="005013C6"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80" w:history="1">
        <w:r w:rsidRPr="00D10390">
          <w:rPr>
            <w:rStyle w:val="Hyperlink"/>
          </w:rPr>
          <w:t>28</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Data collection changes</w:t>
        </w:r>
        <w:r>
          <w:rPr>
            <w:webHidden/>
          </w:rPr>
          <w:tab/>
        </w:r>
        <w:r>
          <w:rPr>
            <w:webHidden/>
          </w:rPr>
          <w:fldChar w:fldCharType="begin"/>
        </w:r>
        <w:r>
          <w:rPr>
            <w:webHidden/>
          </w:rPr>
          <w:instrText xml:space="preserve"> PAGEREF _Toc231982380 \h </w:instrText>
        </w:r>
        <w:r>
          <w:rPr>
            <w:webHidden/>
          </w:rPr>
        </w:r>
        <w:r>
          <w:rPr>
            <w:webHidden/>
          </w:rPr>
          <w:fldChar w:fldCharType="separate"/>
        </w:r>
        <w:r w:rsidR="00536048">
          <w:rPr>
            <w:webHidden/>
          </w:rPr>
          <w:t>182</w:t>
        </w:r>
        <w:r>
          <w:rPr>
            <w:webHidden/>
          </w:rPr>
          <w:fldChar w:fldCharType="end"/>
        </w:r>
      </w:hyperlink>
    </w:p>
    <w:p w14:paraId="72BBF53A" w14:textId="315BE000"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81" w:history="1">
        <w:r w:rsidRPr="00D10390">
          <w:rPr>
            <w:rStyle w:val="Hyperlink"/>
          </w:rPr>
          <w:t>28.1</w:t>
        </w:r>
        <w:r>
          <w:rPr>
            <w:rFonts w:asciiTheme="minorHAnsi" w:eastAsiaTheme="minorEastAsia" w:hAnsiTheme="minorHAnsi" w:cstheme="minorBidi"/>
            <w:kern w:val="2"/>
            <w:sz w:val="24"/>
            <w:szCs w:val="24"/>
            <w:lang w:eastAsia="en-AU"/>
            <w14:ligatures w14:val="standardContextual"/>
          </w:rPr>
          <w:tab/>
        </w:r>
        <w:r w:rsidRPr="00D10390">
          <w:rPr>
            <w:rStyle w:val="Hyperlink"/>
          </w:rPr>
          <w:t>Victorian Admitted Episodes Dataset (VAED)</w:t>
        </w:r>
        <w:r>
          <w:rPr>
            <w:webHidden/>
          </w:rPr>
          <w:tab/>
        </w:r>
        <w:r>
          <w:rPr>
            <w:webHidden/>
          </w:rPr>
          <w:fldChar w:fldCharType="begin"/>
        </w:r>
        <w:r>
          <w:rPr>
            <w:webHidden/>
          </w:rPr>
          <w:instrText xml:space="preserve"> PAGEREF _Toc231982381 \h </w:instrText>
        </w:r>
        <w:r>
          <w:rPr>
            <w:webHidden/>
          </w:rPr>
        </w:r>
        <w:r>
          <w:rPr>
            <w:webHidden/>
          </w:rPr>
          <w:fldChar w:fldCharType="separate"/>
        </w:r>
        <w:r w:rsidR="00536048">
          <w:rPr>
            <w:webHidden/>
          </w:rPr>
          <w:t>182</w:t>
        </w:r>
        <w:r>
          <w:rPr>
            <w:webHidden/>
          </w:rPr>
          <w:fldChar w:fldCharType="end"/>
        </w:r>
      </w:hyperlink>
    </w:p>
    <w:p w14:paraId="2FBBAD8E" w14:textId="66C27EE6"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82" w:history="1">
        <w:r w:rsidRPr="00D10390">
          <w:rPr>
            <w:rStyle w:val="Hyperlink"/>
          </w:rPr>
          <w:t>28.2</w:t>
        </w:r>
        <w:r>
          <w:rPr>
            <w:rFonts w:asciiTheme="minorHAnsi" w:eastAsiaTheme="minorEastAsia" w:hAnsiTheme="minorHAnsi" w:cstheme="minorBidi"/>
            <w:kern w:val="2"/>
            <w:sz w:val="24"/>
            <w:szCs w:val="24"/>
            <w:lang w:eastAsia="en-AU"/>
            <w14:ligatures w14:val="standardContextual"/>
          </w:rPr>
          <w:tab/>
        </w:r>
        <w:r w:rsidRPr="00D10390">
          <w:rPr>
            <w:rStyle w:val="Hyperlink"/>
          </w:rPr>
          <w:t>Elective Surgery Information System (ESIS)</w:t>
        </w:r>
        <w:r>
          <w:rPr>
            <w:webHidden/>
          </w:rPr>
          <w:tab/>
        </w:r>
        <w:r>
          <w:rPr>
            <w:webHidden/>
          </w:rPr>
          <w:fldChar w:fldCharType="begin"/>
        </w:r>
        <w:r>
          <w:rPr>
            <w:webHidden/>
          </w:rPr>
          <w:instrText xml:space="preserve"> PAGEREF _Toc231982382 \h </w:instrText>
        </w:r>
        <w:r>
          <w:rPr>
            <w:webHidden/>
          </w:rPr>
        </w:r>
        <w:r>
          <w:rPr>
            <w:webHidden/>
          </w:rPr>
          <w:fldChar w:fldCharType="separate"/>
        </w:r>
        <w:r w:rsidR="00536048">
          <w:rPr>
            <w:webHidden/>
          </w:rPr>
          <w:t>182</w:t>
        </w:r>
        <w:r>
          <w:rPr>
            <w:webHidden/>
          </w:rPr>
          <w:fldChar w:fldCharType="end"/>
        </w:r>
      </w:hyperlink>
    </w:p>
    <w:p w14:paraId="4DFDE140" w14:textId="28E25159"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83" w:history="1">
        <w:r w:rsidRPr="00D10390">
          <w:rPr>
            <w:rStyle w:val="Hyperlink"/>
          </w:rPr>
          <w:t>28.3</w:t>
        </w:r>
        <w:r>
          <w:rPr>
            <w:rFonts w:asciiTheme="minorHAnsi" w:eastAsiaTheme="minorEastAsia" w:hAnsiTheme="minorHAnsi" w:cstheme="minorBidi"/>
            <w:kern w:val="2"/>
            <w:sz w:val="24"/>
            <w:szCs w:val="24"/>
            <w:lang w:eastAsia="en-AU"/>
            <w14:ligatures w14:val="standardContextual"/>
          </w:rPr>
          <w:tab/>
        </w:r>
        <w:r w:rsidRPr="00D10390">
          <w:rPr>
            <w:rStyle w:val="Hyperlink"/>
          </w:rPr>
          <w:t>Agency Information Management System (AIMS)</w:t>
        </w:r>
        <w:r>
          <w:rPr>
            <w:webHidden/>
          </w:rPr>
          <w:tab/>
        </w:r>
        <w:r>
          <w:rPr>
            <w:webHidden/>
          </w:rPr>
          <w:fldChar w:fldCharType="begin"/>
        </w:r>
        <w:r>
          <w:rPr>
            <w:webHidden/>
          </w:rPr>
          <w:instrText xml:space="preserve"> PAGEREF _Toc231982383 \h </w:instrText>
        </w:r>
        <w:r>
          <w:rPr>
            <w:webHidden/>
          </w:rPr>
        </w:r>
        <w:r>
          <w:rPr>
            <w:webHidden/>
          </w:rPr>
          <w:fldChar w:fldCharType="separate"/>
        </w:r>
        <w:r w:rsidR="00536048">
          <w:rPr>
            <w:webHidden/>
          </w:rPr>
          <w:t>182</w:t>
        </w:r>
        <w:r>
          <w:rPr>
            <w:webHidden/>
          </w:rPr>
          <w:fldChar w:fldCharType="end"/>
        </w:r>
      </w:hyperlink>
    </w:p>
    <w:p w14:paraId="1FB724BA" w14:textId="3036663C"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84" w:history="1">
        <w:r w:rsidRPr="00D10390">
          <w:rPr>
            <w:rStyle w:val="Hyperlink"/>
          </w:rPr>
          <w:t>28.4</w:t>
        </w:r>
        <w:r>
          <w:rPr>
            <w:rFonts w:asciiTheme="minorHAnsi" w:eastAsiaTheme="minorEastAsia" w:hAnsiTheme="minorHAnsi" w:cstheme="minorBidi"/>
            <w:kern w:val="2"/>
            <w:sz w:val="24"/>
            <w:szCs w:val="24"/>
            <w:lang w:eastAsia="en-AU"/>
            <w14:ligatures w14:val="standardContextual"/>
          </w:rPr>
          <w:tab/>
        </w:r>
        <w:r w:rsidRPr="00D10390">
          <w:rPr>
            <w:rStyle w:val="Hyperlink"/>
          </w:rPr>
          <w:t>Victorian Emergency Minimum Dataset (VEMD)</w:t>
        </w:r>
        <w:r>
          <w:rPr>
            <w:webHidden/>
          </w:rPr>
          <w:tab/>
        </w:r>
        <w:r>
          <w:rPr>
            <w:webHidden/>
          </w:rPr>
          <w:fldChar w:fldCharType="begin"/>
        </w:r>
        <w:r>
          <w:rPr>
            <w:webHidden/>
          </w:rPr>
          <w:instrText xml:space="preserve"> PAGEREF _Toc231982384 \h </w:instrText>
        </w:r>
        <w:r>
          <w:rPr>
            <w:webHidden/>
          </w:rPr>
        </w:r>
        <w:r>
          <w:rPr>
            <w:webHidden/>
          </w:rPr>
          <w:fldChar w:fldCharType="separate"/>
        </w:r>
        <w:r w:rsidR="00536048">
          <w:rPr>
            <w:webHidden/>
          </w:rPr>
          <w:t>182</w:t>
        </w:r>
        <w:r>
          <w:rPr>
            <w:webHidden/>
          </w:rPr>
          <w:fldChar w:fldCharType="end"/>
        </w:r>
      </w:hyperlink>
    </w:p>
    <w:p w14:paraId="5008AA31" w14:textId="160D2C28"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85" w:history="1">
        <w:r w:rsidRPr="00D10390">
          <w:rPr>
            <w:rStyle w:val="Hyperlink"/>
          </w:rPr>
          <w:t>28.5</w:t>
        </w:r>
        <w:r>
          <w:rPr>
            <w:rFonts w:asciiTheme="minorHAnsi" w:eastAsiaTheme="minorEastAsia" w:hAnsiTheme="minorHAnsi" w:cstheme="minorBidi"/>
            <w:kern w:val="2"/>
            <w:sz w:val="24"/>
            <w:szCs w:val="24"/>
            <w:lang w:eastAsia="en-AU"/>
            <w14:ligatures w14:val="standardContextual"/>
          </w:rPr>
          <w:tab/>
        </w:r>
        <w:r w:rsidRPr="00D10390">
          <w:rPr>
            <w:rStyle w:val="Hyperlink"/>
          </w:rPr>
          <w:t>Victorian Integrated Non-Admitted Health (VINAH) minimum data set (MDS)</w:t>
        </w:r>
        <w:r>
          <w:rPr>
            <w:webHidden/>
          </w:rPr>
          <w:tab/>
        </w:r>
        <w:r>
          <w:rPr>
            <w:webHidden/>
          </w:rPr>
          <w:fldChar w:fldCharType="begin"/>
        </w:r>
        <w:r>
          <w:rPr>
            <w:webHidden/>
          </w:rPr>
          <w:instrText xml:space="preserve"> PAGEREF _Toc231982385 \h </w:instrText>
        </w:r>
        <w:r>
          <w:rPr>
            <w:webHidden/>
          </w:rPr>
        </w:r>
        <w:r>
          <w:rPr>
            <w:webHidden/>
          </w:rPr>
          <w:fldChar w:fldCharType="separate"/>
        </w:r>
        <w:r w:rsidR="00536048">
          <w:rPr>
            <w:webHidden/>
          </w:rPr>
          <w:t>182</w:t>
        </w:r>
        <w:r>
          <w:rPr>
            <w:webHidden/>
          </w:rPr>
          <w:fldChar w:fldCharType="end"/>
        </w:r>
      </w:hyperlink>
    </w:p>
    <w:p w14:paraId="77760399" w14:textId="4DC88516"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86" w:history="1">
        <w:r w:rsidRPr="00D10390">
          <w:rPr>
            <w:rStyle w:val="Hyperlink"/>
          </w:rPr>
          <w:t>28.6</w:t>
        </w:r>
        <w:r>
          <w:rPr>
            <w:rFonts w:asciiTheme="minorHAnsi" w:eastAsiaTheme="minorEastAsia" w:hAnsiTheme="minorHAnsi" w:cstheme="minorBidi"/>
            <w:kern w:val="2"/>
            <w:sz w:val="24"/>
            <w:szCs w:val="24"/>
            <w:lang w:eastAsia="en-AU"/>
            <w14:ligatures w14:val="standardContextual"/>
          </w:rPr>
          <w:tab/>
        </w:r>
        <w:r w:rsidRPr="00D10390">
          <w:rPr>
            <w:rStyle w:val="Hyperlink"/>
            <w:rFonts w:cs="Calibri"/>
          </w:rPr>
          <w:t xml:space="preserve">Non-Admitted Data Collection </w:t>
        </w:r>
        <w:r w:rsidRPr="00D10390">
          <w:rPr>
            <w:rStyle w:val="Hyperlink"/>
            <w:rFonts w:cs="Calibri"/>
            <w:bCs/>
          </w:rPr>
          <w:t>(</w:t>
        </w:r>
        <w:r w:rsidRPr="00D10390">
          <w:rPr>
            <w:rStyle w:val="Hyperlink"/>
          </w:rPr>
          <w:t>NADC)</w:t>
        </w:r>
        <w:r>
          <w:rPr>
            <w:webHidden/>
          </w:rPr>
          <w:tab/>
        </w:r>
        <w:r>
          <w:rPr>
            <w:webHidden/>
          </w:rPr>
          <w:fldChar w:fldCharType="begin"/>
        </w:r>
        <w:r>
          <w:rPr>
            <w:webHidden/>
          </w:rPr>
          <w:instrText xml:space="preserve"> PAGEREF _Toc231982386 \h </w:instrText>
        </w:r>
        <w:r>
          <w:rPr>
            <w:webHidden/>
          </w:rPr>
        </w:r>
        <w:r>
          <w:rPr>
            <w:webHidden/>
          </w:rPr>
          <w:fldChar w:fldCharType="separate"/>
        </w:r>
        <w:r w:rsidR="00536048">
          <w:rPr>
            <w:webHidden/>
          </w:rPr>
          <w:t>183</w:t>
        </w:r>
        <w:r>
          <w:rPr>
            <w:webHidden/>
          </w:rPr>
          <w:fldChar w:fldCharType="end"/>
        </w:r>
      </w:hyperlink>
    </w:p>
    <w:p w14:paraId="0574F0B5" w14:textId="6DDA8D43"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87" w:history="1">
        <w:r w:rsidRPr="00D10390">
          <w:rPr>
            <w:rStyle w:val="Hyperlink"/>
          </w:rPr>
          <w:t>28.7</w:t>
        </w:r>
        <w:r>
          <w:rPr>
            <w:rFonts w:asciiTheme="minorHAnsi" w:eastAsiaTheme="minorEastAsia" w:hAnsiTheme="minorHAnsi" w:cstheme="minorBidi"/>
            <w:kern w:val="2"/>
            <w:sz w:val="24"/>
            <w:szCs w:val="24"/>
            <w:lang w:eastAsia="en-AU"/>
            <w14:ligatures w14:val="standardContextual"/>
          </w:rPr>
          <w:tab/>
        </w:r>
        <w:r w:rsidRPr="00D10390">
          <w:rPr>
            <w:rStyle w:val="Hyperlink"/>
          </w:rPr>
          <w:t>Victorian Perinatal Data Collection (VPDC)</w:t>
        </w:r>
        <w:r>
          <w:rPr>
            <w:webHidden/>
          </w:rPr>
          <w:tab/>
        </w:r>
        <w:r>
          <w:rPr>
            <w:webHidden/>
          </w:rPr>
          <w:fldChar w:fldCharType="begin"/>
        </w:r>
        <w:r>
          <w:rPr>
            <w:webHidden/>
          </w:rPr>
          <w:instrText xml:space="preserve"> PAGEREF _Toc231982387 \h </w:instrText>
        </w:r>
        <w:r>
          <w:rPr>
            <w:webHidden/>
          </w:rPr>
        </w:r>
        <w:r>
          <w:rPr>
            <w:webHidden/>
          </w:rPr>
          <w:fldChar w:fldCharType="separate"/>
        </w:r>
        <w:r w:rsidR="00536048">
          <w:rPr>
            <w:webHidden/>
          </w:rPr>
          <w:t>183</w:t>
        </w:r>
        <w:r>
          <w:rPr>
            <w:webHidden/>
          </w:rPr>
          <w:fldChar w:fldCharType="end"/>
        </w:r>
      </w:hyperlink>
    </w:p>
    <w:p w14:paraId="7243076C" w14:textId="470A85E7"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88" w:history="1">
        <w:r w:rsidRPr="00D10390">
          <w:rPr>
            <w:rStyle w:val="Hyperlink"/>
          </w:rPr>
          <w:t>28.8</w:t>
        </w:r>
        <w:r>
          <w:rPr>
            <w:rFonts w:asciiTheme="minorHAnsi" w:eastAsiaTheme="minorEastAsia" w:hAnsiTheme="minorHAnsi" w:cstheme="minorBidi"/>
            <w:kern w:val="2"/>
            <w:sz w:val="24"/>
            <w:szCs w:val="24"/>
            <w:lang w:eastAsia="en-AU"/>
            <w14:ligatures w14:val="standardContextual"/>
          </w:rPr>
          <w:tab/>
        </w:r>
        <w:r w:rsidRPr="00D10390">
          <w:rPr>
            <w:rStyle w:val="Hyperlink"/>
          </w:rPr>
          <w:t>Public sector residential aged care services (PSRACS)</w:t>
        </w:r>
        <w:r>
          <w:rPr>
            <w:webHidden/>
          </w:rPr>
          <w:tab/>
        </w:r>
        <w:r>
          <w:rPr>
            <w:webHidden/>
          </w:rPr>
          <w:fldChar w:fldCharType="begin"/>
        </w:r>
        <w:r>
          <w:rPr>
            <w:webHidden/>
          </w:rPr>
          <w:instrText xml:space="preserve"> PAGEREF _Toc231982388 \h </w:instrText>
        </w:r>
        <w:r>
          <w:rPr>
            <w:webHidden/>
          </w:rPr>
        </w:r>
        <w:r>
          <w:rPr>
            <w:webHidden/>
          </w:rPr>
          <w:fldChar w:fldCharType="separate"/>
        </w:r>
        <w:r w:rsidR="00536048">
          <w:rPr>
            <w:webHidden/>
          </w:rPr>
          <w:t>183</w:t>
        </w:r>
        <w:r>
          <w:rPr>
            <w:webHidden/>
          </w:rPr>
          <w:fldChar w:fldCharType="end"/>
        </w:r>
      </w:hyperlink>
    </w:p>
    <w:p w14:paraId="1080B8DE" w14:textId="5D74C2C8"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89" w:history="1">
        <w:r w:rsidRPr="00D10390">
          <w:rPr>
            <w:rStyle w:val="Hyperlink"/>
          </w:rPr>
          <w:t>28.9</w:t>
        </w:r>
        <w:r>
          <w:rPr>
            <w:rFonts w:asciiTheme="minorHAnsi" w:eastAsiaTheme="minorEastAsia" w:hAnsiTheme="minorHAnsi" w:cstheme="minorBidi"/>
            <w:kern w:val="2"/>
            <w:sz w:val="24"/>
            <w:szCs w:val="24"/>
            <w:lang w:eastAsia="en-AU"/>
            <w14:ligatures w14:val="standardContextual"/>
          </w:rPr>
          <w:tab/>
        </w:r>
        <w:r w:rsidRPr="00D10390">
          <w:rPr>
            <w:rStyle w:val="Hyperlink"/>
          </w:rPr>
          <w:t>Aged care assessment (ACA)</w:t>
        </w:r>
        <w:r>
          <w:rPr>
            <w:webHidden/>
          </w:rPr>
          <w:tab/>
        </w:r>
        <w:r>
          <w:rPr>
            <w:webHidden/>
          </w:rPr>
          <w:fldChar w:fldCharType="begin"/>
        </w:r>
        <w:r>
          <w:rPr>
            <w:webHidden/>
          </w:rPr>
          <w:instrText xml:space="preserve"> PAGEREF _Toc231982389 \h </w:instrText>
        </w:r>
        <w:r>
          <w:rPr>
            <w:webHidden/>
          </w:rPr>
        </w:r>
        <w:r>
          <w:rPr>
            <w:webHidden/>
          </w:rPr>
          <w:fldChar w:fldCharType="separate"/>
        </w:r>
        <w:r w:rsidR="00536048">
          <w:rPr>
            <w:webHidden/>
          </w:rPr>
          <w:t>183</w:t>
        </w:r>
        <w:r>
          <w:rPr>
            <w:webHidden/>
          </w:rPr>
          <w:fldChar w:fldCharType="end"/>
        </w:r>
      </w:hyperlink>
    </w:p>
    <w:p w14:paraId="3540CF3A" w14:textId="37BA10DD"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390" w:history="1">
        <w:r w:rsidRPr="00D10390">
          <w:rPr>
            <w:rStyle w:val="Hyperlink"/>
          </w:rPr>
          <w:t>29</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Data collection requirements</w:t>
        </w:r>
        <w:r>
          <w:rPr>
            <w:webHidden/>
          </w:rPr>
          <w:tab/>
        </w:r>
        <w:r>
          <w:rPr>
            <w:webHidden/>
          </w:rPr>
          <w:fldChar w:fldCharType="begin"/>
        </w:r>
        <w:r>
          <w:rPr>
            <w:webHidden/>
          </w:rPr>
          <w:instrText xml:space="preserve"> PAGEREF _Toc231982390 \h </w:instrText>
        </w:r>
        <w:r>
          <w:rPr>
            <w:webHidden/>
          </w:rPr>
        </w:r>
        <w:r>
          <w:rPr>
            <w:webHidden/>
          </w:rPr>
          <w:fldChar w:fldCharType="separate"/>
        </w:r>
        <w:r w:rsidR="00536048">
          <w:rPr>
            <w:webHidden/>
          </w:rPr>
          <w:t>185</w:t>
        </w:r>
        <w:r>
          <w:rPr>
            <w:webHidden/>
          </w:rPr>
          <w:fldChar w:fldCharType="end"/>
        </w:r>
      </w:hyperlink>
    </w:p>
    <w:p w14:paraId="125AAEDA" w14:textId="5BA89749"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91" w:history="1">
        <w:r w:rsidRPr="00D10390">
          <w:rPr>
            <w:rStyle w:val="Hyperlink"/>
          </w:rPr>
          <w:t>29.1</w:t>
        </w:r>
        <w:r>
          <w:rPr>
            <w:rFonts w:asciiTheme="minorHAnsi" w:eastAsiaTheme="minorEastAsia" w:hAnsiTheme="minorHAnsi" w:cstheme="minorBidi"/>
            <w:kern w:val="2"/>
            <w:sz w:val="24"/>
            <w:szCs w:val="24"/>
            <w:lang w:eastAsia="en-AU"/>
            <w14:ligatures w14:val="standardContextual"/>
          </w:rPr>
          <w:tab/>
        </w:r>
        <w:r w:rsidRPr="00D10390">
          <w:rPr>
            <w:rStyle w:val="Hyperlink"/>
          </w:rPr>
          <w:t>Key systems</w:t>
        </w:r>
        <w:r>
          <w:rPr>
            <w:webHidden/>
          </w:rPr>
          <w:tab/>
        </w:r>
        <w:r>
          <w:rPr>
            <w:webHidden/>
          </w:rPr>
          <w:fldChar w:fldCharType="begin"/>
        </w:r>
        <w:r>
          <w:rPr>
            <w:webHidden/>
          </w:rPr>
          <w:instrText xml:space="preserve"> PAGEREF _Toc231982391 \h </w:instrText>
        </w:r>
        <w:r>
          <w:rPr>
            <w:webHidden/>
          </w:rPr>
        </w:r>
        <w:r>
          <w:rPr>
            <w:webHidden/>
          </w:rPr>
          <w:fldChar w:fldCharType="separate"/>
        </w:r>
        <w:r w:rsidR="00536048">
          <w:rPr>
            <w:webHidden/>
          </w:rPr>
          <w:t>185</w:t>
        </w:r>
        <w:r>
          <w:rPr>
            <w:webHidden/>
          </w:rPr>
          <w:fldChar w:fldCharType="end"/>
        </w:r>
      </w:hyperlink>
    </w:p>
    <w:p w14:paraId="3BF29F50" w14:textId="242B56F4"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92" w:history="1">
        <w:r w:rsidRPr="00D10390">
          <w:rPr>
            <w:rStyle w:val="Hyperlink"/>
          </w:rPr>
          <w:t>29.2</w:t>
        </w:r>
        <w:r>
          <w:rPr>
            <w:rFonts w:asciiTheme="minorHAnsi" w:eastAsiaTheme="minorEastAsia" w:hAnsiTheme="minorHAnsi" w:cstheme="minorBidi"/>
            <w:kern w:val="2"/>
            <w:sz w:val="24"/>
            <w:szCs w:val="24"/>
            <w:lang w:eastAsia="en-AU"/>
            <w14:ligatures w14:val="standardContextual"/>
          </w:rPr>
          <w:tab/>
        </w:r>
        <w:r w:rsidRPr="00D10390">
          <w:rPr>
            <w:rStyle w:val="Hyperlink"/>
          </w:rPr>
          <w:t>Data integrity</w:t>
        </w:r>
        <w:r>
          <w:rPr>
            <w:webHidden/>
          </w:rPr>
          <w:tab/>
        </w:r>
        <w:r>
          <w:rPr>
            <w:webHidden/>
          </w:rPr>
          <w:fldChar w:fldCharType="begin"/>
        </w:r>
        <w:r>
          <w:rPr>
            <w:webHidden/>
          </w:rPr>
          <w:instrText xml:space="preserve"> PAGEREF _Toc231982392 \h </w:instrText>
        </w:r>
        <w:r>
          <w:rPr>
            <w:webHidden/>
          </w:rPr>
        </w:r>
        <w:r>
          <w:rPr>
            <w:webHidden/>
          </w:rPr>
          <w:fldChar w:fldCharType="separate"/>
        </w:r>
        <w:r w:rsidR="00536048">
          <w:rPr>
            <w:webHidden/>
          </w:rPr>
          <w:t>205</w:t>
        </w:r>
        <w:r>
          <w:rPr>
            <w:webHidden/>
          </w:rPr>
          <w:fldChar w:fldCharType="end"/>
        </w:r>
      </w:hyperlink>
    </w:p>
    <w:p w14:paraId="65D689CA" w14:textId="74D05B75"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93" w:history="1">
        <w:r w:rsidRPr="00D10390">
          <w:rPr>
            <w:rStyle w:val="Hyperlink"/>
          </w:rPr>
          <w:t>29.3</w:t>
        </w:r>
        <w:r>
          <w:rPr>
            <w:rFonts w:asciiTheme="minorHAnsi" w:eastAsiaTheme="minorEastAsia" w:hAnsiTheme="minorHAnsi" w:cstheme="minorBidi"/>
            <w:kern w:val="2"/>
            <w:sz w:val="24"/>
            <w:szCs w:val="24"/>
            <w:lang w:eastAsia="en-AU"/>
            <w14:ligatures w14:val="standardContextual"/>
          </w:rPr>
          <w:tab/>
        </w:r>
        <w:r w:rsidRPr="00D10390">
          <w:rPr>
            <w:rStyle w:val="Hyperlink"/>
          </w:rPr>
          <w:t>Ambulance Victoria data reporting requirements</w:t>
        </w:r>
        <w:r>
          <w:rPr>
            <w:webHidden/>
          </w:rPr>
          <w:tab/>
        </w:r>
        <w:r>
          <w:rPr>
            <w:webHidden/>
          </w:rPr>
          <w:fldChar w:fldCharType="begin"/>
        </w:r>
        <w:r>
          <w:rPr>
            <w:webHidden/>
          </w:rPr>
          <w:instrText xml:space="preserve"> PAGEREF _Toc231982393 \h </w:instrText>
        </w:r>
        <w:r>
          <w:rPr>
            <w:webHidden/>
          </w:rPr>
        </w:r>
        <w:r>
          <w:rPr>
            <w:webHidden/>
          </w:rPr>
          <w:fldChar w:fldCharType="separate"/>
        </w:r>
        <w:r w:rsidR="00536048">
          <w:rPr>
            <w:webHidden/>
          </w:rPr>
          <w:t>206</w:t>
        </w:r>
        <w:r>
          <w:rPr>
            <w:webHidden/>
          </w:rPr>
          <w:fldChar w:fldCharType="end"/>
        </w:r>
      </w:hyperlink>
    </w:p>
    <w:p w14:paraId="72710064" w14:textId="69B1F5A0"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94" w:history="1">
        <w:r w:rsidRPr="00D10390">
          <w:rPr>
            <w:rStyle w:val="Hyperlink"/>
          </w:rPr>
          <w:t>29.4</w:t>
        </w:r>
        <w:r>
          <w:rPr>
            <w:rFonts w:asciiTheme="minorHAnsi" w:eastAsiaTheme="minorEastAsia" w:hAnsiTheme="minorHAnsi" w:cstheme="minorBidi"/>
            <w:kern w:val="2"/>
            <w:sz w:val="24"/>
            <w:szCs w:val="24"/>
            <w:lang w:eastAsia="en-AU"/>
            <w14:ligatures w14:val="standardContextual"/>
          </w:rPr>
          <w:tab/>
        </w:r>
        <w:r w:rsidRPr="00D10390">
          <w:rPr>
            <w:rStyle w:val="Hyperlink"/>
          </w:rPr>
          <w:t>Mental health services data reporting requirements</w:t>
        </w:r>
        <w:r>
          <w:rPr>
            <w:webHidden/>
          </w:rPr>
          <w:tab/>
        </w:r>
        <w:r>
          <w:rPr>
            <w:webHidden/>
          </w:rPr>
          <w:fldChar w:fldCharType="begin"/>
        </w:r>
        <w:r>
          <w:rPr>
            <w:webHidden/>
          </w:rPr>
          <w:instrText xml:space="preserve"> PAGEREF _Toc231982394 \h </w:instrText>
        </w:r>
        <w:r>
          <w:rPr>
            <w:webHidden/>
          </w:rPr>
        </w:r>
        <w:r>
          <w:rPr>
            <w:webHidden/>
          </w:rPr>
          <w:fldChar w:fldCharType="separate"/>
        </w:r>
        <w:r w:rsidR="00536048">
          <w:rPr>
            <w:webHidden/>
          </w:rPr>
          <w:t>207</w:t>
        </w:r>
        <w:r>
          <w:rPr>
            <w:webHidden/>
          </w:rPr>
          <w:fldChar w:fldCharType="end"/>
        </w:r>
      </w:hyperlink>
    </w:p>
    <w:p w14:paraId="7428FFC0" w14:textId="53D080BD"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95" w:history="1">
        <w:r w:rsidRPr="00D10390">
          <w:rPr>
            <w:rStyle w:val="Hyperlink"/>
          </w:rPr>
          <w:t>29.5</w:t>
        </w:r>
        <w:r>
          <w:rPr>
            <w:rFonts w:asciiTheme="minorHAnsi" w:eastAsiaTheme="minorEastAsia" w:hAnsiTheme="minorHAnsi" w:cstheme="minorBidi"/>
            <w:kern w:val="2"/>
            <w:sz w:val="24"/>
            <w:szCs w:val="24"/>
            <w:lang w:eastAsia="en-AU"/>
            <w14:ligatures w14:val="standardContextual"/>
          </w:rPr>
          <w:tab/>
        </w:r>
        <w:r w:rsidRPr="00D10390">
          <w:rPr>
            <w:rStyle w:val="Hyperlink"/>
          </w:rPr>
          <w:t>Public health data reporting requirements</w:t>
        </w:r>
        <w:r>
          <w:rPr>
            <w:webHidden/>
          </w:rPr>
          <w:tab/>
        </w:r>
        <w:r>
          <w:rPr>
            <w:webHidden/>
          </w:rPr>
          <w:fldChar w:fldCharType="begin"/>
        </w:r>
        <w:r>
          <w:rPr>
            <w:webHidden/>
          </w:rPr>
          <w:instrText xml:space="preserve"> PAGEREF _Toc231982395 \h </w:instrText>
        </w:r>
        <w:r>
          <w:rPr>
            <w:webHidden/>
          </w:rPr>
        </w:r>
        <w:r>
          <w:rPr>
            <w:webHidden/>
          </w:rPr>
          <w:fldChar w:fldCharType="separate"/>
        </w:r>
        <w:r w:rsidR="00536048">
          <w:rPr>
            <w:webHidden/>
          </w:rPr>
          <w:t>217</w:t>
        </w:r>
        <w:r>
          <w:rPr>
            <w:webHidden/>
          </w:rPr>
          <w:fldChar w:fldCharType="end"/>
        </w:r>
      </w:hyperlink>
    </w:p>
    <w:p w14:paraId="63E859AA" w14:textId="4E461A35"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96" w:history="1">
        <w:r w:rsidRPr="00D10390">
          <w:rPr>
            <w:rStyle w:val="Hyperlink"/>
          </w:rPr>
          <w:t>29.6</w:t>
        </w:r>
        <w:r>
          <w:rPr>
            <w:rFonts w:asciiTheme="minorHAnsi" w:eastAsiaTheme="minorEastAsia" w:hAnsiTheme="minorHAnsi" w:cstheme="minorBidi"/>
            <w:kern w:val="2"/>
            <w:sz w:val="24"/>
            <w:szCs w:val="24"/>
            <w:lang w:eastAsia="en-AU"/>
            <w14:ligatures w14:val="standardContextual"/>
          </w:rPr>
          <w:tab/>
        </w:r>
        <w:r w:rsidRPr="00D10390">
          <w:rPr>
            <w:rStyle w:val="Hyperlink"/>
          </w:rPr>
          <w:t>Aged care data reporting requirements</w:t>
        </w:r>
        <w:r>
          <w:rPr>
            <w:webHidden/>
          </w:rPr>
          <w:tab/>
        </w:r>
        <w:r>
          <w:rPr>
            <w:webHidden/>
          </w:rPr>
          <w:fldChar w:fldCharType="begin"/>
        </w:r>
        <w:r>
          <w:rPr>
            <w:webHidden/>
          </w:rPr>
          <w:instrText xml:space="preserve"> PAGEREF _Toc231982396 \h </w:instrText>
        </w:r>
        <w:r>
          <w:rPr>
            <w:webHidden/>
          </w:rPr>
        </w:r>
        <w:r>
          <w:rPr>
            <w:webHidden/>
          </w:rPr>
          <w:fldChar w:fldCharType="separate"/>
        </w:r>
        <w:r w:rsidR="00536048">
          <w:rPr>
            <w:webHidden/>
          </w:rPr>
          <w:t>217</w:t>
        </w:r>
        <w:r>
          <w:rPr>
            <w:webHidden/>
          </w:rPr>
          <w:fldChar w:fldCharType="end"/>
        </w:r>
      </w:hyperlink>
    </w:p>
    <w:p w14:paraId="63C4C4C5" w14:textId="35E2978A"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97" w:history="1">
        <w:r w:rsidRPr="00D10390">
          <w:rPr>
            <w:rStyle w:val="Hyperlink"/>
          </w:rPr>
          <w:t>29.7</w:t>
        </w:r>
        <w:r>
          <w:rPr>
            <w:rFonts w:asciiTheme="minorHAnsi" w:eastAsiaTheme="minorEastAsia" w:hAnsiTheme="minorHAnsi" w:cstheme="minorBidi"/>
            <w:kern w:val="2"/>
            <w:sz w:val="24"/>
            <w:szCs w:val="24"/>
            <w:lang w:eastAsia="en-AU"/>
            <w14:ligatures w14:val="standardContextual"/>
          </w:rPr>
          <w:tab/>
        </w:r>
        <w:r w:rsidRPr="00D10390">
          <w:rPr>
            <w:rStyle w:val="Hyperlink"/>
          </w:rPr>
          <w:t>Primary, community and dental health data reporting requirements</w:t>
        </w:r>
        <w:r>
          <w:rPr>
            <w:webHidden/>
          </w:rPr>
          <w:tab/>
        </w:r>
        <w:r>
          <w:rPr>
            <w:webHidden/>
          </w:rPr>
          <w:fldChar w:fldCharType="begin"/>
        </w:r>
        <w:r>
          <w:rPr>
            <w:webHidden/>
          </w:rPr>
          <w:instrText xml:space="preserve"> PAGEREF _Toc231982397 \h </w:instrText>
        </w:r>
        <w:r>
          <w:rPr>
            <w:webHidden/>
          </w:rPr>
        </w:r>
        <w:r>
          <w:rPr>
            <w:webHidden/>
          </w:rPr>
          <w:fldChar w:fldCharType="separate"/>
        </w:r>
        <w:r w:rsidR="00536048">
          <w:rPr>
            <w:webHidden/>
          </w:rPr>
          <w:t>219</w:t>
        </w:r>
        <w:r>
          <w:rPr>
            <w:webHidden/>
          </w:rPr>
          <w:fldChar w:fldCharType="end"/>
        </w:r>
      </w:hyperlink>
    </w:p>
    <w:p w14:paraId="0EBD96A1" w14:textId="5070120F"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98" w:history="1">
        <w:r w:rsidRPr="00D10390">
          <w:rPr>
            <w:rStyle w:val="Hyperlink"/>
          </w:rPr>
          <w:t>29.8</w:t>
        </w:r>
        <w:r>
          <w:rPr>
            <w:rFonts w:asciiTheme="minorHAnsi" w:eastAsiaTheme="minorEastAsia" w:hAnsiTheme="minorHAnsi" w:cstheme="minorBidi"/>
            <w:kern w:val="2"/>
            <w:sz w:val="24"/>
            <w:szCs w:val="24"/>
            <w:lang w:eastAsia="en-AU"/>
            <w14:ligatures w14:val="standardContextual"/>
          </w:rPr>
          <w:tab/>
        </w:r>
        <w:r w:rsidRPr="00D10390">
          <w:rPr>
            <w:rStyle w:val="Hyperlink"/>
          </w:rPr>
          <w:t>Workforce data reporting requirements</w:t>
        </w:r>
        <w:r>
          <w:rPr>
            <w:webHidden/>
          </w:rPr>
          <w:tab/>
        </w:r>
        <w:r>
          <w:rPr>
            <w:webHidden/>
          </w:rPr>
          <w:fldChar w:fldCharType="begin"/>
        </w:r>
        <w:r>
          <w:rPr>
            <w:webHidden/>
          </w:rPr>
          <w:instrText xml:space="preserve"> PAGEREF _Toc231982398 \h </w:instrText>
        </w:r>
        <w:r>
          <w:rPr>
            <w:webHidden/>
          </w:rPr>
        </w:r>
        <w:r>
          <w:rPr>
            <w:webHidden/>
          </w:rPr>
          <w:fldChar w:fldCharType="separate"/>
        </w:r>
        <w:r w:rsidR="00536048">
          <w:rPr>
            <w:webHidden/>
          </w:rPr>
          <w:t>221</w:t>
        </w:r>
        <w:r>
          <w:rPr>
            <w:webHidden/>
          </w:rPr>
          <w:fldChar w:fldCharType="end"/>
        </w:r>
      </w:hyperlink>
    </w:p>
    <w:p w14:paraId="1A4868E5" w14:textId="45EFC90F"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399" w:history="1">
        <w:r w:rsidRPr="00D10390">
          <w:rPr>
            <w:rStyle w:val="Hyperlink"/>
          </w:rPr>
          <w:t>29.9</w:t>
        </w:r>
        <w:r>
          <w:rPr>
            <w:rFonts w:asciiTheme="minorHAnsi" w:eastAsiaTheme="minorEastAsia" w:hAnsiTheme="minorHAnsi" w:cstheme="minorBidi"/>
            <w:kern w:val="2"/>
            <w:sz w:val="24"/>
            <w:szCs w:val="24"/>
            <w:lang w:eastAsia="en-AU"/>
            <w14:ligatures w14:val="standardContextual"/>
          </w:rPr>
          <w:tab/>
        </w:r>
        <w:r w:rsidRPr="00D10390">
          <w:rPr>
            <w:rStyle w:val="Hyperlink"/>
          </w:rPr>
          <w:t>Training and development funding reporting and eligibility requirements</w:t>
        </w:r>
        <w:r>
          <w:rPr>
            <w:webHidden/>
          </w:rPr>
          <w:tab/>
        </w:r>
        <w:r>
          <w:rPr>
            <w:webHidden/>
          </w:rPr>
          <w:fldChar w:fldCharType="begin"/>
        </w:r>
        <w:r>
          <w:rPr>
            <w:webHidden/>
          </w:rPr>
          <w:instrText xml:space="preserve"> PAGEREF _Toc231982399 \h </w:instrText>
        </w:r>
        <w:r>
          <w:rPr>
            <w:webHidden/>
          </w:rPr>
        </w:r>
        <w:r>
          <w:rPr>
            <w:webHidden/>
          </w:rPr>
          <w:fldChar w:fldCharType="separate"/>
        </w:r>
        <w:r w:rsidR="00536048">
          <w:rPr>
            <w:webHidden/>
          </w:rPr>
          <w:t>221</w:t>
        </w:r>
        <w:r>
          <w:rPr>
            <w:webHidden/>
          </w:rPr>
          <w:fldChar w:fldCharType="end"/>
        </w:r>
      </w:hyperlink>
    </w:p>
    <w:p w14:paraId="66ECDAD4" w14:textId="56F6BD82"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400" w:history="1">
        <w:r w:rsidRPr="00D10390">
          <w:rPr>
            <w:rStyle w:val="Hyperlink"/>
          </w:rPr>
          <w:t>29.10</w:t>
        </w:r>
        <w:r>
          <w:rPr>
            <w:rFonts w:asciiTheme="minorHAnsi" w:eastAsiaTheme="minorEastAsia" w:hAnsiTheme="minorHAnsi" w:cstheme="minorBidi"/>
            <w:kern w:val="2"/>
            <w:sz w:val="24"/>
            <w:szCs w:val="24"/>
            <w:lang w:eastAsia="en-AU"/>
            <w14:ligatures w14:val="standardContextual"/>
          </w:rPr>
          <w:tab/>
        </w:r>
        <w:r w:rsidRPr="00D10390">
          <w:rPr>
            <w:rStyle w:val="Hyperlink"/>
          </w:rPr>
          <w:t>Commonwealth–state reporting requirements</w:t>
        </w:r>
        <w:r>
          <w:rPr>
            <w:webHidden/>
          </w:rPr>
          <w:tab/>
        </w:r>
        <w:r>
          <w:rPr>
            <w:webHidden/>
          </w:rPr>
          <w:fldChar w:fldCharType="begin"/>
        </w:r>
        <w:r>
          <w:rPr>
            <w:webHidden/>
          </w:rPr>
          <w:instrText xml:space="preserve"> PAGEREF _Toc231982400 \h </w:instrText>
        </w:r>
        <w:r>
          <w:rPr>
            <w:webHidden/>
          </w:rPr>
        </w:r>
        <w:r>
          <w:rPr>
            <w:webHidden/>
          </w:rPr>
          <w:fldChar w:fldCharType="separate"/>
        </w:r>
        <w:r w:rsidR="00536048">
          <w:rPr>
            <w:webHidden/>
          </w:rPr>
          <w:t>222</w:t>
        </w:r>
        <w:r>
          <w:rPr>
            <w:webHidden/>
          </w:rPr>
          <w:fldChar w:fldCharType="end"/>
        </w:r>
      </w:hyperlink>
    </w:p>
    <w:p w14:paraId="2793D55A" w14:textId="11294471"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401" w:history="1">
        <w:r w:rsidRPr="00D10390">
          <w:rPr>
            <w:rStyle w:val="Hyperlink"/>
          </w:rPr>
          <w:t>29.11</w:t>
        </w:r>
        <w:r>
          <w:rPr>
            <w:rFonts w:asciiTheme="minorHAnsi" w:eastAsiaTheme="minorEastAsia" w:hAnsiTheme="minorHAnsi" w:cstheme="minorBidi"/>
            <w:kern w:val="2"/>
            <w:sz w:val="24"/>
            <w:szCs w:val="24"/>
            <w:lang w:eastAsia="en-AU"/>
            <w14:ligatures w14:val="standardContextual"/>
          </w:rPr>
          <w:tab/>
        </w:r>
        <w:r w:rsidRPr="00D10390">
          <w:rPr>
            <w:rStyle w:val="Hyperlink"/>
          </w:rPr>
          <w:t>Environmental data and reporting requirements</w:t>
        </w:r>
        <w:r>
          <w:rPr>
            <w:webHidden/>
          </w:rPr>
          <w:tab/>
        </w:r>
        <w:r>
          <w:rPr>
            <w:webHidden/>
          </w:rPr>
          <w:fldChar w:fldCharType="begin"/>
        </w:r>
        <w:r>
          <w:rPr>
            <w:webHidden/>
          </w:rPr>
          <w:instrText xml:space="preserve"> PAGEREF _Toc231982401 \h </w:instrText>
        </w:r>
        <w:r>
          <w:rPr>
            <w:webHidden/>
          </w:rPr>
        </w:r>
        <w:r>
          <w:rPr>
            <w:webHidden/>
          </w:rPr>
          <w:fldChar w:fldCharType="separate"/>
        </w:r>
        <w:r w:rsidR="00536048">
          <w:rPr>
            <w:webHidden/>
          </w:rPr>
          <w:t>222</w:t>
        </w:r>
        <w:r>
          <w:rPr>
            <w:webHidden/>
          </w:rPr>
          <w:fldChar w:fldCharType="end"/>
        </w:r>
      </w:hyperlink>
    </w:p>
    <w:p w14:paraId="6D6CAB78" w14:textId="507EA9F3"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402" w:history="1">
        <w:r w:rsidRPr="00D10390">
          <w:rPr>
            <w:rStyle w:val="Hyperlink"/>
          </w:rPr>
          <w:t>30</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Performance targets and monitoring</w:t>
        </w:r>
        <w:r>
          <w:rPr>
            <w:webHidden/>
          </w:rPr>
          <w:tab/>
        </w:r>
        <w:r>
          <w:rPr>
            <w:webHidden/>
          </w:rPr>
          <w:fldChar w:fldCharType="begin"/>
        </w:r>
        <w:r>
          <w:rPr>
            <w:webHidden/>
          </w:rPr>
          <w:instrText xml:space="preserve"> PAGEREF _Toc231982402 \h </w:instrText>
        </w:r>
        <w:r>
          <w:rPr>
            <w:webHidden/>
          </w:rPr>
        </w:r>
        <w:r>
          <w:rPr>
            <w:webHidden/>
          </w:rPr>
          <w:fldChar w:fldCharType="separate"/>
        </w:r>
        <w:r w:rsidR="00536048">
          <w:rPr>
            <w:webHidden/>
          </w:rPr>
          <w:t>224</w:t>
        </w:r>
        <w:r>
          <w:rPr>
            <w:webHidden/>
          </w:rPr>
          <w:fldChar w:fldCharType="end"/>
        </w:r>
      </w:hyperlink>
    </w:p>
    <w:p w14:paraId="7CFB0942" w14:textId="64BD932D"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403" w:history="1">
        <w:r w:rsidRPr="00D10390">
          <w:rPr>
            <w:rStyle w:val="Hyperlink"/>
          </w:rPr>
          <w:t>30.1</w:t>
        </w:r>
        <w:r>
          <w:rPr>
            <w:rFonts w:asciiTheme="minorHAnsi" w:eastAsiaTheme="minorEastAsia" w:hAnsiTheme="minorHAnsi" w:cstheme="minorBidi"/>
            <w:kern w:val="2"/>
            <w:sz w:val="24"/>
            <w:szCs w:val="24"/>
            <w:lang w:eastAsia="en-AU"/>
            <w14:ligatures w14:val="standardContextual"/>
          </w:rPr>
          <w:tab/>
        </w:r>
        <w:r w:rsidRPr="00D10390">
          <w:rPr>
            <w:rStyle w:val="Hyperlink"/>
          </w:rPr>
          <w:t>Health services covered under the Health Services Act</w:t>
        </w:r>
        <w:r>
          <w:rPr>
            <w:webHidden/>
          </w:rPr>
          <w:tab/>
        </w:r>
        <w:r>
          <w:rPr>
            <w:webHidden/>
          </w:rPr>
          <w:fldChar w:fldCharType="begin"/>
        </w:r>
        <w:r>
          <w:rPr>
            <w:webHidden/>
          </w:rPr>
          <w:instrText xml:space="preserve"> PAGEREF _Toc231982403 \h </w:instrText>
        </w:r>
        <w:r>
          <w:rPr>
            <w:webHidden/>
          </w:rPr>
        </w:r>
        <w:r>
          <w:rPr>
            <w:webHidden/>
          </w:rPr>
          <w:fldChar w:fldCharType="separate"/>
        </w:r>
        <w:r w:rsidR="00536048">
          <w:rPr>
            <w:webHidden/>
          </w:rPr>
          <w:t>224</w:t>
        </w:r>
        <w:r>
          <w:rPr>
            <w:webHidden/>
          </w:rPr>
          <w:fldChar w:fldCharType="end"/>
        </w:r>
      </w:hyperlink>
    </w:p>
    <w:p w14:paraId="459F341E" w14:textId="475C1F48" w:rsidR="009570FC" w:rsidRDefault="009570F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1982404" w:history="1">
        <w:r w:rsidRPr="00D10390">
          <w:rPr>
            <w:rStyle w:val="Hyperlink"/>
          </w:rPr>
          <w:t>30.2</w:t>
        </w:r>
        <w:r>
          <w:rPr>
            <w:rFonts w:asciiTheme="minorHAnsi" w:eastAsiaTheme="minorEastAsia" w:hAnsiTheme="minorHAnsi" w:cstheme="minorBidi"/>
            <w:kern w:val="2"/>
            <w:sz w:val="24"/>
            <w:szCs w:val="24"/>
            <w:lang w:eastAsia="en-AU"/>
            <w14:ligatures w14:val="standardContextual"/>
          </w:rPr>
          <w:tab/>
        </w:r>
        <w:r w:rsidRPr="00D10390">
          <w:rPr>
            <w:rStyle w:val="Hyperlink"/>
          </w:rPr>
          <w:t>Services provided under a service agreement</w:t>
        </w:r>
        <w:r>
          <w:rPr>
            <w:webHidden/>
          </w:rPr>
          <w:tab/>
        </w:r>
        <w:r>
          <w:rPr>
            <w:webHidden/>
          </w:rPr>
          <w:fldChar w:fldCharType="begin"/>
        </w:r>
        <w:r>
          <w:rPr>
            <w:webHidden/>
          </w:rPr>
          <w:instrText xml:space="preserve"> PAGEREF _Toc231982404 \h </w:instrText>
        </w:r>
        <w:r>
          <w:rPr>
            <w:webHidden/>
          </w:rPr>
        </w:r>
        <w:r>
          <w:rPr>
            <w:webHidden/>
          </w:rPr>
          <w:fldChar w:fldCharType="separate"/>
        </w:r>
        <w:r w:rsidR="00536048">
          <w:rPr>
            <w:webHidden/>
          </w:rPr>
          <w:t>224</w:t>
        </w:r>
        <w:r>
          <w:rPr>
            <w:webHidden/>
          </w:rPr>
          <w:fldChar w:fldCharType="end"/>
        </w:r>
      </w:hyperlink>
    </w:p>
    <w:p w14:paraId="079F4894" w14:textId="48C45145"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405" w:history="1">
        <w:r w:rsidRPr="00D10390">
          <w:rPr>
            <w:rStyle w:val="Hyperlink"/>
          </w:rPr>
          <w:t>31</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Service standards and guidelines</w:t>
        </w:r>
        <w:r>
          <w:rPr>
            <w:webHidden/>
          </w:rPr>
          <w:tab/>
        </w:r>
        <w:r>
          <w:rPr>
            <w:webHidden/>
          </w:rPr>
          <w:fldChar w:fldCharType="begin"/>
        </w:r>
        <w:r>
          <w:rPr>
            <w:webHidden/>
          </w:rPr>
          <w:instrText xml:space="preserve"> PAGEREF _Toc231982405 \h </w:instrText>
        </w:r>
        <w:r>
          <w:rPr>
            <w:webHidden/>
          </w:rPr>
        </w:r>
        <w:r>
          <w:rPr>
            <w:webHidden/>
          </w:rPr>
          <w:fldChar w:fldCharType="separate"/>
        </w:r>
        <w:r w:rsidR="00536048">
          <w:rPr>
            <w:webHidden/>
          </w:rPr>
          <w:t>234</w:t>
        </w:r>
        <w:r>
          <w:rPr>
            <w:webHidden/>
          </w:rPr>
          <w:fldChar w:fldCharType="end"/>
        </w:r>
      </w:hyperlink>
    </w:p>
    <w:p w14:paraId="04B01BE7" w14:textId="23CF877A"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406" w:history="1">
        <w:r w:rsidRPr="00D10390">
          <w:rPr>
            <w:rStyle w:val="Hyperlink"/>
          </w:rPr>
          <w:t>32</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List of tables</w:t>
        </w:r>
        <w:r>
          <w:rPr>
            <w:webHidden/>
          </w:rPr>
          <w:tab/>
        </w:r>
        <w:r>
          <w:rPr>
            <w:webHidden/>
          </w:rPr>
          <w:fldChar w:fldCharType="begin"/>
        </w:r>
        <w:r>
          <w:rPr>
            <w:webHidden/>
          </w:rPr>
          <w:instrText xml:space="preserve"> PAGEREF _Toc231982406 \h </w:instrText>
        </w:r>
        <w:r>
          <w:rPr>
            <w:webHidden/>
          </w:rPr>
        </w:r>
        <w:r>
          <w:rPr>
            <w:webHidden/>
          </w:rPr>
          <w:fldChar w:fldCharType="separate"/>
        </w:r>
        <w:r w:rsidR="00536048">
          <w:rPr>
            <w:webHidden/>
          </w:rPr>
          <w:t>240</w:t>
        </w:r>
        <w:r>
          <w:rPr>
            <w:webHidden/>
          </w:rPr>
          <w:fldChar w:fldCharType="end"/>
        </w:r>
      </w:hyperlink>
    </w:p>
    <w:p w14:paraId="732B20FE" w14:textId="7C2C8091" w:rsidR="009570FC" w:rsidRDefault="009570F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1982407" w:history="1">
        <w:r w:rsidRPr="00D10390">
          <w:rPr>
            <w:rStyle w:val="Hyperlink"/>
          </w:rPr>
          <w:t>33</w:t>
        </w:r>
        <w:r>
          <w:rPr>
            <w:rFonts w:asciiTheme="minorHAnsi" w:eastAsiaTheme="minorEastAsia" w:hAnsiTheme="minorHAnsi" w:cstheme="minorBidi"/>
            <w:b w:val="0"/>
            <w:kern w:val="2"/>
            <w:sz w:val="24"/>
            <w:szCs w:val="24"/>
            <w:lang w:eastAsia="en-AU"/>
            <w14:ligatures w14:val="standardContextual"/>
          </w:rPr>
          <w:tab/>
        </w:r>
        <w:r w:rsidRPr="00D10390">
          <w:rPr>
            <w:rStyle w:val="Hyperlink"/>
          </w:rPr>
          <w:t>Glossary and acronyms</w:t>
        </w:r>
        <w:r>
          <w:rPr>
            <w:webHidden/>
          </w:rPr>
          <w:tab/>
        </w:r>
        <w:r>
          <w:rPr>
            <w:webHidden/>
          </w:rPr>
          <w:fldChar w:fldCharType="begin"/>
        </w:r>
        <w:r>
          <w:rPr>
            <w:webHidden/>
          </w:rPr>
          <w:instrText xml:space="preserve"> PAGEREF _Toc231982407 \h </w:instrText>
        </w:r>
        <w:r>
          <w:rPr>
            <w:webHidden/>
          </w:rPr>
        </w:r>
        <w:r>
          <w:rPr>
            <w:webHidden/>
          </w:rPr>
          <w:fldChar w:fldCharType="separate"/>
        </w:r>
        <w:r w:rsidR="00536048">
          <w:rPr>
            <w:webHidden/>
          </w:rPr>
          <w:t>241</w:t>
        </w:r>
        <w:r>
          <w:rPr>
            <w:webHidden/>
          </w:rPr>
          <w:fldChar w:fldCharType="end"/>
        </w:r>
      </w:hyperlink>
    </w:p>
    <w:p w14:paraId="6368D17C" w14:textId="589D9354" w:rsidR="00817104" w:rsidRDefault="00817104" w:rsidP="00817104">
      <w:pPr>
        <w:pStyle w:val="Body"/>
        <w:rPr>
          <w:rFonts w:eastAsia="Times New Roman"/>
          <w:b/>
          <w:noProof/>
        </w:rPr>
      </w:pPr>
      <w:r>
        <w:rPr>
          <w:rFonts w:eastAsia="Times New Roman"/>
          <w:b/>
          <w:noProof/>
        </w:rPr>
        <w:fldChar w:fldCharType="end"/>
      </w:r>
    </w:p>
    <w:p w14:paraId="473979C8" w14:textId="77777777" w:rsidR="00817104" w:rsidRDefault="00817104" w:rsidP="00817104">
      <w:pPr>
        <w:spacing w:after="0" w:line="240" w:lineRule="auto"/>
        <w:rPr>
          <w:b/>
          <w:noProof/>
        </w:rPr>
      </w:pPr>
      <w:r>
        <w:rPr>
          <w:b/>
          <w:noProof/>
        </w:rPr>
        <w:br w:type="page"/>
      </w:r>
    </w:p>
    <w:p w14:paraId="0301D18A" w14:textId="77777777" w:rsidR="00817104" w:rsidRPr="00674286" w:rsidRDefault="00817104" w:rsidP="00E03261">
      <w:pPr>
        <w:pStyle w:val="Heading1"/>
        <w:numPr>
          <w:ilvl w:val="0"/>
          <w:numId w:val="0"/>
        </w:numPr>
      </w:pPr>
      <w:bookmarkStart w:id="0" w:name="_Toc106870423"/>
      <w:bookmarkStart w:id="1" w:name="_Toc165964624"/>
      <w:bookmarkStart w:id="2" w:name="_Toc167174486"/>
      <w:bookmarkStart w:id="3" w:name="_Toc231982233"/>
      <w:bookmarkStart w:id="4" w:name="_Toc10199536"/>
      <w:r>
        <w:lastRenderedPageBreak/>
        <w:t xml:space="preserve">Overview of the </w:t>
      </w:r>
      <w:r w:rsidRPr="0026522A">
        <w:t>Policy and funding guidelines</w:t>
      </w:r>
      <w:r>
        <w:br/>
      </w:r>
      <w:bookmarkEnd w:id="0"/>
      <w:bookmarkEnd w:id="1"/>
      <w:bookmarkEnd w:id="2"/>
      <w:r>
        <w:t>2026–27</w:t>
      </w:r>
      <w:bookmarkEnd w:id="3"/>
    </w:p>
    <w:p w14:paraId="77D0537A" w14:textId="77777777" w:rsidR="00817104" w:rsidRDefault="00817104" w:rsidP="00817104">
      <w:pPr>
        <w:pStyle w:val="Body"/>
      </w:pPr>
      <w:r>
        <w:t xml:space="preserve">The </w:t>
      </w:r>
      <w:r w:rsidRPr="003927C2">
        <w:t xml:space="preserve">Policy and funding guidelines </w:t>
      </w:r>
      <w:r>
        <w:t>2026–27</w:t>
      </w:r>
      <w:r w:rsidRPr="0670E279">
        <w:rPr>
          <w:i/>
          <w:iCs/>
        </w:rPr>
        <w:t xml:space="preserve"> </w:t>
      </w:r>
      <w:r>
        <w:t>provide the system-wide policy, funding and accountability</w:t>
      </w:r>
      <w:r w:rsidDel="00AC2EB7">
        <w:t xml:space="preserve"> </w:t>
      </w:r>
      <w:r>
        <w:t xml:space="preserve">requirements for government-funded healthcare organisations (funded organisations) in Victoria. This includes health services and hospitals, community </w:t>
      </w:r>
      <w:r w:rsidRPr="00D65A04">
        <w:t>service</w:t>
      </w:r>
      <w:r>
        <w:t xml:space="preserve"> organisations and other funded entities, such as Ambulance Victoria.</w:t>
      </w:r>
    </w:p>
    <w:p w14:paraId="0E1F5FF1" w14:textId="77777777" w:rsidR="00817104" w:rsidRDefault="00817104" w:rsidP="00817104">
      <w:pPr>
        <w:pStyle w:val="Body"/>
      </w:pPr>
      <w:r>
        <w:t xml:space="preserve">The guidelines: </w:t>
      </w:r>
    </w:p>
    <w:p w14:paraId="64B06B41" w14:textId="77777777" w:rsidR="00817104" w:rsidRPr="002A7703" w:rsidRDefault="00817104" w:rsidP="00817104">
      <w:pPr>
        <w:pStyle w:val="Bullet1"/>
        <w:numPr>
          <w:ilvl w:val="0"/>
          <w:numId w:val="2"/>
        </w:numPr>
      </w:pPr>
      <w:r>
        <w:t>set expectations for service delivery and operations</w:t>
      </w:r>
    </w:p>
    <w:p w14:paraId="5F0F7A1F" w14:textId="77777777" w:rsidR="00817104" w:rsidRPr="002A7703" w:rsidRDefault="00817104" w:rsidP="00817104">
      <w:pPr>
        <w:pStyle w:val="Bullet1"/>
        <w:numPr>
          <w:ilvl w:val="0"/>
          <w:numId w:val="2"/>
        </w:numPr>
      </w:pPr>
      <w:r>
        <w:t>outline the contractual, statutory and other requirements that must be met</w:t>
      </w:r>
    </w:p>
    <w:p w14:paraId="6FCCEB79" w14:textId="77777777" w:rsidR="00817104" w:rsidRDefault="00817104" w:rsidP="00817104">
      <w:pPr>
        <w:pStyle w:val="Bullet1"/>
        <w:numPr>
          <w:ilvl w:val="0"/>
          <w:numId w:val="2"/>
        </w:numPr>
      </w:pPr>
      <w:r>
        <w:t>detail the budgetary landscape, including funding and pricing arrangements, as well as funded activity and targets.</w:t>
      </w:r>
    </w:p>
    <w:p w14:paraId="23727699" w14:textId="77777777" w:rsidR="00817104" w:rsidRDefault="00817104" w:rsidP="00817104">
      <w:pPr>
        <w:pStyle w:val="Bodyafterbullets"/>
      </w:pPr>
      <w:r>
        <w:t>The guidelines comprise two separate but related publications, which are the:</w:t>
      </w:r>
    </w:p>
    <w:p w14:paraId="793C85F3" w14:textId="77777777" w:rsidR="00817104" w:rsidRPr="00E9450A" w:rsidRDefault="00817104" w:rsidP="00817104">
      <w:pPr>
        <w:pStyle w:val="Bullet1"/>
        <w:numPr>
          <w:ilvl w:val="0"/>
          <w:numId w:val="2"/>
        </w:numPr>
      </w:pPr>
      <w:r w:rsidRPr="003927C2">
        <w:t>Policy guide</w:t>
      </w:r>
      <w:r w:rsidRPr="00E9450A">
        <w:t xml:space="preserve"> (this document)</w:t>
      </w:r>
    </w:p>
    <w:p w14:paraId="21EBA83A" w14:textId="77777777" w:rsidR="00817104" w:rsidRPr="00E9450A" w:rsidRDefault="00817104" w:rsidP="00817104">
      <w:pPr>
        <w:pStyle w:val="Bullet1"/>
        <w:numPr>
          <w:ilvl w:val="0"/>
          <w:numId w:val="2"/>
        </w:numPr>
      </w:pPr>
      <w:r w:rsidRPr="003927C2">
        <w:t>Funding rules</w:t>
      </w:r>
      <w:r w:rsidRPr="00E9450A">
        <w:t>.</w:t>
      </w:r>
    </w:p>
    <w:p w14:paraId="68A170BD" w14:textId="77777777" w:rsidR="00817104" w:rsidRPr="008B63F8" w:rsidRDefault="00817104" w:rsidP="00E03261">
      <w:pPr>
        <w:pStyle w:val="Heading2"/>
        <w:numPr>
          <w:ilvl w:val="0"/>
          <w:numId w:val="0"/>
        </w:numPr>
        <w:ind w:left="576" w:hanging="576"/>
      </w:pPr>
      <w:bookmarkStart w:id="5" w:name="_Toc167225999"/>
      <w:bookmarkStart w:id="6" w:name="_Toc106868005"/>
      <w:bookmarkStart w:id="7" w:name="_Toc106869752"/>
      <w:bookmarkStart w:id="8" w:name="_Toc106870086"/>
      <w:bookmarkStart w:id="9" w:name="_Toc106870252"/>
      <w:bookmarkStart w:id="10" w:name="_Toc106870424"/>
      <w:bookmarkStart w:id="11" w:name="_Toc165964625"/>
      <w:bookmarkStart w:id="12" w:name="_Toc167174487"/>
      <w:bookmarkStart w:id="13" w:name="_Toc231982234"/>
      <w:bookmarkEnd w:id="5"/>
      <w:r>
        <w:t>Policy guide</w:t>
      </w:r>
      <w:bookmarkEnd w:id="6"/>
      <w:bookmarkEnd w:id="7"/>
      <w:bookmarkEnd w:id="8"/>
      <w:bookmarkEnd w:id="9"/>
      <w:bookmarkEnd w:id="10"/>
      <w:bookmarkEnd w:id="11"/>
      <w:bookmarkEnd w:id="12"/>
      <w:bookmarkEnd w:id="13"/>
    </w:p>
    <w:p w14:paraId="146F014B" w14:textId="77777777" w:rsidR="00817104" w:rsidRPr="00F64A0A" w:rsidRDefault="00817104" w:rsidP="00817104">
      <w:pPr>
        <w:pStyle w:val="Body"/>
      </w:pPr>
      <w:r>
        <w:t xml:space="preserve">The </w:t>
      </w:r>
      <w:r w:rsidRPr="003927C2">
        <w:t>Policy guide</w:t>
      </w:r>
      <w:r>
        <w:t xml:space="preserve"> provides detailed information regarding operational and service delivery policy. This includes the conditions within which funded organisations operate, and the obligations, standards and requirements funded organisations are expected to adhere to. The Policy guide is in two parts.</w:t>
      </w:r>
    </w:p>
    <w:p w14:paraId="01914CAD" w14:textId="77777777" w:rsidR="00817104" w:rsidRDefault="00817104" w:rsidP="00E03261">
      <w:pPr>
        <w:pStyle w:val="Heading3"/>
        <w:numPr>
          <w:ilvl w:val="0"/>
          <w:numId w:val="0"/>
        </w:numPr>
      </w:pPr>
      <w:bookmarkStart w:id="14" w:name="_Toc106869753"/>
      <w:bookmarkStart w:id="15" w:name="_Toc106870087"/>
      <w:bookmarkStart w:id="16" w:name="_Toc106870253"/>
      <w:bookmarkStart w:id="17" w:name="_Toc106870425"/>
      <w:bookmarkStart w:id="18" w:name="_Toc167174147"/>
      <w:r>
        <w:t xml:space="preserve">Part 1: Operational and </w:t>
      </w:r>
      <w:bookmarkEnd w:id="14"/>
      <w:bookmarkEnd w:id="15"/>
      <w:bookmarkEnd w:id="16"/>
      <w:bookmarkEnd w:id="17"/>
      <w:r>
        <w:t>service delivery policy</w:t>
      </w:r>
      <w:bookmarkEnd w:id="18"/>
    </w:p>
    <w:p w14:paraId="3E3745B1" w14:textId="77777777" w:rsidR="00817104" w:rsidRDefault="00817104" w:rsidP="00817104">
      <w:pPr>
        <w:pStyle w:val="Body"/>
      </w:pPr>
      <w:r>
        <w:t xml:space="preserve">Part 1 provides health services with the policy changes for the year. Note that it is not a complete, holistic guide to operational and service delivery policy in Victoria. </w:t>
      </w:r>
    </w:p>
    <w:p w14:paraId="69795DA8" w14:textId="77777777" w:rsidR="00817104" w:rsidRPr="0005765E" w:rsidRDefault="00817104" w:rsidP="00E03261">
      <w:pPr>
        <w:pStyle w:val="Heading3"/>
        <w:numPr>
          <w:ilvl w:val="0"/>
          <w:numId w:val="0"/>
        </w:numPr>
      </w:pPr>
      <w:bookmarkStart w:id="19" w:name="_Toc106869754"/>
      <w:bookmarkStart w:id="20" w:name="_Toc106870088"/>
      <w:bookmarkStart w:id="21" w:name="_Toc106870254"/>
      <w:bookmarkStart w:id="22" w:name="_Toc106870426"/>
      <w:bookmarkStart w:id="23" w:name="_Toc167174148"/>
      <w:r>
        <w:t xml:space="preserve">Part 2: Obligations, standards and </w:t>
      </w:r>
      <w:bookmarkEnd w:id="19"/>
      <w:bookmarkEnd w:id="20"/>
      <w:bookmarkEnd w:id="21"/>
      <w:bookmarkEnd w:id="22"/>
      <w:r>
        <w:t>requirements</w:t>
      </w:r>
      <w:bookmarkEnd w:id="23"/>
    </w:p>
    <w:p w14:paraId="700AF0D6" w14:textId="77777777" w:rsidR="00817104" w:rsidRDefault="00817104" w:rsidP="00817104">
      <w:pPr>
        <w:pStyle w:val="Body"/>
      </w:pPr>
      <w:r>
        <w:t>Part 2 outlines the relevant standards and obligations to which funded organisations must adhere, ensuring the delivery of safe, high-quality services and responsible financial management.</w:t>
      </w:r>
    </w:p>
    <w:p w14:paraId="6EC636C7" w14:textId="77777777" w:rsidR="00817104" w:rsidRPr="008B63F8" w:rsidRDefault="00817104" w:rsidP="00E03261">
      <w:pPr>
        <w:pStyle w:val="Heading2"/>
        <w:numPr>
          <w:ilvl w:val="0"/>
          <w:numId w:val="0"/>
        </w:numPr>
        <w:ind w:left="576" w:hanging="576"/>
      </w:pPr>
      <w:bookmarkStart w:id="24" w:name="_Toc106868006"/>
      <w:bookmarkStart w:id="25" w:name="_Toc106869755"/>
      <w:bookmarkStart w:id="26" w:name="_Toc106870089"/>
      <w:bookmarkStart w:id="27" w:name="_Toc106870255"/>
      <w:bookmarkStart w:id="28" w:name="_Toc106870427"/>
      <w:bookmarkStart w:id="29" w:name="_Toc165964626"/>
      <w:bookmarkStart w:id="30" w:name="_Toc167174488"/>
      <w:bookmarkStart w:id="31" w:name="_Toc231982235"/>
      <w:r>
        <w:t xml:space="preserve">Funding </w:t>
      </w:r>
      <w:r w:rsidRPr="0005765E">
        <w:t>rules</w:t>
      </w:r>
      <w:bookmarkEnd w:id="24"/>
      <w:bookmarkEnd w:id="25"/>
      <w:bookmarkEnd w:id="26"/>
      <w:bookmarkEnd w:id="27"/>
      <w:bookmarkEnd w:id="28"/>
      <w:bookmarkEnd w:id="29"/>
      <w:bookmarkEnd w:id="30"/>
      <w:bookmarkEnd w:id="31"/>
    </w:p>
    <w:p w14:paraId="45306601" w14:textId="77777777" w:rsidR="00817104" w:rsidRPr="00F64A0A" w:rsidRDefault="00817104" w:rsidP="00817104">
      <w:pPr>
        <w:pStyle w:val="Body"/>
      </w:pPr>
      <w:r>
        <w:t>The F</w:t>
      </w:r>
      <w:r w:rsidRPr="003927C2">
        <w:t>unding rules</w:t>
      </w:r>
      <w:r>
        <w:t xml:space="preserve"> go over the budgetary and funding parameters within which funded organisations are expected to work. The Funding rules are in two parts.</w:t>
      </w:r>
    </w:p>
    <w:p w14:paraId="6CC61BFD" w14:textId="77777777" w:rsidR="00817104" w:rsidRPr="005A38DA" w:rsidRDefault="00817104" w:rsidP="00E03261">
      <w:pPr>
        <w:pStyle w:val="Heading3"/>
        <w:numPr>
          <w:ilvl w:val="0"/>
          <w:numId w:val="0"/>
        </w:numPr>
      </w:pPr>
      <w:bookmarkStart w:id="32" w:name="_Toc106869756"/>
      <w:bookmarkStart w:id="33" w:name="_Toc106870090"/>
      <w:bookmarkStart w:id="34" w:name="_Toc106870256"/>
      <w:bookmarkStart w:id="35" w:name="_Toc106870428"/>
      <w:bookmarkStart w:id="36" w:name="_Toc167174150"/>
      <w:r>
        <w:t xml:space="preserve">Part 1: Budgetary landscape and </w:t>
      </w:r>
      <w:bookmarkEnd w:id="32"/>
      <w:bookmarkEnd w:id="33"/>
      <w:bookmarkEnd w:id="34"/>
      <w:bookmarkEnd w:id="35"/>
      <w:r>
        <w:t>pricing arrangements</w:t>
      </w:r>
      <w:bookmarkEnd w:id="36"/>
    </w:p>
    <w:p w14:paraId="072C9AC5" w14:textId="77777777" w:rsidR="00817104" w:rsidRPr="005A38DA" w:rsidRDefault="00817104" w:rsidP="00817104">
      <w:pPr>
        <w:pStyle w:val="Body"/>
      </w:pPr>
      <w:r>
        <w:t>Part 1 details the funding and pricing arrangements.</w:t>
      </w:r>
    </w:p>
    <w:p w14:paraId="553A33BC" w14:textId="77777777" w:rsidR="00817104" w:rsidRPr="0005765E" w:rsidRDefault="00817104" w:rsidP="00E03261">
      <w:pPr>
        <w:pStyle w:val="Heading3"/>
        <w:numPr>
          <w:ilvl w:val="0"/>
          <w:numId w:val="0"/>
        </w:numPr>
      </w:pPr>
      <w:bookmarkStart w:id="37" w:name="_Toc106869757"/>
      <w:bookmarkStart w:id="38" w:name="_Toc106870091"/>
      <w:bookmarkStart w:id="39" w:name="_Toc106870257"/>
      <w:bookmarkStart w:id="40" w:name="_Toc106870429"/>
      <w:bookmarkStart w:id="41" w:name="_Toc167174151"/>
      <w:r>
        <w:t xml:space="preserve">Part 2: Funding and </w:t>
      </w:r>
      <w:bookmarkEnd w:id="37"/>
      <w:bookmarkEnd w:id="38"/>
      <w:bookmarkEnd w:id="39"/>
      <w:bookmarkEnd w:id="40"/>
      <w:r>
        <w:t>activity levels</w:t>
      </w:r>
      <w:bookmarkEnd w:id="41"/>
    </w:p>
    <w:p w14:paraId="34DF87AB" w14:textId="77777777" w:rsidR="00817104" w:rsidRDefault="00817104" w:rsidP="00817104">
      <w:pPr>
        <w:pStyle w:val="Body"/>
      </w:pPr>
      <w:r>
        <w:t>Part 2 provides funding and activity tables that detail the modelled budgets, as well as targets for a range of programs across the health system.</w:t>
      </w:r>
    </w:p>
    <w:p w14:paraId="7E6472D3" w14:textId="77777777" w:rsidR="00817104" w:rsidRDefault="00817104" w:rsidP="00E03261">
      <w:pPr>
        <w:pStyle w:val="Heading1"/>
        <w:numPr>
          <w:ilvl w:val="0"/>
          <w:numId w:val="0"/>
        </w:numPr>
        <w:ind w:left="1134" w:hanging="1134"/>
      </w:pPr>
      <w:bookmarkStart w:id="42" w:name="_Toc231982236"/>
      <w:r>
        <w:lastRenderedPageBreak/>
        <w:t>Application and interpretation of the guidelines</w:t>
      </w:r>
      <w:bookmarkEnd w:id="42"/>
    </w:p>
    <w:p w14:paraId="6E960255" w14:textId="77777777" w:rsidR="00817104" w:rsidRDefault="00817104" w:rsidP="00E03261">
      <w:pPr>
        <w:pStyle w:val="Heading2"/>
        <w:numPr>
          <w:ilvl w:val="0"/>
          <w:numId w:val="0"/>
        </w:numPr>
        <w:ind w:left="576" w:hanging="576"/>
      </w:pPr>
      <w:bookmarkStart w:id="43" w:name="_Toc231982237"/>
      <w:r>
        <w:t>Application of the guidelines</w:t>
      </w:r>
      <w:bookmarkEnd w:id="43"/>
    </w:p>
    <w:p w14:paraId="0BE4767C" w14:textId="77777777" w:rsidR="00817104" w:rsidRPr="00C97358" w:rsidRDefault="00817104" w:rsidP="00817104">
      <w:pPr>
        <w:pStyle w:val="Body"/>
      </w:pPr>
      <w:r>
        <w:t>In addition to these guidelines, funded organisations are expected to comply with all other applicable policies, legislation, regulations and contractual obligations.</w:t>
      </w:r>
    </w:p>
    <w:p w14:paraId="56A23369" w14:textId="77777777" w:rsidR="00817104" w:rsidRPr="00F3725E" w:rsidRDefault="00817104" w:rsidP="00817104">
      <w:pPr>
        <w:pStyle w:val="Body"/>
      </w:pPr>
      <w:r>
        <w:t xml:space="preserve">These guidelines may be updated during the year. Ensure you are reading the most current version available on the </w:t>
      </w:r>
      <w:hyperlink r:id="rId21">
        <w:r w:rsidRPr="0670E279">
          <w:rPr>
            <w:rStyle w:val="Hyperlink"/>
            <w:lang w:val="en-US"/>
          </w:rPr>
          <w:t xml:space="preserve">Policy and </w:t>
        </w:r>
        <w:r>
          <w:rPr>
            <w:rStyle w:val="Hyperlink"/>
            <w:lang w:val="en-US"/>
          </w:rPr>
          <w:t>f</w:t>
        </w:r>
        <w:r w:rsidRPr="0670E279">
          <w:rPr>
            <w:rStyle w:val="Hyperlink"/>
            <w:lang w:val="en-US"/>
          </w:rPr>
          <w:t xml:space="preserve">unding </w:t>
        </w:r>
        <w:r>
          <w:rPr>
            <w:rStyle w:val="Hyperlink"/>
            <w:lang w:val="en-US"/>
          </w:rPr>
          <w:t>g</w:t>
        </w:r>
        <w:r w:rsidRPr="0670E279">
          <w:rPr>
            <w:rStyle w:val="Hyperlink"/>
            <w:lang w:val="en-US"/>
          </w:rPr>
          <w:t xml:space="preserve">uidelines </w:t>
        </w:r>
        <w:r>
          <w:rPr>
            <w:rStyle w:val="Hyperlink"/>
            <w:lang w:val="en-US"/>
          </w:rPr>
          <w:t xml:space="preserve">for health services </w:t>
        </w:r>
        <w:r w:rsidRPr="0670E279">
          <w:rPr>
            <w:rStyle w:val="Hyperlink"/>
            <w:lang w:val="en-US"/>
          </w:rPr>
          <w:t>webpage</w:t>
        </w:r>
      </w:hyperlink>
      <w:r>
        <w:rPr>
          <w:lang w:val="en-US"/>
        </w:rPr>
        <w:t xml:space="preserve"> &lt;</w:t>
      </w:r>
      <w:r w:rsidRPr="00567CF6">
        <w:rPr>
          <w:lang w:val="en-US"/>
        </w:rPr>
        <w:t>https://www.health.vic.gov.au/policy-and-funding-guidelines-for-health-services</w:t>
      </w:r>
      <w:r>
        <w:rPr>
          <w:lang w:val="en-US"/>
        </w:rPr>
        <w:t>&gt;</w:t>
      </w:r>
      <w:r>
        <w:t xml:space="preserve">. </w:t>
      </w:r>
    </w:p>
    <w:p w14:paraId="279B1E1C" w14:textId="77777777" w:rsidR="00817104" w:rsidRPr="00F3725E" w:rsidRDefault="00817104" w:rsidP="00817104">
      <w:pPr>
        <w:pStyle w:val="Body"/>
      </w:pPr>
      <w:r>
        <w:t xml:space="preserve">References in these guidelines to particular statutes, regulations or contracts are descriptive only. Where there is any inconsistency or ambiguity between these guidelines and any legislation, regulations and contractual obligations with the State of Victoria (acting through the Department of Health (the department) or the Secretary of the department), the legislative, regulatory and contractual obligations take precedence. </w:t>
      </w:r>
    </w:p>
    <w:p w14:paraId="04DEDF48" w14:textId="357F25D6" w:rsidR="00817104" w:rsidRPr="00EE21CA" w:rsidRDefault="00817104" w:rsidP="00817104">
      <w:pPr>
        <w:pStyle w:val="Body"/>
      </w:pPr>
      <w:r>
        <w:t>Each funded organisation is responsible for understanding and complying with its legal obligations and should refer to the relevant statute</w:t>
      </w:r>
      <w:r w:rsidR="000E713E">
        <w:t>s</w:t>
      </w:r>
      <w:r>
        <w:t>, regulation</w:t>
      </w:r>
      <w:r w:rsidR="004652F7">
        <w:t>s</w:t>
      </w:r>
      <w:r>
        <w:t xml:space="preserve"> or contract</w:t>
      </w:r>
      <w:r w:rsidR="000E713E">
        <w:t>s</w:t>
      </w:r>
      <w:r>
        <w:t xml:space="preserve"> for full details. Where a funded organisation has specific questions regarding its legal obligations, it should seek independent legal advice.</w:t>
      </w:r>
    </w:p>
    <w:p w14:paraId="75288F17" w14:textId="77777777" w:rsidR="00817104" w:rsidRPr="00EE21CA" w:rsidRDefault="00817104" w:rsidP="00817104">
      <w:pPr>
        <w:pStyle w:val="Body"/>
      </w:pPr>
      <w:r w:rsidRPr="00563FC9">
        <w:t xml:space="preserve">Service agreements are contractual arrangements between entities for the delivery of services in the community, funded by the department. </w:t>
      </w:r>
      <w:r>
        <w:t xml:space="preserve">For entities funded through a service agreement, visit the </w:t>
      </w:r>
      <w:hyperlink r:id="rId22" w:history="1">
        <w:r w:rsidRPr="004A150E">
          <w:rPr>
            <w:rStyle w:val="Hyperlink"/>
            <w:lang w:val="en-US"/>
          </w:rPr>
          <w:t>Service agreement webpage</w:t>
        </w:r>
      </w:hyperlink>
      <w:r>
        <w:t xml:space="preserve"> &lt;</w:t>
      </w:r>
      <w:r w:rsidRPr="00815CB5">
        <w:t>https://fac.dffh.vic.gov.au/service-agreement</w:t>
      </w:r>
      <w:r>
        <w:t>&gt; for funding information and activity tables that underpin service agreements.</w:t>
      </w:r>
    </w:p>
    <w:p w14:paraId="30065F91" w14:textId="77777777" w:rsidR="00817104" w:rsidRDefault="00817104" w:rsidP="00817104">
      <w:pPr>
        <w:pStyle w:val="Body"/>
        <w:rPr>
          <w:lang w:val="en-US"/>
        </w:rPr>
      </w:pPr>
      <w:r>
        <w:t xml:space="preserve">Those entities funded through a service agreement can search for activity descriptions by visiting the </w:t>
      </w:r>
      <w:hyperlink r:id="rId23">
        <w:r w:rsidRPr="0670E279">
          <w:rPr>
            <w:rStyle w:val="Hyperlink"/>
          </w:rPr>
          <w:t>Department of Families, Fairness and Housing and Department of Health activity search</w:t>
        </w:r>
      </w:hyperlink>
      <w:r>
        <w:t xml:space="preserve"> &lt;https://providers.dffh.vic.gov.au/families-fairness-housing-health-activity-search&gt;.</w:t>
      </w:r>
    </w:p>
    <w:p w14:paraId="7F8CFB0A" w14:textId="77777777" w:rsidR="00817104" w:rsidRPr="002F56B3" w:rsidRDefault="00817104" w:rsidP="00E03261">
      <w:pPr>
        <w:pStyle w:val="Heading2"/>
        <w:numPr>
          <w:ilvl w:val="0"/>
          <w:numId w:val="0"/>
        </w:numPr>
        <w:ind w:left="576" w:hanging="576"/>
      </w:pPr>
      <w:bookmarkStart w:id="44" w:name="_Toc167226002"/>
      <w:bookmarkStart w:id="45" w:name="_Toc12894352"/>
      <w:bookmarkStart w:id="46" w:name="_Toc12895308"/>
      <w:bookmarkStart w:id="47" w:name="_Toc414438675"/>
      <w:bookmarkStart w:id="48" w:name="_Toc12894353"/>
      <w:bookmarkStart w:id="49" w:name="_Toc12895309"/>
      <w:bookmarkStart w:id="50" w:name="_Toc12894354"/>
      <w:bookmarkStart w:id="51" w:name="_Toc12895310"/>
      <w:bookmarkStart w:id="52" w:name="_Toc12894355"/>
      <w:bookmarkStart w:id="53" w:name="_Toc12895311"/>
      <w:bookmarkStart w:id="54" w:name="_Toc12894356"/>
      <w:bookmarkStart w:id="55" w:name="_Toc12895312"/>
      <w:bookmarkStart w:id="56" w:name="_Toc12894357"/>
      <w:bookmarkStart w:id="57" w:name="_Toc12895313"/>
      <w:bookmarkStart w:id="58" w:name="_Toc12894358"/>
      <w:bookmarkStart w:id="59" w:name="_Toc12895314"/>
      <w:bookmarkStart w:id="60" w:name="_Toc12894359"/>
      <w:bookmarkStart w:id="61" w:name="_Toc12895315"/>
      <w:bookmarkStart w:id="62" w:name="_Toc12894360"/>
      <w:bookmarkStart w:id="63" w:name="_Toc12895316"/>
      <w:bookmarkStart w:id="64" w:name="_Toc12894361"/>
      <w:bookmarkStart w:id="65" w:name="_Toc12895317"/>
      <w:bookmarkStart w:id="66" w:name="_Toc12894362"/>
      <w:bookmarkStart w:id="67" w:name="_Toc12895318"/>
      <w:bookmarkStart w:id="68" w:name="_Toc12894363"/>
      <w:bookmarkStart w:id="69" w:name="_Toc12895319"/>
      <w:bookmarkStart w:id="70" w:name="_Toc12894364"/>
      <w:bookmarkStart w:id="71" w:name="_Toc12895320"/>
      <w:bookmarkStart w:id="72" w:name="_Toc12894365"/>
      <w:bookmarkStart w:id="73" w:name="_Toc12895321"/>
      <w:bookmarkStart w:id="74" w:name="_Toc12894366"/>
      <w:bookmarkStart w:id="75" w:name="_Toc12895322"/>
      <w:bookmarkStart w:id="76" w:name="_Toc12894367"/>
      <w:bookmarkStart w:id="77" w:name="_Toc12895323"/>
      <w:bookmarkStart w:id="78" w:name="_Toc12894368"/>
      <w:bookmarkStart w:id="79" w:name="_Toc12895324"/>
      <w:bookmarkStart w:id="80" w:name="_Toc12894369"/>
      <w:bookmarkStart w:id="81" w:name="_Toc12895325"/>
      <w:bookmarkStart w:id="82" w:name="_Toc12894370"/>
      <w:bookmarkStart w:id="83" w:name="_Toc12895326"/>
      <w:bookmarkStart w:id="84" w:name="_Toc12894371"/>
      <w:bookmarkStart w:id="85" w:name="_Toc12895327"/>
      <w:bookmarkStart w:id="86" w:name="_Toc12894372"/>
      <w:bookmarkStart w:id="87" w:name="_Toc12895328"/>
      <w:bookmarkStart w:id="88" w:name="_Toc12894373"/>
      <w:bookmarkStart w:id="89" w:name="_Toc12895329"/>
      <w:bookmarkStart w:id="90" w:name="_Toc12894374"/>
      <w:bookmarkStart w:id="91" w:name="_Toc12895330"/>
      <w:bookmarkStart w:id="92" w:name="_Toc12894375"/>
      <w:bookmarkStart w:id="93" w:name="_Toc12895331"/>
      <w:bookmarkStart w:id="94" w:name="_Toc12894376"/>
      <w:bookmarkStart w:id="95" w:name="_Toc12895332"/>
      <w:bookmarkStart w:id="96" w:name="_Toc12894377"/>
      <w:bookmarkStart w:id="97" w:name="_Toc12895333"/>
      <w:bookmarkStart w:id="98" w:name="_Toc12894378"/>
      <w:bookmarkStart w:id="99" w:name="_Toc12895334"/>
      <w:bookmarkStart w:id="100" w:name="_Toc12894379"/>
      <w:bookmarkStart w:id="101" w:name="_Toc12895335"/>
      <w:bookmarkStart w:id="102" w:name="_Toc12894380"/>
      <w:bookmarkStart w:id="103" w:name="_Toc12895336"/>
      <w:bookmarkStart w:id="104" w:name="_Toc12894381"/>
      <w:bookmarkStart w:id="105" w:name="_Toc12895337"/>
      <w:bookmarkStart w:id="106" w:name="_Toc12894382"/>
      <w:bookmarkStart w:id="107" w:name="_Toc12895338"/>
      <w:bookmarkStart w:id="108" w:name="_Toc12894383"/>
      <w:bookmarkStart w:id="109" w:name="_Toc12895339"/>
      <w:bookmarkStart w:id="110" w:name="_Toc12894384"/>
      <w:bookmarkStart w:id="111" w:name="_Toc12895340"/>
      <w:bookmarkStart w:id="112" w:name="_Toc12894385"/>
      <w:bookmarkStart w:id="113" w:name="_Toc12895341"/>
      <w:bookmarkStart w:id="114" w:name="_Toc12894386"/>
      <w:bookmarkStart w:id="115" w:name="_Toc12895342"/>
      <w:bookmarkStart w:id="116" w:name="_Toc12894387"/>
      <w:bookmarkStart w:id="117" w:name="_Toc12895343"/>
      <w:bookmarkStart w:id="118" w:name="_Toc12894388"/>
      <w:bookmarkStart w:id="119" w:name="_Toc12895344"/>
      <w:bookmarkStart w:id="120" w:name="_Toc12894389"/>
      <w:bookmarkStart w:id="121" w:name="_Toc12895345"/>
      <w:bookmarkStart w:id="122" w:name="_Toc12894390"/>
      <w:bookmarkStart w:id="123" w:name="_Toc12895346"/>
      <w:bookmarkStart w:id="124" w:name="_Toc12894391"/>
      <w:bookmarkStart w:id="125" w:name="_Toc12895347"/>
      <w:bookmarkStart w:id="126" w:name="_Toc12894392"/>
      <w:bookmarkStart w:id="127" w:name="_Toc12895348"/>
      <w:bookmarkStart w:id="128" w:name="_Toc12894393"/>
      <w:bookmarkStart w:id="129" w:name="_Toc12895349"/>
      <w:bookmarkStart w:id="130" w:name="_Toc12894394"/>
      <w:bookmarkStart w:id="131" w:name="_Toc12895350"/>
      <w:bookmarkStart w:id="132" w:name="_Toc12894395"/>
      <w:bookmarkStart w:id="133" w:name="_Toc12895351"/>
      <w:bookmarkStart w:id="134" w:name="_Toc12894396"/>
      <w:bookmarkStart w:id="135" w:name="_Toc12895352"/>
      <w:bookmarkStart w:id="136" w:name="_Toc12894397"/>
      <w:bookmarkStart w:id="137" w:name="_Toc12895353"/>
      <w:bookmarkStart w:id="138" w:name="_Toc12894398"/>
      <w:bookmarkStart w:id="139" w:name="_Toc12895354"/>
      <w:bookmarkStart w:id="140" w:name="_Toc12894399"/>
      <w:bookmarkStart w:id="141" w:name="_Toc12895355"/>
      <w:bookmarkStart w:id="142" w:name="_Toc12894400"/>
      <w:bookmarkStart w:id="143" w:name="_Toc12895356"/>
      <w:bookmarkStart w:id="144" w:name="_Toc12894401"/>
      <w:bookmarkStart w:id="145" w:name="_Toc12895357"/>
      <w:bookmarkStart w:id="146" w:name="_Toc12894402"/>
      <w:bookmarkStart w:id="147" w:name="_Toc12895358"/>
      <w:bookmarkStart w:id="148" w:name="_Toc12894403"/>
      <w:bookmarkStart w:id="149" w:name="_Toc12895359"/>
      <w:bookmarkStart w:id="150" w:name="_Toc12894404"/>
      <w:bookmarkStart w:id="151" w:name="_Toc12895360"/>
      <w:bookmarkStart w:id="152" w:name="_Toc12894405"/>
      <w:bookmarkStart w:id="153" w:name="_Toc12895361"/>
      <w:bookmarkStart w:id="154" w:name="_Toc12894406"/>
      <w:bookmarkStart w:id="155" w:name="_Toc12895362"/>
      <w:bookmarkStart w:id="156" w:name="_Toc12894407"/>
      <w:bookmarkStart w:id="157" w:name="_Toc12895363"/>
      <w:bookmarkStart w:id="158" w:name="_Toc12894408"/>
      <w:bookmarkStart w:id="159" w:name="_Toc12895364"/>
      <w:bookmarkStart w:id="160" w:name="_Toc12894409"/>
      <w:bookmarkStart w:id="161" w:name="_Toc12895365"/>
      <w:bookmarkStart w:id="162" w:name="_Toc12894410"/>
      <w:bookmarkStart w:id="163" w:name="_Toc12895366"/>
      <w:bookmarkStart w:id="164" w:name="_Toc12894411"/>
      <w:bookmarkStart w:id="165" w:name="_Toc12895367"/>
      <w:bookmarkStart w:id="166" w:name="_Toc12894412"/>
      <w:bookmarkStart w:id="167" w:name="_Toc12895368"/>
      <w:bookmarkStart w:id="168" w:name="_Toc12894413"/>
      <w:bookmarkStart w:id="169" w:name="_Toc12895369"/>
      <w:bookmarkStart w:id="170" w:name="_Toc12894414"/>
      <w:bookmarkStart w:id="171" w:name="_Toc12895370"/>
      <w:bookmarkStart w:id="172" w:name="_Toc12894415"/>
      <w:bookmarkStart w:id="173" w:name="_Toc12895371"/>
      <w:bookmarkStart w:id="174" w:name="_Toc12894416"/>
      <w:bookmarkStart w:id="175" w:name="_Toc12895372"/>
      <w:bookmarkStart w:id="176" w:name="_Toc486516936"/>
      <w:bookmarkStart w:id="177" w:name="_Toc486516937"/>
      <w:bookmarkStart w:id="178" w:name="_Toc486516938"/>
      <w:bookmarkStart w:id="179" w:name="_Toc486516939"/>
      <w:bookmarkStart w:id="180" w:name="_Toc12894417"/>
      <w:bookmarkStart w:id="181" w:name="_Toc12895373"/>
      <w:bookmarkStart w:id="182" w:name="_Toc12894418"/>
      <w:bookmarkStart w:id="183" w:name="_Toc12895374"/>
      <w:bookmarkStart w:id="184" w:name="_Toc12894419"/>
      <w:bookmarkStart w:id="185" w:name="_Toc12895375"/>
      <w:bookmarkStart w:id="186" w:name="_Toc12894420"/>
      <w:bookmarkStart w:id="187" w:name="_Toc12895376"/>
      <w:bookmarkStart w:id="188" w:name="_Toc12894421"/>
      <w:bookmarkStart w:id="189" w:name="_Toc12895377"/>
      <w:bookmarkStart w:id="190" w:name="_Toc12894422"/>
      <w:bookmarkStart w:id="191" w:name="_Toc12895378"/>
      <w:bookmarkStart w:id="192" w:name="_Toc12894423"/>
      <w:bookmarkStart w:id="193" w:name="_Toc12895379"/>
      <w:bookmarkStart w:id="194" w:name="_Toc12894424"/>
      <w:bookmarkStart w:id="195" w:name="_Toc12895380"/>
      <w:bookmarkStart w:id="196" w:name="_Toc12894425"/>
      <w:bookmarkStart w:id="197" w:name="_Toc12895381"/>
      <w:bookmarkStart w:id="198" w:name="_Toc12894426"/>
      <w:bookmarkStart w:id="199" w:name="_Toc12895382"/>
      <w:bookmarkStart w:id="200" w:name="_Toc12894427"/>
      <w:bookmarkStart w:id="201" w:name="_Toc12895383"/>
      <w:bookmarkStart w:id="202" w:name="_Toc12894428"/>
      <w:bookmarkStart w:id="203" w:name="_Toc12895384"/>
      <w:bookmarkStart w:id="204" w:name="_Toc12894429"/>
      <w:bookmarkStart w:id="205" w:name="_Toc12895385"/>
      <w:bookmarkStart w:id="206" w:name="_Toc12894430"/>
      <w:bookmarkStart w:id="207" w:name="_Toc12895386"/>
      <w:bookmarkStart w:id="208" w:name="_Toc12894431"/>
      <w:bookmarkStart w:id="209" w:name="_Toc12895387"/>
      <w:bookmarkStart w:id="210" w:name="_Toc12894432"/>
      <w:bookmarkStart w:id="211" w:name="_Toc12895388"/>
      <w:bookmarkStart w:id="212" w:name="_Toc12894433"/>
      <w:bookmarkStart w:id="213" w:name="_Toc12895389"/>
      <w:bookmarkStart w:id="214" w:name="_Toc12894434"/>
      <w:bookmarkStart w:id="215" w:name="_Toc12895390"/>
      <w:bookmarkStart w:id="216" w:name="_Toc12894435"/>
      <w:bookmarkStart w:id="217" w:name="_Toc12895391"/>
      <w:bookmarkStart w:id="218" w:name="_Toc12894436"/>
      <w:bookmarkStart w:id="219" w:name="_Toc12895392"/>
      <w:bookmarkStart w:id="220" w:name="_Toc12894437"/>
      <w:bookmarkStart w:id="221" w:name="_Toc12895393"/>
      <w:bookmarkStart w:id="222" w:name="_Toc12894438"/>
      <w:bookmarkStart w:id="223" w:name="_Toc12895394"/>
      <w:bookmarkStart w:id="224" w:name="_Toc12894439"/>
      <w:bookmarkStart w:id="225" w:name="_Toc12895395"/>
      <w:bookmarkStart w:id="226" w:name="_Toc12894440"/>
      <w:bookmarkStart w:id="227" w:name="_Toc12895396"/>
      <w:bookmarkStart w:id="228" w:name="_Toc12894441"/>
      <w:bookmarkStart w:id="229" w:name="_Toc12895397"/>
      <w:bookmarkStart w:id="230" w:name="_Toc12894442"/>
      <w:bookmarkStart w:id="231" w:name="_Toc12895398"/>
      <w:bookmarkStart w:id="232" w:name="_Toc12894443"/>
      <w:bookmarkStart w:id="233" w:name="_Toc12895399"/>
      <w:bookmarkStart w:id="234" w:name="_Toc12894444"/>
      <w:bookmarkStart w:id="235" w:name="_Toc12895400"/>
      <w:bookmarkStart w:id="236" w:name="_Toc12894445"/>
      <w:bookmarkStart w:id="237" w:name="_Toc12895401"/>
      <w:bookmarkStart w:id="238" w:name="_Toc12894446"/>
      <w:bookmarkStart w:id="239" w:name="_Toc12895402"/>
      <w:bookmarkStart w:id="240" w:name="_Toc12894447"/>
      <w:bookmarkStart w:id="241" w:name="_Toc12895403"/>
      <w:bookmarkStart w:id="242" w:name="_Toc12894448"/>
      <w:bookmarkStart w:id="243" w:name="_Toc12895404"/>
      <w:bookmarkStart w:id="244" w:name="_Toc12894449"/>
      <w:bookmarkStart w:id="245" w:name="_Toc12895405"/>
      <w:bookmarkStart w:id="246" w:name="_Toc12894450"/>
      <w:bookmarkStart w:id="247" w:name="_Toc12895406"/>
      <w:bookmarkStart w:id="248" w:name="_Toc12894451"/>
      <w:bookmarkStart w:id="249" w:name="_Toc12895407"/>
      <w:bookmarkStart w:id="250" w:name="_Toc12894452"/>
      <w:bookmarkStart w:id="251" w:name="_Toc12895408"/>
      <w:bookmarkStart w:id="252" w:name="_Toc12894453"/>
      <w:bookmarkStart w:id="253" w:name="_Toc12895409"/>
      <w:bookmarkStart w:id="254" w:name="_Toc12894454"/>
      <w:bookmarkStart w:id="255" w:name="_Toc12895410"/>
      <w:bookmarkStart w:id="256" w:name="_Toc12894455"/>
      <w:bookmarkStart w:id="257" w:name="_Toc12895411"/>
      <w:bookmarkStart w:id="258" w:name="_Toc12894456"/>
      <w:bookmarkStart w:id="259" w:name="_Toc12895412"/>
      <w:bookmarkStart w:id="260" w:name="_Toc12894457"/>
      <w:bookmarkStart w:id="261" w:name="_Toc12895413"/>
      <w:bookmarkStart w:id="262" w:name="_Toc12894458"/>
      <w:bookmarkStart w:id="263" w:name="_Toc12895414"/>
      <w:bookmarkStart w:id="264" w:name="_Toc12894459"/>
      <w:bookmarkStart w:id="265" w:name="_Toc12895415"/>
      <w:bookmarkStart w:id="266" w:name="_Toc12894460"/>
      <w:bookmarkStart w:id="267" w:name="_Toc12895416"/>
      <w:bookmarkStart w:id="268" w:name="_Toc12894461"/>
      <w:bookmarkStart w:id="269" w:name="_Toc12895417"/>
      <w:bookmarkStart w:id="270" w:name="_Toc12894462"/>
      <w:bookmarkStart w:id="271" w:name="_Toc12895418"/>
      <w:bookmarkStart w:id="272" w:name="_Toc12894463"/>
      <w:bookmarkStart w:id="273" w:name="_Toc12895419"/>
      <w:bookmarkStart w:id="274" w:name="_Toc12894464"/>
      <w:bookmarkStart w:id="275" w:name="_Toc12895420"/>
      <w:bookmarkStart w:id="276" w:name="_Toc12894465"/>
      <w:bookmarkStart w:id="277" w:name="_Toc12895421"/>
      <w:bookmarkStart w:id="278" w:name="_Toc12894466"/>
      <w:bookmarkStart w:id="279" w:name="_Toc12895422"/>
      <w:bookmarkStart w:id="280" w:name="_Toc12894467"/>
      <w:bookmarkStart w:id="281" w:name="_Toc12895423"/>
      <w:bookmarkStart w:id="282" w:name="_Toc12894468"/>
      <w:bookmarkStart w:id="283" w:name="_Toc12895424"/>
      <w:bookmarkStart w:id="284" w:name="_Toc12894469"/>
      <w:bookmarkStart w:id="285" w:name="_Toc12895425"/>
      <w:bookmarkStart w:id="286" w:name="_Toc12894470"/>
      <w:bookmarkStart w:id="287" w:name="_Toc12895426"/>
      <w:bookmarkStart w:id="288" w:name="_Toc12894471"/>
      <w:bookmarkStart w:id="289" w:name="_Toc12895427"/>
      <w:bookmarkStart w:id="290" w:name="_Toc12894472"/>
      <w:bookmarkStart w:id="291" w:name="_Toc12895428"/>
      <w:bookmarkStart w:id="292" w:name="_Toc12894473"/>
      <w:bookmarkStart w:id="293" w:name="_Toc12895429"/>
      <w:bookmarkStart w:id="294" w:name="_Toc12894474"/>
      <w:bookmarkStart w:id="295" w:name="_Toc12895430"/>
      <w:bookmarkStart w:id="296" w:name="_Toc12894475"/>
      <w:bookmarkStart w:id="297" w:name="_Toc12895431"/>
      <w:bookmarkStart w:id="298" w:name="_Toc12894476"/>
      <w:bookmarkStart w:id="299" w:name="_Toc12895432"/>
      <w:bookmarkStart w:id="300" w:name="_Toc12894477"/>
      <w:bookmarkStart w:id="301" w:name="_Toc12895433"/>
      <w:bookmarkStart w:id="302" w:name="_Toc12894478"/>
      <w:bookmarkStart w:id="303" w:name="_Toc12895434"/>
      <w:bookmarkStart w:id="304" w:name="_Toc12894479"/>
      <w:bookmarkStart w:id="305" w:name="_Toc12895435"/>
      <w:bookmarkStart w:id="306" w:name="_Toc12894480"/>
      <w:bookmarkStart w:id="307" w:name="_Toc12895436"/>
      <w:bookmarkStart w:id="308" w:name="_Toc12894481"/>
      <w:bookmarkStart w:id="309" w:name="_Toc12895437"/>
      <w:bookmarkStart w:id="310" w:name="_Toc12894482"/>
      <w:bookmarkStart w:id="311" w:name="_Toc12895438"/>
      <w:bookmarkStart w:id="312" w:name="_Toc12894483"/>
      <w:bookmarkStart w:id="313" w:name="_Toc12895439"/>
      <w:bookmarkStart w:id="314" w:name="_Toc12894484"/>
      <w:bookmarkStart w:id="315" w:name="_Toc12895440"/>
      <w:bookmarkStart w:id="316" w:name="_Toc12894485"/>
      <w:bookmarkStart w:id="317" w:name="_Toc12895441"/>
      <w:bookmarkStart w:id="318" w:name="_Toc12894486"/>
      <w:bookmarkStart w:id="319" w:name="_Toc12895442"/>
      <w:bookmarkStart w:id="320" w:name="_Toc12894487"/>
      <w:bookmarkStart w:id="321" w:name="_Toc12895443"/>
      <w:bookmarkStart w:id="322" w:name="_Toc12894488"/>
      <w:bookmarkStart w:id="323" w:name="_Toc12895444"/>
      <w:bookmarkStart w:id="324" w:name="_Toc12894489"/>
      <w:bookmarkStart w:id="325" w:name="_Toc12895445"/>
      <w:bookmarkStart w:id="326" w:name="_Toc12894490"/>
      <w:bookmarkStart w:id="327" w:name="_Toc12895446"/>
      <w:bookmarkStart w:id="328" w:name="_Toc12894491"/>
      <w:bookmarkStart w:id="329" w:name="_Toc12895447"/>
      <w:bookmarkStart w:id="330" w:name="_Toc12894492"/>
      <w:bookmarkStart w:id="331" w:name="_Toc12895448"/>
      <w:bookmarkStart w:id="332" w:name="_Toc12894493"/>
      <w:bookmarkStart w:id="333" w:name="_Toc12895449"/>
      <w:bookmarkStart w:id="334" w:name="_Toc12894494"/>
      <w:bookmarkStart w:id="335" w:name="_Toc12895450"/>
      <w:bookmarkStart w:id="336" w:name="_Toc12894495"/>
      <w:bookmarkStart w:id="337" w:name="_Toc12895451"/>
      <w:bookmarkStart w:id="338" w:name="_Toc12894496"/>
      <w:bookmarkStart w:id="339" w:name="_Toc12895452"/>
      <w:bookmarkStart w:id="340" w:name="_Toc12894497"/>
      <w:bookmarkStart w:id="341" w:name="_Toc12895453"/>
      <w:bookmarkStart w:id="342" w:name="_Toc12894498"/>
      <w:bookmarkStart w:id="343" w:name="_Toc12895454"/>
      <w:bookmarkStart w:id="344" w:name="_Toc12894499"/>
      <w:bookmarkStart w:id="345" w:name="_Toc12895455"/>
      <w:bookmarkStart w:id="346" w:name="_Toc12894500"/>
      <w:bookmarkStart w:id="347" w:name="_Toc12895456"/>
      <w:bookmarkStart w:id="348" w:name="_Toc12894501"/>
      <w:bookmarkStart w:id="349" w:name="_Toc12895457"/>
      <w:bookmarkStart w:id="350" w:name="_Toc12894502"/>
      <w:bookmarkStart w:id="351" w:name="_Toc12895458"/>
      <w:bookmarkStart w:id="352" w:name="_Toc12894503"/>
      <w:bookmarkStart w:id="353" w:name="_Toc12895459"/>
      <w:bookmarkStart w:id="354" w:name="_Toc12894504"/>
      <w:bookmarkStart w:id="355" w:name="_Toc12895460"/>
      <w:bookmarkStart w:id="356" w:name="_Toc12894505"/>
      <w:bookmarkStart w:id="357" w:name="_Toc12895461"/>
      <w:bookmarkStart w:id="358" w:name="_Toc12894506"/>
      <w:bookmarkStart w:id="359" w:name="_Toc12895462"/>
      <w:bookmarkStart w:id="360" w:name="_Toc12894507"/>
      <w:bookmarkStart w:id="361" w:name="_Toc12895463"/>
      <w:bookmarkStart w:id="362" w:name="_Toc12894508"/>
      <w:bookmarkStart w:id="363" w:name="_Toc12895464"/>
      <w:bookmarkStart w:id="364" w:name="_Toc12894509"/>
      <w:bookmarkStart w:id="365" w:name="_Toc12895465"/>
      <w:bookmarkStart w:id="366" w:name="_Toc12894510"/>
      <w:bookmarkStart w:id="367" w:name="_Toc12895466"/>
      <w:bookmarkStart w:id="368" w:name="_Toc12894511"/>
      <w:bookmarkStart w:id="369" w:name="_Toc12895467"/>
      <w:bookmarkStart w:id="370" w:name="_Toc12894512"/>
      <w:bookmarkStart w:id="371" w:name="_Toc12895468"/>
      <w:bookmarkStart w:id="372" w:name="_Toc12894513"/>
      <w:bookmarkStart w:id="373" w:name="_Toc12895469"/>
      <w:bookmarkStart w:id="374" w:name="_Toc12894514"/>
      <w:bookmarkStart w:id="375" w:name="_Toc12895470"/>
      <w:bookmarkStart w:id="376" w:name="_Toc12894515"/>
      <w:bookmarkStart w:id="377" w:name="_Toc12895471"/>
      <w:bookmarkStart w:id="378" w:name="_Toc12894516"/>
      <w:bookmarkStart w:id="379" w:name="_Toc12895472"/>
      <w:bookmarkStart w:id="380" w:name="_Toc12894517"/>
      <w:bookmarkStart w:id="381" w:name="_Toc12895473"/>
      <w:bookmarkStart w:id="382" w:name="_Toc12894518"/>
      <w:bookmarkStart w:id="383" w:name="_Toc12895474"/>
      <w:bookmarkStart w:id="384" w:name="_Toc12894519"/>
      <w:bookmarkStart w:id="385" w:name="_Toc12895475"/>
      <w:bookmarkStart w:id="386" w:name="_Toc12894520"/>
      <w:bookmarkStart w:id="387" w:name="_Toc12895476"/>
      <w:bookmarkStart w:id="388" w:name="_Toc12894521"/>
      <w:bookmarkStart w:id="389" w:name="_Toc12895477"/>
      <w:bookmarkStart w:id="390" w:name="_Toc12894522"/>
      <w:bookmarkStart w:id="391" w:name="_Toc12895478"/>
      <w:bookmarkStart w:id="392" w:name="_Toc12894523"/>
      <w:bookmarkStart w:id="393" w:name="_Toc12895479"/>
      <w:bookmarkStart w:id="394" w:name="_Toc12894524"/>
      <w:bookmarkStart w:id="395" w:name="_Toc12895480"/>
      <w:bookmarkStart w:id="396" w:name="_Toc12894525"/>
      <w:bookmarkStart w:id="397" w:name="_Toc12895481"/>
      <w:bookmarkStart w:id="398" w:name="_Toc12894526"/>
      <w:bookmarkStart w:id="399" w:name="_Toc12895482"/>
      <w:bookmarkStart w:id="400" w:name="_Toc12894527"/>
      <w:bookmarkStart w:id="401" w:name="_Toc12895483"/>
      <w:bookmarkStart w:id="402" w:name="_Toc12894528"/>
      <w:bookmarkStart w:id="403" w:name="_Toc12895484"/>
      <w:bookmarkStart w:id="404" w:name="_Toc12894529"/>
      <w:bookmarkStart w:id="405" w:name="_Toc12895485"/>
      <w:bookmarkStart w:id="406" w:name="_Toc12894530"/>
      <w:bookmarkStart w:id="407" w:name="_Toc12895486"/>
      <w:bookmarkStart w:id="408" w:name="_Toc12894531"/>
      <w:bookmarkStart w:id="409" w:name="_Toc12895487"/>
      <w:bookmarkStart w:id="410" w:name="_Toc12894532"/>
      <w:bookmarkStart w:id="411" w:name="_Toc12895488"/>
      <w:bookmarkStart w:id="412" w:name="_Toc12894533"/>
      <w:bookmarkStart w:id="413" w:name="_Toc12895489"/>
      <w:bookmarkStart w:id="414" w:name="_Toc12894534"/>
      <w:bookmarkStart w:id="415" w:name="_Toc12895490"/>
      <w:bookmarkStart w:id="416" w:name="_Toc12894535"/>
      <w:bookmarkStart w:id="417" w:name="_Toc12895491"/>
      <w:bookmarkStart w:id="418" w:name="_Toc12894536"/>
      <w:bookmarkStart w:id="419" w:name="_Toc12895492"/>
      <w:bookmarkStart w:id="420" w:name="_Toc12894537"/>
      <w:bookmarkStart w:id="421" w:name="_Toc12895493"/>
      <w:bookmarkStart w:id="422" w:name="_Toc12894538"/>
      <w:bookmarkStart w:id="423" w:name="_Toc12895494"/>
      <w:bookmarkStart w:id="424" w:name="_Toc12894539"/>
      <w:bookmarkStart w:id="425" w:name="_Toc12895495"/>
      <w:bookmarkStart w:id="426" w:name="_Toc12894540"/>
      <w:bookmarkStart w:id="427" w:name="_Toc12895496"/>
      <w:bookmarkStart w:id="428" w:name="_Toc12894541"/>
      <w:bookmarkStart w:id="429" w:name="_Toc12895497"/>
      <w:bookmarkStart w:id="430" w:name="_Toc12894542"/>
      <w:bookmarkStart w:id="431" w:name="_Toc12895498"/>
      <w:bookmarkStart w:id="432" w:name="_Toc12894543"/>
      <w:bookmarkStart w:id="433" w:name="_Toc12895499"/>
      <w:bookmarkStart w:id="434" w:name="_Toc12894544"/>
      <w:bookmarkStart w:id="435" w:name="_Toc12895500"/>
      <w:bookmarkStart w:id="436" w:name="_Toc12894545"/>
      <w:bookmarkStart w:id="437" w:name="_Toc12895501"/>
      <w:bookmarkStart w:id="438" w:name="_Toc12894546"/>
      <w:bookmarkStart w:id="439" w:name="_Toc12895502"/>
      <w:bookmarkStart w:id="440" w:name="_Toc12894547"/>
      <w:bookmarkStart w:id="441" w:name="_Toc12895503"/>
      <w:bookmarkStart w:id="442" w:name="_Toc12894548"/>
      <w:bookmarkStart w:id="443" w:name="_Toc12895504"/>
      <w:bookmarkStart w:id="444" w:name="_Toc12894549"/>
      <w:bookmarkStart w:id="445" w:name="_Toc12895505"/>
      <w:bookmarkStart w:id="446" w:name="_Toc12894550"/>
      <w:bookmarkStart w:id="447" w:name="_Toc12895506"/>
      <w:bookmarkStart w:id="448" w:name="_Toc12894551"/>
      <w:bookmarkStart w:id="449" w:name="_Toc12895507"/>
      <w:bookmarkStart w:id="450" w:name="_Toc12894552"/>
      <w:bookmarkStart w:id="451" w:name="_Toc12895508"/>
      <w:bookmarkStart w:id="452" w:name="_Toc12894553"/>
      <w:bookmarkStart w:id="453" w:name="_Toc12895509"/>
      <w:bookmarkStart w:id="454" w:name="_Toc12894554"/>
      <w:bookmarkStart w:id="455" w:name="_Toc12895510"/>
      <w:bookmarkStart w:id="456" w:name="_Toc12894555"/>
      <w:bookmarkStart w:id="457" w:name="_Toc12895511"/>
      <w:bookmarkStart w:id="458" w:name="_Toc12894556"/>
      <w:bookmarkStart w:id="459" w:name="_Toc12895512"/>
      <w:bookmarkStart w:id="460" w:name="_Toc12894557"/>
      <w:bookmarkStart w:id="461" w:name="_Toc12895513"/>
      <w:bookmarkStart w:id="462" w:name="_Toc12894558"/>
      <w:bookmarkStart w:id="463" w:name="_Toc12895514"/>
      <w:bookmarkStart w:id="464" w:name="_Toc12894559"/>
      <w:bookmarkStart w:id="465" w:name="_Toc12895515"/>
      <w:bookmarkStart w:id="466" w:name="_Toc12894560"/>
      <w:bookmarkStart w:id="467" w:name="_Toc12895516"/>
      <w:bookmarkStart w:id="468" w:name="_Toc12894561"/>
      <w:bookmarkStart w:id="469" w:name="_Toc12895517"/>
      <w:bookmarkStart w:id="470" w:name="_Toc12894562"/>
      <w:bookmarkStart w:id="471" w:name="_Toc12895518"/>
      <w:bookmarkStart w:id="472" w:name="_Toc452726694"/>
      <w:bookmarkStart w:id="473" w:name="_Toc452726765"/>
      <w:bookmarkStart w:id="474" w:name="_Toc452726700"/>
      <w:bookmarkStart w:id="475" w:name="_Toc452726771"/>
      <w:bookmarkStart w:id="476" w:name="_Toc452726701"/>
      <w:bookmarkStart w:id="477" w:name="_Toc452726772"/>
      <w:bookmarkStart w:id="478" w:name="_Toc12894563"/>
      <w:bookmarkStart w:id="479" w:name="_Toc12895519"/>
      <w:bookmarkStart w:id="480" w:name="_Toc12894564"/>
      <w:bookmarkStart w:id="481" w:name="_Toc12895520"/>
      <w:bookmarkStart w:id="482" w:name="_Toc12894565"/>
      <w:bookmarkStart w:id="483" w:name="_Toc12895521"/>
      <w:bookmarkStart w:id="484" w:name="_Toc12894566"/>
      <w:bookmarkStart w:id="485" w:name="_Toc12895522"/>
      <w:bookmarkStart w:id="486" w:name="_Toc12894567"/>
      <w:bookmarkStart w:id="487" w:name="_Toc12895523"/>
      <w:bookmarkStart w:id="488" w:name="_Toc12894568"/>
      <w:bookmarkStart w:id="489" w:name="_Toc12895524"/>
      <w:bookmarkStart w:id="490" w:name="_Toc12894569"/>
      <w:bookmarkStart w:id="491" w:name="_Toc12895525"/>
      <w:bookmarkStart w:id="492" w:name="_Toc12894570"/>
      <w:bookmarkStart w:id="493" w:name="_Toc12895526"/>
      <w:bookmarkStart w:id="494" w:name="_Toc12894571"/>
      <w:bookmarkStart w:id="495" w:name="_Toc12895527"/>
      <w:bookmarkStart w:id="496" w:name="_Toc12894572"/>
      <w:bookmarkStart w:id="497" w:name="_Toc12895528"/>
      <w:bookmarkStart w:id="498" w:name="_Toc12894573"/>
      <w:bookmarkStart w:id="499" w:name="_Toc12895529"/>
      <w:bookmarkStart w:id="500" w:name="_Toc12894574"/>
      <w:bookmarkStart w:id="501" w:name="_Toc12895530"/>
      <w:bookmarkStart w:id="502" w:name="_Toc12894575"/>
      <w:bookmarkStart w:id="503" w:name="_Toc12895531"/>
      <w:bookmarkStart w:id="504" w:name="_Toc12894576"/>
      <w:bookmarkStart w:id="505" w:name="_Toc12895532"/>
      <w:bookmarkStart w:id="506" w:name="_Toc12894577"/>
      <w:bookmarkStart w:id="507" w:name="_Toc12895533"/>
      <w:bookmarkStart w:id="508" w:name="_Toc12894578"/>
      <w:bookmarkStart w:id="509" w:name="_Toc12895534"/>
      <w:bookmarkStart w:id="510" w:name="_Toc12894579"/>
      <w:bookmarkStart w:id="511" w:name="_Toc12895535"/>
      <w:bookmarkStart w:id="512" w:name="_Toc12894580"/>
      <w:bookmarkStart w:id="513" w:name="_Toc12895536"/>
      <w:bookmarkStart w:id="514" w:name="_Toc12894581"/>
      <w:bookmarkStart w:id="515" w:name="_Toc12895537"/>
      <w:bookmarkStart w:id="516" w:name="_Toc12894582"/>
      <w:bookmarkStart w:id="517" w:name="_Toc12895538"/>
      <w:bookmarkStart w:id="518" w:name="_Toc12894583"/>
      <w:bookmarkStart w:id="519" w:name="_Toc12895539"/>
      <w:bookmarkStart w:id="520" w:name="_Toc12894584"/>
      <w:bookmarkStart w:id="521" w:name="_Toc12895540"/>
      <w:bookmarkStart w:id="522" w:name="_Toc12894585"/>
      <w:bookmarkStart w:id="523" w:name="_Toc12895541"/>
      <w:bookmarkStart w:id="524" w:name="_Toc12894586"/>
      <w:bookmarkStart w:id="525" w:name="_Toc12895542"/>
      <w:bookmarkStart w:id="526" w:name="_Toc12894587"/>
      <w:bookmarkStart w:id="527" w:name="_Toc12895543"/>
      <w:bookmarkStart w:id="528" w:name="_Toc12894588"/>
      <w:bookmarkStart w:id="529" w:name="_Toc12895544"/>
      <w:bookmarkStart w:id="530" w:name="_Toc452726706"/>
      <w:bookmarkStart w:id="531" w:name="_Toc452726777"/>
      <w:bookmarkStart w:id="532" w:name="_Toc12894589"/>
      <w:bookmarkStart w:id="533" w:name="_Toc12895545"/>
      <w:bookmarkStart w:id="534" w:name="_Toc12894590"/>
      <w:bookmarkStart w:id="535" w:name="_Toc12895546"/>
      <w:bookmarkStart w:id="536" w:name="_Toc12894591"/>
      <w:bookmarkStart w:id="537" w:name="_Toc12895547"/>
      <w:bookmarkStart w:id="538" w:name="_Toc12894592"/>
      <w:bookmarkStart w:id="539" w:name="_Toc12895548"/>
      <w:bookmarkStart w:id="540" w:name="_Toc12894593"/>
      <w:bookmarkStart w:id="541" w:name="_Toc12895549"/>
      <w:bookmarkStart w:id="542" w:name="_Toc12894594"/>
      <w:bookmarkStart w:id="543" w:name="_Toc12895550"/>
      <w:bookmarkStart w:id="544" w:name="_Toc12894595"/>
      <w:bookmarkStart w:id="545" w:name="_Toc12895551"/>
      <w:bookmarkStart w:id="546" w:name="_Toc12894596"/>
      <w:bookmarkStart w:id="547" w:name="_Toc12895552"/>
      <w:bookmarkStart w:id="548" w:name="_Toc12894597"/>
      <w:bookmarkStart w:id="549" w:name="_Toc12895553"/>
      <w:bookmarkStart w:id="550" w:name="_Toc12894598"/>
      <w:bookmarkStart w:id="551" w:name="_Toc12895554"/>
      <w:bookmarkStart w:id="552" w:name="_Toc12894599"/>
      <w:bookmarkStart w:id="553" w:name="_Toc12895555"/>
      <w:bookmarkStart w:id="554" w:name="_Toc12894600"/>
      <w:bookmarkStart w:id="555" w:name="_Toc12895556"/>
      <w:bookmarkStart w:id="556" w:name="_Toc12894601"/>
      <w:bookmarkStart w:id="557" w:name="_Toc12895557"/>
      <w:bookmarkStart w:id="558" w:name="_Toc12894602"/>
      <w:bookmarkStart w:id="559" w:name="_Toc12895558"/>
      <w:bookmarkStart w:id="560" w:name="_Toc12894603"/>
      <w:bookmarkStart w:id="561" w:name="_Toc12895559"/>
      <w:bookmarkStart w:id="562" w:name="_Toc12894604"/>
      <w:bookmarkStart w:id="563" w:name="_Toc12895560"/>
      <w:bookmarkStart w:id="564" w:name="_Toc12894605"/>
      <w:bookmarkStart w:id="565" w:name="_Toc12895561"/>
      <w:bookmarkStart w:id="566" w:name="_Toc12894606"/>
      <w:bookmarkStart w:id="567" w:name="_Toc12895562"/>
      <w:bookmarkStart w:id="568" w:name="_Toc12894607"/>
      <w:bookmarkStart w:id="569" w:name="_Toc12895563"/>
      <w:bookmarkStart w:id="570" w:name="_Toc12894608"/>
      <w:bookmarkStart w:id="571" w:name="_Toc12895564"/>
      <w:bookmarkStart w:id="572" w:name="_Toc12894609"/>
      <w:bookmarkStart w:id="573" w:name="_Toc12895565"/>
      <w:bookmarkStart w:id="574" w:name="_Toc12894610"/>
      <w:bookmarkStart w:id="575" w:name="_Toc12895566"/>
      <w:bookmarkStart w:id="576" w:name="_Toc12894611"/>
      <w:bookmarkStart w:id="577" w:name="_Toc12895567"/>
      <w:bookmarkStart w:id="578" w:name="_Toc12894612"/>
      <w:bookmarkStart w:id="579" w:name="_Toc12895568"/>
      <w:bookmarkStart w:id="580" w:name="_Toc12894613"/>
      <w:bookmarkStart w:id="581" w:name="_Toc12895569"/>
      <w:bookmarkStart w:id="582" w:name="_Toc12894614"/>
      <w:bookmarkStart w:id="583" w:name="_Toc12895570"/>
      <w:bookmarkStart w:id="584" w:name="_Toc12894615"/>
      <w:bookmarkStart w:id="585" w:name="_Toc12895571"/>
      <w:bookmarkStart w:id="586" w:name="_Toc12894616"/>
      <w:bookmarkStart w:id="587" w:name="_Toc12895572"/>
      <w:bookmarkStart w:id="588" w:name="_Toc12894617"/>
      <w:bookmarkStart w:id="589" w:name="_Toc12895573"/>
      <w:bookmarkStart w:id="590" w:name="_Toc12894618"/>
      <w:bookmarkStart w:id="591" w:name="_Toc12895574"/>
      <w:bookmarkStart w:id="592" w:name="_Toc12894619"/>
      <w:bookmarkStart w:id="593" w:name="_Toc12895575"/>
      <w:bookmarkStart w:id="594" w:name="_Toc12894620"/>
      <w:bookmarkStart w:id="595" w:name="_Toc12895576"/>
      <w:bookmarkStart w:id="596" w:name="_Toc12894621"/>
      <w:bookmarkStart w:id="597" w:name="_Toc12895577"/>
      <w:bookmarkStart w:id="598" w:name="_Toc12894622"/>
      <w:bookmarkStart w:id="599" w:name="_Toc12895578"/>
      <w:bookmarkStart w:id="600" w:name="_Toc12894623"/>
      <w:bookmarkStart w:id="601" w:name="_Toc12895579"/>
      <w:bookmarkStart w:id="602" w:name="_Toc12894624"/>
      <w:bookmarkStart w:id="603" w:name="_Toc12895580"/>
      <w:bookmarkStart w:id="604" w:name="_Toc12894625"/>
      <w:bookmarkStart w:id="605" w:name="_Toc12895581"/>
      <w:bookmarkStart w:id="606" w:name="_Toc12894626"/>
      <w:bookmarkStart w:id="607" w:name="_Toc12895582"/>
      <w:bookmarkStart w:id="608" w:name="_Toc12894627"/>
      <w:bookmarkStart w:id="609" w:name="_Toc12895583"/>
      <w:bookmarkStart w:id="610" w:name="_Toc12894628"/>
      <w:bookmarkStart w:id="611" w:name="_Toc12895584"/>
      <w:bookmarkStart w:id="612" w:name="_Toc12894629"/>
      <w:bookmarkStart w:id="613" w:name="_Toc12895585"/>
      <w:bookmarkStart w:id="614" w:name="_Toc12894630"/>
      <w:bookmarkStart w:id="615" w:name="_Toc12895586"/>
      <w:bookmarkStart w:id="616" w:name="_Toc12894631"/>
      <w:bookmarkStart w:id="617" w:name="_Toc12895587"/>
      <w:bookmarkStart w:id="618" w:name="_Toc12894632"/>
      <w:bookmarkStart w:id="619" w:name="_Toc12895588"/>
      <w:bookmarkStart w:id="620" w:name="_Toc12894633"/>
      <w:bookmarkStart w:id="621" w:name="_Toc12895589"/>
      <w:bookmarkStart w:id="622" w:name="_Toc12894634"/>
      <w:bookmarkStart w:id="623" w:name="_Toc12895590"/>
      <w:bookmarkStart w:id="624" w:name="_Toc12894635"/>
      <w:bookmarkStart w:id="625" w:name="_Toc12895591"/>
      <w:bookmarkStart w:id="626" w:name="_Toc12894636"/>
      <w:bookmarkStart w:id="627" w:name="_Toc12895592"/>
      <w:bookmarkStart w:id="628" w:name="_Toc12894637"/>
      <w:bookmarkStart w:id="629" w:name="_Toc12895593"/>
      <w:bookmarkStart w:id="630" w:name="_Toc12894638"/>
      <w:bookmarkStart w:id="631" w:name="_Toc12895594"/>
      <w:bookmarkStart w:id="632" w:name="_Toc12894639"/>
      <w:bookmarkStart w:id="633" w:name="_Toc12895595"/>
      <w:bookmarkStart w:id="634" w:name="_Toc12894640"/>
      <w:bookmarkStart w:id="635" w:name="_Toc12895596"/>
      <w:bookmarkStart w:id="636" w:name="_Toc12894641"/>
      <w:bookmarkStart w:id="637" w:name="_Toc12895597"/>
      <w:bookmarkStart w:id="638" w:name="_Toc12894642"/>
      <w:bookmarkStart w:id="639" w:name="_Toc12895598"/>
      <w:bookmarkStart w:id="640" w:name="_Toc12894643"/>
      <w:bookmarkStart w:id="641" w:name="_Toc12895599"/>
      <w:bookmarkStart w:id="642" w:name="_Toc12894644"/>
      <w:bookmarkStart w:id="643" w:name="_Toc12895600"/>
      <w:bookmarkStart w:id="644" w:name="_Toc12894645"/>
      <w:bookmarkStart w:id="645" w:name="_Toc12895601"/>
      <w:bookmarkStart w:id="646" w:name="_Toc12894646"/>
      <w:bookmarkStart w:id="647" w:name="_Toc12895602"/>
      <w:bookmarkStart w:id="648" w:name="_Toc12894647"/>
      <w:bookmarkStart w:id="649" w:name="_Toc12895603"/>
      <w:bookmarkStart w:id="650" w:name="_Toc12894648"/>
      <w:bookmarkStart w:id="651" w:name="_Toc12895604"/>
      <w:bookmarkStart w:id="652" w:name="_Toc12894649"/>
      <w:bookmarkStart w:id="653" w:name="_Toc12895605"/>
      <w:bookmarkStart w:id="654" w:name="_Toc12894650"/>
      <w:bookmarkStart w:id="655" w:name="_Toc12895606"/>
      <w:bookmarkStart w:id="656" w:name="_Toc12894651"/>
      <w:bookmarkStart w:id="657" w:name="_Toc12895607"/>
      <w:bookmarkStart w:id="658" w:name="_Toc12894652"/>
      <w:bookmarkStart w:id="659" w:name="_Toc12895608"/>
      <w:bookmarkStart w:id="660" w:name="_Toc12894653"/>
      <w:bookmarkStart w:id="661" w:name="_Toc12895609"/>
      <w:bookmarkStart w:id="662" w:name="_Toc12894654"/>
      <w:bookmarkStart w:id="663" w:name="_Toc12895610"/>
      <w:bookmarkStart w:id="664" w:name="_Toc12894655"/>
      <w:bookmarkStart w:id="665" w:name="_Toc12895611"/>
      <w:bookmarkStart w:id="666" w:name="_Toc12894656"/>
      <w:bookmarkStart w:id="667" w:name="_Toc12895612"/>
      <w:bookmarkStart w:id="668" w:name="_Hlk1655213"/>
      <w:bookmarkStart w:id="669" w:name="_Toc486516956"/>
      <w:bookmarkStart w:id="670" w:name="_Toc486516957"/>
      <w:bookmarkStart w:id="671" w:name="_Toc486516958"/>
      <w:bookmarkStart w:id="672" w:name="_Toc486516959"/>
      <w:bookmarkStart w:id="673" w:name="_Toc486516960"/>
      <w:bookmarkStart w:id="674" w:name="_Toc486516961"/>
      <w:bookmarkStart w:id="675" w:name="_Toc486516962"/>
      <w:bookmarkStart w:id="676" w:name="_Toc486516963"/>
      <w:bookmarkStart w:id="677" w:name="_Toc486516964"/>
      <w:bookmarkStart w:id="678" w:name="_Toc486516965"/>
      <w:bookmarkStart w:id="679" w:name="_Toc486516966"/>
      <w:bookmarkStart w:id="680" w:name="_Toc486516967"/>
      <w:bookmarkStart w:id="681" w:name="_Toc486516968"/>
      <w:bookmarkStart w:id="682" w:name="_Toc486516969"/>
      <w:bookmarkStart w:id="683" w:name="_Toc452726713"/>
      <w:bookmarkStart w:id="684" w:name="_Toc452726784"/>
      <w:bookmarkStart w:id="685" w:name="_Toc452726714"/>
      <w:bookmarkStart w:id="686" w:name="_Toc452726785"/>
      <w:bookmarkStart w:id="687" w:name="_Toc12894657"/>
      <w:bookmarkStart w:id="688" w:name="_Toc12895613"/>
      <w:bookmarkStart w:id="689" w:name="_Health_service_performance"/>
      <w:bookmarkStart w:id="690" w:name="_Toc12894658"/>
      <w:bookmarkStart w:id="691" w:name="_Toc12895614"/>
      <w:bookmarkStart w:id="692" w:name="_Toc12894659"/>
      <w:bookmarkStart w:id="693" w:name="_Toc12895615"/>
      <w:bookmarkStart w:id="694" w:name="_Toc12894660"/>
      <w:bookmarkStart w:id="695" w:name="_Toc12895616"/>
      <w:bookmarkStart w:id="696" w:name="_Toc12894661"/>
      <w:bookmarkStart w:id="697" w:name="_Toc12895617"/>
      <w:bookmarkStart w:id="698" w:name="_Toc12894662"/>
      <w:bookmarkStart w:id="699" w:name="_Toc12895618"/>
      <w:bookmarkStart w:id="700" w:name="_Toc12894663"/>
      <w:bookmarkStart w:id="701" w:name="_Toc12895619"/>
      <w:bookmarkStart w:id="702" w:name="_Toc12894664"/>
      <w:bookmarkStart w:id="703" w:name="_Toc12895620"/>
      <w:bookmarkStart w:id="704" w:name="_Toc12894665"/>
      <w:bookmarkStart w:id="705" w:name="_Toc12895621"/>
      <w:bookmarkStart w:id="706" w:name="_Toc12894666"/>
      <w:bookmarkStart w:id="707" w:name="_Toc12895622"/>
      <w:bookmarkStart w:id="708" w:name="_Toc10144476"/>
      <w:bookmarkStart w:id="709" w:name="_Toc10144746"/>
      <w:bookmarkStart w:id="710" w:name="_Toc10145016"/>
      <w:bookmarkStart w:id="711" w:name="_Toc10199034"/>
      <w:bookmarkStart w:id="712" w:name="_Toc10199572"/>
      <w:bookmarkStart w:id="713" w:name="_Toc10459827"/>
      <w:bookmarkStart w:id="714" w:name="_Toc10144477"/>
      <w:bookmarkStart w:id="715" w:name="_Toc10144747"/>
      <w:bookmarkStart w:id="716" w:name="_Toc10145017"/>
      <w:bookmarkStart w:id="717" w:name="_Toc10199035"/>
      <w:bookmarkStart w:id="718" w:name="_Toc10199304"/>
      <w:bookmarkStart w:id="719" w:name="_Toc10199573"/>
      <w:bookmarkStart w:id="720" w:name="_Toc10459828"/>
      <w:bookmarkStart w:id="721" w:name="_Toc10144478"/>
      <w:bookmarkStart w:id="722" w:name="_Toc10144748"/>
      <w:bookmarkStart w:id="723" w:name="_Toc10145018"/>
      <w:bookmarkStart w:id="724" w:name="_Toc10199036"/>
      <w:bookmarkStart w:id="725" w:name="_Toc10199305"/>
      <w:bookmarkStart w:id="726" w:name="_Toc10199574"/>
      <w:bookmarkStart w:id="727" w:name="_Toc10459829"/>
      <w:bookmarkStart w:id="728" w:name="_Toc10144479"/>
      <w:bookmarkStart w:id="729" w:name="_Toc10144749"/>
      <w:bookmarkStart w:id="730" w:name="_Toc10145019"/>
      <w:bookmarkStart w:id="731" w:name="_Toc10199037"/>
      <w:bookmarkStart w:id="732" w:name="_Toc10199306"/>
      <w:bookmarkStart w:id="733" w:name="_Toc10199575"/>
      <w:bookmarkStart w:id="734" w:name="_Toc10459830"/>
      <w:bookmarkStart w:id="735" w:name="_Toc12894667"/>
      <w:bookmarkStart w:id="736" w:name="_Toc12895623"/>
      <w:bookmarkStart w:id="737" w:name="_Toc12894668"/>
      <w:bookmarkStart w:id="738" w:name="_Toc12895624"/>
      <w:bookmarkStart w:id="739" w:name="_Toc12894669"/>
      <w:bookmarkStart w:id="740" w:name="_Toc12895625"/>
      <w:bookmarkStart w:id="741" w:name="_Toc12894670"/>
      <w:bookmarkStart w:id="742" w:name="_Toc12895626"/>
      <w:bookmarkStart w:id="743" w:name="_Toc12894671"/>
      <w:bookmarkStart w:id="744" w:name="_Toc12895627"/>
      <w:bookmarkStart w:id="745" w:name="_Toc12894672"/>
      <w:bookmarkStart w:id="746" w:name="_Toc12895628"/>
      <w:bookmarkStart w:id="747" w:name="_Toc12894673"/>
      <w:bookmarkStart w:id="748" w:name="_Toc12895629"/>
      <w:bookmarkStart w:id="749" w:name="_Toc12894674"/>
      <w:bookmarkStart w:id="750" w:name="_Toc12895630"/>
      <w:bookmarkStart w:id="751" w:name="_Toc12894675"/>
      <w:bookmarkStart w:id="752" w:name="_Toc12895631"/>
      <w:bookmarkStart w:id="753" w:name="_Toc12894676"/>
      <w:bookmarkStart w:id="754" w:name="_Toc12895632"/>
      <w:bookmarkStart w:id="755" w:name="_Toc12894677"/>
      <w:bookmarkStart w:id="756" w:name="_Toc12895633"/>
      <w:bookmarkStart w:id="757" w:name="_Toc12894678"/>
      <w:bookmarkStart w:id="758" w:name="_Toc12895634"/>
      <w:bookmarkStart w:id="759" w:name="_Toc12894679"/>
      <w:bookmarkStart w:id="760" w:name="_Toc12895635"/>
      <w:bookmarkStart w:id="761" w:name="_Toc12894680"/>
      <w:bookmarkStart w:id="762" w:name="_Toc12895636"/>
      <w:bookmarkStart w:id="763" w:name="_Toc12894681"/>
      <w:bookmarkStart w:id="764" w:name="_Toc12895637"/>
      <w:bookmarkStart w:id="765" w:name="_Toc12894682"/>
      <w:bookmarkStart w:id="766" w:name="_Toc12895638"/>
      <w:bookmarkStart w:id="767" w:name="_Toc12894683"/>
      <w:bookmarkStart w:id="768" w:name="_Toc12895639"/>
      <w:bookmarkStart w:id="769" w:name="_Toc12894684"/>
      <w:bookmarkStart w:id="770" w:name="_Toc12895640"/>
      <w:bookmarkStart w:id="771" w:name="_Toc12894685"/>
      <w:bookmarkStart w:id="772" w:name="_Toc12895641"/>
      <w:bookmarkStart w:id="773" w:name="_Toc12894686"/>
      <w:bookmarkStart w:id="774" w:name="_Toc12895642"/>
      <w:bookmarkStart w:id="775" w:name="_Toc12894687"/>
      <w:bookmarkStart w:id="776" w:name="_Toc12895643"/>
      <w:bookmarkStart w:id="777" w:name="_Toc12894688"/>
      <w:bookmarkStart w:id="778" w:name="_Toc12895644"/>
      <w:bookmarkStart w:id="779" w:name="_Toc12894689"/>
      <w:bookmarkStart w:id="780" w:name="_Toc12895645"/>
      <w:bookmarkStart w:id="781" w:name="_Toc12894690"/>
      <w:bookmarkStart w:id="782" w:name="_Toc12895646"/>
      <w:bookmarkStart w:id="783" w:name="_Toc12894691"/>
      <w:bookmarkStart w:id="784" w:name="_Toc12895647"/>
      <w:bookmarkStart w:id="785" w:name="_Toc12894692"/>
      <w:bookmarkStart w:id="786" w:name="_Toc12895648"/>
      <w:bookmarkStart w:id="787" w:name="_Toc12894693"/>
      <w:bookmarkStart w:id="788" w:name="_Toc12895649"/>
      <w:bookmarkStart w:id="789" w:name="_Toc12894694"/>
      <w:bookmarkStart w:id="790" w:name="_Toc12895650"/>
      <w:bookmarkStart w:id="791" w:name="_Toc12894695"/>
      <w:bookmarkStart w:id="792" w:name="_Toc12895651"/>
      <w:bookmarkStart w:id="793" w:name="_Toc12894696"/>
      <w:bookmarkStart w:id="794" w:name="_Toc12895652"/>
      <w:bookmarkStart w:id="795" w:name="_Toc12894697"/>
      <w:bookmarkStart w:id="796" w:name="_Toc12895653"/>
      <w:bookmarkStart w:id="797" w:name="_Toc12894698"/>
      <w:bookmarkStart w:id="798" w:name="_Toc12895654"/>
      <w:bookmarkStart w:id="799" w:name="_Toc12894699"/>
      <w:bookmarkStart w:id="800" w:name="_Toc12895655"/>
      <w:bookmarkStart w:id="801" w:name="_Toc12894700"/>
      <w:bookmarkStart w:id="802" w:name="_Toc12895656"/>
      <w:bookmarkStart w:id="803" w:name="_Toc12894701"/>
      <w:bookmarkStart w:id="804" w:name="_Toc12895657"/>
      <w:bookmarkStart w:id="805" w:name="_Toc12894702"/>
      <w:bookmarkStart w:id="806" w:name="_Toc12895658"/>
      <w:bookmarkStart w:id="807" w:name="_Toc12894703"/>
      <w:bookmarkStart w:id="808" w:name="_Toc12895659"/>
      <w:bookmarkStart w:id="809" w:name="_Toc12894704"/>
      <w:bookmarkStart w:id="810" w:name="_Toc12895660"/>
      <w:bookmarkStart w:id="811" w:name="_Toc12894705"/>
      <w:bookmarkStart w:id="812" w:name="_Toc12895661"/>
      <w:bookmarkStart w:id="813" w:name="_Toc12894706"/>
      <w:bookmarkStart w:id="814" w:name="_Toc12895662"/>
      <w:bookmarkStart w:id="815" w:name="_Toc12894707"/>
      <w:bookmarkStart w:id="816" w:name="_Toc12895663"/>
      <w:bookmarkStart w:id="817" w:name="_Toc12894708"/>
      <w:bookmarkStart w:id="818" w:name="_Toc12895664"/>
      <w:bookmarkStart w:id="819" w:name="_Toc12894709"/>
      <w:bookmarkStart w:id="820" w:name="_Toc12895665"/>
      <w:bookmarkStart w:id="821" w:name="_Toc12894710"/>
      <w:bookmarkStart w:id="822" w:name="_Toc12895666"/>
      <w:bookmarkStart w:id="823" w:name="_Toc12894711"/>
      <w:bookmarkStart w:id="824" w:name="_Toc12895667"/>
      <w:bookmarkStart w:id="825" w:name="_Toc12894712"/>
      <w:bookmarkStart w:id="826" w:name="_Toc12895668"/>
      <w:bookmarkStart w:id="827" w:name="_Toc12894713"/>
      <w:bookmarkStart w:id="828" w:name="_Toc12895669"/>
      <w:bookmarkStart w:id="829" w:name="_Toc12894714"/>
      <w:bookmarkStart w:id="830" w:name="_Toc12895670"/>
      <w:bookmarkStart w:id="831" w:name="_Toc12894715"/>
      <w:bookmarkStart w:id="832" w:name="_Toc12895671"/>
      <w:bookmarkStart w:id="833" w:name="_Toc12894716"/>
      <w:bookmarkStart w:id="834" w:name="_Toc12895672"/>
      <w:bookmarkStart w:id="835" w:name="_Toc12894717"/>
      <w:bookmarkStart w:id="836" w:name="_Toc12895673"/>
      <w:bookmarkStart w:id="837" w:name="_Toc12894718"/>
      <w:bookmarkStart w:id="838" w:name="_Toc12895674"/>
      <w:bookmarkStart w:id="839" w:name="_Toc12894719"/>
      <w:bookmarkStart w:id="840" w:name="_Toc12895675"/>
      <w:bookmarkStart w:id="841" w:name="_Toc12894720"/>
      <w:bookmarkStart w:id="842" w:name="_Toc12895676"/>
      <w:bookmarkStart w:id="843" w:name="_Toc12894721"/>
      <w:bookmarkStart w:id="844" w:name="_Toc12895677"/>
      <w:bookmarkStart w:id="845" w:name="_Toc12894722"/>
      <w:bookmarkStart w:id="846" w:name="_Toc12895678"/>
      <w:bookmarkStart w:id="847" w:name="_Toc12894723"/>
      <w:bookmarkStart w:id="848" w:name="_Toc12895679"/>
      <w:bookmarkStart w:id="849" w:name="_Toc12894724"/>
      <w:bookmarkStart w:id="850" w:name="_Toc12895680"/>
      <w:bookmarkStart w:id="851" w:name="_Toc12894725"/>
      <w:bookmarkStart w:id="852" w:name="_Toc12895681"/>
      <w:bookmarkStart w:id="853" w:name="_Toc12894726"/>
      <w:bookmarkStart w:id="854" w:name="_Toc12895682"/>
      <w:bookmarkStart w:id="855" w:name="_Toc12894727"/>
      <w:bookmarkStart w:id="856" w:name="_Toc12895683"/>
      <w:bookmarkStart w:id="857" w:name="_Toc12894728"/>
      <w:bookmarkStart w:id="858" w:name="_Toc12895684"/>
      <w:bookmarkStart w:id="859" w:name="_Toc12894729"/>
      <w:bookmarkStart w:id="860" w:name="_Toc12895685"/>
      <w:bookmarkStart w:id="861" w:name="_Toc12894730"/>
      <w:bookmarkStart w:id="862" w:name="_Toc12895686"/>
      <w:bookmarkStart w:id="863" w:name="_Toc12894731"/>
      <w:bookmarkStart w:id="864" w:name="_Toc12895687"/>
      <w:bookmarkStart w:id="865" w:name="_Toc12894732"/>
      <w:bookmarkStart w:id="866" w:name="_Toc12895688"/>
      <w:bookmarkStart w:id="867" w:name="_Toc12894733"/>
      <w:bookmarkStart w:id="868" w:name="_Toc12895689"/>
      <w:bookmarkStart w:id="869" w:name="_Toc12894734"/>
      <w:bookmarkStart w:id="870" w:name="_Toc12895690"/>
      <w:bookmarkStart w:id="871" w:name="_Toc12894735"/>
      <w:bookmarkStart w:id="872" w:name="_Toc12895691"/>
      <w:bookmarkStart w:id="873" w:name="_Toc12894736"/>
      <w:bookmarkStart w:id="874" w:name="_Toc12895692"/>
      <w:bookmarkStart w:id="875" w:name="_Toc12894737"/>
      <w:bookmarkStart w:id="876" w:name="_Toc12895693"/>
      <w:bookmarkStart w:id="877" w:name="_Toc12894738"/>
      <w:bookmarkStart w:id="878" w:name="_Toc12895694"/>
      <w:bookmarkStart w:id="879" w:name="_Toc12894739"/>
      <w:bookmarkStart w:id="880" w:name="_Toc12895695"/>
      <w:bookmarkStart w:id="881" w:name="_Toc12894740"/>
      <w:bookmarkStart w:id="882" w:name="_Toc12895696"/>
      <w:bookmarkStart w:id="883" w:name="_Toc12894741"/>
      <w:bookmarkStart w:id="884" w:name="_Toc12895697"/>
      <w:bookmarkStart w:id="885" w:name="_Toc12894742"/>
      <w:bookmarkStart w:id="886" w:name="_Toc12895698"/>
      <w:bookmarkStart w:id="887" w:name="_Toc12894743"/>
      <w:bookmarkStart w:id="888" w:name="_Toc12895699"/>
      <w:bookmarkStart w:id="889" w:name="_Toc12894744"/>
      <w:bookmarkStart w:id="890" w:name="_Toc12895700"/>
      <w:bookmarkStart w:id="891" w:name="_Toc12894745"/>
      <w:bookmarkStart w:id="892" w:name="_Toc12895701"/>
      <w:bookmarkStart w:id="893" w:name="_Toc12894746"/>
      <w:bookmarkStart w:id="894" w:name="_Toc12895702"/>
      <w:bookmarkStart w:id="895" w:name="_Toc12894747"/>
      <w:bookmarkStart w:id="896" w:name="_Toc12895703"/>
      <w:bookmarkStart w:id="897" w:name="_Toc12894748"/>
      <w:bookmarkStart w:id="898" w:name="_Toc12895704"/>
      <w:bookmarkStart w:id="899" w:name="_Toc12894749"/>
      <w:bookmarkStart w:id="900" w:name="_Toc12895705"/>
      <w:bookmarkStart w:id="901" w:name="_Toc12894750"/>
      <w:bookmarkStart w:id="902" w:name="_Toc12895706"/>
      <w:bookmarkStart w:id="903" w:name="_Toc12894751"/>
      <w:bookmarkStart w:id="904" w:name="_Toc12895707"/>
      <w:bookmarkStart w:id="905" w:name="_Toc12894752"/>
      <w:bookmarkStart w:id="906" w:name="_Toc12895708"/>
      <w:bookmarkStart w:id="907" w:name="_Toc12894753"/>
      <w:bookmarkStart w:id="908" w:name="_Toc12895709"/>
      <w:bookmarkStart w:id="909" w:name="_Toc12894754"/>
      <w:bookmarkStart w:id="910" w:name="_Toc12895710"/>
      <w:bookmarkStart w:id="911" w:name="_Toc12894755"/>
      <w:bookmarkStart w:id="912" w:name="_Toc12895711"/>
      <w:bookmarkStart w:id="913" w:name="_Toc12894756"/>
      <w:bookmarkStart w:id="914" w:name="_Toc12895712"/>
      <w:bookmarkStart w:id="915" w:name="_Toc12894757"/>
      <w:bookmarkStart w:id="916" w:name="_Toc12895713"/>
      <w:bookmarkStart w:id="917" w:name="_Toc12894758"/>
      <w:bookmarkStart w:id="918" w:name="_Toc12895714"/>
      <w:bookmarkStart w:id="919" w:name="_Toc12894759"/>
      <w:bookmarkStart w:id="920" w:name="_Toc12895715"/>
      <w:bookmarkStart w:id="921" w:name="_Toc12894760"/>
      <w:bookmarkStart w:id="922" w:name="_Toc12895716"/>
      <w:bookmarkStart w:id="923" w:name="_Toc12894761"/>
      <w:bookmarkStart w:id="924" w:name="_Toc12895717"/>
      <w:bookmarkStart w:id="925" w:name="_Toc12894762"/>
      <w:bookmarkStart w:id="926" w:name="_Toc12895718"/>
      <w:bookmarkStart w:id="927" w:name="_Toc12894763"/>
      <w:bookmarkStart w:id="928" w:name="_Toc12895719"/>
      <w:bookmarkStart w:id="929" w:name="_Toc12894764"/>
      <w:bookmarkStart w:id="930" w:name="_Toc12895720"/>
      <w:bookmarkStart w:id="931" w:name="_Toc12894765"/>
      <w:bookmarkStart w:id="932" w:name="_Toc12895721"/>
      <w:bookmarkStart w:id="933" w:name="_Toc12894766"/>
      <w:bookmarkStart w:id="934" w:name="_Toc12895722"/>
      <w:bookmarkStart w:id="935" w:name="_Toc12894767"/>
      <w:bookmarkStart w:id="936" w:name="_Toc12895723"/>
      <w:bookmarkStart w:id="937" w:name="_Toc12894768"/>
      <w:bookmarkStart w:id="938" w:name="_Toc12895724"/>
      <w:bookmarkStart w:id="939" w:name="_Toc12894769"/>
      <w:bookmarkStart w:id="940" w:name="_Toc12895725"/>
      <w:bookmarkStart w:id="941" w:name="_Toc12894770"/>
      <w:bookmarkStart w:id="942" w:name="_Toc12895726"/>
      <w:bookmarkStart w:id="943" w:name="_Toc12894771"/>
      <w:bookmarkStart w:id="944" w:name="_Toc12895727"/>
      <w:bookmarkStart w:id="945" w:name="_Toc12894772"/>
      <w:bookmarkStart w:id="946" w:name="_Toc12895728"/>
      <w:bookmarkStart w:id="947" w:name="_Toc12894773"/>
      <w:bookmarkStart w:id="948" w:name="_Toc12895729"/>
      <w:bookmarkStart w:id="949" w:name="_Toc12894774"/>
      <w:bookmarkStart w:id="950" w:name="_Toc12895730"/>
      <w:bookmarkStart w:id="951" w:name="_Toc12894775"/>
      <w:bookmarkStart w:id="952" w:name="_Toc12895731"/>
      <w:bookmarkStart w:id="953" w:name="_Toc12894776"/>
      <w:bookmarkStart w:id="954" w:name="_Toc12895732"/>
      <w:bookmarkStart w:id="955" w:name="_Toc12894777"/>
      <w:bookmarkStart w:id="956" w:name="_Toc12895733"/>
      <w:bookmarkStart w:id="957" w:name="_Toc12894778"/>
      <w:bookmarkStart w:id="958" w:name="_Toc12895734"/>
      <w:bookmarkStart w:id="959" w:name="_Toc12894779"/>
      <w:bookmarkStart w:id="960" w:name="_Toc12895735"/>
      <w:bookmarkStart w:id="961" w:name="_Toc12894780"/>
      <w:bookmarkStart w:id="962" w:name="_Toc12895736"/>
      <w:bookmarkStart w:id="963" w:name="_Toc12894781"/>
      <w:bookmarkStart w:id="964" w:name="_Toc12895737"/>
      <w:bookmarkStart w:id="965" w:name="_Toc12894782"/>
      <w:bookmarkStart w:id="966" w:name="_Toc12895738"/>
      <w:bookmarkStart w:id="967" w:name="_Toc12894783"/>
      <w:bookmarkStart w:id="968" w:name="_Toc12895739"/>
      <w:bookmarkStart w:id="969" w:name="_Toc12894784"/>
      <w:bookmarkStart w:id="970" w:name="_Toc12895740"/>
      <w:bookmarkStart w:id="971" w:name="_Toc12894785"/>
      <w:bookmarkStart w:id="972" w:name="_Toc12895741"/>
      <w:bookmarkStart w:id="973" w:name="_Toc12894786"/>
      <w:bookmarkStart w:id="974" w:name="_Toc12895742"/>
      <w:bookmarkStart w:id="975" w:name="_Toc12894787"/>
      <w:bookmarkStart w:id="976" w:name="_Toc12895743"/>
      <w:bookmarkStart w:id="977" w:name="_Toc12894788"/>
      <w:bookmarkStart w:id="978" w:name="_Toc12895744"/>
      <w:bookmarkStart w:id="979" w:name="_Toc12894789"/>
      <w:bookmarkStart w:id="980" w:name="_Toc12895745"/>
      <w:bookmarkStart w:id="981" w:name="_Toc12894790"/>
      <w:bookmarkStart w:id="982" w:name="_Toc12895746"/>
      <w:bookmarkStart w:id="983" w:name="_Toc12894791"/>
      <w:bookmarkStart w:id="984" w:name="_Toc12895747"/>
      <w:bookmarkStart w:id="985" w:name="_Toc12894792"/>
      <w:bookmarkStart w:id="986" w:name="_Toc12895748"/>
      <w:bookmarkStart w:id="987" w:name="_Toc12894793"/>
      <w:bookmarkStart w:id="988" w:name="_Toc12895749"/>
      <w:bookmarkStart w:id="989" w:name="_Toc12894794"/>
      <w:bookmarkStart w:id="990" w:name="_Toc12895750"/>
      <w:bookmarkStart w:id="991" w:name="_Toc12894795"/>
      <w:bookmarkStart w:id="992" w:name="_Toc12895751"/>
      <w:bookmarkStart w:id="993" w:name="_Toc12894796"/>
      <w:bookmarkStart w:id="994" w:name="_Toc12895752"/>
      <w:bookmarkStart w:id="995" w:name="_Toc12894797"/>
      <w:bookmarkStart w:id="996" w:name="_Toc12895753"/>
      <w:bookmarkStart w:id="997" w:name="_Toc12894798"/>
      <w:bookmarkStart w:id="998" w:name="_Toc12895754"/>
      <w:bookmarkStart w:id="999" w:name="_Toc12894799"/>
      <w:bookmarkStart w:id="1000" w:name="_Toc12895755"/>
      <w:bookmarkStart w:id="1001" w:name="_Toc12894800"/>
      <w:bookmarkStart w:id="1002" w:name="_Toc12895756"/>
      <w:bookmarkStart w:id="1003" w:name="_Toc12894801"/>
      <w:bookmarkStart w:id="1004" w:name="_Toc12895757"/>
      <w:bookmarkStart w:id="1005" w:name="_Toc12894802"/>
      <w:bookmarkStart w:id="1006" w:name="_Toc12895758"/>
      <w:bookmarkStart w:id="1007" w:name="_Toc12894803"/>
      <w:bookmarkStart w:id="1008" w:name="_Toc12895759"/>
      <w:bookmarkStart w:id="1009" w:name="_Toc12894804"/>
      <w:bookmarkStart w:id="1010" w:name="_Toc12895760"/>
      <w:bookmarkStart w:id="1011" w:name="_Toc12894805"/>
      <w:bookmarkStart w:id="1012" w:name="_Toc12895761"/>
      <w:bookmarkStart w:id="1013" w:name="_Toc12894806"/>
      <w:bookmarkStart w:id="1014" w:name="_Toc12895762"/>
      <w:bookmarkStart w:id="1015" w:name="_Toc12894807"/>
      <w:bookmarkStart w:id="1016" w:name="_Toc12895763"/>
      <w:bookmarkStart w:id="1017" w:name="_Toc12894808"/>
      <w:bookmarkStart w:id="1018" w:name="_Toc12895764"/>
      <w:bookmarkStart w:id="1019" w:name="_Toc12894809"/>
      <w:bookmarkStart w:id="1020" w:name="_Toc12895765"/>
      <w:bookmarkStart w:id="1021" w:name="_Toc12894810"/>
      <w:bookmarkStart w:id="1022" w:name="_Toc12895766"/>
      <w:bookmarkStart w:id="1023" w:name="_Toc12894811"/>
      <w:bookmarkStart w:id="1024" w:name="_Toc12895767"/>
      <w:bookmarkStart w:id="1025" w:name="_Toc12894812"/>
      <w:bookmarkStart w:id="1026" w:name="_Toc12895768"/>
      <w:bookmarkStart w:id="1027" w:name="_Toc12894813"/>
      <w:bookmarkStart w:id="1028" w:name="_Toc12895769"/>
      <w:bookmarkStart w:id="1029" w:name="_Toc12894814"/>
      <w:bookmarkStart w:id="1030" w:name="_Toc12895770"/>
      <w:bookmarkStart w:id="1031" w:name="_Toc12894815"/>
      <w:bookmarkStart w:id="1032" w:name="_Toc12895771"/>
      <w:bookmarkStart w:id="1033" w:name="_Toc12894816"/>
      <w:bookmarkStart w:id="1034" w:name="_Toc12895772"/>
      <w:bookmarkStart w:id="1035" w:name="_Toc12894817"/>
      <w:bookmarkStart w:id="1036" w:name="_Toc12895773"/>
      <w:bookmarkStart w:id="1037" w:name="_Toc12894818"/>
      <w:bookmarkStart w:id="1038" w:name="_Toc12895774"/>
      <w:bookmarkStart w:id="1039" w:name="_Toc12894819"/>
      <w:bookmarkStart w:id="1040" w:name="_Toc12895775"/>
      <w:bookmarkStart w:id="1041" w:name="_Toc12894820"/>
      <w:bookmarkStart w:id="1042" w:name="_Toc12895776"/>
      <w:bookmarkStart w:id="1043" w:name="_Toc12894821"/>
      <w:bookmarkStart w:id="1044" w:name="_Toc12895777"/>
      <w:bookmarkStart w:id="1045" w:name="_Toc12894822"/>
      <w:bookmarkStart w:id="1046" w:name="_Toc12895778"/>
      <w:bookmarkStart w:id="1047" w:name="_Toc12894823"/>
      <w:bookmarkStart w:id="1048" w:name="_Toc12895779"/>
      <w:bookmarkStart w:id="1049" w:name="_Toc12894824"/>
      <w:bookmarkStart w:id="1050" w:name="_Toc12895780"/>
      <w:bookmarkStart w:id="1051" w:name="_Toc12894825"/>
      <w:bookmarkStart w:id="1052" w:name="_Toc12895781"/>
      <w:bookmarkStart w:id="1053" w:name="_Toc12894826"/>
      <w:bookmarkStart w:id="1054" w:name="_Toc12895782"/>
      <w:bookmarkStart w:id="1055" w:name="_Toc12894827"/>
      <w:bookmarkStart w:id="1056" w:name="_Toc12895783"/>
      <w:bookmarkStart w:id="1057" w:name="_Toc12894828"/>
      <w:bookmarkStart w:id="1058" w:name="_Toc12895784"/>
      <w:bookmarkStart w:id="1059" w:name="_Toc12894829"/>
      <w:bookmarkStart w:id="1060" w:name="_Toc12895785"/>
      <w:bookmarkStart w:id="1061" w:name="_Toc12894830"/>
      <w:bookmarkStart w:id="1062" w:name="_Toc12895786"/>
      <w:bookmarkStart w:id="1063" w:name="_Toc12894903"/>
      <w:bookmarkStart w:id="1064" w:name="_Toc12895859"/>
      <w:bookmarkStart w:id="1065" w:name="_Toc12894904"/>
      <w:bookmarkStart w:id="1066" w:name="_Toc12895860"/>
      <w:bookmarkStart w:id="1067" w:name="_Toc12894905"/>
      <w:bookmarkStart w:id="1068" w:name="_Toc12895861"/>
      <w:bookmarkStart w:id="1069" w:name="_Toc12894906"/>
      <w:bookmarkStart w:id="1070" w:name="_Toc12895862"/>
      <w:bookmarkStart w:id="1071" w:name="_Toc12894907"/>
      <w:bookmarkStart w:id="1072" w:name="_Toc12895863"/>
      <w:bookmarkStart w:id="1073" w:name="_Toc12894908"/>
      <w:bookmarkStart w:id="1074" w:name="_Toc12895864"/>
      <w:bookmarkStart w:id="1075" w:name="_Toc12894909"/>
      <w:bookmarkStart w:id="1076" w:name="_Toc12895865"/>
      <w:bookmarkStart w:id="1077" w:name="_Toc12894910"/>
      <w:bookmarkStart w:id="1078" w:name="_Toc12895866"/>
      <w:bookmarkStart w:id="1079" w:name="_Toc12894911"/>
      <w:bookmarkStart w:id="1080" w:name="_Toc12895867"/>
      <w:bookmarkStart w:id="1081" w:name="_Toc12894912"/>
      <w:bookmarkStart w:id="1082" w:name="_Toc12895868"/>
      <w:bookmarkStart w:id="1083" w:name="_Toc12894913"/>
      <w:bookmarkStart w:id="1084" w:name="_Toc12895869"/>
      <w:bookmarkStart w:id="1085" w:name="_Toc12894914"/>
      <w:bookmarkStart w:id="1086" w:name="_Toc12895870"/>
      <w:bookmarkStart w:id="1087" w:name="_Toc12894915"/>
      <w:bookmarkStart w:id="1088" w:name="_Toc12895871"/>
      <w:bookmarkStart w:id="1089" w:name="_Toc12894916"/>
      <w:bookmarkStart w:id="1090" w:name="_Toc12895872"/>
      <w:bookmarkStart w:id="1091" w:name="_Toc12894917"/>
      <w:bookmarkStart w:id="1092" w:name="_Toc12895873"/>
      <w:bookmarkStart w:id="1093" w:name="_Toc12894918"/>
      <w:bookmarkStart w:id="1094" w:name="_Toc12895874"/>
      <w:bookmarkStart w:id="1095" w:name="_Toc12894919"/>
      <w:bookmarkStart w:id="1096" w:name="_Toc12895875"/>
      <w:bookmarkStart w:id="1097" w:name="_Toc12894920"/>
      <w:bookmarkStart w:id="1098" w:name="_Toc12895876"/>
      <w:bookmarkStart w:id="1099" w:name="_Toc12894921"/>
      <w:bookmarkStart w:id="1100" w:name="_Toc12895877"/>
      <w:bookmarkStart w:id="1101" w:name="_Toc12894922"/>
      <w:bookmarkStart w:id="1102" w:name="_Toc12895878"/>
      <w:bookmarkStart w:id="1103" w:name="_Toc12894923"/>
      <w:bookmarkStart w:id="1104" w:name="_Toc12895879"/>
      <w:bookmarkStart w:id="1105" w:name="_Toc12894924"/>
      <w:bookmarkStart w:id="1106" w:name="_Toc12895880"/>
      <w:bookmarkStart w:id="1107" w:name="_Toc12894925"/>
      <w:bookmarkStart w:id="1108" w:name="_Toc12895881"/>
      <w:bookmarkStart w:id="1109" w:name="_Toc12894926"/>
      <w:bookmarkStart w:id="1110" w:name="_Toc12895882"/>
      <w:bookmarkStart w:id="1111" w:name="_Toc12894927"/>
      <w:bookmarkStart w:id="1112" w:name="_Toc12895883"/>
      <w:bookmarkStart w:id="1113" w:name="_Toc12894928"/>
      <w:bookmarkStart w:id="1114" w:name="_Toc12895884"/>
      <w:bookmarkStart w:id="1115" w:name="_Toc12894929"/>
      <w:bookmarkStart w:id="1116" w:name="_Toc12895885"/>
      <w:bookmarkStart w:id="1117" w:name="_Toc12894930"/>
      <w:bookmarkStart w:id="1118" w:name="_Toc12895886"/>
      <w:bookmarkStart w:id="1119" w:name="_Toc12894931"/>
      <w:bookmarkStart w:id="1120" w:name="_Toc12895887"/>
      <w:bookmarkStart w:id="1121" w:name="_Toc12894932"/>
      <w:bookmarkStart w:id="1122" w:name="_Toc12895888"/>
      <w:bookmarkStart w:id="1123" w:name="_Toc12894933"/>
      <w:bookmarkStart w:id="1124" w:name="_Toc12895889"/>
      <w:bookmarkStart w:id="1125" w:name="_Toc12894934"/>
      <w:bookmarkStart w:id="1126" w:name="_Toc12895890"/>
      <w:bookmarkStart w:id="1127" w:name="_Toc12894935"/>
      <w:bookmarkStart w:id="1128" w:name="_Toc12895891"/>
      <w:bookmarkStart w:id="1129" w:name="_Toc12894936"/>
      <w:bookmarkStart w:id="1130" w:name="_Toc12895892"/>
      <w:bookmarkStart w:id="1131" w:name="_Toc12894937"/>
      <w:bookmarkStart w:id="1132" w:name="_Toc12895893"/>
      <w:bookmarkStart w:id="1133" w:name="_Toc12894938"/>
      <w:bookmarkStart w:id="1134" w:name="_Toc12895894"/>
      <w:bookmarkStart w:id="1135" w:name="_Toc12894939"/>
      <w:bookmarkStart w:id="1136" w:name="_Toc12895895"/>
      <w:bookmarkStart w:id="1137" w:name="_Toc12894940"/>
      <w:bookmarkStart w:id="1138" w:name="_Toc12895896"/>
      <w:bookmarkStart w:id="1139" w:name="_Toc12894941"/>
      <w:bookmarkStart w:id="1140" w:name="_Toc12895897"/>
      <w:bookmarkStart w:id="1141" w:name="_Toc12894942"/>
      <w:bookmarkStart w:id="1142" w:name="_Toc12895898"/>
      <w:bookmarkStart w:id="1143" w:name="_Toc12894943"/>
      <w:bookmarkStart w:id="1144" w:name="_Toc12895899"/>
      <w:bookmarkStart w:id="1145" w:name="_Toc12894944"/>
      <w:bookmarkStart w:id="1146" w:name="_Toc12895900"/>
      <w:bookmarkStart w:id="1147" w:name="_Toc12894945"/>
      <w:bookmarkStart w:id="1148" w:name="_Toc12895901"/>
      <w:bookmarkStart w:id="1149" w:name="_Toc12894946"/>
      <w:bookmarkStart w:id="1150" w:name="_Toc12895902"/>
      <w:bookmarkStart w:id="1151" w:name="_Toc12894947"/>
      <w:bookmarkStart w:id="1152" w:name="_Toc12895903"/>
      <w:bookmarkStart w:id="1153" w:name="_Toc12894948"/>
      <w:bookmarkStart w:id="1154" w:name="_Toc12895904"/>
      <w:bookmarkStart w:id="1155" w:name="_Toc12894949"/>
      <w:bookmarkStart w:id="1156" w:name="_Toc12895905"/>
      <w:bookmarkStart w:id="1157" w:name="_Toc12894950"/>
      <w:bookmarkStart w:id="1158" w:name="_Toc12895906"/>
      <w:bookmarkStart w:id="1159" w:name="_Toc12894951"/>
      <w:bookmarkStart w:id="1160" w:name="_Toc12895907"/>
      <w:bookmarkStart w:id="1161" w:name="_Toc452726733"/>
      <w:bookmarkStart w:id="1162" w:name="_Toc452726804"/>
      <w:bookmarkStart w:id="1163" w:name="_Toc12894952"/>
      <w:bookmarkStart w:id="1164" w:name="_Toc12895908"/>
      <w:bookmarkStart w:id="1165" w:name="_Toc12894953"/>
      <w:bookmarkStart w:id="1166" w:name="_Toc12895909"/>
      <w:bookmarkStart w:id="1167" w:name="_Toc12894954"/>
      <w:bookmarkStart w:id="1168" w:name="_Toc12895910"/>
      <w:bookmarkStart w:id="1169" w:name="_Toc12894955"/>
      <w:bookmarkStart w:id="1170" w:name="_Toc12895911"/>
      <w:bookmarkStart w:id="1171" w:name="_Toc12894956"/>
      <w:bookmarkStart w:id="1172" w:name="_Toc12895912"/>
      <w:bookmarkStart w:id="1173" w:name="_Toc12894957"/>
      <w:bookmarkStart w:id="1174" w:name="_Toc12895913"/>
      <w:bookmarkStart w:id="1175" w:name="_Toc12894958"/>
      <w:bookmarkStart w:id="1176" w:name="_Toc12895914"/>
      <w:bookmarkStart w:id="1177" w:name="_Toc12894959"/>
      <w:bookmarkStart w:id="1178" w:name="_Toc12895915"/>
      <w:bookmarkStart w:id="1179" w:name="_Toc12894960"/>
      <w:bookmarkStart w:id="1180" w:name="_Toc12895916"/>
      <w:bookmarkStart w:id="1181" w:name="_Toc12894961"/>
      <w:bookmarkStart w:id="1182" w:name="_Toc12895917"/>
      <w:bookmarkStart w:id="1183" w:name="_Toc12894962"/>
      <w:bookmarkStart w:id="1184" w:name="_Toc12895918"/>
      <w:bookmarkStart w:id="1185" w:name="_Toc12894963"/>
      <w:bookmarkStart w:id="1186" w:name="_Toc12895919"/>
      <w:bookmarkStart w:id="1187" w:name="_Toc12894964"/>
      <w:bookmarkStart w:id="1188" w:name="_Toc12895920"/>
      <w:bookmarkStart w:id="1189" w:name="_Toc12894965"/>
      <w:bookmarkStart w:id="1190" w:name="_Toc12895921"/>
      <w:bookmarkStart w:id="1191" w:name="_Toc12894966"/>
      <w:bookmarkStart w:id="1192" w:name="_Toc12895922"/>
      <w:bookmarkStart w:id="1193" w:name="_Toc12894967"/>
      <w:bookmarkStart w:id="1194" w:name="_Toc12895923"/>
      <w:bookmarkStart w:id="1195" w:name="_Toc12894968"/>
      <w:bookmarkStart w:id="1196" w:name="_Toc12895924"/>
      <w:bookmarkStart w:id="1197" w:name="_Toc12894969"/>
      <w:bookmarkStart w:id="1198" w:name="_Toc12895925"/>
      <w:bookmarkStart w:id="1199" w:name="_Toc12894970"/>
      <w:bookmarkStart w:id="1200" w:name="_Toc12895926"/>
      <w:bookmarkStart w:id="1201" w:name="_Toc12894971"/>
      <w:bookmarkStart w:id="1202" w:name="_Toc12895927"/>
      <w:bookmarkStart w:id="1203" w:name="_Toc12894972"/>
      <w:bookmarkStart w:id="1204" w:name="_Toc12895928"/>
      <w:bookmarkStart w:id="1205" w:name="_Toc12894973"/>
      <w:bookmarkStart w:id="1206" w:name="_Toc12895929"/>
      <w:bookmarkStart w:id="1207" w:name="_Toc12894974"/>
      <w:bookmarkStart w:id="1208" w:name="_Toc12895930"/>
      <w:bookmarkStart w:id="1209" w:name="_Toc12894975"/>
      <w:bookmarkStart w:id="1210" w:name="_Toc12895931"/>
      <w:bookmarkStart w:id="1211" w:name="_Toc12894976"/>
      <w:bookmarkStart w:id="1212" w:name="_Toc12895932"/>
      <w:bookmarkStart w:id="1213" w:name="_Toc12894977"/>
      <w:bookmarkStart w:id="1214" w:name="_Toc12895933"/>
      <w:bookmarkStart w:id="1215" w:name="_Toc12894978"/>
      <w:bookmarkStart w:id="1216" w:name="_Toc12895934"/>
      <w:bookmarkStart w:id="1217" w:name="_Toc12894979"/>
      <w:bookmarkStart w:id="1218" w:name="_Toc12895935"/>
      <w:bookmarkStart w:id="1219" w:name="_Toc12894980"/>
      <w:bookmarkStart w:id="1220" w:name="_Toc12895936"/>
      <w:bookmarkStart w:id="1221" w:name="_Toc12894981"/>
      <w:bookmarkStart w:id="1222" w:name="_Toc12895937"/>
      <w:bookmarkStart w:id="1223" w:name="_Toc12894982"/>
      <w:bookmarkStart w:id="1224" w:name="_Toc12895938"/>
      <w:bookmarkStart w:id="1225" w:name="_Toc12894983"/>
      <w:bookmarkStart w:id="1226" w:name="_Toc12895939"/>
      <w:bookmarkStart w:id="1227" w:name="_Toc12894984"/>
      <w:bookmarkStart w:id="1228" w:name="_Toc12895940"/>
      <w:bookmarkStart w:id="1229" w:name="_Toc12894985"/>
      <w:bookmarkStart w:id="1230" w:name="_Toc12895941"/>
      <w:bookmarkStart w:id="1231" w:name="_Toc12894986"/>
      <w:bookmarkStart w:id="1232" w:name="_Toc12895942"/>
      <w:bookmarkStart w:id="1233" w:name="_Toc12894987"/>
      <w:bookmarkStart w:id="1234" w:name="_Toc12895943"/>
      <w:bookmarkStart w:id="1235" w:name="_Toc12894988"/>
      <w:bookmarkStart w:id="1236" w:name="_Toc12895944"/>
      <w:bookmarkStart w:id="1237" w:name="_Toc12894989"/>
      <w:bookmarkStart w:id="1238" w:name="_Toc12895945"/>
      <w:bookmarkStart w:id="1239" w:name="_Toc12894990"/>
      <w:bookmarkStart w:id="1240" w:name="_Toc12895946"/>
      <w:bookmarkStart w:id="1241" w:name="_Toc12894991"/>
      <w:bookmarkStart w:id="1242" w:name="_Toc12895947"/>
      <w:bookmarkStart w:id="1243" w:name="_Toc12894992"/>
      <w:bookmarkStart w:id="1244" w:name="_Toc12895948"/>
      <w:bookmarkStart w:id="1245" w:name="_Toc12894993"/>
      <w:bookmarkStart w:id="1246" w:name="_Toc12895949"/>
      <w:bookmarkStart w:id="1247" w:name="_Toc12894994"/>
      <w:bookmarkStart w:id="1248" w:name="_Toc12895950"/>
      <w:bookmarkStart w:id="1249" w:name="_Toc12894995"/>
      <w:bookmarkStart w:id="1250" w:name="_Toc12895951"/>
      <w:bookmarkStart w:id="1251" w:name="_Toc12894996"/>
      <w:bookmarkStart w:id="1252" w:name="_Toc12895952"/>
      <w:bookmarkStart w:id="1253" w:name="_Toc12894997"/>
      <w:bookmarkStart w:id="1254" w:name="_Toc12895953"/>
      <w:bookmarkStart w:id="1255" w:name="_Toc12894998"/>
      <w:bookmarkStart w:id="1256" w:name="_Toc12895954"/>
      <w:bookmarkStart w:id="1257" w:name="_Toc12894999"/>
      <w:bookmarkStart w:id="1258" w:name="_Toc12895955"/>
      <w:bookmarkStart w:id="1259" w:name="_Toc12895000"/>
      <w:bookmarkStart w:id="1260" w:name="_Toc12895956"/>
      <w:bookmarkStart w:id="1261" w:name="_Toc12895001"/>
      <w:bookmarkStart w:id="1262" w:name="_Toc12895957"/>
      <w:bookmarkStart w:id="1263" w:name="_Toc12895002"/>
      <w:bookmarkStart w:id="1264" w:name="_Toc12895958"/>
      <w:bookmarkStart w:id="1265" w:name="_Toc12895003"/>
      <w:bookmarkStart w:id="1266" w:name="_Toc12895959"/>
      <w:bookmarkStart w:id="1267" w:name="_Toc12895004"/>
      <w:bookmarkStart w:id="1268" w:name="_Toc12895960"/>
      <w:bookmarkStart w:id="1269" w:name="_Toc12895005"/>
      <w:bookmarkStart w:id="1270" w:name="_Toc12895961"/>
      <w:bookmarkStart w:id="1271" w:name="_Toc12895006"/>
      <w:bookmarkStart w:id="1272" w:name="_Toc12895962"/>
      <w:bookmarkStart w:id="1273" w:name="_Toc12895007"/>
      <w:bookmarkStart w:id="1274" w:name="_Toc12895963"/>
      <w:bookmarkStart w:id="1275" w:name="_Toc12895008"/>
      <w:bookmarkStart w:id="1276" w:name="_Toc12895964"/>
      <w:bookmarkStart w:id="1277" w:name="_Toc12895009"/>
      <w:bookmarkStart w:id="1278" w:name="_Toc12895965"/>
      <w:bookmarkStart w:id="1279" w:name="_Toc12895010"/>
      <w:bookmarkStart w:id="1280" w:name="_Toc12895966"/>
      <w:bookmarkStart w:id="1281" w:name="_Toc12895011"/>
      <w:bookmarkStart w:id="1282" w:name="_Toc12895967"/>
      <w:bookmarkStart w:id="1283" w:name="_Toc12895012"/>
      <w:bookmarkStart w:id="1284" w:name="_Toc12895968"/>
      <w:bookmarkStart w:id="1285" w:name="_Toc12895013"/>
      <w:bookmarkStart w:id="1286" w:name="_Toc12895969"/>
      <w:bookmarkStart w:id="1287" w:name="_Toc12895014"/>
      <w:bookmarkStart w:id="1288" w:name="_Toc12895970"/>
      <w:bookmarkStart w:id="1289" w:name="_Toc12895015"/>
      <w:bookmarkStart w:id="1290" w:name="_Toc12895971"/>
      <w:bookmarkStart w:id="1291" w:name="_Toc12895016"/>
      <w:bookmarkStart w:id="1292" w:name="_Toc12895972"/>
      <w:bookmarkStart w:id="1293" w:name="_Toc12895017"/>
      <w:bookmarkStart w:id="1294" w:name="_Toc12895973"/>
      <w:bookmarkStart w:id="1295" w:name="_Toc12895018"/>
      <w:bookmarkStart w:id="1296" w:name="_Toc12895974"/>
      <w:bookmarkStart w:id="1297" w:name="_Toc12895019"/>
      <w:bookmarkStart w:id="1298" w:name="_Toc12895975"/>
      <w:bookmarkStart w:id="1299" w:name="_Toc12895020"/>
      <w:bookmarkStart w:id="1300" w:name="_Toc12895976"/>
      <w:bookmarkStart w:id="1301" w:name="_Toc12895021"/>
      <w:bookmarkStart w:id="1302" w:name="_Toc12895977"/>
      <w:bookmarkStart w:id="1303" w:name="_Toc12895022"/>
      <w:bookmarkStart w:id="1304" w:name="_Toc12895978"/>
      <w:bookmarkStart w:id="1305" w:name="_Toc12895023"/>
      <w:bookmarkStart w:id="1306" w:name="_Toc12895979"/>
      <w:bookmarkStart w:id="1307" w:name="_Toc12895024"/>
      <w:bookmarkStart w:id="1308" w:name="_Toc12895980"/>
      <w:bookmarkStart w:id="1309" w:name="_Toc12895025"/>
      <w:bookmarkStart w:id="1310" w:name="_Toc12895981"/>
      <w:bookmarkStart w:id="1311" w:name="_Toc12895026"/>
      <w:bookmarkStart w:id="1312" w:name="_Toc12895982"/>
      <w:bookmarkStart w:id="1313" w:name="_Toc12895027"/>
      <w:bookmarkStart w:id="1314" w:name="_Toc12895983"/>
      <w:bookmarkStart w:id="1315" w:name="_Toc12895028"/>
      <w:bookmarkStart w:id="1316" w:name="_Toc12895984"/>
      <w:bookmarkStart w:id="1317" w:name="_Toc12895029"/>
      <w:bookmarkStart w:id="1318" w:name="_Toc12895985"/>
      <w:bookmarkStart w:id="1319" w:name="_Toc12895030"/>
      <w:bookmarkStart w:id="1320" w:name="_Toc12895986"/>
      <w:bookmarkStart w:id="1321" w:name="_Toc12895031"/>
      <w:bookmarkStart w:id="1322" w:name="_Toc12895987"/>
      <w:bookmarkStart w:id="1323" w:name="_Toc12895032"/>
      <w:bookmarkStart w:id="1324" w:name="_Toc12895988"/>
      <w:bookmarkStart w:id="1325" w:name="_Toc12895033"/>
      <w:bookmarkStart w:id="1326" w:name="_Toc12895989"/>
      <w:bookmarkStart w:id="1327" w:name="_Toc12895034"/>
      <w:bookmarkStart w:id="1328" w:name="_Toc12895990"/>
      <w:bookmarkStart w:id="1329" w:name="_Toc12895035"/>
      <w:bookmarkStart w:id="1330" w:name="_Toc12895991"/>
      <w:bookmarkStart w:id="1331" w:name="_Toc12895036"/>
      <w:bookmarkStart w:id="1332" w:name="_Toc12895992"/>
      <w:bookmarkStart w:id="1333" w:name="_Toc12895037"/>
      <w:bookmarkStart w:id="1334" w:name="_Toc12895993"/>
      <w:bookmarkStart w:id="1335" w:name="_Toc12895038"/>
      <w:bookmarkStart w:id="1336" w:name="_Toc12895994"/>
      <w:bookmarkStart w:id="1337" w:name="_Toc12895039"/>
      <w:bookmarkStart w:id="1338" w:name="_Toc12895995"/>
      <w:bookmarkStart w:id="1339" w:name="_Toc12895040"/>
      <w:bookmarkStart w:id="1340" w:name="_Toc12895996"/>
      <w:bookmarkStart w:id="1341" w:name="_Toc12895041"/>
      <w:bookmarkStart w:id="1342" w:name="_Toc12895997"/>
      <w:bookmarkStart w:id="1343" w:name="_Toc12895042"/>
      <w:bookmarkStart w:id="1344" w:name="_Toc12895998"/>
      <w:bookmarkStart w:id="1345" w:name="_Toc12895043"/>
      <w:bookmarkStart w:id="1346" w:name="_Toc12895999"/>
      <w:bookmarkStart w:id="1347" w:name="_Toc12895044"/>
      <w:bookmarkStart w:id="1348" w:name="_Toc12896000"/>
      <w:bookmarkStart w:id="1349" w:name="_Toc12895045"/>
      <w:bookmarkStart w:id="1350" w:name="_Toc12896001"/>
      <w:bookmarkStart w:id="1351" w:name="_Toc12895046"/>
      <w:bookmarkStart w:id="1352" w:name="_Toc12896002"/>
      <w:bookmarkStart w:id="1353" w:name="_Toc12895047"/>
      <w:bookmarkStart w:id="1354" w:name="_Toc12896003"/>
      <w:bookmarkStart w:id="1355" w:name="_Toc12895048"/>
      <w:bookmarkStart w:id="1356" w:name="_Toc12896004"/>
      <w:bookmarkStart w:id="1357" w:name="_Toc12895049"/>
      <w:bookmarkStart w:id="1358" w:name="_Toc12896005"/>
      <w:bookmarkStart w:id="1359" w:name="_Toc12895050"/>
      <w:bookmarkStart w:id="1360" w:name="_Toc12896006"/>
      <w:bookmarkStart w:id="1361" w:name="_Toc12895051"/>
      <w:bookmarkStart w:id="1362" w:name="_Toc12896007"/>
      <w:bookmarkStart w:id="1363" w:name="_Toc12895052"/>
      <w:bookmarkStart w:id="1364" w:name="_Toc12896008"/>
      <w:bookmarkStart w:id="1365" w:name="_Toc12895053"/>
      <w:bookmarkStart w:id="1366" w:name="_Toc12896009"/>
      <w:bookmarkStart w:id="1367" w:name="_Toc12895054"/>
      <w:bookmarkStart w:id="1368" w:name="_Toc12896010"/>
      <w:bookmarkStart w:id="1369" w:name="_Toc12895055"/>
      <w:bookmarkStart w:id="1370" w:name="_Toc12896011"/>
      <w:bookmarkStart w:id="1371" w:name="_Toc12895056"/>
      <w:bookmarkStart w:id="1372" w:name="_Toc12896012"/>
      <w:bookmarkStart w:id="1373" w:name="_Toc12895057"/>
      <w:bookmarkStart w:id="1374" w:name="_Toc12896013"/>
      <w:bookmarkStart w:id="1375" w:name="_Toc12895058"/>
      <w:bookmarkStart w:id="1376" w:name="_Toc12896014"/>
      <w:bookmarkStart w:id="1377" w:name="_Toc12895059"/>
      <w:bookmarkStart w:id="1378" w:name="_Toc12896015"/>
      <w:bookmarkStart w:id="1379" w:name="_Toc12895060"/>
      <w:bookmarkStart w:id="1380" w:name="_Toc12896016"/>
      <w:bookmarkStart w:id="1381" w:name="_Toc12895061"/>
      <w:bookmarkStart w:id="1382" w:name="_Toc12896017"/>
      <w:bookmarkStart w:id="1383" w:name="_Toc12895062"/>
      <w:bookmarkStart w:id="1384" w:name="_Toc12896018"/>
      <w:bookmarkStart w:id="1385" w:name="_Toc12895063"/>
      <w:bookmarkStart w:id="1386" w:name="_Toc12896019"/>
      <w:bookmarkStart w:id="1387" w:name="_Toc12895064"/>
      <w:bookmarkStart w:id="1388" w:name="_Toc12896020"/>
      <w:bookmarkStart w:id="1389" w:name="_Toc12895065"/>
      <w:bookmarkStart w:id="1390" w:name="_Toc12896021"/>
      <w:bookmarkStart w:id="1391" w:name="_Toc12895066"/>
      <w:bookmarkStart w:id="1392" w:name="_Toc12896022"/>
      <w:bookmarkStart w:id="1393" w:name="_Toc12895067"/>
      <w:bookmarkStart w:id="1394" w:name="_Toc12896023"/>
      <w:bookmarkStart w:id="1395" w:name="_Toc12895068"/>
      <w:bookmarkStart w:id="1396" w:name="_Toc12896024"/>
      <w:bookmarkStart w:id="1397" w:name="_Toc12895069"/>
      <w:bookmarkStart w:id="1398" w:name="_Toc12896025"/>
      <w:bookmarkStart w:id="1399" w:name="_Toc12895070"/>
      <w:bookmarkStart w:id="1400" w:name="_Toc12896026"/>
      <w:bookmarkStart w:id="1401" w:name="_Toc12895071"/>
      <w:bookmarkStart w:id="1402" w:name="_Toc12896027"/>
      <w:bookmarkStart w:id="1403" w:name="_Toc12895072"/>
      <w:bookmarkStart w:id="1404" w:name="_Toc12896028"/>
      <w:bookmarkStart w:id="1405" w:name="_Toc12895073"/>
      <w:bookmarkStart w:id="1406" w:name="_Toc12896029"/>
      <w:bookmarkStart w:id="1407" w:name="_Toc12895074"/>
      <w:bookmarkStart w:id="1408" w:name="_Toc12896030"/>
      <w:bookmarkStart w:id="1409" w:name="_Toc12895075"/>
      <w:bookmarkStart w:id="1410" w:name="_Toc12896031"/>
      <w:bookmarkStart w:id="1411" w:name="_Toc12895076"/>
      <w:bookmarkStart w:id="1412" w:name="_Toc12896032"/>
      <w:bookmarkStart w:id="1413" w:name="_Toc12895077"/>
      <w:bookmarkStart w:id="1414" w:name="_Toc12896033"/>
      <w:bookmarkStart w:id="1415" w:name="_Toc12895078"/>
      <w:bookmarkStart w:id="1416" w:name="_Toc12896034"/>
      <w:bookmarkStart w:id="1417" w:name="_Toc12895079"/>
      <w:bookmarkStart w:id="1418" w:name="_Toc12896035"/>
      <w:bookmarkStart w:id="1419" w:name="_Toc12895080"/>
      <w:bookmarkStart w:id="1420" w:name="_Toc12896036"/>
      <w:bookmarkStart w:id="1421" w:name="_Toc12895081"/>
      <w:bookmarkStart w:id="1422" w:name="_Toc12896037"/>
      <w:bookmarkStart w:id="1423" w:name="_Toc12895082"/>
      <w:bookmarkStart w:id="1424" w:name="_Toc12896038"/>
      <w:bookmarkStart w:id="1425" w:name="_Toc12895083"/>
      <w:bookmarkStart w:id="1426" w:name="_Toc12896039"/>
      <w:bookmarkStart w:id="1427" w:name="_Toc12895084"/>
      <w:bookmarkStart w:id="1428" w:name="_Toc12896040"/>
      <w:bookmarkStart w:id="1429" w:name="_Toc12895085"/>
      <w:bookmarkStart w:id="1430" w:name="_Toc12896041"/>
      <w:bookmarkStart w:id="1431" w:name="_Toc12895086"/>
      <w:bookmarkStart w:id="1432" w:name="_Toc12896042"/>
      <w:bookmarkStart w:id="1433" w:name="_Toc12895087"/>
      <w:bookmarkStart w:id="1434" w:name="_Toc12896043"/>
      <w:bookmarkStart w:id="1435" w:name="_Toc12895088"/>
      <w:bookmarkStart w:id="1436" w:name="_Toc12896044"/>
      <w:bookmarkStart w:id="1437" w:name="_Toc12895089"/>
      <w:bookmarkStart w:id="1438" w:name="_Toc12896045"/>
      <w:bookmarkStart w:id="1439" w:name="_Toc12895090"/>
      <w:bookmarkStart w:id="1440" w:name="_Toc12896046"/>
      <w:bookmarkStart w:id="1441" w:name="_Toc12895091"/>
      <w:bookmarkStart w:id="1442" w:name="_Toc12896047"/>
      <w:bookmarkStart w:id="1443" w:name="_Toc12895092"/>
      <w:bookmarkStart w:id="1444" w:name="_Toc12896048"/>
      <w:bookmarkStart w:id="1445" w:name="_Toc12895093"/>
      <w:bookmarkStart w:id="1446" w:name="_Toc12896049"/>
      <w:bookmarkStart w:id="1447" w:name="_Toc12895094"/>
      <w:bookmarkStart w:id="1448" w:name="_Toc12896050"/>
      <w:bookmarkStart w:id="1449" w:name="_Toc10144498"/>
      <w:bookmarkStart w:id="1450" w:name="_Toc10144768"/>
      <w:bookmarkStart w:id="1451" w:name="_Toc10145038"/>
      <w:bookmarkStart w:id="1452" w:name="_Toc10199061"/>
      <w:bookmarkStart w:id="1453" w:name="_Toc10199330"/>
      <w:bookmarkStart w:id="1454" w:name="_Toc10199599"/>
      <w:bookmarkStart w:id="1455" w:name="_Toc10459854"/>
      <w:bookmarkStart w:id="1456" w:name="_Toc10144499"/>
      <w:bookmarkStart w:id="1457" w:name="_Toc10144769"/>
      <w:bookmarkStart w:id="1458" w:name="_Toc10145039"/>
      <w:bookmarkStart w:id="1459" w:name="_Toc10199062"/>
      <w:bookmarkStart w:id="1460" w:name="_Toc10199331"/>
      <w:bookmarkStart w:id="1461" w:name="_Toc10199600"/>
      <w:bookmarkStart w:id="1462" w:name="_Toc10459855"/>
      <w:bookmarkStart w:id="1463" w:name="_Toc10144500"/>
      <w:bookmarkStart w:id="1464" w:name="_Toc10144770"/>
      <w:bookmarkStart w:id="1465" w:name="_Toc10145040"/>
      <w:bookmarkStart w:id="1466" w:name="_Toc10199063"/>
      <w:bookmarkStart w:id="1467" w:name="_Toc10199332"/>
      <w:bookmarkStart w:id="1468" w:name="_Toc10199601"/>
      <w:bookmarkStart w:id="1469" w:name="_Toc10459856"/>
      <w:bookmarkStart w:id="1470" w:name="_Toc12895095"/>
      <w:bookmarkStart w:id="1471" w:name="_Toc12896051"/>
      <w:bookmarkStart w:id="1472" w:name="_Toc12895096"/>
      <w:bookmarkStart w:id="1473" w:name="_Toc12896052"/>
      <w:bookmarkStart w:id="1474" w:name="_Toc12895097"/>
      <w:bookmarkStart w:id="1475" w:name="_Toc12896053"/>
      <w:bookmarkStart w:id="1476" w:name="_Toc12895098"/>
      <w:bookmarkStart w:id="1477" w:name="_Toc12896054"/>
      <w:bookmarkStart w:id="1478" w:name="_Toc12895099"/>
      <w:bookmarkStart w:id="1479" w:name="_Toc12896055"/>
      <w:bookmarkStart w:id="1480" w:name="_Toc12895100"/>
      <w:bookmarkStart w:id="1481" w:name="_Toc12896056"/>
      <w:bookmarkStart w:id="1482" w:name="_Toc12895101"/>
      <w:bookmarkStart w:id="1483" w:name="_Toc12896057"/>
      <w:bookmarkStart w:id="1484" w:name="_Toc12895102"/>
      <w:bookmarkStart w:id="1485" w:name="_Toc12896058"/>
      <w:bookmarkStart w:id="1486" w:name="_Toc12895103"/>
      <w:bookmarkStart w:id="1487" w:name="_Toc12896059"/>
      <w:bookmarkStart w:id="1488" w:name="_Toc12895104"/>
      <w:bookmarkStart w:id="1489" w:name="_Toc12896060"/>
      <w:bookmarkStart w:id="1490" w:name="_Toc12895105"/>
      <w:bookmarkStart w:id="1491" w:name="_Toc12896061"/>
      <w:bookmarkStart w:id="1492" w:name="_Toc12895106"/>
      <w:bookmarkStart w:id="1493" w:name="_Toc12896062"/>
      <w:bookmarkStart w:id="1494" w:name="_Toc12895107"/>
      <w:bookmarkStart w:id="1495" w:name="_Toc12896063"/>
      <w:bookmarkStart w:id="1496" w:name="_Toc12895108"/>
      <w:bookmarkStart w:id="1497" w:name="_Toc12896064"/>
      <w:bookmarkStart w:id="1498" w:name="_Toc106868007"/>
      <w:bookmarkStart w:id="1499" w:name="_Toc106869758"/>
      <w:bookmarkStart w:id="1500" w:name="_Toc106870092"/>
      <w:bookmarkStart w:id="1501" w:name="_Toc106870258"/>
      <w:bookmarkStart w:id="1502" w:name="_Toc106870430"/>
      <w:bookmarkStart w:id="1503" w:name="_Toc165964627"/>
      <w:bookmarkStart w:id="1504" w:name="_Toc167174489"/>
      <w:bookmarkStart w:id="1505" w:name="_Toc231982238"/>
      <w:bookmarkEnd w:id="4"/>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r>
        <w:t>Terminology</w:t>
      </w:r>
      <w:bookmarkEnd w:id="1498"/>
      <w:bookmarkEnd w:id="1499"/>
      <w:bookmarkEnd w:id="1500"/>
      <w:bookmarkEnd w:id="1501"/>
      <w:bookmarkEnd w:id="1502"/>
      <w:bookmarkEnd w:id="1503"/>
      <w:bookmarkEnd w:id="1504"/>
      <w:bookmarkEnd w:id="1505"/>
    </w:p>
    <w:p w14:paraId="5E87A5C4" w14:textId="77777777" w:rsidR="00817104" w:rsidRDefault="00817104" w:rsidP="00817104">
      <w:pPr>
        <w:pStyle w:val="Body"/>
      </w:pPr>
      <w:bookmarkStart w:id="1506" w:name="_Toc520104649"/>
      <w:bookmarkStart w:id="1507" w:name="_Toc522617058"/>
      <w:bookmarkStart w:id="1508" w:name="_Toc6215537"/>
      <w:bookmarkStart w:id="1509" w:name="_Toc10199613"/>
      <w:r>
        <w:t>The term ‘funded organisations’ relates to all entities that receive departmental funding to deliver services, unless specified otherwise.</w:t>
      </w:r>
    </w:p>
    <w:p w14:paraId="14EF4937" w14:textId="77777777" w:rsidR="00817104" w:rsidRDefault="00817104" w:rsidP="00817104">
      <w:pPr>
        <w:pStyle w:val="Body"/>
      </w:pPr>
      <w:r>
        <w:t xml:space="preserve">For the purposes of the </w:t>
      </w:r>
      <w:r w:rsidRPr="003927C2">
        <w:t>Policy guide</w:t>
      </w:r>
      <w:r>
        <w:t>, the term ‘health services’ relates to public health services, denominational hospitals, public hospitals and multipurpose services, as defined by the</w:t>
      </w:r>
      <w:r w:rsidRPr="0670E279">
        <w:rPr>
          <w:i/>
          <w:iCs/>
        </w:rPr>
        <w:t xml:space="preserve"> Health</w:t>
      </w:r>
      <w:r>
        <w:rPr>
          <w:i/>
          <w:iCs/>
        </w:rPr>
        <w:t xml:space="preserve"> </w:t>
      </w:r>
      <w:r w:rsidRPr="0670E279">
        <w:rPr>
          <w:i/>
          <w:iCs/>
        </w:rPr>
        <w:t>Services Act 1988</w:t>
      </w:r>
      <w:r>
        <w:t>, regarding services provided within a hospital or a hospital-equivalent setting, unless otherwise specified.</w:t>
      </w:r>
    </w:p>
    <w:p w14:paraId="3AD883DE" w14:textId="77777777" w:rsidR="00817104" w:rsidRDefault="00817104" w:rsidP="00817104">
      <w:pPr>
        <w:pStyle w:val="Body"/>
      </w:pPr>
      <w:r>
        <w:t>The term ‘community service organisations’ refers to registered community health centres, local government authorities and non-government organisations (NGOs) that are not health services.</w:t>
      </w:r>
    </w:p>
    <w:p w14:paraId="1F47C107" w14:textId="77777777" w:rsidR="00817104" w:rsidRDefault="00817104" w:rsidP="00817104">
      <w:pPr>
        <w:pStyle w:val="Body"/>
      </w:pPr>
      <w:r>
        <w:t>The Policy guide is also relevant for Ambulance Victoria, Health Purchasing Victoria, trading as HealthShare Victoria (HealthShare), the Victorian Institute of Forensic Mental Health (known as Forensicare), Oral Health Victoria, and Parkville Youth Mental Health and Wellbeing Service. The Policy guide specifies where aspects are relevant for these organisations.</w:t>
      </w:r>
    </w:p>
    <w:p w14:paraId="1EC4FA2B" w14:textId="77777777" w:rsidR="00817104" w:rsidRDefault="00817104" w:rsidP="00817104">
      <w:pPr>
        <w:pStyle w:val="Body"/>
      </w:pPr>
      <w:r>
        <w:t>Where the term ‘the department’ is used, it refers to the Department of Health, unless otherwise specified.</w:t>
      </w:r>
    </w:p>
    <w:p w14:paraId="05BE082F" w14:textId="77777777" w:rsidR="00817104" w:rsidRDefault="00817104" w:rsidP="00817104">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817104" w14:paraId="6DB5E93D" w14:textId="77777777">
        <w:trPr>
          <w:trHeight w:val="7371"/>
        </w:trPr>
        <w:tc>
          <w:tcPr>
            <w:tcW w:w="7598" w:type="dxa"/>
            <w:vAlign w:val="center"/>
          </w:tcPr>
          <w:p w14:paraId="26C65393" w14:textId="77777777" w:rsidR="00817104" w:rsidRDefault="00817104" w:rsidP="00E03261">
            <w:pPr>
              <w:pStyle w:val="Heading1"/>
              <w:numPr>
                <w:ilvl w:val="0"/>
                <w:numId w:val="0"/>
              </w:numPr>
              <w:ind w:left="1134"/>
            </w:pPr>
            <w:bookmarkStart w:id="1510" w:name="_Toc231982239"/>
            <w:bookmarkStart w:id="1511" w:name="_Toc106868008"/>
            <w:bookmarkStart w:id="1512" w:name="_Toc106869759"/>
            <w:bookmarkStart w:id="1513" w:name="_Toc106870093"/>
            <w:bookmarkStart w:id="1514" w:name="_Toc106870259"/>
            <w:bookmarkStart w:id="1515" w:name="_Toc106870431"/>
            <w:bookmarkStart w:id="1516" w:name="_Toc165964628"/>
            <w:bookmarkStart w:id="1517" w:name="_Toc167174490"/>
            <w:r w:rsidRPr="004C7717">
              <w:lastRenderedPageBreak/>
              <w:t>Part 1: Operational and service delivery policy</w:t>
            </w:r>
            <w:bookmarkEnd w:id="1510"/>
          </w:p>
          <w:p w14:paraId="21810552" w14:textId="77777777" w:rsidR="00817104" w:rsidRDefault="00817104">
            <w:pPr>
              <w:pStyle w:val="Documentsubtitle"/>
            </w:pPr>
          </w:p>
        </w:tc>
      </w:tr>
      <w:tr w:rsidR="00817104" w14:paraId="7E9C9D0D" w14:textId="77777777">
        <w:tc>
          <w:tcPr>
            <w:tcW w:w="7598" w:type="dxa"/>
          </w:tcPr>
          <w:p w14:paraId="76C1A9D1" w14:textId="77777777" w:rsidR="00817104" w:rsidRDefault="00817104">
            <w:pPr>
              <w:pStyle w:val="Body"/>
            </w:pPr>
          </w:p>
        </w:tc>
      </w:tr>
      <w:bookmarkEnd w:id="1511"/>
      <w:bookmarkEnd w:id="1512"/>
      <w:bookmarkEnd w:id="1513"/>
      <w:bookmarkEnd w:id="1514"/>
      <w:bookmarkEnd w:id="1515"/>
      <w:bookmarkEnd w:id="1516"/>
      <w:bookmarkEnd w:id="1517"/>
    </w:tbl>
    <w:p w14:paraId="5941EBBD" w14:textId="77777777" w:rsidR="00817104" w:rsidRDefault="00817104" w:rsidP="00817104">
      <w:pPr>
        <w:spacing w:after="0" w:line="240" w:lineRule="auto"/>
        <w:rPr>
          <w:bCs/>
          <w:color w:val="201547"/>
          <w:sz w:val="44"/>
          <w:szCs w:val="44"/>
        </w:rPr>
      </w:pPr>
      <w:r>
        <w:br w:type="page"/>
      </w:r>
    </w:p>
    <w:p w14:paraId="50FDA0C7" w14:textId="77777777" w:rsidR="00817104" w:rsidRDefault="00817104" w:rsidP="00E03261">
      <w:pPr>
        <w:pStyle w:val="Heading1"/>
      </w:pPr>
      <w:bookmarkStart w:id="1518" w:name="_Toc42097311"/>
      <w:bookmarkStart w:id="1519" w:name="_Toc42097665"/>
      <w:bookmarkStart w:id="1520" w:name="_Toc42621188"/>
      <w:bookmarkStart w:id="1521" w:name="_Toc42622039"/>
      <w:bookmarkStart w:id="1522" w:name="_Toc42678110"/>
      <w:bookmarkStart w:id="1523" w:name="_Toc42680799"/>
      <w:bookmarkStart w:id="1524" w:name="_Toc42682635"/>
      <w:bookmarkStart w:id="1525" w:name="_Toc42687266"/>
      <w:bookmarkStart w:id="1526" w:name="_Toc42687493"/>
      <w:bookmarkStart w:id="1527" w:name="_Toc42700151"/>
      <w:bookmarkStart w:id="1528" w:name="_Toc42762891"/>
      <w:bookmarkStart w:id="1529" w:name="_Toc42763114"/>
      <w:bookmarkStart w:id="1530" w:name="_Toc37934503"/>
      <w:bookmarkStart w:id="1531" w:name="_Toc37934504"/>
      <w:bookmarkStart w:id="1532" w:name="_Toc37934505"/>
      <w:bookmarkStart w:id="1533" w:name="_Toc37934506"/>
      <w:bookmarkStart w:id="1534" w:name="_Toc37934507"/>
      <w:bookmarkStart w:id="1535" w:name="_Toc37934508"/>
      <w:bookmarkStart w:id="1536" w:name="_Toc37934509"/>
      <w:bookmarkStart w:id="1537" w:name="_Toc37934510"/>
      <w:bookmarkStart w:id="1538" w:name="_Toc37934511"/>
      <w:bookmarkStart w:id="1539" w:name="_Toc37934512"/>
      <w:bookmarkStart w:id="1540" w:name="_Toc37934513"/>
      <w:bookmarkStart w:id="1541" w:name="_Toc37934514"/>
      <w:bookmarkStart w:id="1542" w:name="_Toc37934515"/>
      <w:bookmarkStart w:id="1543" w:name="_Toc37934516"/>
      <w:bookmarkStart w:id="1544" w:name="_Toc37934517"/>
      <w:bookmarkStart w:id="1545" w:name="_Toc37934518"/>
      <w:bookmarkStart w:id="1546" w:name="_Toc37934519"/>
      <w:bookmarkStart w:id="1547" w:name="_Toc37934520"/>
      <w:bookmarkStart w:id="1548" w:name="_Toc37934521"/>
      <w:bookmarkStart w:id="1549" w:name="_Toc37934522"/>
      <w:bookmarkStart w:id="1550" w:name="_Toc37934523"/>
      <w:bookmarkStart w:id="1551" w:name="_Toc37934524"/>
      <w:bookmarkStart w:id="1552" w:name="_Toc37934525"/>
      <w:bookmarkStart w:id="1553" w:name="_Toc37934526"/>
      <w:bookmarkStart w:id="1554" w:name="_Toc37934527"/>
      <w:bookmarkStart w:id="1555" w:name="_Toc37934528"/>
      <w:bookmarkStart w:id="1556" w:name="_Toc37934529"/>
      <w:bookmarkStart w:id="1557" w:name="_Toc37934530"/>
      <w:bookmarkStart w:id="1558" w:name="_Toc37934531"/>
      <w:bookmarkStart w:id="1559" w:name="_Toc37934532"/>
      <w:bookmarkStart w:id="1560" w:name="_Toc37934533"/>
      <w:bookmarkStart w:id="1561" w:name="_Toc37934534"/>
      <w:bookmarkStart w:id="1562" w:name="_Toc37934535"/>
      <w:bookmarkStart w:id="1563" w:name="_Toc37934536"/>
      <w:bookmarkStart w:id="1564" w:name="_Toc37934537"/>
      <w:bookmarkStart w:id="1565" w:name="_Toc37934538"/>
      <w:bookmarkStart w:id="1566" w:name="_Toc37934539"/>
      <w:bookmarkStart w:id="1567" w:name="_Toc37934540"/>
      <w:bookmarkStart w:id="1568" w:name="_Toc37934541"/>
      <w:bookmarkStart w:id="1569" w:name="_Toc37934542"/>
      <w:bookmarkStart w:id="1570" w:name="_Toc37934543"/>
      <w:bookmarkStart w:id="1571" w:name="_Toc37934544"/>
      <w:bookmarkStart w:id="1572" w:name="_Toc37934545"/>
      <w:bookmarkStart w:id="1573" w:name="_Toc37934546"/>
      <w:bookmarkStart w:id="1574" w:name="_Toc37934547"/>
      <w:bookmarkStart w:id="1575" w:name="_Toc37934548"/>
      <w:bookmarkStart w:id="1576" w:name="_Toc37934549"/>
      <w:bookmarkStart w:id="1577" w:name="_Toc37934550"/>
      <w:bookmarkStart w:id="1578" w:name="_Toc37934551"/>
      <w:bookmarkStart w:id="1579" w:name="_Toc37934552"/>
      <w:bookmarkStart w:id="1580" w:name="_Toc37934553"/>
      <w:bookmarkStart w:id="1581" w:name="_Toc37934554"/>
      <w:bookmarkStart w:id="1582" w:name="_Toc37934555"/>
      <w:bookmarkStart w:id="1583" w:name="_Toc37934556"/>
      <w:bookmarkStart w:id="1584" w:name="_Toc37934557"/>
      <w:bookmarkStart w:id="1585" w:name="_Toc37934558"/>
      <w:bookmarkStart w:id="1586" w:name="_Toc37934559"/>
      <w:bookmarkStart w:id="1587" w:name="_Toc37934560"/>
      <w:bookmarkStart w:id="1588" w:name="_Toc37934561"/>
      <w:bookmarkStart w:id="1589" w:name="_Toc106868009"/>
      <w:bookmarkStart w:id="1590" w:name="_Toc106869760"/>
      <w:bookmarkStart w:id="1591" w:name="_Toc106870094"/>
      <w:bookmarkStart w:id="1592" w:name="_Toc106870260"/>
      <w:bookmarkStart w:id="1593" w:name="_Toc106870432"/>
      <w:bookmarkStart w:id="1594" w:name="_Toc165964629"/>
      <w:bookmarkStart w:id="1595" w:name="_Toc167174491"/>
      <w:bookmarkStart w:id="1596" w:name="_Toc231982240"/>
      <w:bookmarkEnd w:id="1506"/>
      <w:bookmarkEnd w:id="1507"/>
      <w:bookmarkEnd w:id="1508"/>
      <w:bookmarkEnd w:id="1509"/>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r>
        <w:lastRenderedPageBreak/>
        <w:t xml:space="preserve">National </w:t>
      </w:r>
      <w:bookmarkEnd w:id="1589"/>
      <w:bookmarkEnd w:id="1590"/>
      <w:bookmarkEnd w:id="1591"/>
      <w:bookmarkEnd w:id="1592"/>
      <w:bookmarkEnd w:id="1593"/>
      <w:r>
        <w:t>programs</w:t>
      </w:r>
      <w:bookmarkEnd w:id="1594"/>
      <w:bookmarkEnd w:id="1595"/>
      <w:bookmarkEnd w:id="1596"/>
    </w:p>
    <w:p w14:paraId="2D0DDA72" w14:textId="77777777" w:rsidR="00817104" w:rsidRPr="00CE5343" w:rsidRDefault="00817104" w:rsidP="00E03261">
      <w:pPr>
        <w:pStyle w:val="Heading2"/>
      </w:pPr>
      <w:bookmarkStart w:id="1597" w:name="_Toc106870433"/>
      <w:bookmarkStart w:id="1598" w:name="_Toc165964630"/>
      <w:bookmarkStart w:id="1599" w:name="_Toc167174492"/>
      <w:bookmarkStart w:id="1600" w:name="_Toc231982241"/>
      <w:r w:rsidRPr="00CE5343">
        <w:t>Nationally Funded Centres Program</w:t>
      </w:r>
      <w:bookmarkEnd w:id="1597"/>
      <w:bookmarkEnd w:id="1598"/>
      <w:bookmarkEnd w:id="1599"/>
      <w:bookmarkEnd w:id="1600"/>
    </w:p>
    <w:p w14:paraId="07820D53" w14:textId="77777777" w:rsidR="00817104" w:rsidRPr="003766F8" w:rsidRDefault="00817104" w:rsidP="00817104">
      <w:pPr>
        <w:pStyle w:val="Body"/>
      </w:pPr>
      <w:bookmarkStart w:id="1601" w:name="_Toc106868011"/>
      <w:bookmarkStart w:id="1602" w:name="_Toc106869762"/>
      <w:bookmarkStart w:id="1603" w:name="_Toc106870096"/>
      <w:bookmarkStart w:id="1604" w:name="_Toc106870262"/>
      <w:bookmarkStart w:id="1605" w:name="_Toc106870434"/>
      <w:bookmarkStart w:id="1606" w:name="_Toc165964631"/>
      <w:bookmarkStart w:id="1607" w:name="_Toc167174493"/>
      <w:r>
        <w:t>The Nationally Funded Centres Program aims to ensure optimal access to certain high-cost, low-volume technologies and procedures. It is available for all Australians, with program funding provided by state and territory governments.</w:t>
      </w:r>
    </w:p>
    <w:p w14:paraId="2345EEB0" w14:textId="77777777" w:rsidR="00817104" w:rsidRPr="003766F8" w:rsidRDefault="00817104" w:rsidP="00817104">
      <w:pPr>
        <w:pStyle w:val="Body"/>
      </w:pPr>
      <w:r>
        <w:t>Health services providing Nationally Funded Centres Program services are funded based on estimated annual activity that is linked to an annually indexed unit price. Funding is endorsed by the Health Chief Executives Forum and adjusted after the financial year to reflect actual activity.</w:t>
      </w:r>
    </w:p>
    <w:p w14:paraId="4CE29EFE" w14:textId="77777777" w:rsidR="00817104" w:rsidRDefault="00817104" w:rsidP="00817104">
      <w:pPr>
        <w:pStyle w:val="Body"/>
      </w:pPr>
      <w:r>
        <w:t xml:space="preserve">In Victoria, Alfred Health, The Royal Children’s Hospital, Monash Health and St Vincent’s Hospital host Nationally Funded Centres Program services. </w:t>
      </w:r>
      <w:r w:rsidRPr="0670E279">
        <w:rPr>
          <w:lang w:eastAsia="en-AU"/>
        </w:rPr>
        <w:t xml:space="preserve">For </w:t>
      </w:r>
      <w:r>
        <w:rPr>
          <w:lang w:eastAsia="en-AU"/>
        </w:rPr>
        <w:t xml:space="preserve">more </w:t>
      </w:r>
      <w:r w:rsidRPr="0670E279">
        <w:rPr>
          <w:lang w:eastAsia="en-AU"/>
        </w:rPr>
        <w:t>information</w:t>
      </w:r>
      <w:r>
        <w:rPr>
          <w:lang w:eastAsia="en-AU"/>
        </w:rPr>
        <w:t>,</w:t>
      </w:r>
      <w:r w:rsidRPr="0670E279">
        <w:rPr>
          <w:lang w:eastAsia="en-AU"/>
        </w:rPr>
        <w:t xml:space="preserve"> </w:t>
      </w:r>
      <w:r>
        <w:rPr>
          <w:lang w:eastAsia="en-AU"/>
        </w:rPr>
        <w:t xml:space="preserve">visit the </w:t>
      </w:r>
      <w:hyperlink r:id="rId24" w:history="1">
        <w:r w:rsidRPr="1CCCDAF0">
          <w:rPr>
            <w:rStyle w:val="Hyperlink"/>
          </w:rPr>
          <w:t>Nationally Funded Centres Program</w:t>
        </w:r>
      </w:hyperlink>
      <w:r>
        <w:t xml:space="preserve"> &lt;</w:t>
      </w:r>
      <w:r w:rsidRPr="00D608F6">
        <w:t>https://www.health.vic.gov.au/patient-care/nationally-funded-centres</w:t>
      </w:r>
      <w:r>
        <w:t>&gt;.</w:t>
      </w:r>
    </w:p>
    <w:p w14:paraId="2CFA53EF" w14:textId="77777777" w:rsidR="00817104" w:rsidRPr="00CB1671" w:rsidRDefault="00817104" w:rsidP="00163A33">
      <w:pPr>
        <w:pStyle w:val="Heading2"/>
      </w:pPr>
      <w:bookmarkStart w:id="1608" w:name="_Toc231982242"/>
      <w:r>
        <w:t xml:space="preserve">Highly </w:t>
      </w:r>
      <w:r w:rsidRPr="007877B5">
        <w:t>specialised</w:t>
      </w:r>
      <w:r>
        <w:t xml:space="preserve"> therapies</w:t>
      </w:r>
      <w:bookmarkEnd w:id="1601"/>
      <w:bookmarkEnd w:id="1602"/>
      <w:bookmarkEnd w:id="1603"/>
      <w:bookmarkEnd w:id="1604"/>
      <w:bookmarkEnd w:id="1605"/>
      <w:bookmarkEnd w:id="1606"/>
      <w:bookmarkEnd w:id="1607"/>
      <w:bookmarkEnd w:id="1608"/>
    </w:p>
    <w:p w14:paraId="1A72D39D" w14:textId="531431BD" w:rsidR="00817104" w:rsidRDefault="00817104" w:rsidP="00817104">
      <w:pPr>
        <w:pStyle w:val="Body"/>
      </w:pPr>
      <w:r>
        <w:t xml:space="preserve">As set out in the </w:t>
      </w:r>
      <w:r w:rsidRPr="00A43399">
        <w:rPr>
          <w:i/>
          <w:iCs/>
        </w:rPr>
        <w:t>Addendum to the National Health Reform Agreement 2026–31</w:t>
      </w:r>
      <w:r>
        <w:t xml:space="preserve">, highly specialised therapies (which include cell and gene therapies) are jointly funded by the </w:t>
      </w:r>
      <w:r w:rsidR="005E3E8F">
        <w:t>Commonwealth</w:t>
      </w:r>
      <w:r>
        <w:t xml:space="preserve">, and state and territory governments, following approval from the </w:t>
      </w:r>
      <w:r w:rsidR="005E3E8F">
        <w:t>Commonwealth</w:t>
      </w:r>
      <w:r>
        <w:t xml:space="preserve">’s Medical Services Advisory Committee. </w:t>
      </w:r>
      <w:r w:rsidRPr="0670E279">
        <w:rPr>
          <w:lang w:eastAsia="en-AU"/>
        </w:rPr>
        <w:t xml:space="preserve">For </w:t>
      </w:r>
      <w:r>
        <w:rPr>
          <w:lang w:eastAsia="en-AU"/>
        </w:rPr>
        <w:t xml:space="preserve">more </w:t>
      </w:r>
      <w:r w:rsidRPr="0670E279">
        <w:rPr>
          <w:lang w:eastAsia="en-AU"/>
        </w:rPr>
        <w:t>information</w:t>
      </w:r>
      <w:r>
        <w:rPr>
          <w:lang w:eastAsia="en-AU"/>
        </w:rPr>
        <w:t>,</w:t>
      </w:r>
      <w:r w:rsidRPr="0670E279">
        <w:rPr>
          <w:lang w:eastAsia="en-AU"/>
        </w:rPr>
        <w:t xml:space="preserve"> </w:t>
      </w:r>
      <w:r>
        <w:rPr>
          <w:lang w:eastAsia="en-AU"/>
        </w:rPr>
        <w:t xml:space="preserve">visit the </w:t>
      </w:r>
      <w:hyperlink r:id="rId25" w:history="1">
        <w:r w:rsidRPr="005F51E3">
          <w:rPr>
            <w:rStyle w:val="Hyperlink"/>
            <w:i/>
            <w:iCs/>
          </w:rPr>
          <w:t xml:space="preserve">National Health Reform Agreement </w:t>
        </w:r>
      </w:hyperlink>
      <w:r>
        <w:t>&lt;</w:t>
      </w:r>
      <w:r w:rsidRPr="00C229CC">
        <w:t>https://federalfinancialrelations.gov.au/agreements/national-health-reform-agreement</w:t>
      </w:r>
      <w:r>
        <w:t>&gt;.</w:t>
      </w:r>
    </w:p>
    <w:p w14:paraId="422CF511" w14:textId="77777777" w:rsidR="00817104" w:rsidRDefault="00817104" w:rsidP="00817104">
      <w:pPr>
        <w:pStyle w:val="Body"/>
      </w:pPr>
      <w:r>
        <w:t xml:space="preserve">The </w:t>
      </w:r>
      <w:r>
        <w:rPr>
          <w:i/>
          <w:iCs/>
        </w:rPr>
        <w:t>F</w:t>
      </w:r>
      <w:r w:rsidRPr="0670E279">
        <w:rPr>
          <w:i/>
          <w:iCs/>
        </w:rPr>
        <w:t>ramework for the assessment, funding and implementation of high</w:t>
      </w:r>
      <w:r>
        <w:rPr>
          <w:i/>
          <w:iCs/>
        </w:rPr>
        <w:t>-</w:t>
      </w:r>
      <w:r w:rsidRPr="0670E279">
        <w:rPr>
          <w:i/>
          <w:iCs/>
        </w:rPr>
        <w:t xml:space="preserve">cost, highly specialised therapies and services </w:t>
      </w:r>
      <w:r>
        <w:t xml:space="preserve">has been developed in collaboration with the Australian Government and all states and territories to ensure a nationally consistent approach to implementing, monitoring and evaluating these therapies. </w:t>
      </w:r>
    </w:p>
    <w:p w14:paraId="51C26E82" w14:textId="77777777" w:rsidR="00817104" w:rsidRDefault="00817104" w:rsidP="00817104">
      <w:pPr>
        <w:pStyle w:val="Body"/>
      </w:pPr>
      <w:r>
        <w:t xml:space="preserve">Highly specialised therapies are provided at selected public hospitals. </w:t>
      </w:r>
    </w:p>
    <w:p w14:paraId="2B164932" w14:textId="77777777" w:rsidR="00817104" w:rsidRDefault="00817104" w:rsidP="00817104">
      <w:pPr>
        <w:pStyle w:val="Body"/>
      </w:pPr>
      <w:r>
        <w:t>For information on approved highly specialised therapies and provider sites in Victoria, visit</w:t>
      </w:r>
      <w:r w:rsidRPr="00A140D8">
        <w:rPr>
          <w:rFonts w:eastAsia="Times New Roman"/>
        </w:rPr>
        <w:t xml:space="preserve"> </w:t>
      </w:r>
      <w:r>
        <w:rPr>
          <w:rFonts w:eastAsia="Times New Roman"/>
        </w:rPr>
        <w:t xml:space="preserve">the </w:t>
      </w:r>
      <w:hyperlink r:id="rId26" w:history="1">
        <w:r w:rsidRPr="00A140D8">
          <w:rPr>
            <w:rStyle w:val="Hyperlink"/>
          </w:rPr>
          <w:t>Highly Specialised Therapies Program</w:t>
        </w:r>
      </w:hyperlink>
      <w:r>
        <w:t xml:space="preserve"> &lt;</w:t>
      </w:r>
      <w:r w:rsidRPr="00CE78E1">
        <w:t>https://www.health.vic.gov.au/highly-specialised-therapies-program</w:t>
      </w:r>
      <w:r>
        <w:t>&gt;.</w:t>
      </w:r>
    </w:p>
    <w:p w14:paraId="1102C015" w14:textId="77777777" w:rsidR="00817104" w:rsidRDefault="00817104" w:rsidP="00817104">
      <w:pPr>
        <w:pStyle w:val="Body"/>
      </w:pPr>
      <w:r>
        <w:t xml:space="preserve">To ensure the safe and high-quality provision of approved highly specialised therapies for specified clinical indications in Victoria, the </w:t>
      </w:r>
      <w:r w:rsidRPr="00461C65">
        <w:t>department</w:t>
      </w:r>
      <w:r>
        <w:t xml:space="preserve"> will appoint provider sites. An expression of interest process may be conducted when more than one provider site is required to meet anticipated patient demand. Provision is limited to sites that meet specific accreditation and capability requirements.</w:t>
      </w:r>
    </w:p>
    <w:p w14:paraId="318FB2F5" w14:textId="77777777" w:rsidR="00817104" w:rsidRDefault="00817104" w:rsidP="00817104">
      <w:pPr>
        <w:pStyle w:val="Body"/>
      </w:pPr>
      <w:r>
        <w:t>The department has developed the highly</w:t>
      </w:r>
      <w:r w:rsidRPr="003927C2">
        <w:t xml:space="preserve"> specialised therapy supply agreements checklist</w:t>
      </w:r>
      <w:r>
        <w:t xml:space="preserve"> for Victorian public health services</w:t>
      </w:r>
      <w:r w:rsidRPr="00D71D06">
        <w:t xml:space="preserve"> </w:t>
      </w:r>
      <w:r>
        <w:t xml:space="preserve">to support department-endorsed health services providing approved, highly specialised therapies to develop and execute supply agreements with a therapy manufacturer or distributor. This aligns with the existing devolved governance approach to delivering health services in Victoria’s public hospital system. The department provides this checklist to endorsed health services as required. </w:t>
      </w:r>
    </w:p>
    <w:p w14:paraId="70D125DC" w14:textId="77777777" w:rsidR="00817104" w:rsidRDefault="00817104" w:rsidP="00817104">
      <w:pPr>
        <w:pStyle w:val="Body"/>
      </w:pPr>
      <w:r w:rsidRPr="00B65A7D">
        <w:t xml:space="preserve">Health services delivering highly specialised therapies </w:t>
      </w:r>
      <w:r>
        <w:t>are</w:t>
      </w:r>
      <w:r w:rsidRPr="00B65A7D">
        <w:t xml:space="preserve"> required to report </w:t>
      </w:r>
      <w:r>
        <w:t xml:space="preserve">actual incurred </w:t>
      </w:r>
      <w:r w:rsidRPr="00B65A7D">
        <w:t xml:space="preserve">cost data annually, 11 weeks </w:t>
      </w:r>
      <w:r>
        <w:t>after</w:t>
      </w:r>
      <w:r w:rsidRPr="00B65A7D">
        <w:t xml:space="preserve"> the end of the financial year, </w:t>
      </w:r>
      <w:r>
        <w:t>using</w:t>
      </w:r>
      <w:r w:rsidRPr="00B65A7D">
        <w:t xml:space="preserve"> a supplied template. </w:t>
      </w:r>
      <w:r>
        <w:t>C</w:t>
      </w:r>
      <w:r w:rsidRPr="00B65A7D">
        <w:t xml:space="preserve">osts submitted to the department </w:t>
      </w:r>
      <w:r>
        <w:t xml:space="preserve">will </w:t>
      </w:r>
      <w:r w:rsidRPr="00B65A7D">
        <w:t xml:space="preserve">enable timely annual reconciliation (including for interstate patient activity) and </w:t>
      </w:r>
      <w:r>
        <w:t>p</w:t>
      </w:r>
      <w:r w:rsidRPr="00B65A7D">
        <w:t>rior</w:t>
      </w:r>
      <w:r>
        <w:t>-y</w:t>
      </w:r>
      <w:r w:rsidRPr="00B65A7D">
        <w:t xml:space="preserve">ear </w:t>
      </w:r>
      <w:r>
        <w:t>a</w:t>
      </w:r>
      <w:r w:rsidRPr="00B65A7D">
        <w:t>ssessment/</w:t>
      </w:r>
      <w:r>
        <w:t>r</w:t>
      </w:r>
      <w:r w:rsidRPr="00B65A7D">
        <w:t>ecall estimations.</w:t>
      </w:r>
    </w:p>
    <w:p w14:paraId="22A6665B" w14:textId="77777777" w:rsidR="00817104" w:rsidRDefault="00817104" w:rsidP="00817104">
      <w:pPr>
        <w:pStyle w:val="Body"/>
      </w:pPr>
      <w:r w:rsidRPr="00B65A7D">
        <w:t xml:space="preserve">This is </w:t>
      </w:r>
      <w:r>
        <w:t>in line with the</w:t>
      </w:r>
      <w:r w:rsidRPr="00B65A7D">
        <w:t xml:space="preserve"> requirements of the </w:t>
      </w:r>
      <w:r w:rsidRPr="002D6AE5">
        <w:t>NHRA</w:t>
      </w:r>
      <w:r w:rsidRPr="000D383B">
        <w:t>,</w:t>
      </w:r>
      <w:r>
        <w:t xml:space="preserve"> to </w:t>
      </w:r>
      <w:r w:rsidRPr="00B65A7D">
        <w:t>meet Victoria’s submission obligations to the Administrator of the National Health Funding Pool.</w:t>
      </w:r>
      <w:r>
        <w:br w:type="page"/>
      </w:r>
    </w:p>
    <w:p w14:paraId="64B1673B" w14:textId="77777777" w:rsidR="00817104" w:rsidRPr="00122CB8" w:rsidRDefault="00817104" w:rsidP="00163A33">
      <w:pPr>
        <w:pStyle w:val="Heading1"/>
      </w:pPr>
      <w:bookmarkStart w:id="1609" w:name="_Toc106868012"/>
      <w:bookmarkStart w:id="1610" w:name="_Toc106869763"/>
      <w:bookmarkStart w:id="1611" w:name="_Toc106870097"/>
      <w:bookmarkStart w:id="1612" w:name="_Toc106870263"/>
      <w:bookmarkStart w:id="1613" w:name="_Toc106870435"/>
      <w:bookmarkStart w:id="1614" w:name="_Toc165964632"/>
      <w:bookmarkStart w:id="1615" w:name="_Toc167174494"/>
      <w:bookmarkStart w:id="1616" w:name="_Toc231982243"/>
      <w:r w:rsidRPr="00122CB8">
        <w:lastRenderedPageBreak/>
        <w:t>Ambulance Victoria</w:t>
      </w:r>
      <w:bookmarkEnd w:id="1609"/>
      <w:bookmarkEnd w:id="1610"/>
      <w:bookmarkEnd w:id="1611"/>
      <w:bookmarkEnd w:id="1612"/>
      <w:bookmarkEnd w:id="1613"/>
      <w:bookmarkEnd w:id="1614"/>
      <w:bookmarkEnd w:id="1615"/>
      <w:r>
        <w:t xml:space="preserve"> and transport providers</w:t>
      </w:r>
      <w:bookmarkEnd w:id="1616"/>
    </w:p>
    <w:p w14:paraId="04D228CA" w14:textId="2B9AF438" w:rsidR="00817104" w:rsidRDefault="00817104" w:rsidP="00817104">
      <w:pPr>
        <w:pStyle w:val="Heading2"/>
      </w:pPr>
      <w:bookmarkStart w:id="1617" w:name="_Toc231982244"/>
      <w:bookmarkStart w:id="1618" w:name="_Toc106868013"/>
      <w:bookmarkStart w:id="1619" w:name="_Toc106869764"/>
      <w:bookmarkStart w:id="1620" w:name="_Toc106870098"/>
      <w:bookmarkStart w:id="1621" w:name="_Toc106870264"/>
      <w:bookmarkStart w:id="1622" w:name="_Toc106870436"/>
      <w:bookmarkStart w:id="1623" w:name="_Toc165964633"/>
      <w:bookmarkStart w:id="1624" w:name="_Toc167174495"/>
      <w:r>
        <w:t>Ambulance Victoria</w:t>
      </w:r>
      <w:bookmarkEnd w:id="1617"/>
    </w:p>
    <w:p w14:paraId="0D738582" w14:textId="77777777" w:rsidR="00817104" w:rsidRPr="00616B89" w:rsidRDefault="00817104" w:rsidP="00817104">
      <w:pPr>
        <w:pStyle w:val="Body"/>
      </w:pPr>
      <w:r w:rsidRPr="00616B89">
        <w:t xml:space="preserve">Ambulance Victoria provides </w:t>
      </w:r>
      <w:r>
        <w:t xml:space="preserve">emergency </w:t>
      </w:r>
      <w:r w:rsidRPr="00616B89">
        <w:t xml:space="preserve">pre-hospital treatment and ambulance transport for people in urgent medical emergencies, responding by road and air from more than </w:t>
      </w:r>
      <w:r>
        <w:t>260</w:t>
      </w:r>
      <w:r w:rsidRPr="00616B89">
        <w:t xml:space="preserve"> locations across Victoria. The organisation also helps connect less-urgent </w:t>
      </w:r>
      <w:r>
        <w:t>T</w:t>
      </w:r>
      <w:r w:rsidRPr="00616B89">
        <w:t xml:space="preserve">riple </w:t>
      </w:r>
      <w:r>
        <w:t>Z</w:t>
      </w:r>
      <w:r w:rsidRPr="00616B89">
        <w:t xml:space="preserve">ero (000) </w:t>
      </w:r>
      <w:r>
        <w:t xml:space="preserve">callers </w:t>
      </w:r>
      <w:r w:rsidRPr="00616B89">
        <w:t>with service providers that best meet their needs.</w:t>
      </w:r>
    </w:p>
    <w:p w14:paraId="23D58194" w14:textId="77777777" w:rsidR="00817104" w:rsidRPr="00616B89" w:rsidRDefault="00817104" w:rsidP="00817104">
      <w:pPr>
        <w:pStyle w:val="Body"/>
      </w:pPr>
      <w:r w:rsidRPr="00616B89">
        <w:t>The Victorian Government funds Ambulance Victoria to provide free ambulance treatment and transport for concession patients, including eligible pensioners and concession card holders. Ambulance Victoria receive</w:t>
      </w:r>
      <w:r>
        <w:t>s</w:t>
      </w:r>
      <w:r w:rsidRPr="00616B89">
        <w:t xml:space="preserve"> fees from third parties for delivery of services to other patient groups</w:t>
      </w:r>
      <w:r>
        <w:t>,</w:t>
      </w:r>
      <w:r w:rsidRPr="00616B89">
        <w:t xml:space="preserve"> including:</w:t>
      </w:r>
    </w:p>
    <w:p w14:paraId="50D8CAD4" w14:textId="77777777" w:rsidR="00817104" w:rsidRPr="00616B89" w:rsidRDefault="00817104" w:rsidP="00817104">
      <w:pPr>
        <w:pStyle w:val="Bullet1"/>
        <w:numPr>
          <w:ilvl w:val="0"/>
          <w:numId w:val="2"/>
        </w:numPr>
      </w:pPr>
      <w:r w:rsidRPr="00616B89">
        <w:t>the Department of Veterans’ Affairs for eligible veterans</w:t>
      </w:r>
    </w:p>
    <w:p w14:paraId="27EA0C78" w14:textId="77777777" w:rsidR="00817104" w:rsidRPr="00616B89" w:rsidRDefault="00817104" w:rsidP="00817104">
      <w:pPr>
        <w:pStyle w:val="Bullet1"/>
        <w:numPr>
          <w:ilvl w:val="0"/>
          <w:numId w:val="2"/>
        </w:numPr>
      </w:pPr>
      <w:r w:rsidRPr="00616B89">
        <w:t>the Transport Accident Commission for eligible Victorians involved in a transport accident</w:t>
      </w:r>
    </w:p>
    <w:p w14:paraId="58ED2F2F" w14:textId="77777777" w:rsidR="00817104" w:rsidRPr="00616B89" w:rsidRDefault="00817104" w:rsidP="00817104">
      <w:pPr>
        <w:pStyle w:val="Bullet1"/>
        <w:numPr>
          <w:ilvl w:val="0"/>
          <w:numId w:val="2"/>
        </w:numPr>
      </w:pPr>
      <w:r w:rsidRPr="00616B89">
        <w:t>WorkSafe Victoria for eligible Victorians involved in a workplace accident</w:t>
      </w:r>
    </w:p>
    <w:p w14:paraId="1E3804E1" w14:textId="77777777" w:rsidR="00817104" w:rsidRPr="00616B89" w:rsidRDefault="00817104" w:rsidP="00817104">
      <w:pPr>
        <w:pStyle w:val="Bullet1"/>
        <w:numPr>
          <w:ilvl w:val="0"/>
          <w:numId w:val="2"/>
        </w:numPr>
      </w:pPr>
      <w:r w:rsidRPr="00616B89">
        <w:t>public healthcare services</w:t>
      </w:r>
    </w:p>
    <w:p w14:paraId="661FE74E" w14:textId="77777777" w:rsidR="00817104" w:rsidRPr="00616B89" w:rsidRDefault="00817104" w:rsidP="00817104">
      <w:pPr>
        <w:pStyle w:val="Bullet1"/>
        <w:numPr>
          <w:ilvl w:val="0"/>
          <w:numId w:val="2"/>
        </w:numPr>
      </w:pPr>
      <w:r w:rsidRPr="00616B89">
        <w:t>private healthcare facilities</w:t>
      </w:r>
    </w:p>
    <w:p w14:paraId="70F984AF" w14:textId="77777777" w:rsidR="00817104" w:rsidRPr="00616B89" w:rsidRDefault="00817104" w:rsidP="00817104">
      <w:pPr>
        <w:pStyle w:val="Bullet1"/>
        <w:numPr>
          <w:ilvl w:val="0"/>
          <w:numId w:val="2"/>
        </w:numPr>
      </w:pPr>
      <w:r w:rsidRPr="00616B89">
        <w:t>general patients who are not eligible under any of the other criteria and do not have an Ambulance Victoria membership subscription</w:t>
      </w:r>
      <w:r w:rsidRPr="00616B89">
        <w:rPr>
          <w:rStyle w:val="FootnoteReference"/>
        </w:rPr>
        <w:footnoteReference w:id="2"/>
      </w:r>
      <w:r w:rsidRPr="00616B89">
        <w:t>.</w:t>
      </w:r>
    </w:p>
    <w:p w14:paraId="2F641640" w14:textId="77777777" w:rsidR="00817104" w:rsidRPr="00616B89" w:rsidRDefault="00817104" w:rsidP="00817104">
      <w:pPr>
        <w:pStyle w:val="Body"/>
        <w:spacing w:before="240"/>
      </w:pPr>
      <w:r w:rsidRPr="00616B89">
        <w:t>Several other services provided by Ambulance Victoria are funded directly or indirectly (by government and/or through collection of fees)</w:t>
      </w:r>
      <w:r>
        <w:t>,</w:t>
      </w:r>
      <w:r w:rsidRPr="00616B89">
        <w:t xml:space="preserve"> including provision of emergency management functions, retrieval services and the Secondary Triage Service.</w:t>
      </w:r>
    </w:p>
    <w:p w14:paraId="2DB665A6" w14:textId="708A61F3" w:rsidR="00817104" w:rsidRPr="00792E19" w:rsidRDefault="00817104" w:rsidP="00817104">
      <w:pPr>
        <w:pStyle w:val="Heading2"/>
      </w:pPr>
      <w:bookmarkStart w:id="1625" w:name="_Toc231982245"/>
      <w:r>
        <w:t>Ambulance Victoria f</w:t>
      </w:r>
      <w:r w:rsidRPr="00792E19">
        <w:t>ee structure</w:t>
      </w:r>
      <w:bookmarkEnd w:id="1618"/>
      <w:bookmarkEnd w:id="1619"/>
      <w:bookmarkEnd w:id="1620"/>
      <w:bookmarkEnd w:id="1621"/>
      <w:bookmarkEnd w:id="1622"/>
      <w:bookmarkEnd w:id="1623"/>
      <w:bookmarkEnd w:id="1624"/>
      <w:bookmarkEnd w:id="1625"/>
    </w:p>
    <w:p w14:paraId="49666752" w14:textId="77777777" w:rsidR="00817104" w:rsidRPr="00460676" w:rsidRDefault="00817104" w:rsidP="00817104">
      <w:pPr>
        <w:pStyle w:val="Body"/>
      </w:pPr>
      <w:bookmarkStart w:id="1626" w:name="_Toc106868015"/>
      <w:bookmarkStart w:id="1627" w:name="_Toc106869766"/>
      <w:bookmarkStart w:id="1628" w:name="_Toc106870100"/>
      <w:bookmarkStart w:id="1629" w:name="_Toc106870266"/>
      <w:bookmarkStart w:id="1630" w:name="_Toc106870438"/>
      <w:bookmarkStart w:id="1631" w:name="_Ref5959833"/>
      <w:bookmarkStart w:id="1632" w:name="_Ref5959850"/>
      <w:bookmarkStart w:id="1633" w:name="_Toc6215539"/>
      <w:bookmarkStart w:id="1634" w:name="_Toc10199615"/>
      <w:bookmarkStart w:id="1635" w:name="_Toc37935512"/>
      <w:bookmarkStart w:id="1636" w:name="_Toc165964634"/>
      <w:bookmarkStart w:id="1637" w:name="_Toc167174496"/>
      <w:r w:rsidRPr="00460676">
        <w:t>Ambulance Victoria’s fees for each of its service lines are based on the average cost of delivering these services. The average cost recognises all direct and indirect costs of actual service delivery.</w:t>
      </w:r>
    </w:p>
    <w:p w14:paraId="7896A2B5" w14:textId="77777777" w:rsidR="00817104" w:rsidRDefault="00817104" w:rsidP="00817104">
      <w:pPr>
        <w:pStyle w:val="Body"/>
      </w:pPr>
      <w:r w:rsidRPr="00460676">
        <w:t>F</w:t>
      </w:r>
      <w:r>
        <w:t>or information about f</w:t>
      </w:r>
      <w:r w:rsidRPr="00460676">
        <w:t>ees for ambulance services</w:t>
      </w:r>
      <w:r>
        <w:t>, visit</w:t>
      </w:r>
      <w:r w:rsidRPr="00460676">
        <w:t xml:space="preserve"> </w:t>
      </w:r>
      <w:hyperlink r:id="rId27" w:history="1">
        <w:r w:rsidRPr="0073260E">
          <w:rPr>
            <w:rStyle w:val="Hyperlink"/>
          </w:rPr>
          <w:t>Ambulance fees</w:t>
        </w:r>
      </w:hyperlink>
      <w:r w:rsidRPr="00460676">
        <w:t xml:space="preserve"> &lt;</w:t>
      </w:r>
      <w:r w:rsidRPr="00C1363E">
        <w:t>https://www.health.vic.gov.au/patient-care/ambulance-fees</w:t>
      </w:r>
      <w:r w:rsidRPr="00460676">
        <w:t>&gt;.</w:t>
      </w:r>
    </w:p>
    <w:p w14:paraId="45ECE580" w14:textId="77777777" w:rsidR="00817104" w:rsidRPr="00460676" w:rsidRDefault="00817104" w:rsidP="00817104">
      <w:pPr>
        <w:pStyle w:val="Body"/>
      </w:pPr>
      <w:r>
        <w:t>For f</w:t>
      </w:r>
      <w:r w:rsidRPr="00460676">
        <w:t xml:space="preserve">ees for Ambulance Victoria’s </w:t>
      </w:r>
      <w:r>
        <w:t>m</w:t>
      </w:r>
      <w:r w:rsidRPr="00460676">
        <w:t>embership subscription scheme</w:t>
      </w:r>
      <w:r>
        <w:t>, visit</w:t>
      </w:r>
      <w:r w:rsidRPr="00460676">
        <w:t xml:space="preserve"> </w:t>
      </w:r>
      <w:hyperlink r:id="rId28" w:history="1">
        <w:r w:rsidRPr="00141177">
          <w:rPr>
            <w:rStyle w:val="Hyperlink"/>
          </w:rPr>
          <w:t>Membership</w:t>
        </w:r>
      </w:hyperlink>
      <w:r>
        <w:t xml:space="preserve"> &lt;</w:t>
      </w:r>
      <w:r w:rsidRPr="00460676">
        <w:t>https://www.ambulance.vic.gov.au/membership&gt;.</w:t>
      </w:r>
      <w:bookmarkStart w:id="1638" w:name="_Toc37935511"/>
    </w:p>
    <w:p w14:paraId="2C2D4122" w14:textId="77777777" w:rsidR="00817104" w:rsidRDefault="00817104" w:rsidP="00817104">
      <w:pPr>
        <w:pStyle w:val="Body"/>
      </w:pPr>
      <w:r w:rsidRPr="00460676">
        <w:t>Timely payment for ambulance transports provided through Ambulance Victoria is expected under normal commercial terms.</w:t>
      </w:r>
    </w:p>
    <w:p w14:paraId="5F2882D3" w14:textId="5FCE9E33" w:rsidR="00817104" w:rsidRDefault="00817104" w:rsidP="00817104">
      <w:pPr>
        <w:pStyle w:val="Heading2"/>
      </w:pPr>
      <w:bookmarkStart w:id="1639" w:name="_Toc231982246"/>
      <w:r>
        <w:t>Non-emergency patient transport</w:t>
      </w:r>
      <w:bookmarkEnd w:id="1639"/>
      <w:r>
        <w:t xml:space="preserve"> </w:t>
      </w:r>
    </w:p>
    <w:p w14:paraId="302FD1D0" w14:textId="77777777" w:rsidR="00817104" w:rsidRDefault="00817104" w:rsidP="00817104">
      <w:pPr>
        <w:pStyle w:val="Body"/>
      </w:pPr>
      <w:r>
        <w:t xml:space="preserve">Ambulance Victoria is funded to deliver non-emergency patient transport (NEPT) using a combination of in-house workforce and licensed private NEPT providers. </w:t>
      </w:r>
    </w:p>
    <w:p w14:paraId="3590E763" w14:textId="77777777" w:rsidR="00817104" w:rsidRDefault="00817104" w:rsidP="00817104">
      <w:pPr>
        <w:pStyle w:val="Body"/>
      </w:pPr>
      <w:r>
        <w:t xml:space="preserve">This section of the Policy and funding guidelines covers NEPT services that are regulated in accordance with the </w:t>
      </w:r>
      <w:r w:rsidRPr="0030476B">
        <w:rPr>
          <w:i/>
          <w:iCs/>
        </w:rPr>
        <w:t xml:space="preserve">Non-Emergency Patient Transport </w:t>
      </w:r>
      <w:r w:rsidRPr="00533E80">
        <w:rPr>
          <w:i/>
          <w:iCs/>
        </w:rPr>
        <w:t>and</w:t>
      </w:r>
      <w:r w:rsidRPr="0030476B">
        <w:rPr>
          <w:i/>
          <w:iCs/>
        </w:rPr>
        <w:t xml:space="preserve"> First Aid Services Act 2003</w:t>
      </w:r>
      <w:r>
        <w:t xml:space="preserve"> and </w:t>
      </w:r>
      <w:r w:rsidRPr="004A2F11">
        <w:rPr>
          <w:i/>
          <w:iCs/>
        </w:rPr>
        <w:t>Non-</w:t>
      </w:r>
      <w:r w:rsidRPr="004A2F11">
        <w:rPr>
          <w:i/>
          <w:iCs/>
        </w:rPr>
        <w:lastRenderedPageBreak/>
        <w:t>Emergency Patient Transport Regulations 2026</w:t>
      </w:r>
      <w:r>
        <w:rPr>
          <w:i/>
          <w:iCs/>
        </w:rPr>
        <w:t>,</w:t>
      </w:r>
      <w:r>
        <w:t xml:space="preserve"> as well as Clinic Transport Services (CTS), which are not governed by the NEPT regulatory framework.</w:t>
      </w:r>
    </w:p>
    <w:p w14:paraId="13099E1B" w14:textId="77777777" w:rsidR="00817104" w:rsidRDefault="00817104" w:rsidP="00817104">
      <w:pPr>
        <w:pStyle w:val="Body"/>
      </w:pPr>
      <w:r>
        <w:t>To access a stretcher, walker or hoist-based service (see sections 2.3.1 and 2.3.2 below), patients must have a genuine clinical need for the service, with broader social circumstances alone not sufficient to warrant eligibility.</w:t>
      </w:r>
    </w:p>
    <w:p w14:paraId="73031CD1" w14:textId="6262023E" w:rsidR="00817104" w:rsidRDefault="00817104" w:rsidP="00817104">
      <w:pPr>
        <w:pStyle w:val="Heading3"/>
      </w:pPr>
      <w:r>
        <w:t>Patients requiring a stretcher or clinical monitoring</w:t>
      </w:r>
    </w:p>
    <w:p w14:paraId="597561CE" w14:textId="77777777" w:rsidR="00817104" w:rsidRDefault="00817104" w:rsidP="00817104">
      <w:pPr>
        <w:pStyle w:val="Body"/>
      </w:pPr>
      <w:r>
        <w:t xml:space="preserve">These services are regulated under the </w:t>
      </w:r>
      <w:r w:rsidRPr="00186E50">
        <w:rPr>
          <w:i/>
          <w:iCs/>
        </w:rPr>
        <w:t>Non-Emergency Patient Transport and First Aid Services Act</w:t>
      </w:r>
      <w:r>
        <w:t xml:space="preserve"> </w:t>
      </w:r>
      <w:r w:rsidRPr="00186E50">
        <w:rPr>
          <w:i/>
          <w:iCs/>
        </w:rPr>
        <w:t>2003</w:t>
      </w:r>
      <w:r>
        <w:t xml:space="preserve"> and </w:t>
      </w:r>
      <w:r w:rsidRPr="00186E50">
        <w:rPr>
          <w:i/>
          <w:iCs/>
        </w:rPr>
        <w:t>Non-Emergency Patient Transport Regulations 2026</w:t>
      </w:r>
      <w:r>
        <w:t xml:space="preserve">. </w:t>
      </w:r>
    </w:p>
    <w:p w14:paraId="0735FAA0" w14:textId="77777777" w:rsidR="00817104" w:rsidRDefault="00817104" w:rsidP="00817104">
      <w:pPr>
        <w:pStyle w:val="Body"/>
        <w:rPr>
          <w:rFonts w:eastAsia="MS Mincho"/>
        </w:rPr>
      </w:pPr>
      <w:r>
        <w:t>To be eligible, the patient must require the use of a stretcher or have a condition that requires specialist clinical care or monitoring during an episode of care. During transport, patients will require monitoring and the use of specialised medical equipment contained within the vehicle</w:t>
      </w:r>
      <w:r>
        <w:rPr>
          <w:rStyle w:val="FootnoteReference"/>
        </w:rPr>
        <w:footnoteReference w:id="3"/>
      </w:r>
      <w:r>
        <w:t>.</w:t>
      </w:r>
    </w:p>
    <w:p w14:paraId="3CDC76FC" w14:textId="77777777" w:rsidR="00817104" w:rsidRDefault="00817104" w:rsidP="00817104">
      <w:pPr>
        <w:pStyle w:val="Body"/>
        <w:rPr>
          <w:rFonts w:eastAsia="MS Mincho"/>
        </w:rPr>
      </w:pPr>
      <w:r>
        <w:rPr>
          <w:rFonts w:eastAsia="Arial"/>
        </w:rPr>
        <w:t>NEPT cases are authorised by an appropriate registered health practitioner who has deemed it clinically necessary for a patient to travel by NEPT vehicle to and from specialist medical appointments, on discharge from hospital or between health services.</w:t>
      </w:r>
      <w:r>
        <w:t xml:space="preserve"> In addition to the funding provided directly to Ambulance Victoria, health services are funded to commission NEPT for the transfer of patients between hospitals, in line with the </w:t>
      </w:r>
      <w:hyperlink r:id="rId29" w:history="1">
        <w:r w:rsidRPr="00720B51">
          <w:rPr>
            <w:rStyle w:val="Hyperlink"/>
            <w:i/>
            <w:iCs/>
          </w:rPr>
          <w:t>Ambulance services payment guidelines</w:t>
        </w:r>
      </w:hyperlink>
      <w:r>
        <w:t xml:space="preserve"> &lt;</w:t>
      </w:r>
      <w:r w:rsidRPr="0054224A">
        <w:t>https://www.health.vic.gov.au/patient-care/ambulance-services-payment-guidelines</w:t>
      </w:r>
      <w:r>
        <w:t>&gt;</w:t>
      </w:r>
    </w:p>
    <w:p w14:paraId="70CD777D" w14:textId="77777777" w:rsidR="00817104" w:rsidRDefault="00817104" w:rsidP="00817104">
      <w:pPr>
        <w:pStyle w:val="Body"/>
      </w:pPr>
      <w:r>
        <w:t>NEPT patients will be assessed as having low, medium or high acuity needs. This determines the minimum requirements for crew members, including their qualifications and skill level, equipment, monitoring and clinical intervention for transport to ensure the patient maintains a stable clinical condition. Low acuity NEPT patients may also be eligible, based on impaired cognitive function requiring direct supervision</w:t>
      </w:r>
      <w:r>
        <w:rPr>
          <w:rStyle w:val="FootnoteReference"/>
        </w:rPr>
        <w:footnoteReference w:id="4"/>
      </w:r>
      <w:r>
        <w:t>.</w:t>
      </w:r>
    </w:p>
    <w:p w14:paraId="156DDD5D" w14:textId="47378DD0" w:rsidR="00817104" w:rsidRDefault="00817104" w:rsidP="00817104">
      <w:pPr>
        <w:pStyle w:val="Heading3"/>
      </w:pPr>
      <w:r>
        <w:t>Patients requiring a walker or hoist service or visual supervision (Clinic Transport Service)</w:t>
      </w:r>
    </w:p>
    <w:p w14:paraId="32D20271" w14:textId="77777777" w:rsidR="00817104" w:rsidRDefault="00817104" w:rsidP="00817104">
      <w:pPr>
        <w:pStyle w:val="Body"/>
      </w:pPr>
      <w:r>
        <w:t>These services</w:t>
      </w:r>
      <w:r w:rsidRPr="00842BD5">
        <w:t xml:space="preserve"> </w:t>
      </w:r>
      <w:r>
        <w:t>are</w:t>
      </w:r>
      <w:r w:rsidRPr="00C2770F">
        <w:t xml:space="preserve"> governed through </w:t>
      </w:r>
      <w:r w:rsidRPr="00842BD5">
        <w:t xml:space="preserve">contractual </w:t>
      </w:r>
      <w:r>
        <w:t>requirements</w:t>
      </w:r>
      <w:r w:rsidRPr="00842BD5">
        <w:t xml:space="preserve"> or </w:t>
      </w:r>
      <w:r w:rsidRPr="00C2770F">
        <w:t xml:space="preserve">other applicable legislation, including the </w:t>
      </w:r>
      <w:r w:rsidRPr="00C2770F">
        <w:rPr>
          <w:i/>
          <w:iCs/>
        </w:rPr>
        <w:t>Health Services Act 1988</w:t>
      </w:r>
      <w:r w:rsidRPr="00C2770F">
        <w:t xml:space="preserve"> </w:t>
      </w:r>
      <w:r w:rsidRPr="00842BD5">
        <w:t>for Ambulance Victoria and</w:t>
      </w:r>
      <w:r w:rsidRPr="00C2770F">
        <w:t xml:space="preserve"> public</w:t>
      </w:r>
      <w:r w:rsidRPr="00842BD5">
        <w:t xml:space="preserve"> health services.</w:t>
      </w:r>
      <w:r>
        <w:t xml:space="preserve"> </w:t>
      </w:r>
    </w:p>
    <w:p w14:paraId="3DB471BB" w14:textId="5ABD3E01" w:rsidR="00817104" w:rsidRDefault="00817104" w:rsidP="00817104">
      <w:pPr>
        <w:pStyle w:val="Body"/>
      </w:pPr>
      <w:r>
        <w:t xml:space="preserve">To be eligible for Clinic Transport Service (CTS), patients require the use of walker or hoist </w:t>
      </w:r>
      <w:r w:rsidR="0011441F">
        <w:t>services or</w:t>
      </w:r>
      <w:r>
        <w:t xml:space="preserve"> are ambulant patients who need visual supervision during transport. </w:t>
      </w:r>
    </w:p>
    <w:p w14:paraId="4E7BF41D" w14:textId="77777777" w:rsidR="00817104" w:rsidRDefault="00817104" w:rsidP="00817104">
      <w:pPr>
        <w:pStyle w:val="Body"/>
      </w:pPr>
      <w:r>
        <w:t>CTS is delivered by Patient Transport Officers</w:t>
      </w:r>
      <w:r>
        <w:rPr>
          <w:rStyle w:val="FootnoteReference"/>
        </w:rPr>
        <w:footnoteReference w:id="5"/>
      </w:r>
      <w:r>
        <w:t xml:space="preserve"> and, in line with the NEPT services described in section 2.3.1, CTS must be authorised by an appropriate registered health practitioner who has determined the patient has a genuine clinical need for specialised transport. This includes when entering and exiting vehicles or facilities, which can be as critical to accessing care as the transport itself, and are therefore unsuitable for transport via private car, a taxi or rideshare service.</w:t>
      </w:r>
    </w:p>
    <w:p w14:paraId="0450ECEE" w14:textId="1B051364" w:rsidR="00817104" w:rsidRDefault="00817104" w:rsidP="00817104">
      <w:pPr>
        <w:pStyle w:val="Heading2"/>
      </w:pPr>
      <w:bookmarkStart w:id="1640" w:name="_Toc231982247"/>
      <w:r>
        <w:lastRenderedPageBreak/>
        <w:t>Community Patient Transport</w:t>
      </w:r>
      <w:bookmarkEnd w:id="1640"/>
    </w:p>
    <w:p w14:paraId="2F9E2B9F" w14:textId="77777777" w:rsidR="00817104" w:rsidRDefault="00817104" w:rsidP="00817104">
      <w:pPr>
        <w:pStyle w:val="Body"/>
      </w:pPr>
      <w:r>
        <w:t xml:space="preserve">The Australian Red Cross is funded by the department to deliver Community Patient Transport for Victorians who do not require specialised transport, clinical monitoring or visual supervision to access essential medical care. </w:t>
      </w:r>
    </w:p>
    <w:p w14:paraId="61FC3F56" w14:textId="77777777" w:rsidR="00817104" w:rsidRDefault="00817104" w:rsidP="00817104">
      <w:pPr>
        <w:pStyle w:val="Body"/>
      </w:pPr>
      <w:r>
        <w:t>In metropolitan Melbourne, this program is available only for essential medical appointments at publicly funded hospitals. In regional Victoria, the program</w:t>
      </w:r>
      <w:r w:rsidRPr="00C83756">
        <w:t xml:space="preserve"> </w:t>
      </w:r>
      <w:r>
        <w:t xml:space="preserve">is available for transport to a range of public and private healthcare settings. For further information, visit </w:t>
      </w:r>
      <w:hyperlink r:id="rId30" w:history="1">
        <w:r w:rsidRPr="00202CFC">
          <w:rPr>
            <w:rStyle w:val="Hyperlink"/>
          </w:rPr>
          <w:t>Red Cross Patient Transport (VIC)</w:t>
        </w:r>
      </w:hyperlink>
      <w:r>
        <w:t xml:space="preserve"> &lt;</w:t>
      </w:r>
      <w:r w:rsidRPr="0040542C">
        <w:t>https://redcrossportal.tripssoftware.com.au/</w:t>
      </w:r>
      <w:r>
        <w:t>&gt;.</w:t>
      </w:r>
    </w:p>
    <w:p w14:paraId="2516B883" w14:textId="77777777" w:rsidR="00817104" w:rsidRDefault="00817104" w:rsidP="00817104">
      <w:pPr>
        <w:pStyle w:val="Body"/>
      </w:pPr>
      <w:r>
        <w:t>This volunteer-based program is available for patients who would find it challenging to access medical appointments without additional support, who do not have adequate social or family supports, and are unable to use commercial transport or public transport.</w:t>
      </w:r>
    </w:p>
    <w:p w14:paraId="73B12D23" w14:textId="77777777" w:rsidR="00817104" w:rsidRDefault="00817104" w:rsidP="00817104">
      <w:pPr>
        <w:spacing w:after="0" w:line="240" w:lineRule="auto"/>
        <w:rPr>
          <w:rFonts w:eastAsia="Times"/>
        </w:rPr>
      </w:pPr>
      <w:r>
        <w:br w:type="page"/>
      </w:r>
    </w:p>
    <w:p w14:paraId="6F1D96B7" w14:textId="77777777" w:rsidR="00817104" w:rsidRDefault="00817104" w:rsidP="00163A33">
      <w:pPr>
        <w:pStyle w:val="Heading1"/>
      </w:pPr>
      <w:bookmarkStart w:id="1641" w:name="_Toc231982248"/>
      <w:bookmarkEnd w:id="1638"/>
      <w:r w:rsidRPr="00C17D9A">
        <w:lastRenderedPageBreak/>
        <w:t>Acute</w:t>
      </w:r>
      <w:r>
        <w:t xml:space="preserve"> </w:t>
      </w:r>
      <w:r w:rsidRPr="00461C65">
        <w:t>inpatient</w:t>
      </w:r>
      <w:r>
        <w:t xml:space="preserve"> services</w:t>
      </w:r>
      <w:bookmarkEnd w:id="1626"/>
      <w:bookmarkEnd w:id="1627"/>
      <w:bookmarkEnd w:id="1628"/>
      <w:bookmarkEnd w:id="1629"/>
      <w:bookmarkEnd w:id="1630"/>
      <w:bookmarkEnd w:id="1631"/>
      <w:bookmarkEnd w:id="1632"/>
      <w:bookmarkEnd w:id="1633"/>
      <w:bookmarkEnd w:id="1634"/>
      <w:bookmarkEnd w:id="1635"/>
      <w:bookmarkEnd w:id="1636"/>
      <w:bookmarkEnd w:id="1637"/>
      <w:bookmarkEnd w:id="1641"/>
    </w:p>
    <w:p w14:paraId="5D2BE630" w14:textId="288B61D2" w:rsidR="00817104" w:rsidRDefault="00817104" w:rsidP="00817104">
      <w:pPr>
        <w:pStyle w:val="Heading2"/>
      </w:pPr>
      <w:bookmarkStart w:id="1642" w:name="_Toc165964635"/>
      <w:bookmarkStart w:id="1643" w:name="_Toc167174497"/>
      <w:bookmarkStart w:id="1644" w:name="_Toc231982249"/>
      <w:bookmarkStart w:id="1645" w:name="_Toc418694907"/>
      <w:bookmarkStart w:id="1646" w:name="_Toc6215549"/>
      <w:bookmarkStart w:id="1647" w:name="_Toc10199625"/>
      <w:r w:rsidRPr="00C17D9A">
        <w:t>Acute</w:t>
      </w:r>
      <w:r>
        <w:t xml:space="preserve"> </w:t>
      </w:r>
      <w:r w:rsidRPr="00461C65">
        <w:t>admitted</w:t>
      </w:r>
      <w:r>
        <w:t xml:space="preserve"> services</w:t>
      </w:r>
      <w:bookmarkEnd w:id="1642"/>
      <w:bookmarkEnd w:id="1643"/>
      <w:bookmarkEnd w:id="1644"/>
    </w:p>
    <w:p w14:paraId="782A9514" w14:textId="77777777" w:rsidR="00817104" w:rsidRDefault="00817104" w:rsidP="00817104">
      <w:pPr>
        <w:pStyle w:val="Body"/>
      </w:pPr>
      <w:bookmarkStart w:id="1648" w:name="_Toc106868016"/>
      <w:bookmarkStart w:id="1649" w:name="_Toc106869767"/>
      <w:bookmarkStart w:id="1650" w:name="_Toc106870101"/>
      <w:bookmarkStart w:id="1651" w:name="_Toc106870267"/>
      <w:bookmarkStart w:id="1652" w:name="_Toc106870439"/>
      <w:bookmarkStart w:id="1653" w:name="_Toc165964636"/>
      <w:bookmarkStart w:id="1654" w:name="_Toc167174498"/>
      <w:bookmarkEnd w:id="1645"/>
      <w:bookmarkEnd w:id="1646"/>
      <w:bookmarkEnd w:id="1647"/>
      <w:r>
        <w:t>In Victoria, health services are funded to provide 24/7 acute admitted care. Some health services provide specialist admitted care services (for example, intensive care) or designated statewide services (for example, trauma or transplantation).</w:t>
      </w:r>
    </w:p>
    <w:p w14:paraId="14A611B6" w14:textId="77777777" w:rsidR="00817104" w:rsidRDefault="00817104" w:rsidP="00817104">
      <w:pPr>
        <w:pStyle w:val="Body"/>
      </w:pPr>
      <w:r>
        <w:t>Health services are responsible for:</w:t>
      </w:r>
    </w:p>
    <w:p w14:paraId="420226E5" w14:textId="77777777" w:rsidR="00817104" w:rsidRPr="00495CC5" w:rsidRDefault="00817104" w:rsidP="00817104">
      <w:pPr>
        <w:pStyle w:val="Bullet1"/>
        <w:numPr>
          <w:ilvl w:val="0"/>
          <w:numId w:val="2"/>
        </w:numPr>
      </w:pPr>
      <w:r>
        <w:t>ensuring the health service has the capability and capacity to deliver services described in its Statement of Priorities (SoP), with the ability to transfer patients to another health service if a patient requires care outside of the health service’s scope of delivery</w:t>
      </w:r>
    </w:p>
    <w:p w14:paraId="679AE65F" w14:textId="77777777" w:rsidR="00817104" w:rsidRDefault="00817104" w:rsidP="00817104">
      <w:pPr>
        <w:pStyle w:val="Bullet1"/>
        <w:numPr>
          <w:ilvl w:val="0"/>
          <w:numId w:val="2"/>
        </w:numPr>
      </w:pPr>
      <w:r>
        <w:t>the medical, nursing, allied health and personal care, hotel services (for example, nutrition, bed and cleaning facilities), the required clinical support services (for example, pharmacists and medicines, blood management and blood products, and pathology), and other support services (for example, infection prevention, language services, clinical trial support and culturally safe environments for Aboriginal people)</w:t>
      </w:r>
    </w:p>
    <w:p w14:paraId="3C84B9C8" w14:textId="77777777" w:rsidR="00817104" w:rsidRDefault="00817104" w:rsidP="00817104">
      <w:pPr>
        <w:pStyle w:val="Bullet1"/>
        <w:numPr>
          <w:ilvl w:val="0"/>
          <w:numId w:val="2"/>
        </w:numPr>
      </w:pPr>
      <w:r>
        <w:t>providing prosthetics, devices, medicines and wound care consumables prescribed during admission and, if required, on discharge from the health service</w:t>
      </w:r>
    </w:p>
    <w:p w14:paraId="4AD7FD61" w14:textId="77777777" w:rsidR="00817104" w:rsidRDefault="00817104" w:rsidP="00817104">
      <w:pPr>
        <w:pStyle w:val="Bullet1"/>
        <w:numPr>
          <w:ilvl w:val="0"/>
          <w:numId w:val="2"/>
        </w:numPr>
      </w:pPr>
      <w:r>
        <w:t>the availability of suitably credentialed and privileged staff, and for managing contracted or brokered staff or services</w:t>
      </w:r>
    </w:p>
    <w:p w14:paraId="5B205644" w14:textId="77777777" w:rsidR="00817104" w:rsidRDefault="00817104" w:rsidP="00817104">
      <w:pPr>
        <w:pStyle w:val="Bullet1"/>
        <w:numPr>
          <w:ilvl w:val="0"/>
          <w:numId w:val="2"/>
        </w:numPr>
      </w:pPr>
      <w:r>
        <w:t>ensuring equitable access to services and treating each patient based on their clinical need</w:t>
      </w:r>
    </w:p>
    <w:p w14:paraId="029A5B5A" w14:textId="77777777" w:rsidR="00817104" w:rsidRPr="00B65A7D" w:rsidRDefault="00817104" w:rsidP="00817104">
      <w:pPr>
        <w:pStyle w:val="Bullet1"/>
        <w:numPr>
          <w:ilvl w:val="0"/>
          <w:numId w:val="2"/>
        </w:numPr>
      </w:pPr>
      <w:r w:rsidRPr="00B65A7D">
        <w:t xml:space="preserve">offering services in the </w:t>
      </w:r>
      <w:r>
        <w:t>patient’s</w:t>
      </w:r>
      <w:r w:rsidRPr="00B65A7D">
        <w:t xml:space="preserve"> home when safe, appropriate and consistent with </w:t>
      </w:r>
      <w:r>
        <w:t>their</w:t>
      </w:r>
      <w:r w:rsidRPr="00B65A7D">
        <w:t xml:space="preserve"> preference</w:t>
      </w:r>
      <w:r>
        <w:t>s</w:t>
      </w:r>
    </w:p>
    <w:p w14:paraId="76AF4DB4" w14:textId="77777777" w:rsidR="00817104" w:rsidRDefault="00817104" w:rsidP="00817104">
      <w:pPr>
        <w:pStyle w:val="Bullet1"/>
        <w:numPr>
          <w:ilvl w:val="0"/>
          <w:numId w:val="2"/>
        </w:numPr>
      </w:pPr>
      <w:r>
        <w:t>offering services via video-telehealth in line with admission policy, with the required cultural and linguistic support, and consistent with the patient’s preferences</w:t>
      </w:r>
    </w:p>
    <w:p w14:paraId="3E44F392" w14:textId="77777777" w:rsidR="00817104" w:rsidRDefault="00817104" w:rsidP="00817104">
      <w:pPr>
        <w:pStyle w:val="Bullet1"/>
        <w:numPr>
          <w:ilvl w:val="0"/>
          <w:numId w:val="2"/>
        </w:numPr>
      </w:pPr>
      <w:r>
        <w:t>ensuring there is discharge planning and service coordination with other health service programs (for example, rehabilitation and other Health Independence Program services) and community-based services, in the form of a timely clinical handover that includes a complete and current medication list</w:t>
      </w:r>
    </w:p>
    <w:p w14:paraId="7640F849" w14:textId="77777777" w:rsidR="00817104" w:rsidRDefault="00817104" w:rsidP="00817104">
      <w:pPr>
        <w:pStyle w:val="Bullet1"/>
        <w:numPr>
          <w:ilvl w:val="0"/>
          <w:numId w:val="2"/>
        </w:numPr>
      </w:pPr>
      <w:r>
        <w:t>offering services, such as patient pathways and electronic or telephone advice lines, to support referring clinicians, which may reduce demand for admitted services</w:t>
      </w:r>
    </w:p>
    <w:p w14:paraId="3581F6F7" w14:textId="77777777" w:rsidR="00817104" w:rsidRDefault="00817104" w:rsidP="00817104">
      <w:pPr>
        <w:pStyle w:val="Bullet1"/>
        <w:numPr>
          <w:ilvl w:val="0"/>
          <w:numId w:val="2"/>
        </w:numPr>
      </w:pPr>
      <w:r>
        <w:t>ensuring there are robust clinical governance structures and processes in place</w:t>
      </w:r>
    </w:p>
    <w:p w14:paraId="55EC31AE" w14:textId="77777777" w:rsidR="00817104" w:rsidRPr="008276A1" w:rsidRDefault="00817104" w:rsidP="00817104">
      <w:pPr>
        <w:pStyle w:val="Bullet1"/>
        <w:numPr>
          <w:ilvl w:val="0"/>
          <w:numId w:val="2"/>
        </w:numPr>
      </w:pPr>
      <w:r>
        <w:t>ensuring that no charges are raised for any service during the admission, and that charges raised on discharge are only those included in the NHRA</w:t>
      </w:r>
    </w:p>
    <w:p w14:paraId="613AB2C8" w14:textId="77777777" w:rsidR="00817104" w:rsidRPr="008276A1" w:rsidRDefault="00817104" w:rsidP="00817104">
      <w:pPr>
        <w:pStyle w:val="Bullet1"/>
        <w:numPr>
          <w:ilvl w:val="0"/>
          <w:numId w:val="2"/>
        </w:numPr>
      </w:pPr>
      <w:r>
        <w:t>meeting all requirements for claiming monies through private health insurance, Medicare, the Department of Veterans’ Affairs, the Transport Accident Commission, WorkSafe Victoria and for patients who are ineligible for Medicare</w:t>
      </w:r>
    </w:p>
    <w:p w14:paraId="23E982F1" w14:textId="77777777" w:rsidR="00817104" w:rsidRPr="008276A1" w:rsidRDefault="00817104" w:rsidP="00817104">
      <w:pPr>
        <w:pStyle w:val="Bullet1"/>
        <w:numPr>
          <w:ilvl w:val="0"/>
          <w:numId w:val="2"/>
        </w:numPr>
      </w:pPr>
      <w:r>
        <w:t>ensuring there are fit-for-purpose facilities to:</w:t>
      </w:r>
    </w:p>
    <w:p w14:paraId="50511AB0" w14:textId="77777777" w:rsidR="00817104" w:rsidRPr="00A20397" w:rsidRDefault="00817104" w:rsidP="00817104">
      <w:pPr>
        <w:pStyle w:val="Bullet2"/>
        <w:numPr>
          <w:ilvl w:val="1"/>
          <w:numId w:val="2"/>
        </w:numPr>
        <w:spacing w:after="20"/>
        <w:ind w:left="568" w:hanging="284"/>
      </w:pPr>
      <w:r>
        <w:t>support the treatment of inpatients by multidisciplinary teams</w:t>
      </w:r>
    </w:p>
    <w:p w14:paraId="5279A22F" w14:textId="77777777" w:rsidR="00817104" w:rsidRPr="007F2ACE" w:rsidRDefault="00817104" w:rsidP="00817104">
      <w:pPr>
        <w:pStyle w:val="Bullet2"/>
        <w:numPr>
          <w:ilvl w:val="1"/>
          <w:numId w:val="2"/>
        </w:numPr>
        <w:spacing w:after="20"/>
        <w:ind w:left="568" w:hanging="284"/>
      </w:pPr>
      <w:r>
        <w:t>reduce the risk of errors, accidents and hospital-acquired conditions</w:t>
      </w:r>
    </w:p>
    <w:p w14:paraId="1F4FD385" w14:textId="77777777" w:rsidR="00817104" w:rsidRPr="007F2ACE" w:rsidRDefault="00817104" w:rsidP="00817104">
      <w:pPr>
        <w:pStyle w:val="Bullet2"/>
        <w:numPr>
          <w:ilvl w:val="1"/>
          <w:numId w:val="2"/>
        </w:numPr>
        <w:spacing w:after="20"/>
        <w:ind w:left="568" w:hanging="284"/>
      </w:pPr>
      <w:r>
        <w:t>ensure the safety of patients, staff, visitors, volunteers and students</w:t>
      </w:r>
    </w:p>
    <w:p w14:paraId="5472651D" w14:textId="77777777" w:rsidR="00817104" w:rsidRPr="007F2ACE" w:rsidRDefault="00817104" w:rsidP="00817104">
      <w:pPr>
        <w:pStyle w:val="Bullet2"/>
        <w:numPr>
          <w:ilvl w:val="1"/>
          <w:numId w:val="2"/>
        </w:numPr>
        <w:spacing w:after="20"/>
        <w:ind w:left="568" w:hanging="284"/>
      </w:pPr>
      <w:r>
        <w:t>ensure the privacy and dignity of patients, their carers and family</w:t>
      </w:r>
    </w:p>
    <w:p w14:paraId="439DF488" w14:textId="77777777" w:rsidR="00817104" w:rsidRPr="007F2ACE" w:rsidRDefault="00817104" w:rsidP="00817104">
      <w:pPr>
        <w:pStyle w:val="Bullet2"/>
        <w:numPr>
          <w:ilvl w:val="1"/>
          <w:numId w:val="2"/>
        </w:numPr>
        <w:spacing w:after="20"/>
        <w:ind w:left="568" w:hanging="284"/>
      </w:pPr>
      <w:r>
        <w:t>enable isolation or transfer of patients with infectious conditions or who are immunocompromised</w:t>
      </w:r>
    </w:p>
    <w:p w14:paraId="1DBAEDEF" w14:textId="77777777" w:rsidR="00817104" w:rsidRPr="007F2ACE" w:rsidRDefault="00817104" w:rsidP="00817104">
      <w:pPr>
        <w:pStyle w:val="Bullet2"/>
        <w:numPr>
          <w:ilvl w:val="1"/>
          <w:numId w:val="2"/>
        </w:numPr>
        <w:spacing w:after="20"/>
        <w:ind w:left="568" w:hanging="284"/>
      </w:pPr>
      <w:r>
        <w:t>support the care of terminally ill and dying patients</w:t>
      </w:r>
    </w:p>
    <w:p w14:paraId="2746AC36" w14:textId="77777777" w:rsidR="00817104" w:rsidRPr="0095390B" w:rsidRDefault="00817104" w:rsidP="00817104">
      <w:pPr>
        <w:pStyle w:val="Bullet2"/>
        <w:numPr>
          <w:ilvl w:val="1"/>
          <w:numId w:val="2"/>
        </w:numPr>
        <w:spacing w:after="20" w:line="240" w:lineRule="auto"/>
        <w:ind w:left="568" w:hanging="284"/>
      </w:pPr>
      <w:r>
        <w:t>support home-delivered admitted care.</w:t>
      </w:r>
    </w:p>
    <w:p w14:paraId="5D496AE8" w14:textId="77777777" w:rsidR="00817104" w:rsidRDefault="00817104" w:rsidP="00163A33">
      <w:pPr>
        <w:pStyle w:val="Heading1"/>
      </w:pPr>
      <w:bookmarkStart w:id="1655" w:name="_Toc231982250"/>
      <w:r>
        <w:lastRenderedPageBreak/>
        <w:t xml:space="preserve">Acute </w:t>
      </w:r>
      <w:r w:rsidRPr="00B54B57">
        <w:t>specialist</w:t>
      </w:r>
      <w:r>
        <w:t xml:space="preserve"> services</w:t>
      </w:r>
      <w:bookmarkEnd w:id="1648"/>
      <w:bookmarkEnd w:id="1649"/>
      <w:bookmarkEnd w:id="1650"/>
      <w:bookmarkEnd w:id="1651"/>
      <w:bookmarkEnd w:id="1652"/>
      <w:bookmarkEnd w:id="1653"/>
      <w:bookmarkEnd w:id="1654"/>
      <w:bookmarkEnd w:id="1655"/>
    </w:p>
    <w:p w14:paraId="64973792" w14:textId="27FE1FBF" w:rsidR="00817104" w:rsidRDefault="00817104" w:rsidP="00817104">
      <w:pPr>
        <w:pStyle w:val="Heading2"/>
      </w:pPr>
      <w:bookmarkStart w:id="1656" w:name="_Toc106868017"/>
      <w:bookmarkStart w:id="1657" w:name="_Toc106869768"/>
      <w:bookmarkStart w:id="1658" w:name="_Toc106870102"/>
      <w:bookmarkStart w:id="1659" w:name="_Toc106870268"/>
      <w:bookmarkStart w:id="1660" w:name="_Toc106870440"/>
      <w:bookmarkStart w:id="1661" w:name="_Toc418694914"/>
      <w:bookmarkStart w:id="1662" w:name="_Toc6215554"/>
      <w:bookmarkStart w:id="1663" w:name="_Toc10199631"/>
      <w:bookmarkStart w:id="1664" w:name="_Toc165964637"/>
      <w:bookmarkStart w:id="1665" w:name="_Toc167174499"/>
      <w:bookmarkStart w:id="1666" w:name="_Toc231982251"/>
      <w:r>
        <w:t xml:space="preserve">Victorian </w:t>
      </w:r>
      <w:r w:rsidRPr="00B54B57">
        <w:t>Perinatal</w:t>
      </w:r>
      <w:r>
        <w:t xml:space="preserve"> Autopsy Service</w:t>
      </w:r>
      <w:bookmarkEnd w:id="1656"/>
      <w:bookmarkEnd w:id="1657"/>
      <w:bookmarkEnd w:id="1658"/>
      <w:bookmarkEnd w:id="1659"/>
      <w:bookmarkEnd w:id="1660"/>
      <w:bookmarkEnd w:id="1661"/>
      <w:bookmarkEnd w:id="1662"/>
      <w:bookmarkEnd w:id="1663"/>
      <w:bookmarkEnd w:id="1664"/>
      <w:bookmarkEnd w:id="1665"/>
      <w:bookmarkEnd w:id="1666"/>
    </w:p>
    <w:p w14:paraId="183BCE75" w14:textId="77777777" w:rsidR="00817104" w:rsidRDefault="00817104" w:rsidP="00817104">
      <w:pPr>
        <w:pStyle w:val="Body"/>
        <w:rPr>
          <w:lang w:eastAsia="en-AU"/>
        </w:rPr>
      </w:pPr>
      <w:bookmarkStart w:id="1667" w:name="_Toc165964638"/>
      <w:bookmarkStart w:id="1668" w:name="_Toc167174500"/>
      <w:bookmarkStart w:id="1669" w:name="_Toc106868018"/>
      <w:bookmarkStart w:id="1670" w:name="_Toc106869769"/>
      <w:bookmarkStart w:id="1671" w:name="_Toc106870103"/>
      <w:bookmarkStart w:id="1672" w:name="_Toc106870269"/>
      <w:bookmarkStart w:id="1673" w:name="_Toc106870441"/>
      <w:bookmarkStart w:id="1674" w:name="_Toc418694915"/>
      <w:bookmarkStart w:id="1675" w:name="_Toc6215555"/>
      <w:bookmarkStart w:id="1676" w:name="_Toc10199632"/>
      <w:r w:rsidRPr="0670E279">
        <w:rPr>
          <w:lang w:eastAsia="en-AU"/>
        </w:rPr>
        <w:t>The Victorian Perinatal Autopsy Service (VPAS) is a statewide service that provides perinatal autopsies and investigations</w:t>
      </w:r>
      <w:r>
        <w:rPr>
          <w:lang w:eastAsia="en-AU"/>
        </w:rPr>
        <w:t>,</w:t>
      </w:r>
      <w:r w:rsidRPr="0670E279">
        <w:rPr>
          <w:lang w:eastAsia="en-AU"/>
        </w:rPr>
        <w:t xml:space="preserve"> and related support, care and resources. </w:t>
      </w:r>
    </w:p>
    <w:p w14:paraId="496C1FFE" w14:textId="77777777" w:rsidR="00817104" w:rsidRDefault="00817104" w:rsidP="00817104">
      <w:pPr>
        <w:pStyle w:val="Body"/>
        <w:rPr>
          <w:lang w:eastAsia="en-AU"/>
        </w:rPr>
      </w:pPr>
      <w:r w:rsidRPr="0670E279">
        <w:rPr>
          <w:lang w:eastAsia="en-AU"/>
        </w:rPr>
        <w:t>The service is fully funded and available for Victorian families who have experienced pregnancy loss from 20+ weeks’ gestation and have been either public or private patients. Families are not charged for autopsies for registered perinatal deaths (this includes stillborn babies delivered from 20</w:t>
      </w:r>
      <w:r>
        <w:rPr>
          <w:lang w:eastAsia="en-AU"/>
        </w:rPr>
        <w:t> </w:t>
      </w:r>
      <w:r w:rsidRPr="0670E279">
        <w:rPr>
          <w:lang w:eastAsia="en-AU"/>
        </w:rPr>
        <w:t xml:space="preserve">weeks’ gestation </w:t>
      </w:r>
      <w:r>
        <w:rPr>
          <w:lang w:eastAsia="en-AU"/>
        </w:rPr>
        <w:t>and</w:t>
      </w:r>
      <w:r w:rsidRPr="0670E279">
        <w:rPr>
          <w:lang w:eastAsia="en-AU"/>
        </w:rPr>
        <w:t xml:space="preserve"> infants who die before 28 days of life). </w:t>
      </w:r>
    </w:p>
    <w:p w14:paraId="541423AC" w14:textId="77777777" w:rsidR="00817104" w:rsidRDefault="00817104" w:rsidP="00817104">
      <w:pPr>
        <w:pStyle w:val="Body"/>
        <w:rPr>
          <w:lang w:eastAsia="en-AU"/>
        </w:rPr>
      </w:pPr>
      <w:r w:rsidRPr="0670E279">
        <w:rPr>
          <w:lang w:eastAsia="en-AU"/>
        </w:rPr>
        <w:t xml:space="preserve">The Royal Women’s Hospital provides: </w:t>
      </w:r>
    </w:p>
    <w:p w14:paraId="23A95381" w14:textId="77777777" w:rsidR="00817104" w:rsidRDefault="00817104" w:rsidP="00817104">
      <w:pPr>
        <w:pStyle w:val="Bullet1"/>
        <w:numPr>
          <w:ilvl w:val="0"/>
          <w:numId w:val="2"/>
        </w:numPr>
        <w:rPr>
          <w:lang w:eastAsia="en-AU"/>
        </w:rPr>
      </w:pPr>
      <w:r>
        <w:rPr>
          <w:lang w:eastAsia="en-AU"/>
        </w:rPr>
        <w:t>a</w:t>
      </w:r>
      <w:r w:rsidRPr="0670E279">
        <w:rPr>
          <w:lang w:eastAsia="en-AU"/>
        </w:rPr>
        <w:t>uspicing and governance of VPAS</w:t>
      </w:r>
    </w:p>
    <w:p w14:paraId="31F5436C" w14:textId="77777777" w:rsidR="00817104" w:rsidRDefault="00817104" w:rsidP="00817104">
      <w:pPr>
        <w:pStyle w:val="Bullet1"/>
        <w:numPr>
          <w:ilvl w:val="0"/>
          <w:numId w:val="2"/>
        </w:numPr>
        <w:rPr>
          <w:lang w:eastAsia="en-AU"/>
        </w:rPr>
      </w:pPr>
      <w:r>
        <w:rPr>
          <w:lang w:eastAsia="en-AU"/>
        </w:rPr>
        <w:t>c</w:t>
      </w:r>
      <w:r w:rsidRPr="0670E279">
        <w:rPr>
          <w:lang w:eastAsia="en-AU"/>
        </w:rPr>
        <w:t>entralised coordination of autopsy referrals and transportation of deceased babies from external health services</w:t>
      </w:r>
    </w:p>
    <w:p w14:paraId="29284B9F" w14:textId="77777777" w:rsidR="00817104" w:rsidRDefault="00817104" w:rsidP="00817104">
      <w:pPr>
        <w:pStyle w:val="Bullet1"/>
        <w:numPr>
          <w:ilvl w:val="0"/>
          <w:numId w:val="2"/>
        </w:numPr>
        <w:rPr>
          <w:lang w:eastAsia="en-AU"/>
        </w:rPr>
      </w:pPr>
      <w:r>
        <w:rPr>
          <w:lang w:eastAsia="en-AU"/>
        </w:rPr>
        <w:t>p</w:t>
      </w:r>
      <w:r w:rsidRPr="0670E279">
        <w:rPr>
          <w:lang w:eastAsia="en-AU"/>
        </w:rPr>
        <w:t>rovision of consistent family information regarding the process of arranging a perinatal autopsy and how to access bereavement support and advice</w:t>
      </w:r>
    </w:p>
    <w:p w14:paraId="09E9CDE2" w14:textId="77777777" w:rsidR="00817104" w:rsidRDefault="00817104" w:rsidP="00817104">
      <w:pPr>
        <w:pStyle w:val="Bullet1"/>
        <w:numPr>
          <w:ilvl w:val="0"/>
          <w:numId w:val="2"/>
        </w:numPr>
        <w:rPr>
          <w:lang w:eastAsia="en-AU"/>
        </w:rPr>
      </w:pPr>
      <w:r>
        <w:rPr>
          <w:lang w:eastAsia="en-AU"/>
        </w:rPr>
        <w:t>t</w:t>
      </w:r>
      <w:r w:rsidRPr="0670E279">
        <w:rPr>
          <w:lang w:eastAsia="en-AU"/>
        </w:rPr>
        <w:t>raining and education for clinical staff involved in supporting families for pathways to stillborn baby autopsies</w:t>
      </w:r>
      <w:r>
        <w:t>.</w:t>
      </w:r>
    </w:p>
    <w:p w14:paraId="698C16A3" w14:textId="77777777" w:rsidR="00817104" w:rsidRDefault="00817104" w:rsidP="00817104">
      <w:pPr>
        <w:pStyle w:val="Bodyafterbullets"/>
      </w:pPr>
      <w:r w:rsidRPr="0670E279">
        <w:rPr>
          <w:lang w:eastAsia="en-AU"/>
        </w:rPr>
        <w:t xml:space="preserve">For comprehensive information on how to </w:t>
      </w:r>
      <w:r w:rsidRPr="00B65A7D">
        <w:t>access</w:t>
      </w:r>
      <w:r w:rsidRPr="0670E279">
        <w:rPr>
          <w:lang w:eastAsia="en-AU"/>
        </w:rPr>
        <w:t xml:space="preserve"> VPAS</w:t>
      </w:r>
      <w:r>
        <w:rPr>
          <w:lang w:eastAsia="en-AU"/>
        </w:rPr>
        <w:t>,</w:t>
      </w:r>
      <w:r w:rsidRPr="0670E279">
        <w:rPr>
          <w:lang w:eastAsia="en-AU"/>
        </w:rPr>
        <w:t xml:space="preserve"> visit </w:t>
      </w:r>
      <w:hyperlink r:id="rId31">
        <w:r w:rsidRPr="0670E279">
          <w:rPr>
            <w:rStyle w:val="Hyperlink"/>
          </w:rPr>
          <w:t>VPAS</w:t>
        </w:r>
      </w:hyperlink>
      <w:r w:rsidRPr="0670E279">
        <w:rPr>
          <w:lang w:eastAsia="en-AU"/>
        </w:rPr>
        <w:t xml:space="preserve"> </w:t>
      </w:r>
      <w:r>
        <w:t>&lt;</w:t>
      </w:r>
      <w:r w:rsidRPr="0023158F">
        <w:t>https://www.thewomens.org.au/health-professionals/support-services-professionals/victorian-perinatal-autopsy-service</w:t>
      </w:r>
      <w:r>
        <w:t>&gt;.</w:t>
      </w:r>
    </w:p>
    <w:p w14:paraId="3E4D6C9E" w14:textId="77777777" w:rsidR="00817104" w:rsidRDefault="00817104" w:rsidP="00817104">
      <w:pPr>
        <w:pStyle w:val="Body"/>
        <w:rPr>
          <w:lang w:eastAsia="en-AU"/>
        </w:rPr>
      </w:pPr>
      <w:r w:rsidRPr="0670E279">
        <w:rPr>
          <w:lang w:eastAsia="en-AU"/>
        </w:rPr>
        <w:t>Autopsies are provided by three of the Maternity Capability Level 6 health services and their respective pathology service providers, including:</w:t>
      </w:r>
    </w:p>
    <w:p w14:paraId="3B4CB779" w14:textId="77777777" w:rsidR="00817104" w:rsidRDefault="00817104" w:rsidP="00817104">
      <w:pPr>
        <w:pStyle w:val="Bullet1"/>
        <w:numPr>
          <w:ilvl w:val="0"/>
          <w:numId w:val="2"/>
        </w:numPr>
        <w:rPr>
          <w:lang w:eastAsia="en-AU"/>
        </w:rPr>
      </w:pPr>
      <w:r w:rsidRPr="0670E279">
        <w:rPr>
          <w:lang w:eastAsia="en-AU"/>
        </w:rPr>
        <w:t xml:space="preserve">The Royal Women’s Hospital and </w:t>
      </w:r>
      <w:r>
        <w:rPr>
          <w:lang w:eastAsia="en-AU"/>
        </w:rPr>
        <w:t>its</w:t>
      </w:r>
      <w:r w:rsidRPr="0670E279">
        <w:rPr>
          <w:lang w:eastAsia="en-AU"/>
        </w:rPr>
        <w:t xml:space="preserve"> pathology provider, The Royal Children’s Hospital</w:t>
      </w:r>
    </w:p>
    <w:p w14:paraId="09278124" w14:textId="77777777" w:rsidR="00817104" w:rsidRDefault="00817104" w:rsidP="00817104">
      <w:pPr>
        <w:pStyle w:val="Bullet1"/>
        <w:numPr>
          <w:ilvl w:val="0"/>
          <w:numId w:val="2"/>
        </w:numPr>
        <w:rPr>
          <w:lang w:eastAsia="en-AU"/>
        </w:rPr>
      </w:pPr>
      <w:r w:rsidRPr="0670E279">
        <w:rPr>
          <w:lang w:eastAsia="en-AU"/>
        </w:rPr>
        <w:t xml:space="preserve">Monash Health </w:t>
      </w:r>
    </w:p>
    <w:p w14:paraId="4B91EFEF" w14:textId="77777777" w:rsidR="00817104" w:rsidRDefault="00817104" w:rsidP="00817104">
      <w:pPr>
        <w:pStyle w:val="Bullet1"/>
        <w:numPr>
          <w:ilvl w:val="0"/>
          <w:numId w:val="2"/>
        </w:numPr>
        <w:rPr>
          <w:lang w:eastAsia="en-AU"/>
        </w:rPr>
      </w:pPr>
      <w:r w:rsidRPr="0670E279">
        <w:rPr>
          <w:lang w:eastAsia="en-AU"/>
        </w:rPr>
        <w:t xml:space="preserve">Mercy Hospital for Women and </w:t>
      </w:r>
      <w:r>
        <w:rPr>
          <w:lang w:eastAsia="en-AU"/>
        </w:rPr>
        <w:t>its</w:t>
      </w:r>
      <w:r w:rsidRPr="0670E279">
        <w:rPr>
          <w:lang w:eastAsia="en-AU"/>
        </w:rPr>
        <w:t xml:space="preserve"> pathology provider, Austin Pathology.</w:t>
      </w:r>
    </w:p>
    <w:p w14:paraId="38AE83F5" w14:textId="77777777" w:rsidR="00817104" w:rsidRDefault="00817104" w:rsidP="00817104">
      <w:pPr>
        <w:pStyle w:val="Bodyafterbullets"/>
        <w:rPr>
          <w:lang w:eastAsia="en-AU"/>
        </w:rPr>
      </w:pPr>
      <w:r w:rsidRPr="0670E279">
        <w:rPr>
          <w:lang w:eastAsia="en-AU"/>
        </w:rPr>
        <w:t>These services are then reimbursed at an agreed rate.</w:t>
      </w:r>
    </w:p>
    <w:p w14:paraId="1A092992" w14:textId="77777777" w:rsidR="00817104" w:rsidRDefault="00817104" w:rsidP="00817104">
      <w:pPr>
        <w:pStyle w:val="Body"/>
        <w:rPr>
          <w:lang w:eastAsia="en-AU"/>
        </w:rPr>
      </w:pPr>
      <w:r w:rsidRPr="0670E279">
        <w:rPr>
          <w:lang w:eastAsia="en-AU"/>
        </w:rPr>
        <w:t xml:space="preserve">All public health services: </w:t>
      </w:r>
    </w:p>
    <w:p w14:paraId="6C8C782A" w14:textId="77777777" w:rsidR="00817104" w:rsidRDefault="00817104" w:rsidP="00817104">
      <w:pPr>
        <w:pStyle w:val="Bullet1"/>
        <w:numPr>
          <w:ilvl w:val="0"/>
          <w:numId w:val="2"/>
        </w:numPr>
        <w:rPr>
          <w:lang w:eastAsia="en-AU"/>
        </w:rPr>
      </w:pPr>
      <w:r w:rsidRPr="0670E279">
        <w:rPr>
          <w:lang w:eastAsia="en-AU"/>
        </w:rPr>
        <w:t>are expected to use VPAS</w:t>
      </w:r>
    </w:p>
    <w:p w14:paraId="63EAD0F3" w14:textId="77777777" w:rsidR="00817104" w:rsidRPr="00F64A0A" w:rsidRDefault="00817104" w:rsidP="00817104">
      <w:pPr>
        <w:pStyle w:val="Bullet1"/>
        <w:numPr>
          <w:ilvl w:val="0"/>
          <w:numId w:val="2"/>
        </w:numPr>
        <w:rPr>
          <w:lang w:eastAsia="en-AU"/>
        </w:rPr>
      </w:pPr>
      <w:r w:rsidRPr="0670E279">
        <w:rPr>
          <w:lang w:eastAsia="en-AU"/>
        </w:rPr>
        <w:t>are allocated a VPAS autopsy site</w:t>
      </w:r>
      <w:r>
        <w:rPr>
          <w:lang w:eastAsia="en-AU"/>
        </w:rPr>
        <w:t>,</w:t>
      </w:r>
      <w:r w:rsidRPr="0670E279">
        <w:rPr>
          <w:lang w:eastAsia="en-AU"/>
        </w:rPr>
        <w:t xml:space="preserve"> which health services can find out more about at </w:t>
      </w:r>
      <w:hyperlink r:id="rId32">
        <w:r>
          <w:rPr>
            <w:rStyle w:val="Hyperlink"/>
            <w:lang w:eastAsia="en-AU"/>
          </w:rPr>
          <w:t xml:space="preserve">For health professionals – </w:t>
        </w:r>
        <w:r w:rsidRPr="0670E279">
          <w:rPr>
            <w:rStyle w:val="Hyperlink"/>
            <w:lang w:eastAsia="en-AU"/>
          </w:rPr>
          <w:t>VPAS</w:t>
        </w:r>
      </w:hyperlink>
      <w:r w:rsidRPr="0670E279">
        <w:rPr>
          <w:lang w:eastAsia="en-AU"/>
        </w:rPr>
        <w:t xml:space="preserve"> &lt;https://www.thewomens.org.au/health-professionals/</w:t>
      </w:r>
      <w:r w:rsidRPr="00BD0AF2">
        <w:rPr>
          <w:lang w:eastAsia="en-AU"/>
        </w:rPr>
        <w:t>health-professionals</w:t>
      </w:r>
      <w:r w:rsidRPr="0670E279">
        <w:rPr>
          <w:lang w:eastAsia="en-AU"/>
        </w:rPr>
        <w:t>-vpas&gt;</w:t>
      </w:r>
    </w:p>
    <w:p w14:paraId="425EF77C" w14:textId="77777777" w:rsidR="00817104" w:rsidRDefault="00817104" w:rsidP="00817104">
      <w:pPr>
        <w:pStyle w:val="Bullet1"/>
        <w:numPr>
          <w:ilvl w:val="0"/>
          <w:numId w:val="2"/>
        </w:numPr>
        <w:rPr>
          <w:lang w:eastAsia="en-AU"/>
        </w:rPr>
      </w:pPr>
      <w:r w:rsidRPr="0670E279">
        <w:rPr>
          <w:lang w:eastAsia="en-AU"/>
        </w:rPr>
        <w:t>should offer and explain the importance of a perinatal autopsy, and pathological examination of the placenta by a senior clinician</w:t>
      </w:r>
      <w:r>
        <w:rPr>
          <w:lang w:eastAsia="en-AU"/>
        </w:rPr>
        <w:t>,</w:t>
      </w:r>
      <w:r w:rsidRPr="0670E279">
        <w:rPr>
          <w:lang w:eastAsia="en-AU"/>
        </w:rPr>
        <w:t xml:space="preserve"> in all cases of perinatal death.</w:t>
      </w:r>
    </w:p>
    <w:p w14:paraId="50491787" w14:textId="77777777" w:rsidR="00817104" w:rsidRDefault="00817104" w:rsidP="00817104">
      <w:pPr>
        <w:pStyle w:val="Bodyafterbullets"/>
        <w:rPr>
          <w:lang w:eastAsia="en-AU"/>
        </w:rPr>
      </w:pPr>
      <w:r w:rsidRPr="0670E279">
        <w:rPr>
          <w:lang w:eastAsia="en-AU"/>
        </w:rPr>
        <w:t xml:space="preserve">Perinatal autopsy </w:t>
      </w:r>
      <w:r>
        <w:rPr>
          <w:lang w:eastAsia="en-AU"/>
        </w:rPr>
        <w:t>and investigation</w:t>
      </w:r>
      <w:r w:rsidRPr="0670E279">
        <w:rPr>
          <w:lang w:eastAsia="en-AU"/>
        </w:rPr>
        <w:t xml:space="preserve"> findings directly inform and support the Consultative Council on Obstetric and Paediatric Mortality and Morbidity (CCOPMM) to provide expert advice on maternal and perinatal outcomes. </w:t>
      </w:r>
      <w:r>
        <w:rPr>
          <w:lang w:eastAsia="en-AU"/>
        </w:rPr>
        <w:t>Perinatal a</w:t>
      </w:r>
      <w:r w:rsidRPr="0670E279">
        <w:rPr>
          <w:lang w:eastAsia="en-AU"/>
        </w:rPr>
        <w:t>utops</w:t>
      </w:r>
      <w:r>
        <w:rPr>
          <w:lang w:eastAsia="en-AU"/>
        </w:rPr>
        <w:t>ies and</w:t>
      </w:r>
      <w:r w:rsidRPr="0670E279">
        <w:rPr>
          <w:lang w:eastAsia="en-AU"/>
        </w:rPr>
        <w:t xml:space="preserve"> investigations help improve maternity and newborn care and education by improving the quality of data on perinatal cause of death and undertaking </w:t>
      </w:r>
      <w:r w:rsidRPr="00B65A7D">
        <w:t>appropriate</w:t>
      </w:r>
      <w:r w:rsidRPr="0670E279">
        <w:rPr>
          <w:lang w:eastAsia="en-AU"/>
        </w:rPr>
        <w:t xml:space="preserve"> audits, investigations and classification.</w:t>
      </w:r>
    </w:p>
    <w:p w14:paraId="1F187AD3" w14:textId="77777777" w:rsidR="00817104" w:rsidRPr="00F64A0A" w:rsidRDefault="00817104" w:rsidP="00817104">
      <w:pPr>
        <w:pStyle w:val="Body"/>
        <w:rPr>
          <w:lang w:eastAsia="en-AU"/>
        </w:rPr>
      </w:pPr>
      <w:r w:rsidRPr="0670E279">
        <w:rPr>
          <w:lang w:eastAsia="en-AU"/>
        </w:rPr>
        <w:t>Private health services are also encouraged to use the service.</w:t>
      </w:r>
    </w:p>
    <w:p w14:paraId="092CAFE5" w14:textId="2E670326" w:rsidR="00817104" w:rsidRDefault="00817104" w:rsidP="00817104">
      <w:pPr>
        <w:pStyle w:val="Heading2"/>
      </w:pPr>
      <w:bookmarkStart w:id="1677" w:name="_Toc231982252"/>
      <w:r>
        <w:lastRenderedPageBreak/>
        <w:t>N</w:t>
      </w:r>
      <w:r w:rsidRPr="00C148D2">
        <w:t>ewborn hearing screening service</w:t>
      </w:r>
      <w:bookmarkEnd w:id="1677"/>
      <w:r w:rsidRPr="00C148D2" w:rsidDel="00C148D2">
        <w:t xml:space="preserve"> </w:t>
      </w:r>
      <w:bookmarkEnd w:id="1667"/>
      <w:bookmarkEnd w:id="1668"/>
    </w:p>
    <w:p w14:paraId="1264A35C" w14:textId="77777777" w:rsidR="00817104" w:rsidRDefault="00817104" w:rsidP="00817104">
      <w:pPr>
        <w:pStyle w:val="Body"/>
      </w:pPr>
      <w:bookmarkStart w:id="1678" w:name="_Toc165964639"/>
      <w:bookmarkStart w:id="1679" w:name="_Toc167174501"/>
      <w:r>
        <w:t>The Victorian Infant Hearing Screening Program (VIHSP) provides a statewide newborn hearing screening service to babies born at all Victorian maternity hospitals. Screening is provided within the first weeks of life, as early detection and intervention improves outcomes for babies with hearing loss.</w:t>
      </w:r>
    </w:p>
    <w:p w14:paraId="39DBB89E" w14:textId="77777777" w:rsidR="00817104" w:rsidRDefault="00817104" w:rsidP="00817104">
      <w:pPr>
        <w:pStyle w:val="Body"/>
      </w:pPr>
      <w:r>
        <w:t>The service is provided by The Royal Children’s Hospital in public, private, metropolitan and regional maternity services.</w:t>
      </w:r>
    </w:p>
    <w:p w14:paraId="3D466814" w14:textId="77777777" w:rsidR="00817104" w:rsidRPr="00900018" w:rsidRDefault="00817104" w:rsidP="00817104">
      <w:pPr>
        <w:pStyle w:val="Body"/>
      </w:pPr>
      <w:r>
        <w:t xml:space="preserve">For more information, as well as guidelines for referral to the Victorian Infant Hearing Screening Program, visit </w:t>
      </w:r>
      <w:hyperlink r:id="rId33" w:history="1">
        <w:r w:rsidRPr="00D30986">
          <w:rPr>
            <w:rStyle w:val="Hyperlink"/>
          </w:rPr>
          <w:t>VIHSP</w:t>
        </w:r>
      </w:hyperlink>
      <w:r>
        <w:t xml:space="preserve"> &lt;https://www.rch.org.au/vihsp/&gt;.</w:t>
      </w:r>
    </w:p>
    <w:p w14:paraId="5113A992" w14:textId="1774E441" w:rsidR="00817104" w:rsidRPr="00122CB8" w:rsidRDefault="00817104" w:rsidP="00817104">
      <w:pPr>
        <w:pStyle w:val="Heading2"/>
      </w:pPr>
      <w:bookmarkStart w:id="1680" w:name="_Toc231982253"/>
      <w:r w:rsidRPr="00122CB8">
        <w:t xml:space="preserve">Organ and </w:t>
      </w:r>
      <w:bookmarkEnd w:id="1669"/>
      <w:bookmarkEnd w:id="1670"/>
      <w:bookmarkEnd w:id="1671"/>
      <w:bookmarkEnd w:id="1672"/>
      <w:bookmarkEnd w:id="1673"/>
      <w:bookmarkEnd w:id="1674"/>
      <w:bookmarkEnd w:id="1675"/>
      <w:bookmarkEnd w:id="1676"/>
      <w:r w:rsidRPr="00122CB8">
        <w:t xml:space="preserve">tissue </w:t>
      </w:r>
      <w:r w:rsidRPr="00B54B57">
        <w:t>donation</w:t>
      </w:r>
      <w:bookmarkEnd w:id="1678"/>
      <w:bookmarkEnd w:id="1679"/>
      <w:bookmarkEnd w:id="1680"/>
    </w:p>
    <w:p w14:paraId="7A5D2BDD" w14:textId="3DA16D95" w:rsidR="00817104" w:rsidRDefault="00817104" w:rsidP="00817104">
      <w:pPr>
        <w:pStyle w:val="Body"/>
      </w:pPr>
      <w:bookmarkStart w:id="1681" w:name="_Toc106868019"/>
      <w:bookmarkStart w:id="1682" w:name="_Toc106869770"/>
      <w:bookmarkStart w:id="1683" w:name="_Toc106870104"/>
      <w:bookmarkStart w:id="1684" w:name="_Toc106870270"/>
      <w:bookmarkStart w:id="1685" w:name="_Toc106870442"/>
      <w:bookmarkStart w:id="1686" w:name="_Toc6215556"/>
      <w:bookmarkStart w:id="1687" w:name="_Toc10199633"/>
      <w:bookmarkStart w:id="1688" w:name="_Toc165964640"/>
      <w:bookmarkStart w:id="1689" w:name="_Toc167174502"/>
      <w:r>
        <w:t xml:space="preserve">The Australian Organ and Tissue Donation Authority, in partnership with the department, funds the operational costs of DonateLife Victoria (an organ donation organisation) and health services to employ clinical staff dedicated to organ and tissue donation. Medical and nursing organ and tissue donation specialists are based at several metropolitan and regional health services. The Australian Organ and Tissue Donation Authority also </w:t>
      </w:r>
      <w:r w:rsidR="00D470A5">
        <w:t>provide</w:t>
      </w:r>
      <w:r>
        <w:t xml:space="preserve"> hospital support funding for health services to cover the extra costs associated with organ donation.</w:t>
      </w:r>
    </w:p>
    <w:p w14:paraId="6368B7B7" w14:textId="77777777" w:rsidR="00817104" w:rsidRDefault="00817104" w:rsidP="00817104">
      <w:pPr>
        <w:pStyle w:val="Body"/>
      </w:pPr>
      <w:r>
        <w:t xml:space="preserve">For more information, visit </w:t>
      </w:r>
      <w:hyperlink r:id="rId34" w:history="1">
        <w:r w:rsidRPr="00D30986">
          <w:rPr>
            <w:rStyle w:val="Hyperlink"/>
          </w:rPr>
          <w:t>Organ and tissue donation</w:t>
        </w:r>
      </w:hyperlink>
      <w:r>
        <w:t xml:space="preserve"> &lt;https://www.health.vic.gov.au/patient-care/organ-and-tissue-donation&gt;.</w:t>
      </w:r>
    </w:p>
    <w:p w14:paraId="435CE031" w14:textId="01928EB6" w:rsidR="00817104" w:rsidRPr="00A22A4A" w:rsidRDefault="00817104" w:rsidP="00817104">
      <w:pPr>
        <w:pStyle w:val="Heading2"/>
      </w:pPr>
      <w:bookmarkStart w:id="1690" w:name="_Toc231982254"/>
      <w:r>
        <w:t>Blood products supply funding</w:t>
      </w:r>
      <w:bookmarkEnd w:id="1681"/>
      <w:bookmarkEnd w:id="1682"/>
      <w:bookmarkEnd w:id="1683"/>
      <w:bookmarkEnd w:id="1684"/>
      <w:bookmarkEnd w:id="1685"/>
      <w:bookmarkEnd w:id="1686"/>
      <w:bookmarkEnd w:id="1687"/>
      <w:bookmarkEnd w:id="1688"/>
      <w:bookmarkEnd w:id="1689"/>
      <w:bookmarkEnd w:id="1690"/>
    </w:p>
    <w:p w14:paraId="5D11832D" w14:textId="77777777" w:rsidR="00817104" w:rsidRDefault="00817104" w:rsidP="00817104">
      <w:pPr>
        <w:pStyle w:val="Body"/>
      </w:pPr>
      <w:bookmarkStart w:id="1691" w:name="_Toc106868020"/>
      <w:bookmarkStart w:id="1692" w:name="_Toc106869771"/>
      <w:bookmarkStart w:id="1693" w:name="_Toc106870105"/>
      <w:bookmarkStart w:id="1694" w:name="_Toc106870271"/>
      <w:bookmarkStart w:id="1695" w:name="_Toc106870443"/>
      <w:bookmarkStart w:id="1696" w:name="_Toc6215557"/>
      <w:bookmarkStart w:id="1697" w:name="_Toc10199634"/>
      <w:bookmarkStart w:id="1698" w:name="_Toc165964641"/>
      <w:bookmarkStart w:id="1699" w:name="_Toc167174503"/>
      <w:r>
        <w:t xml:space="preserve">Funding for the Victorian blood and blood products supply will continue as per the </w:t>
      </w:r>
      <w:r w:rsidRPr="00D623F9">
        <w:rPr>
          <w:i/>
          <w:iCs/>
        </w:rPr>
        <w:t>National Blood Agreement (2003)</w:t>
      </w:r>
      <w:r w:rsidRPr="006579FD">
        <w:t>,</w:t>
      </w:r>
      <w:r>
        <w:t xml:space="preserve"> using the Commonwealth–state government funding model of 63 per cent and 37 per cent, respectively. In compliance with the supply and funding arrangements in the agreement, sufficient volumes of blood and blood products will be available to public and private Victorian health services in 2026–27. This supply plan has been negotiated between the government, the National Blood Authority and the Australian Red Cross Lifeblood (previously known as the Australian Red Cross Blood Service). </w:t>
      </w:r>
    </w:p>
    <w:p w14:paraId="03E24B37" w14:textId="77777777" w:rsidR="00817104" w:rsidRDefault="00817104" w:rsidP="00817104">
      <w:pPr>
        <w:pStyle w:val="Body"/>
      </w:pPr>
      <w:r>
        <w:t xml:space="preserve">Access to blood and blood products will be guided by the </w:t>
      </w:r>
      <w:r w:rsidRPr="00720B51">
        <w:rPr>
          <w:i/>
          <w:iCs/>
        </w:rPr>
        <w:t>Australian health provider blood and blood products charter</w:t>
      </w:r>
      <w:r>
        <w:t xml:space="preserve">, which continues to be implemented with health providers nationally in 2026–27. The </w:t>
      </w:r>
      <w:r w:rsidRPr="00D72BAE">
        <w:t xml:space="preserve">Australian Health Ministers’ Conference </w:t>
      </w:r>
      <w:r w:rsidRPr="00F455DF">
        <w:t>Statement on National Stewardship Expectations for the Supply of Blood and Blood Products</w:t>
      </w:r>
      <w:r>
        <w:t xml:space="preserve"> is available from the </w:t>
      </w:r>
      <w:hyperlink r:id="rId35">
        <w:r w:rsidRPr="0670E279">
          <w:rPr>
            <w:rStyle w:val="Hyperlink"/>
          </w:rPr>
          <w:t>National Blood Authority</w:t>
        </w:r>
      </w:hyperlink>
      <w:r>
        <w:t xml:space="preserve"> &lt;</w:t>
      </w:r>
      <w:r w:rsidRPr="00AF4043">
        <w:t>https://www.blood.gov.au/australian-health-ministers-conference-statement-national-stewardship-expectations-supply-blood-and-blood-products</w:t>
      </w:r>
      <w:r>
        <w:t>&gt;.</w:t>
      </w:r>
    </w:p>
    <w:p w14:paraId="1B6C25BE" w14:textId="77777777" w:rsidR="00817104" w:rsidRDefault="00817104" w:rsidP="00817104">
      <w:pPr>
        <w:pStyle w:val="Body"/>
      </w:pPr>
      <w:r>
        <w:t xml:space="preserve">For more information, visit </w:t>
      </w:r>
      <w:hyperlink r:id="rId36" w:history="1">
        <w:r w:rsidRPr="007F0E73">
          <w:rPr>
            <w:rStyle w:val="Hyperlink"/>
          </w:rPr>
          <w:t>Blood and blood products</w:t>
        </w:r>
      </w:hyperlink>
      <w:r>
        <w:t xml:space="preserve"> &lt;https://www.health.vic.gov.au/patient-care/blood-and-blood-products&gt;.</w:t>
      </w:r>
    </w:p>
    <w:p w14:paraId="1EF0BCAC" w14:textId="77777777" w:rsidR="00817104" w:rsidRDefault="00817104" w:rsidP="00817104">
      <w:pPr>
        <w:pStyle w:val="Body"/>
      </w:pPr>
      <w:r>
        <w:t xml:space="preserve">Intravenous immunoglobulin is made available through the supply plan to health services for uses that have been agreed, according to the </w:t>
      </w:r>
      <w:r w:rsidRPr="003561BA">
        <w:t xml:space="preserve">Criteria for the clinical use of immunoglobulin in Australia. </w:t>
      </w:r>
      <w:r>
        <w:t>Intravenous immunoglobulin is also available for direct purchase by health services for uses that have not been included in the criteria.</w:t>
      </w:r>
    </w:p>
    <w:p w14:paraId="1482D360" w14:textId="77777777" w:rsidR="00817104" w:rsidRDefault="00817104" w:rsidP="00817104">
      <w:pPr>
        <w:pStyle w:val="Body"/>
      </w:pPr>
      <w:r>
        <w:t xml:space="preserve">For more information about intravenous immunoglobulin, visit </w:t>
      </w:r>
      <w:hyperlink r:id="rId37" w:history="1">
        <w:r w:rsidRPr="007F0E73">
          <w:rPr>
            <w:rStyle w:val="Hyperlink"/>
          </w:rPr>
          <w:t>Criteria for the clinical use of immunoglobulin in Australia</w:t>
        </w:r>
      </w:hyperlink>
      <w:r>
        <w:t xml:space="preserve"> &lt;</w:t>
      </w:r>
      <w:r w:rsidRPr="00BE3A68">
        <w:t>https://www.criteria.blood.gov.au/</w:t>
      </w:r>
      <w:r>
        <w:t>&gt;.</w:t>
      </w:r>
    </w:p>
    <w:p w14:paraId="79F3C8E3" w14:textId="77777777" w:rsidR="00817104" w:rsidRDefault="00817104" w:rsidP="00817104">
      <w:pPr>
        <w:spacing w:after="0" w:line="240" w:lineRule="auto"/>
        <w:rPr>
          <w:rFonts w:eastAsia="Times"/>
        </w:rPr>
      </w:pPr>
      <w:r>
        <w:br w:type="page"/>
      </w:r>
    </w:p>
    <w:p w14:paraId="186EA374" w14:textId="77777777" w:rsidR="00817104" w:rsidRDefault="00817104" w:rsidP="00817104">
      <w:pPr>
        <w:pStyle w:val="Body"/>
      </w:pPr>
      <w:r>
        <w:lastRenderedPageBreak/>
        <w:t xml:space="preserve">Subcutaneous immunoglobulin is available to health services through the supply plan for agreed uses. Funding for subcutaneous infusion therapy – home-delivered transitioned to activity-based funding (ABF) under the </w:t>
      </w:r>
      <w:r w:rsidRPr="002D6AE5">
        <w:t>NHRA</w:t>
      </w:r>
      <w:r w:rsidRPr="007D52E4" w:rsidDel="007D52E4">
        <w:t xml:space="preserve"> </w:t>
      </w:r>
      <w:r>
        <w:t>Tier 2 non-admitted s</w:t>
      </w:r>
      <w:r w:rsidRPr="000F01F1">
        <w:rPr>
          <w:rFonts w:eastAsia="Arial" w:cs="Arial"/>
        </w:rPr>
        <w:t>ervices national classification system</w:t>
      </w:r>
      <w:r w:rsidRPr="142E9E6B">
        <w:rPr>
          <w:rFonts w:eastAsia="Arial" w:cs="Arial"/>
        </w:rPr>
        <w:t xml:space="preserve"> from 1</w:t>
      </w:r>
      <w:r>
        <w:rPr>
          <w:rFonts w:eastAsia="Arial" w:cs="Arial"/>
        </w:rPr>
        <w:t xml:space="preserve"> </w:t>
      </w:r>
      <w:r w:rsidRPr="142E9E6B">
        <w:rPr>
          <w:rFonts w:eastAsia="Arial" w:cs="Arial"/>
        </w:rPr>
        <w:t>July 2025</w:t>
      </w:r>
      <w:r w:rsidRPr="000F01F1">
        <w:rPr>
          <w:rFonts w:eastAsia="Arial" w:cs="Arial"/>
        </w:rPr>
        <w:t>.</w:t>
      </w:r>
      <w:r>
        <w:rPr>
          <w:rFonts w:eastAsia="Arial" w:cs="Arial"/>
        </w:rPr>
        <w:t xml:space="preserve"> </w:t>
      </w:r>
      <w:r>
        <w:t xml:space="preserve">For more information about access, visit the </w:t>
      </w:r>
      <w:hyperlink r:id="rId38">
        <w:r w:rsidRPr="142E9E6B">
          <w:rPr>
            <w:rStyle w:val="Hyperlink"/>
          </w:rPr>
          <w:t>Subcutaneous immunoglobulin access program</w:t>
        </w:r>
      </w:hyperlink>
      <w:r>
        <w:t xml:space="preserve"> &lt;https://www.health.vic.gov.au/patient-care/subcutaneous-immunoglobulin-scig-access-program&gt;.</w:t>
      </w:r>
    </w:p>
    <w:p w14:paraId="67815DB3" w14:textId="77777777" w:rsidR="00817104" w:rsidRDefault="00817104" w:rsidP="00817104">
      <w:pPr>
        <w:pStyle w:val="Body"/>
      </w:pPr>
      <w:r>
        <w:t xml:space="preserve">Normal immunoglobulin is subject to national governance arrangements. For more information about normal immunoglobulin, visit </w:t>
      </w:r>
      <w:hyperlink r:id="rId39">
        <w:r w:rsidRPr="0670E279">
          <w:rPr>
            <w:rStyle w:val="Hyperlink"/>
          </w:rPr>
          <w:t xml:space="preserve">Normal </w:t>
        </w:r>
        <w:r>
          <w:rPr>
            <w:rStyle w:val="Hyperlink"/>
          </w:rPr>
          <w:t>h</w:t>
        </w:r>
        <w:r w:rsidRPr="0670E279">
          <w:rPr>
            <w:rStyle w:val="Hyperlink"/>
          </w:rPr>
          <w:t xml:space="preserve">uman </w:t>
        </w:r>
        <w:r>
          <w:rPr>
            <w:rStyle w:val="Hyperlink"/>
          </w:rPr>
          <w:t>i</w:t>
        </w:r>
        <w:r w:rsidRPr="0670E279">
          <w:rPr>
            <w:rStyle w:val="Hyperlink"/>
          </w:rPr>
          <w:t>mmunoglobulin</w:t>
        </w:r>
      </w:hyperlink>
      <w:r>
        <w:t xml:space="preserve"> &lt;</w:t>
      </w:r>
      <w:r w:rsidRPr="00CA1D8A">
        <w:t>https://www.blood.gov.au/blood-products/immunoglobulin-products/normal-human-immunoglobulin-nhig</w:t>
      </w:r>
      <w:r>
        <w:t>&gt;.</w:t>
      </w:r>
    </w:p>
    <w:p w14:paraId="68F47D95" w14:textId="77777777" w:rsidR="00817104" w:rsidRDefault="00817104" w:rsidP="00817104">
      <w:pPr>
        <w:pStyle w:val="Body"/>
      </w:pPr>
      <w:r>
        <w:t xml:space="preserve">There is an ongoing commitment to safe transfusion practice in health services through the Blood Matters Program. </w:t>
      </w:r>
      <w:r w:rsidRPr="0062638C">
        <w:t xml:space="preserve">For more information, visit the </w:t>
      </w:r>
      <w:hyperlink r:id="rId40">
        <w:r w:rsidRPr="234E0576">
          <w:rPr>
            <w:rStyle w:val="Hyperlink"/>
          </w:rPr>
          <w:t>Blood Matters Program</w:t>
        </w:r>
      </w:hyperlink>
      <w:r w:rsidRPr="0062638C">
        <w:t xml:space="preserve"> </w:t>
      </w:r>
      <w:r>
        <w:t>&lt;</w:t>
      </w:r>
      <w:r w:rsidRPr="0043057B">
        <w:t>https://www.health.vic.gov.au/patient-care/blood-matters-program</w:t>
      </w:r>
      <w:r>
        <w:t>&gt;.</w:t>
      </w:r>
    </w:p>
    <w:p w14:paraId="0682AA01" w14:textId="0CF5BE9D" w:rsidR="00817104" w:rsidRPr="00533C62" w:rsidRDefault="00817104" w:rsidP="00817104">
      <w:pPr>
        <w:pStyle w:val="Heading2"/>
        <w:rPr>
          <w:rFonts w:eastAsia="Times"/>
        </w:rPr>
      </w:pPr>
      <w:bookmarkStart w:id="1700" w:name="_Toc231982255"/>
      <w:r w:rsidRPr="00533C62">
        <w:t>Genetics outpatient program</w:t>
      </w:r>
      <w:bookmarkEnd w:id="1691"/>
      <w:bookmarkEnd w:id="1692"/>
      <w:bookmarkEnd w:id="1693"/>
      <w:bookmarkEnd w:id="1694"/>
      <w:bookmarkEnd w:id="1695"/>
      <w:bookmarkEnd w:id="1696"/>
      <w:bookmarkEnd w:id="1697"/>
      <w:bookmarkEnd w:id="1698"/>
      <w:bookmarkEnd w:id="1699"/>
      <w:bookmarkEnd w:id="1700"/>
    </w:p>
    <w:p w14:paraId="5DC098EA" w14:textId="77777777" w:rsidR="00817104" w:rsidRDefault="00817104" w:rsidP="00817104">
      <w:pPr>
        <w:pStyle w:val="Body"/>
      </w:pPr>
      <w:r>
        <w:t xml:space="preserve">Public genetic outpatient services in Victoria provide a range of clinical consultations, including appropriate counselling and clinically indicated testing. </w:t>
      </w:r>
      <w:r w:rsidRPr="0670E279">
        <w:rPr>
          <w:rFonts w:cs="Calibri"/>
          <w:lang w:val="en-US"/>
        </w:rPr>
        <w:t xml:space="preserve">This program does not fund genetic or genomic tests for admitted patients, which are considered separately, in line with the National Funding Model for </w:t>
      </w:r>
      <w:r w:rsidRPr="0670E279">
        <w:rPr>
          <w:rFonts w:eastAsia="Trebuchet MS" w:cs="Calibri"/>
          <w:lang w:val="en-US"/>
        </w:rPr>
        <w:t>acute admitted services</w:t>
      </w:r>
      <w:r w:rsidRPr="0670E279">
        <w:rPr>
          <w:rFonts w:cs="Calibri"/>
          <w:lang w:val="en-US"/>
        </w:rPr>
        <w:t>.</w:t>
      </w:r>
      <w:r w:rsidRPr="0670E279">
        <w:rPr>
          <w:lang w:val="en-US"/>
        </w:rPr>
        <w:t xml:space="preserve"> </w:t>
      </w:r>
      <w:r>
        <w:t>Genetics and genomics are becoming more integrated with routine health care in both acute and outpatient settings.</w:t>
      </w:r>
    </w:p>
    <w:p w14:paraId="40B73DD2" w14:textId="77777777" w:rsidR="00817104" w:rsidRDefault="00817104" w:rsidP="00817104">
      <w:pPr>
        <w:pStyle w:val="Body"/>
        <w:rPr>
          <w:rFonts w:cs="Calibri"/>
          <w:lang w:val="en-US"/>
        </w:rPr>
      </w:pPr>
      <w:r>
        <w:t xml:space="preserve">Funding models have been reviewed for </w:t>
      </w:r>
      <w:r w:rsidRPr="0670E279">
        <w:rPr>
          <w:rFonts w:cs="Calibri"/>
        </w:rPr>
        <w:t>clinical genetic</w:t>
      </w:r>
      <w:r>
        <w:t xml:space="preserve"> outpatient settings </w:t>
      </w:r>
      <w:r w:rsidRPr="0670E279">
        <w:rPr>
          <w:rFonts w:cs="Calibri"/>
          <w:lang w:val="en-US"/>
        </w:rPr>
        <w:t>(tier 2 class 20.08</w:t>
      </w:r>
      <w:r>
        <w:rPr>
          <w:rFonts w:cs="Calibri"/>
          <w:lang w:val="en-US"/>
        </w:rPr>
        <w:t>, 20.56, 40.62, 40.66</w:t>
      </w:r>
      <w:r w:rsidRPr="0670E279">
        <w:rPr>
          <w:rFonts w:cs="Calibri"/>
          <w:lang w:val="en-US"/>
        </w:rPr>
        <w:t xml:space="preserve">), </w:t>
      </w:r>
      <w:r>
        <w:rPr>
          <w:rFonts w:cs="Calibri"/>
          <w:lang w:val="en-US"/>
        </w:rPr>
        <w:t>and operate under</w:t>
      </w:r>
      <w:r w:rsidRPr="0670E279">
        <w:rPr>
          <w:rFonts w:cs="Calibri"/>
          <w:lang w:val="en-US"/>
        </w:rPr>
        <w:t xml:space="preserve"> </w:t>
      </w:r>
      <w:r>
        <w:rPr>
          <w:rFonts w:cs="Calibri"/>
          <w:lang w:val="en-US"/>
        </w:rPr>
        <w:t>ABF</w:t>
      </w:r>
      <w:r w:rsidRPr="0670E279">
        <w:rPr>
          <w:rFonts w:cs="Calibri"/>
          <w:lang w:val="en-US"/>
        </w:rPr>
        <w:t>, in line with the National Funding Model policy and requirements.</w:t>
      </w:r>
    </w:p>
    <w:p w14:paraId="50CB81F2" w14:textId="77777777" w:rsidR="00817104" w:rsidRDefault="00817104" w:rsidP="00817104">
      <w:pPr>
        <w:pStyle w:val="Body"/>
      </w:pPr>
      <w:r>
        <w:t>This program funds access to public clinical genetic services with referral from a general practitioner (GP) or medical specialist, but self-referral may occur.</w:t>
      </w:r>
    </w:p>
    <w:p w14:paraId="2A4506E5" w14:textId="77777777" w:rsidR="00817104" w:rsidRDefault="00817104" w:rsidP="00817104">
      <w:pPr>
        <w:pStyle w:val="Body"/>
      </w:pPr>
      <w:r>
        <w:t>Public clinical genetic services are provided through metropolitan hubs at:</w:t>
      </w:r>
    </w:p>
    <w:p w14:paraId="35263AD6" w14:textId="77777777" w:rsidR="00817104" w:rsidRDefault="00817104" w:rsidP="00817104">
      <w:pPr>
        <w:pStyle w:val="Bullet1"/>
        <w:numPr>
          <w:ilvl w:val="0"/>
          <w:numId w:val="2"/>
        </w:numPr>
      </w:pPr>
      <w:r>
        <w:t xml:space="preserve">Victorian Clinical Genetics Services </w:t>
      </w:r>
    </w:p>
    <w:p w14:paraId="16ABEDB3" w14:textId="77777777" w:rsidR="00817104" w:rsidRDefault="00817104" w:rsidP="00817104">
      <w:pPr>
        <w:pStyle w:val="Bullet1"/>
        <w:numPr>
          <w:ilvl w:val="0"/>
          <w:numId w:val="2"/>
        </w:numPr>
      </w:pPr>
      <w:r>
        <w:t>The Royal Melbourne Hospital, including the Familial Cancer Centre at the Peter MacCallum Cancer Centre</w:t>
      </w:r>
    </w:p>
    <w:p w14:paraId="5CCAAA37" w14:textId="77777777" w:rsidR="00817104" w:rsidRDefault="00817104" w:rsidP="00817104">
      <w:pPr>
        <w:pStyle w:val="Bullet1"/>
        <w:numPr>
          <w:ilvl w:val="0"/>
          <w:numId w:val="2"/>
        </w:numPr>
      </w:pPr>
      <w:r>
        <w:t>The Royal Women’s Hospital</w:t>
      </w:r>
    </w:p>
    <w:p w14:paraId="65F0F70A" w14:textId="77777777" w:rsidR="00817104" w:rsidRDefault="00817104" w:rsidP="00817104">
      <w:pPr>
        <w:pStyle w:val="Bullet1"/>
        <w:numPr>
          <w:ilvl w:val="0"/>
          <w:numId w:val="2"/>
        </w:numPr>
      </w:pPr>
      <w:r>
        <w:t>Monash Medical Centre Clayton</w:t>
      </w:r>
    </w:p>
    <w:p w14:paraId="68422C86" w14:textId="77777777" w:rsidR="00817104" w:rsidRDefault="00817104" w:rsidP="00817104">
      <w:pPr>
        <w:pStyle w:val="Bullet1"/>
        <w:numPr>
          <w:ilvl w:val="0"/>
          <w:numId w:val="2"/>
        </w:numPr>
      </w:pPr>
      <w:r>
        <w:t>Austin Hospital Heidelberg</w:t>
      </w:r>
    </w:p>
    <w:p w14:paraId="4DB2EE1D" w14:textId="77777777" w:rsidR="00817104" w:rsidRDefault="00817104" w:rsidP="00817104">
      <w:pPr>
        <w:pStyle w:val="Bullet1"/>
        <w:numPr>
          <w:ilvl w:val="0"/>
          <w:numId w:val="2"/>
        </w:numPr>
      </w:pPr>
      <w:r>
        <w:t>Mercy Hospital for Women Heidelberg</w:t>
      </w:r>
    </w:p>
    <w:p w14:paraId="6465BBC7" w14:textId="77777777" w:rsidR="00817104" w:rsidRDefault="00817104" w:rsidP="00817104">
      <w:pPr>
        <w:pStyle w:val="Bullet1"/>
        <w:numPr>
          <w:ilvl w:val="0"/>
          <w:numId w:val="2"/>
        </w:numPr>
      </w:pPr>
      <w:r>
        <w:t>Alfred Health.</w:t>
      </w:r>
    </w:p>
    <w:p w14:paraId="2DE1BB0E" w14:textId="77777777" w:rsidR="00817104" w:rsidRDefault="00817104" w:rsidP="00817104">
      <w:pPr>
        <w:pStyle w:val="Bodyafterbullets"/>
      </w:pPr>
      <w:r>
        <w:t>The hub sites provide periodic clinical outreach clinics to other metropolitan, rural and regional centres.</w:t>
      </w:r>
    </w:p>
    <w:p w14:paraId="47D1C1EE" w14:textId="77777777" w:rsidR="00817104" w:rsidRDefault="00817104" w:rsidP="00817104">
      <w:pPr>
        <w:pStyle w:val="Body"/>
      </w:pPr>
      <w:r>
        <w:t>Accredited laboratories provide genetic and genomic testing. Publicly funded testing can only be requested by publicly funded clinical genetic services. If a genetic or genomic test is not available in Victorian-accredited laboratories, it can be requested from an interstate or overseas-accredited laboratory.</w:t>
      </w:r>
    </w:p>
    <w:p w14:paraId="5509A9FE" w14:textId="77777777" w:rsidR="00817104" w:rsidRDefault="00817104" w:rsidP="00817104">
      <w:pPr>
        <w:pStyle w:val="Body"/>
      </w:pPr>
      <w:r w:rsidRPr="0670E279">
        <w:rPr>
          <w:rFonts w:cs="Calibri"/>
        </w:rPr>
        <w:t xml:space="preserve">Funding to support the Victorian Government’s initiative for </w:t>
      </w:r>
      <w:r>
        <w:t>genomic sequencing for children and adults with rare diseases and undiagnosed conditions is ongoing. This budget commitment facilitates access to a potential clinical diagnosis and streamlines the diagnostic process for patients. The funding supports access to genomic sequencing. Clinical care is provided at all sites.</w:t>
      </w:r>
    </w:p>
    <w:p w14:paraId="6ECB49A4" w14:textId="77777777" w:rsidR="00817104" w:rsidRDefault="00817104" w:rsidP="00817104">
      <w:pPr>
        <w:pStyle w:val="Body"/>
      </w:pPr>
      <w:r>
        <w:lastRenderedPageBreak/>
        <w:t>Activity data is to be reported to the department to inform funding and policy decisions. It is expected that publicly funded clinical genetic services, where appropriate, will redirect savings to address growing demand.</w:t>
      </w:r>
    </w:p>
    <w:p w14:paraId="07D506A7" w14:textId="77777777" w:rsidR="00817104" w:rsidRDefault="00817104" w:rsidP="00817104">
      <w:pPr>
        <w:pStyle w:val="Body"/>
      </w:pPr>
      <w:r>
        <w:t xml:space="preserve">Participating services must report costs to the Victorian Cost Data Collection (VCDC). Genetics clinics are also required to </w:t>
      </w:r>
      <w:r w:rsidRPr="0670E279">
        <w:rPr>
          <w:rFonts w:cs="Calibri"/>
        </w:rPr>
        <w:t>meet national patient-level, data-reporting requirements through</w:t>
      </w:r>
      <w:r>
        <w:t xml:space="preserve"> the Victorian Integrated Non-Admitted Health (VINAH) minimum data set (MDS) </w:t>
      </w:r>
      <w:r w:rsidRPr="0670E279">
        <w:rPr>
          <w:rFonts w:cs="Calibri"/>
        </w:rPr>
        <w:t>reporting platform or Non-Admitted Data Collection (NADC)</w:t>
      </w:r>
      <w:r>
        <w:t>.</w:t>
      </w:r>
    </w:p>
    <w:p w14:paraId="126CE1B4" w14:textId="77777777" w:rsidR="00817104" w:rsidRDefault="00817104" w:rsidP="00817104">
      <w:pPr>
        <w:pStyle w:val="Body"/>
      </w:pPr>
      <w:r>
        <w:t xml:space="preserve">For more information, visit </w:t>
      </w:r>
      <w:hyperlink r:id="rId41">
        <w:r w:rsidRPr="0670E279">
          <w:rPr>
            <w:rStyle w:val="Hyperlink"/>
          </w:rPr>
          <w:t>Public genetic services in Victoria</w:t>
        </w:r>
      </w:hyperlink>
      <w:r>
        <w:t xml:space="preserve"> &lt;https://www.health.vic.gov.au/patient-care/public-genetic-services-in-victoria&gt;.</w:t>
      </w:r>
    </w:p>
    <w:p w14:paraId="761B703B" w14:textId="591B8EEF" w:rsidR="00817104" w:rsidRPr="00792E19" w:rsidRDefault="00817104" w:rsidP="00817104">
      <w:pPr>
        <w:pStyle w:val="Heading2"/>
      </w:pPr>
      <w:bookmarkStart w:id="1701" w:name="_Toc6215558"/>
      <w:bookmarkStart w:id="1702" w:name="_Toc10199635"/>
      <w:bookmarkStart w:id="1703" w:name="_Toc106868021"/>
      <w:bookmarkStart w:id="1704" w:name="_Toc106869772"/>
      <w:bookmarkStart w:id="1705" w:name="_Toc106870106"/>
      <w:bookmarkStart w:id="1706" w:name="_Toc106870272"/>
      <w:bookmarkStart w:id="1707" w:name="_Toc106870444"/>
      <w:bookmarkStart w:id="1708" w:name="_Toc165964642"/>
      <w:bookmarkStart w:id="1709" w:name="_Toc167174504"/>
      <w:bookmarkStart w:id="1710" w:name="_Toc231982256"/>
      <w:r w:rsidRPr="00792E19">
        <w:t>Pharmaceuticals</w:t>
      </w:r>
      <w:bookmarkEnd w:id="1701"/>
      <w:bookmarkEnd w:id="1702"/>
      <w:bookmarkEnd w:id="1703"/>
      <w:bookmarkEnd w:id="1704"/>
      <w:bookmarkEnd w:id="1705"/>
      <w:bookmarkEnd w:id="1706"/>
      <w:bookmarkEnd w:id="1707"/>
      <w:bookmarkEnd w:id="1708"/>
      <w:bookmarkEnd w:id="1709"/>
      <w:bookmarkEnd w:id="1710"/>
    </w:p>
    <w:p w14:paraId="15AD9055" w14:textId="77777777" w:rsidR="00817104" w:rsidRDefault="00817104" w:rsidP="00817104">
      <w:pPr>
        <w:pStyle w:val="Body"/>
      </w:pPr>
      <w:r>
        <w:t>Health services must provide pharmaceuticals at no charge to their admitted public and private patients. Health services participating in the programs outlined below can access reimbursements for pharmaceuticals and charge patient co-payments, where applicable.</w:t>
      </w:r>
    </w:p>
    <w:p w14:paraId="3E86BAF6" w14:textId="0D40ABA6" w:rsidR="00817104" w:rsidRPr="00B16069" w:rsidRDefault="00817104" w:rsidP="00817104">
      <w:pPr>
        <w:pStyle w:val="Heading3"/>
      </w:pPr>
      <w:r w:rsidRPr="00B16069">
        <w:t>Pharmaceutical reforms</w:t>
      </w:r>
    </w:p>
    <w:p w14:paraId="51BF3E0B" w14:textId="77777777" w:rsidR="00817104" w:rsidRDefault="00817104" w:rsidP="00817104">
      <w:pPr>
        <w:pStyle w:val="Body"/>
      </w:pPr>
      <w:r>
        <w:t>Pharmaceutical reforms are designed to make it safer, easier and more convenient for patients to receive adequate medication, and to put public health services on a more equal footing with private hospitals.</w:t>
      </w:r>
    </w:p>
    <w:p w14:paraId="30BBFB32" w14:textId="77777777" w:rsidR="00817104" w:rsidRDefault="00817104" w:rsidP="00817104">
      <w:pPr>
        <w:pStyle w:val="Body"/>
      </w:pPr>
      <w:r>
        <w:t>Health services participating in the P</w:t>
      </w:r>
      <w:r w:rsidRPr="003927C2">
        <w:t xml:space="preserve">harmaceutical </w:t>
      </w:r>
      <w:r>
        <w:t>R</w:t>
      </w:r>
      <w:r w:rsidRPr="003927C2">
        <w:t xml:space="preserve">eform </w:t>
      </w:r>
      <w:r>
        <w:t>A</w:t>
      </w:r>
      <w:r w:rsidRPr="003927C2">
        <w:t>greement</w:t>
      </w:r>
      <w:r>
        <w:t xml:space="preserve"> have access to the Australian Government-funded Pharmaceutical Benefits Scheme (PBS) and the Repatriation Schedule of Pharmaceutical Benefits for non-admitted and admitted patients on discharge, as well as a Commonwealth-subsidised list of pharmaceuticals for same-day admitted patients requiring chemotherapy.</w:t>
      </w:r>
    </w:p>
    <w:p w14:paraId="36A086C7" w14:textId="77777777" w:rsidR="00817104" w:rsidRDefault="00817104" w:rsidP="00817104">
      <w:pPr>
        <w:pStyle w:val="Body"/>
      </w:pPr>
      <w:r>
        <w:t xml:space="preserve">For more information about pharmaceutical reforms, visit the </w:t>
      </w:r>
      <w:hyperlink r:id="rId42" w:history="1">
        <w:r w:rsidRPr="00A64058">
          <w:rPr>
            <w:rStyle w:val="Hyperlink"/>
          </w:rPr>
          <w:t>Pharmaceutical Benefits Scheme in Victoria’s public hospitals</w:t>
        </w:r>
      </w:hyperlink>
      <w:r>
        <w:t xml:space="preserve"> &lt;</w:t>
      </w:r>
      <w:r w:rsidRPr="0072472F">
        <w:t>https://www.health.vic.gov.au/patient-care/pharmaceuticals</w:t>
      </w:r>
      <w:r>
        <w:t>&gt;.</w:t>
      </w:r>
    </w:p>
    <w:p w14:paraId="475F636C" w14:textId="0FF1A073" w:rsidR="00817104" w:rsidRPr="0097751E" w:rsidRDefault="00817104" w:rsidP="00817104">
      <w:pPr>
        <w:pStyle w:val="Heading3"/>
      </w:pPr>
      <w:r w:rsidRPr="0097751E">
        <w:t>Highly Specialised Drugs Program</w:t>
      </w:r>
    </w:p>
    <w:p w14:paraId="31760BFD" w14:textId="77777777" w:rsidR="00817104" w:rsidRDefault="00817104" w:rsidP="00311919">
      <w:pPr>
        <w:pStyle w:val="Body"/>
      </w:pPr>
      <w:r>
        <w:t>The Highly Specialised Drugs Program provides Australian Government funding for certain specialised medications that are prescribed for chronic conditions and are supplied through health service pharmacies. The highly specialised drugs on the Community Access Program that are prescribed in public hospitals can also be supplied to patients through community pharmacies.</w:t>
      </w:r>
    </w:p>
    <w:p w14:paraId="18B6B604" w14:textId="77777777" w:rsidR="00817104" w:rsidRDefault="00817104" w:rsidP="00311919">
      <w:pPr>
        <w:pStyle w:val="Body"/>
      </w:pPr>
      <w:r>
        <w:t>For health services to be eligible for funding, the patient must:</w:t>
      </w:r>
    </w:p>
    <w:p w14:paraId="34716769" w14:textId="77777777" w:rsidR="00817104" w:rsidRDefault="00817104" w:rsidP="00311919">
      <w:pPr>
        <w:pStyle w:val="Bullet1"/>
        <w:numPr>
          <w:ilvl w:val="0"/>
          <w:numId w:val="2"/>
        </w:numPr>
        <w:spacing w:after="120"/>
      </w:pPr>
      <w:r>
        <w:t>attend a hospital</w:t>
      </w:r>
    </w:p>
    <w:p w14:paraId="7D98E435" w14:textId="77777777" w:rsidR="00817104" w:rsidRDefault="00817104" w:rsidP="00311919">
      <w:pPr>
        <w:pStyle w:val="Bullet1"/>
        <w:numPr>
          <w:ilvl w:val="0"/>
          <w:numId w:val="2"/>
        </w:numPr>
        <w:spacing w:after="120"/>
      </w:pPr>
      <w:r>
        <w:t>be a day-admitted patient, a non-admitted patient or a patient on discharge</w:t>
      </w:r>
    </w:p>
    <w:p w14:paraId="6D77C6E1" w14:textId="77777777" w:rsidR="00817104" w:rsidRDefault="00817104" w:rsidP="00311919">
      <w:pPr>
        <w:pStyle w:val="Bullet1"/>
        <w:numPr>
          <w:ilvl w:val="0"/>
          <w:numId w:val="2"/>
        </w:numPr>
        <w:spacing w:after="120"/>
      </w:pPr>
      <w:r>
        <w:t>be under appropriate specialised medical care</w:t>
      </w:r>
    </w:p>
    <w:p w14:paraId="271588DF" w14:textId="77777777" w:rsidR="00817104" w:rsidRDefault="00817104" w:rsidP="00311919">
      <w:pPr>
        <w:pStyle w:val="Bullet1"/>
        <w:numPr>
          <w:ilvl w:val="0"/>
          <w:numId w:val="2"/>
        </w:numPr>
        <w:spacing w:after="120"/>
      </w:pPr>
      <w:r>
        <w:t>meet the specific clinical indications for each medication</w:t>
      </w:r>
    </w:p>
    <w:p w14:paraId="394DC70C" w14:textId="77777777" w:rsidR="00311919" w:rsidRDefault="00817104" w:rsidP="00311919">
      <w:pPr>
        <w:pStyle w:val="Bullet1"/>
        <w:numPr>
          <w:ilvl w:val="0"/>
          <w:numId w:val="2"/>
        </w:numPr>
        <w:spacing w:after="120"/>
      </w:pPr>
      <w:r>
        <w:t>be an Australian resident (or other eligible person).</w:t>
      </w:r>
    </w:p>
    <w:p w14:paraId="037D9C88" w14:textId="6C209700" w:rsidR="00817104" w:rsidRPr="00311919" w:rsidRDefault="00817104" w:rsidP="00311919">
      <w:pPr>
        <w:pStyle w:val="Bullet1"/>
        <w:numPr>
          <w:ilvl w:val="0"/>
          <w:numId w:val="0"/>
        </w:numPr>
        <w:spacing w:after="120"/>
      </w:pPr>
      <w:r>
        <w:t>The prescribing doctor must be affiliated with the specialised hospital unit. Health services are reimbursed for the medicine supplied, less a patient co-payment, via claims submitted to Medicare.</w:t>
      </w:r>
    </w:p>
    <w:p w14:paraId="04EAB2E0" w14:textId="77777777" w:rsidR="00817104" w:rsidRDefault="00817104" w:rsidP="00311919">
      <w:pPr>
        <w:pStyle w:val="Body"/>
      </w:pPr>
      <w:r>
        <w:t xml:space="preserve">For more information, visit </w:t>
      </w:r>
      <w:hyperlink r:id="rId43" w:history="1">
        <w:r w:rsidRPr="003C3BF1">
          <w:rPr>
            <w:rStyle w:val="Hyperlink"/>
          </w:rPr>
          <w:t xml:space="preserve">Section 100 </w:t>
        </w:r>
        <w:r>
          <w:rPr>
            <w:rStyle w:val="Hyperlink"/>
          </w:rPr>
          <w:t xml:space="preserve">– </w:t>
        </w:r>
        <w:r w:rsidRPr="003C3BF1">
          <w:rPr>
            <w:rStyle w:val="Hyperlink"/>
          </w:rPr>
          <w:t>Highly Specialised Drugs program</w:t>
        </w:r>
      </w:hyperlink>
      <w:r>
        <w:t xml:space="preserve"> &lt;</w:t>
      </w:r>
      <w:r w:rsidRPr="00AB1048">
        <w:t>https://www.pbs.gov.au/info/browse/section-100/s100-highly-specialised-drugs</w:t>
      </w:r>
      <w:r>
        <w:t>&gt;.</w:t>
      </w:r>
    </w:p>
    <w:p w14:paraId="3ADCE7F5" w14:textId="24A11852" w:rsidR="00817104" w:rsidRPr="00E84B51" w:rsidRDefault="00817104" w:rsidP="00817104">
      <w:pPr>
        <w:pStyle w:val="Heading3"/>
      </w:pPr>
      <w:r>
        <w:lastRenderedPageBreak/>
        <w:t>Direct-acting antiviral hepatitis C treatments</w:t>
      </w:r>
    </w:p>
    <w:p w14:paraId="47BB7EC4" w14:textId="77777777" w:rsidR="00817104" w:rsidRDefault="00817104" w:rsidP="00817104">
      <w:pPr>
        <w:pStyle w:val="Body"/>
      </w:pPr>
      <w:bookmarkStart w:id="1711" w:name="_Toc165964643"/>
      <w:bookmarkStart w:id="1712" w:name="_Toc167174505"/>
      <w:bookmarkStart w:id="1713" w:name="_Toc106868022"/>
      <w:bookmarkStart w:id="1714" w:name="_Toc106869773"/>
      <w:bookmarkStart w:id="1715" w:name="_Toc106870107"/>
      <w:bookmarkStart w:id="1716" w:name="_Toc106870273"/>
      <w:bookmarkStart w:id="1717" w:name="_Toc106870445"/>
      <w:r>
        <w:t>The Australian Government listed several direct-acting antivirals for treating hepatitis C on both the PBS and the Highly Specialised Drugs Program on 1 March 2016. Health services have access to both programs. Unlike Highly Specialised Drugs Program prescriptions, prescriptions approved under the PBS have the advantage of being able to be dispensed in both hospital and community pharmacies.</w:t>
      </w:r>
    </w:p>
    <w:p w14:paraId="7EFAFA18" w14:textId="77777777" w:rsidR="00817104" w:rsidRDefault="00817104" w:rsidP="00817104">
      <w:pPr>
        <w:pStyle w:val="Body"/>
      </w:pPr>
      <w:r>
        <w:t xml:space="preserve">For more information, visit </w:t>
      </w:r>
      <w:hyperlink r:id="rId44">
        <w:r w:rsidRPr="0670E279">
          <w:rPr>
            <w:rStyle w:val="Hyperlink"/>
          </w:rPr>
          <w:t>Hepatitis C medicines</w:t>
        </w:r>
        <w:r>
          <w:rPr>
            <w:rStyle w:val="Hyperlink"/>
          </w:rPr>
          <w:t xml:space="preserve"> –</w:t>
        </w:r>
        <w:r w:rsidRPr="0670E279">
          <w:rPr>
            <w:rStyle w:val="Hyperlink"/>
          </w:rPr>
          <w:t xml:space="preserve"> </w:t>
        </w:r>
        <w:r>
          <w:rPr>
            <w:rStyle w:val="Hyperlink"/>
          </w:rPr>
          <w:t>F</w:t>
        </w:r>
        <w:r w:rsidRPr="0670E279">
          <w:rPr>
            <w:rStyle w:val="Hyperlink"/>
          </w:rPr>
          <w:t>act sheet for public and private hospital prescribers and dispensers</w:t>
        </w:r>
      </w:hyperlink>
      <w:r>
        <w:t xml:space="preserve"> &lt;https://www.pbs.gov.au/info/publication/factsheets/hep-c/hepc-factsheet-hospital-prescribers-dispensers&gt;.</w:t>
      </w:r>
    </w:p>
    <w:p w14:paraId="7D596333" w14:textId="2805DF85" w:rsidR="00817104" w:rsidRPr="00A16407" w:rsidRDefault="00817104" w:rsidP="00817104">
      <w:pPr>
        <w:pStyle w:val="Heading2"/>
      </w:pPr>
      <w:bookmarkStart w:id="1718" w:name="_Toc231982257"/>
      <w:r>
        <w:t>Public Fertility Care</w:t>
      </w:r>
      <w:bookmarkEnd w:id="1711"/>
      <w:bookmarkEnd w:id="1712"/>
      <w:bookmarkEnd w:id="1718"/>
      <w:r>
        <w:t xml:space="preserve"> </w:t>
      </w:r>
      <w:bookmarkEnd w:id="1713"/>
      <w:bookmarkEnd w:id="1714"/>
      <w:bookmarkEnd w:id="1715"/>
      <w:bookmarkEnd w:id="1716"/>
      <w:bookmarkEnd w:id="1717"/>
    </w:p>
    <w:p w14:paraId="693F9EB9" w14:textId="77777777" w:rsidR="00817104" w:rsidRDefault="00817104" w:rsidP="00817104">
      <w:pPr>
        <w:pStyle w:val="Body"/>
      </w:pPr>
      <w:bookmarkStart w:id="1719" w:name="_Toc8919126"/>
      <w:bookmarkStart w:id="1720" w:name="_Toc8930643"/>
      <w:bookmarkStart w:id="1721" w:name="_Toc8931029"/>
      <w:bookmarkStart w:id="1722" w:name="_Toc8931373"/>
      <w:bookmarkStart w:id="1723" w:name="_Toc8931754"/>
      <w:bookmarkStart w:id="1724" w:name="_Toc9441702"/>
      <w:bookmarkStart w:id="1725" w:name="_Toc8919127"/>
      <w:bookmarkStart w:id="1726" w:name="_Toc8930644"/>
      <w:bookmarkStart w:id="1727" w:name="_Toc8931030"/>
      <w:bookmarkStart w:id="1728" w:name="_Toc8931374"/>
      <w:bookmarkStart w:id="1729" w:name="_Toc8931755"/>
      <w:bookmarkStart w:id="1730" w:name="_Toc9441703"/>
      <w:bookmarkStart w:id="1731" w:name="_Toc106868023"/>
      <w:bookmarkStart w:id="1732" w:name="_Toc106869774"/>
      <w:bookmarkStart w:id="1733" w:name="_Toc106870108"/>
      <w:bookmarkStart w:id="1734" w:name="_Toc106870274"/>
      <w:bookmarkStart w:id="1735" w:name="_Toc106870446"/>
      <w:bookmarkStart w:id="1736" w:name="_Toc143080862"/>
      <w:bookmarkStart w:id="1737" w:name="_Toc167174506"/>
      <w:bookmarkStart w:id="1738" w:name="_Toc6215583"/>
      <w:bookmarkStart w:id="1739" w:name="_Toc10199656"/>
      <w:bookmarkEnd w:id="1719"/>
      <w:bookmarkEnd w:id="1720"/>
      <w:bookmarkEnd w:id="1721"/>
      <w:bookmarkEnd w:id="1722"/>
      <w:bookmarkEnd w:id="1723"/>
      <w:bookmarkEnd w:id="1724"/>
      <w:bookmarkEnd w:id="1725"/>
      <w:bookmarkEnd w:id="1726"/>
      <w:bookmarkEnd w:id="1727"/>
      <w:bookmarkEnd w:id="1728"/>
      <w:bookmarkEnd w:id="1729"/>
      <w:bookmarkEnd w:id="1730"/>
      <w:r>
        <w:t xml:space="preserve">Public Fertility Care provides eligible Victorians with access to a broad range of assisted reproductive treatments and support, including access to donor services through the public egg and sperm bank at The Royal Women’s Hospital. </w:t>
      </w:r>
    </w:p>
    <w:p w14:paraId="48B92182" w14:textId="77777777" w:rsidR="00817104" w:rsidRDefault="00817104" w:rsidP="00817104">
      <w:pPr>
        <w:pStyle w:val="Body"/>
      </w:pPr>
      <w:r>
        <w:t>The goal of the program is to improve access to fertility care for Victorians who experience barriers to existing private services. Victoria’s Public Fertility Care program is led by The Royal Women’s Hospital and</w:t>
      </w:r>
      <w:r w:rsidRPr="00162D25">
        <w:t xml:space="preserve"> delivered in partnership with </w:t>
      </w:r>
      <w:r>
        <w:t>10</w:t>
      </w:r>
      <w:r w:rsidRPr="00162D25">
        <w:t xml:space="preserve"> health services across the state</w:t>
      </w:r>
      <w:r>
        <w:t>.</w:t>
      </w:r>
      <w:r w:rsidRPr="00162D25">
        <w:t xml:space="preserve"> </w:t>
      </w:r>
    </w:p>
    <w:p w14:paraId="01474D33" w14:textId="77777777" w:rsidR="00817104" w:rsidRDefault="00817104" w:rsidP="00817104">
      <w:pPr>
        <w:pStyle w:val="Bodyafterbullets"/>
      </w:pPr>
      <w:r>
        <w:t xml:space="preserve">The Royal Women’s Hospital is required to report on output performance measures through key performance indicators on a quarterly basis. </w:t>
      </w:r>
    </w:p>
    <w:p w14:paraId="27695041" w14:textId="77777777" w:rsidR="00817104" w:rsidRDefault="00817104" w:rsidP="00817104">
      <w:pPr>
        <w:pStyle w:val="Body"/>
      </w:pPr>
      <w:r>
        <w:t xml:space="preserve">For more </w:t>
      </w:r>
      <w:r w:rsidRPr="00EC2C7D">
        <w:t>information</w:t>
      </w:r>
      <w:r>
        <w:t xml:space="preserve"> on priority populations, eligibility and clinical access criteria, visit </w:t>
      </w:r>
      <w:hyperlink r:id="rId45" w:history="1">
        <w:r w:rsidRPr="00107610">
          <w:rPr>
            <w:rStyle w:val="Hyperlink"/>
            <w:rFonts w:eastAsia="Arial" w:cs="Arial"/>
          </w:rPr>
          <w:t>Public Fertility Care</w:t>
        </w:r>
      </w:hyperlink>
      <w:r>
        <w:t xml:space="preserve"> &lt;</w:t>
      </w:r>
      <w:r w:rsidRPr="0670E279">
        <w:rPr>
          <w:rFonts w:eastAsia="Arial" w:cs="Arial"/>
        </w:rPr>
        <w:t>https://www.health.vic.gov.au/public-health/public-fertility-care-services</w:t>
      </w:r>
      <w:r>
        <w:t>&gt;.</w:t>
      </w:r>
    </w:p>
    <w:p w14:paraId="0E38A655" w14:textId="77777777" w:rsidR="00817104" w:rsidRDefault="00817104" w:rsidP="00817104">
      <w:pPr>
        <w:spacing w:after="0" w:line="240" w:lineRule="auto"/>
        <w:rPr>
          <w:rFonts w:eastAsia="Times"/>
        </w:rPr>
      </w:pPr>
      <w:r>
        <w:br w:type="page"/>
      </w:r>
    </w:p>
    <w:p w14:paraId="2E51CC41" w14:textId="77777777" w:rsidR="00817104" w:rsidRDefault="00817104" w:rsidP="00163A33">
      <w:pPr>
        <w:pStyle w:val="Heading1"/>
      </w:pPr>
      <w:bookmarkStart w:id="1740" w:name="_Toc231982258"/>
      <w:r>
        <w:lastRenderedPageBreak/>
        <w:t xml:space="preserve">Mental health and </w:t>
      </w:r>
      <w:r w:rsidRPr="00B54B57">
        <w:t>wellbeing</w:t>
      </w:r>
      <w:r>
        <w:t xml:space="preserve"> services</w:t>
      </w:r>
      <w:bookmarkEnd w:id="1731"/>
      <w:bookmarkEnd w:id="1732"/>
      <w:bookmarkEnd w:id="1733"/>
      <w:bookmarkEnd w:id="1734"/>
      <w:bookmarkEnd w:id="1735"/>
      <w:bookmarkEnd w:id="1736"/>
      <w:bookmarkEnd w:id="1737"/>
      <w:bookmarkEnd w:id="1740"/>
    </w:p>
    <w:p w14:paraId="1315B2BE" w14:textId="2BA61D82" w:rsidR="00817104" w:rsidRPr="00AA5B8C" w:rsidRDefault="00817104" w:rsidP="00817104">
      <w:pPr>
        <w:pStyle w:val="Heading2"/>
      </w:pPr>
      <w:bookmarkStart w:id="1741" w:name="_Toc143080863"/>
      <w:bookmarkStart w:id="1742" w:name="_Toc167174507"/>
      <w:bookmarkStart w:id="1743" w:name="_Toc231982259"/>
      <w:bookmarkStart w:id="1744" w:name="_Hlk164268634"/>
      <w:r>
        <w:t>Transforming the</w:t>
      </w:r>
      <w:r w:rsidRPr="00AA5B8C">
        <w:t xml:space="preserve"> </w:t>
      </w:r>
      <w:r>
        <w:t>m</w:t>
      </w:r>
      <w:r w:rsidRPr="00AA5B8C">
        <w:t xml:space="preserve">ental </w:t>
      </w:r>
      <w:r>
        <w:t>h</w:t>
      </w:r>
      <w:r w:rsidRPr="00AA5B8C">
        <w:t xml:space="preserve">ealth and </w:t>
      </w:r>
      <w:r>
        <w:t>w</w:t>
      </w:r>
      <w:r w:rsidRPr="00AA5B8C">
        <w:t xml:space="preserve">ellbeing </w:t>
      </w:r>
      <w:r>
        <w:t>s</w:t>
      </w:r>
      <w:r w:rsidRPr="00AA5B8C">
        <w:t>ystem</w:t>
      </w:r>
      <w:bookmarkEnd w:id="1741"/>
      <w:bookmarkEnd w:id="1742"/>
      <w:bookmarkEnd w:id="1743"/>
      <w:r w:rsidRPr="00AA5B8C">
        <w:t xml:space="preserve"> </w:t>
      </w:r>
    </w:p>
    <w:bookmarkEnd w:id="1744"/>
    <w:p w14:paraId="4276EC0B" w14:textId="77777777" w:rsidR="00817104" w:rsidRDefault="00817104" w:rsidP="00817104">
      <w:pPr>
        <w:pStyle w:val="Body"/>
      </w:pPr>
      <w:r w:rsidRPr="0037755F">
        <w:t xml:space="preserve">Since the </w:t>
      </w:r>
      <w:r w:rsidRPr="007B0569">
        <w:t>Royal Commission into Victoria’s Mental Health System</w:t>
      </w:r>
      <w:r w:rsidRPr="0037755F">
        <w:t>, significant progress has been made to create a mental health and wellbeing system that better meets the needs of Victorians, including incorporating lived and living experience</w:t>
      </w:r>
      <w:r>
        <w:t>,</w:t>
      </w:r>
      <w:r w:rsidRPr="0037755F">
        <w:t xml:space="preserve"> and providing more access to care in communities.</w:t>
      </w:r>
    </w:p>
    <w:p w14:paraId="674A28FD" w14:textId="77777777" w:rsidR="00817104" w:rsidRDefault="00817104" w:rsidP="00817104">
      <w:pPr>
        <w:pStyle w:val="Body"/>
      </w:pPr>
      <w:r w:rsidRPr="00040B0E">
        <w:rPr>
          <w:i/>
          <w:iCs/>
        </w:rPr>
        <w:t>The next phase of reform</w:t>
      </w:r>
      <w:r>
        <w:t xml:space="preserve"> was released in December 2024 and prioritises addressing demand pressures, improving performance and strengthening prevention and early intervention – particularly for children and young people, and in regional and rural communities.</w:t>
      </w:r>
    </w:p>
    <w:p w14:paraId="231362E7" w14:textId="77777777" w:rsidR="00817104" w:rsidRPr="00BA47BD" w:rsidRDefault="00817104" w:rsidP="00817104">
      <w:pPr>
        <w:pStyle w:val="Bodyafterbullets"/>
        <w:rPr>
          <w:i/>
          <w:iCs/>
        </w:rPr>
      </w:pPr>
      <w:r>
        <w:t>For more information,</w:t>
      </w:r>
      <w:r w:rsidRPr="00BA47BD">
        <w:t xml:space="preserve"> visit </w:t>
      </w:r>
      <w:hyperlink r:id="rId46" w:history="1">
        <w:r w:rsidRPr="00BF21EF">
          <w:rPr>
            <w:rStyle w:val="Hyperlink"/>
          </w:rPr>
          <w:t>Our plan for the next phase of reform</w:t>
        </w:r>
      </w:hyperlink>
      <w:r>
        <w:t xml:space="preserve"> &lt;</w:t>
      </w:r>
      <w:r w:rsidRPr="00B86FAA">
        <w:t>https://www.health.vic.gov.au/mental-health-wellbeing-reform/our-next-phase</w:t>
      </w:r>
      <w:r>
        <w:t>&gt;.</w:t>
      </w:r>
    </w:p>
    <w:p w14:paraId="39C60E76" w14:textId="71E04F58" w:rsidR="00817104" w:rsidRDefault="00817104" w:rsidP="00817104">
      <w:pPr>
        <w:pStyle w:val="Heading3"/>
      </w:pPr>
      <w:r>
        <w:t>System changes being delivered through the reform</w:t>
      </w:r>
    </w:p>
    <w:p w14:paraId="7E2596D6" w14:textId="77777777" w:rsidR="00817104" w:rsidRPr="00ED3517" w:rsidRDefault="00817104" w:rsidP="00817104">
      <w:pPr>
        <w:pStyle w:val="Heading4"/>
      </w:pPr>
      <w:r w:rsidRPr="00ED3517">
        <w:t xml:space="preserve">Mental Health and Wellbeing </w:t>
      </w:r>
      <w:r w:rsidRPr="007A77E6">
        <w:t>Commission</w:t>
      </w:r>
      <w:r w:rsidRPr="00ED3517">
        <w:t xml:space="preserve"> </w:t>
      </w:r>
    </w:p>
    <w:p w14:paraId="03188502" w14:textId="77777777" w:rsidR="00817104" w:rsidRPr="004B6089" w:rsidRDefault="00817104" w:rsidP="00817104">
      <w:pPr>
        <w:pStyle w:val="Body"/>
        <w:rPr>
          <w:i/>
          <w:iCs/>
        </w:rPr>
      </w:pPr>
      <w:r>
        <w:rPr>
          <w:rFonts w:cs="Arial"/>
        </w:rPr>
        <w:t>The</w:t>
      </w:r>
      <w:r w:rsidRPr="50ACEC7F" w:rsidDel="00230A94">
        <w:rPr>
          <w:rFonts w:cs="Arial"/>
        </w:rPr>
        <w:t xml:space="preserve"> </w:t>
      </w:r>
      <w:r w:rsidRPr="31137323">
        <w:rPr>
          <w:rFonts w:cs="Arial"/>
        </w:rPr>
        <w:t xml:space="preserve">Mental Health and Wellbeing Commission </w:t>
      </w:r>
      <w:r w:rsidRPr="00883A8A">
        <w:t>hold</w:t>
      </w:r>
      <w:r>
        <w:t>s</w:t>
      </w:r>
      <w:r w:rsidRPr="00883A8A">
        <w:t xml:space="preserve"> government to account for the performance</w:t>
      </w:r>
      <w:r>
        <w:t>, quality and safety</w:t>
      </w:r>
      <w:r w:rsidRPr="00883A8A">
        <w:t xml:space="preserve"> of the system</w:t>
      </w:r>
      <w:r>
        <w:t>. The Commission manages</w:t>
      </w:r>
      <w:r w:rsidRPr="00883A8A">
        <w:t xml:space="preserve"> complaints</w:t>
      </w:r>
      <w:r>
        <w:t>, monitors and reports</w:t>
      </w:r>
      <w:r w:rsidRPr="00883A8A">
        <w:t xml:space="preserve"> on system-wide quality and safety. </w:t>
      </w:r>
      <w:r>
        <w:t xml:space="preserve">Mental health and wellbeing service providers are required to comply with the functions of the Commission as set out in the </w:t>
      </w:r>
      <w:r w:rsidRPr="004B6089">
        <w:rPr>
          <w:i/>
          <w:iCs/>
        </w:rPr>
        <w:t xml:space="preserve">Mental Health and Wellbeing Act 2022. </w:t>
      </w:r>
    </w:p>
    <w:p w14:paraId="5EB35B8A" w14:textId="77777777" w:rsidR="00817104" w:rsidRDefault="00817104" w:rsidP="00817104">
      <w:pPr>
        <w:spacing w:after="0" w:line="240" w:lineRule="auto"/>
      </w:pPr>
      <w:r>
        <w:t xml:space="preserve">For more information, visit the </w:t>
      </w:r>
      <w:hyperlink r:id="rId47" w:history="1">
        <w:r w:rsidRPr="00E83EF8">
          <w:rPr>
            <w:rStyle w:val="Hyperlink"/>
          </w:rPr>
          <w:t>Mental Health and Wellbeing Commission</w:t>
        </w:r>
      </w:hyperlink>
      <w:r>
        <w:t xml:space="preserve"> &lt;</w:t>
      </w:r>
      <w:r w:rsidRPr="00E83EF8">
        <w:t>https://www.mhwc.vic.gov.au/</w:t>
      </w:r>
      <w:r>
        <w:t>&gt;.</w:t>
      </w:r>
    </w:p>
    <w:p w14:paraId="21CBB7B8" w14:textId="77777777" w:rsidR="00817104" w:rsidRPr="007C4158" w:rsidRDefault="00817104" w:rsidP="00817104">
      <w:pPr>
        <w:pStyle w:val="Heading4"/>
      </w:pPr>
      <w:r>
        <w:t>O</w:t>
      </w:r>
      <w:r w:rsidRPr="007C4158">
        <w:t xml:space="preserve">utcomes and </w:t>
      </w:r>
      <w:r>
        <w:t>p</w:t>
      </w:r>
      <w:r w:rsidRPr="007C4158">
        <w:t xml:space="preserve">erformance </w:t>
      </w:r>
      <w:r>
        <w:t>f</w:t>
      </w:r>
      <w:r w:rsidRPr="007C4158">
        <w:t>ramework</w:t>
      </w:r>
    </w:p>
    <w:p w14:paraId="1F53DE9E" w14:textId="77777777" w:rsidR="00817104" w:rsidRPr="00384630" w:rsidRDefault="00817104" w:rsidP="00817104">
      <w:pPr>
        <w:pStyle w:val="Body"/>
      </w:pPr>
      <w:r w:rsidRPr="00384630">
        <w:t xml:space="preserve">The </w:t>
      </w:r>
      <w:r w:rsidRPr="00255515">
        <w:rPr>
          <w:i/>
          <w:iCs/>
        </w:rPr>
        <w:t xml:space="preserve">Mental </w:t>
      </w:r>
      <w:r>
        <w:rPr>
          <w:i/>
          <w:iCs/>
        </w:rPr>
        <w:t>H</w:t>
      </w:r>
      <w:r w:rsidRPr="00255515">
        <w:rPr>
          <w:i/>
          <w:iCs/>
        </w:rPr>
        <w:t xml:space="preserve">ealth and </w:t>
      </w:r>
      <w:r>
        <w:rPr>
          <w:i/>
          <w:iCs/>
        </w:rPr>
        <w:t>W</w:t>
      </w:r>
      <w:r w:rsidRPr="00255515">
        <w:rPr>
          <w:i/>
          <w:iCs/>
        </w:rPr>
        <w:t xml:space="preserve">ellbeing </w:t>
      </w:r>
      <w:r>
        <w:rPr>
          <w:i/>
          <w:iCs/>
        </w:rPr>
        <w:t>O</w:t>
      </w:r>
      <w:r w:rsidRPr="00255515">
        <w:rPr>
          <w:i/>
          <w:iCs/>
        </w:rPr>
        <w:t xml:space="preserve">utcomes and </w:t>
      </w:r>
      <w:r>
        <w:rPr>
          <w:i/>
          <w:iCs/>
        </w:rPr>
        <w:t>P</w:t>
      </w:r>
      <w:r w:rsidRPr="00255515">
        <w:rPr>
          <w:i/>
          <w:iCs/>
        </w:rPr>
        <w:t xml:space="preserve">erformance </w:t>
      </w:r>
      <w:r>
        <w:rPr>
          <w:i/>
          <w:iCs/>
        </w:rPr>
        <w:t>F</w:t>
      </w:r>
      <w:r w:rsidRPr="00255515">
        <w:rPr>
          <w:i/>
          <w:iCs/>
        </w:rPr>
        <w:t>ramework</w:t>
      </w:r>
      <w:r w:rsidRPr="00384630">
        <w:t xml:space="preserve"> articulates what a high</w:t>
      </w:r>
      <w:r>
        <w:t>-</w:t>
      </w:r>
      <w:r w:rsidRPr="00384630">
        <w:t>quality, contemporary mental health and wellbeing system looks like</w:t>
      </w:r>
      <w:r>
        <w:t xml:space="preserve">. </w:t>
      </w:r>
      <w:r w:rsidRPr="00384630">
        <w:t>It will provide a mechanism for measuring</w:t>
      </w:r>
      <w:r>
        <w:t xml:space="preserve"> the</w:t>
      </w:r>
      <w:r w:rsidRPr="00384630">
        <w:t xml:space="preserve"> performance and impact of individual services and the </w:t>
      </w:r>
      <w:r>
        <w:t xml:space="preserve">whole </w:t>
      </w:r>
      <w:r w:rsidRPr="00384630">
        <w:t>system</w:t>
      </w:r>
      <w:r>
        <w:t xml:space="preserve">. </w:t>
      </w:r>
    </w:p>
    <w:p w14:paraId="6F9025E4" w14:textId="77777777" w:rsidR="00817104" w:rsidRDefault="00817104" w:rsidP="00817104">
      <w:pPr>
        <w:pStyle w:val="Body"/>
      </w:pPr>
      <w:r>
        <w:t xml:space="preserve">For more information and implementation updates, visit the </w:t>
      </w:r>
      <w:hyperlink r:id="rId48" w:history="1">
        <w:r>
          <w:rPr>
            <w:rStyle w:val="Hyperlink"/>
          </w:rPr>
          <w:t>M</w:t>
        </w:r>
        <w:r w:rsidRPr="00D33380">
          <w:rPr>
            <w:rStyle w:val="Hyperlink"/>
          </w:rPr>
          <w:t xml:space="preserve">ental health and wellbeing outcomes performance framework </w:t>
        </w:r>
      </w:hyperlink>
      <w:r>
        <w:t>&lt;</w:t>
      </w:r>
      <w:r w:rsidRPr="004339DF">
        <w:t>https://www.health.vic.gov.au/mental-health-wellbeing-reform/a-new-mental-health-and-wellbeing-outcomes-and-performance-framework</w:t>
      </w:r>
      <w:r>
        <w:t xml:space="preserve">&gt;. </w:t>
      </w:r>
    </w:p>
    <w:p w14:paraId="080A9B82" w14:textId="77777777" w:rsidR="00817104" w:rsidRPr="005D1109" w:rsidRDefault="00817104" w:rsidP="00817104">
      <w:pPr>
        <w:pStyle w:val="Heading4"/>
      </w:pPr>
      <w:r>
        <w:t>M</w:t>
      </w:r>
      <w:r w:rsidRPr="005D1109">
        <w:t xml:space="preserve">ental </w:t>
      </w:r>
      <w:r>
        <w:t>h</w:t>
      </w:r>
      <w:r w:rsidRPr="005D1109">
        <w:t xml:space="preserve">ealth </w:t>
      </w:r>
      <w:r>
        <w:t>a</w:t>
      </w:r>
      <w:r w:rsidRPr="005D1109">
        <w:t xml:space="preserve">nd </w:t>
      </w:r>
      <w:r>
        <w:t>w</w:t>
      </w:r>
      <w:r w:rsidRPr="005D1109">
        <w:t xml:space="preserve">ellbeing </w:t>
      </w:r>
      <w:r>
        <w:t>s</w:t>
      </w:r>
      <w:r w:rsidRPr="005D1109">
        <w:t xml:space="preserve">ervice </w:t>
      </w:r>
      <w:r>
        <w:t>a</w:t>
      </w:r>
      <w:r w:rsidRPr="005D1109">
        <w:t xml:space="preserve">nd </w:t>
      </w:r>
      <w:r>
        <w:t>c</w:t>
      </w:r>
      <w:r w:rsidRPr="005D1109">
        <w:t xml:space="preserve">apital </w:t>
      </w:r>
      <w:r>
        <w:t>p</w:t>
      </w:r>
      <w:r w:rsidRPr="005D1109">
        <w:t>lan</w:t>
      </w:r>
    </w:p>
    <w:p w14:paraId="19FC917C" w14:textId="77777777" w:rsidR="00817104" w:rsidRPr="00A310E3" w:rsidRDefault="00817104" w:rsidP="00817104">
      <w:pPr>
        <w:pStyle w:val="Body"/>
      </w:pPr>
      <w:r>
        <w:t xml:space="preserve">The </w:t>
      </w:r>
      <w:r w:rsidRPr="00AC0019">
        <w:rPr>
          <w:i/>
          <w:iCs/>
        </w:rPr>
        <w:t>Statewide mental health and wellbeing service and capital plan 2024–2037</w:t>
      </w:r>
      <w:r w:rsidRPr="7AB8D72A">
        <w:rPr>
          <w:i/>
          <w:iCs/>
        </w:rPr>
        <w:t xml:space="preserve"> </w:t>
      </w:r>
      <w:r>
        <w:t>(Statewide Plan) provides guidance on system</w:t>
      </w:r>
      <w:r w:rsidRPr="00EE5E5B">
        <w:t xml:space="preserve"> planning </w:t>
      </w:r>
      <w:r>
        <w:t>to</w:t>
      </w:r>
      <w:r w:rsidRPr="00EE5E5B">
        <w:t xml:space="preserve"> understand and anticipat</w:t>
      </w:r>
      <w:r>
        <w:t xml:space="preserve">e </w:t>
      </w:r>
      <w:r w:rsidRPr="00EE5E5B">
        <w:t>the mental health needs of Victorians and ensure investment is directed where it is most needed.</w:t>
      </w:r>
    </w:p>
    <w:p w14:paraId="096611ED" w14:textId="77777777" w:rsidR="00817104" w:rsidRPr="00A310E3" w:rsidRDefault="00817104" w:rsidP="00817104">
      <w:pPr>
        <w:pStyle w:val="Body"/>
      </w:pPr>
      <w:r>
        <w:t xml:space="preserve">For more information and to access the plan, visit </w:t>
      </w:r>
      <w:hyperlink r:id="rId49" w:history="1">
        <w:r w:rsidRPr="00FD4427">
          <w:rPr>
            <w:rStyle w:val="Hyperlink"/>
          </w:rPr>
          <w:t>Statewide Plan</w:t>
        </w:r>
      </w:hyperlink>
      <w:r>
        <w:t xml:space="preserve"> &lt;</w:t>
      </w:r>
      <w:r w:rsidRPr="00EB4CDC">
        <w:t>https://www.health.vic.gov.au/publications/statewide-mental-health-and-wellbeing-service-and-capital-plan</w:t>
      </w:r>
      <w:r>
        <w:t>&gt;.</w:t>
      </w:r>
    </w:p>
    <w:p w14:paraId="2BCA5657" w14:textId="77777777" w:rsidR="00817104" w:rsidRPr="007C4158" w:rsidRDefault="00817104" w:rsidP="00817104">
      <w:pPr>
        <w:pStyle w:val="Heading4"/>
      </w:pPr>
      <w:r w:rsidRPr="007C4158">
        <w:t>Age streaming</w:t>
      </w:r>
    </w:p>
    <w:p w14:paraId="0C5F05A6" w14:textId="77777777" w:rsidR="00817104" w:rsidRPr="00EE5E5B" w:rsidRDefault="00817104" w:rsidP="00817104">
      <w:pPr>
        <w:pStyle w:val="Body"/>
      </w:pPr>
      <w:r>
        <w:t xml:space="preserve">Area Mental Health and Wellbeing </w:t>
      </w:r>
      <w:r w:rsidRPr="00EE5E5B">
        <w:t xml:space="preserve">Services are being reorientated around two age-based </w:t>
      </w:r>
      <w:r>
        <w:t>streams:</w:t>
      </w:r>
      <w:r w:rsidRPr="00EE5E5B">
        <w:t xml:space="preserve"> one for infants, children and young people (0–25 years), and the other for adults and older adults (26+ years)</w:t>
      </w:r>
      <w:r>
        <w:t xml:space="preserve"> (see Figure 1)</w:t>
      </w:r>
      <w:r w:rsidRPr="00EE5E5B">
        <w:t>.</w:t>
      </w:r>
    </w:p>
    <w:p w14:paraId="34687411" w14:textId="4DEB990F" w:rsidR="00817104" w:rsidRDefault="00817104" w:rsidP="00817104">
      <w:pPr>
        <w:pStyle w:val="Bodyafterbullets"/>
      </w:pPr>
      <w:r>
        <w:lastRenderedPageBreak/>
        <w:t>Within the</w:t>
      </w:r>
      <w:r w:rsidR="00C57AAB">
        <w:t xml:space="preserve"> infant, child and youth mental health and wellbeing system</w:t>
      </w:r>
      <w:r>
        <w:t xml:space="preserve"> (0–25), there are two service streams: the infant, child and family mental health and wellbeing service stream (0–11), and the youth, mental health and wellbeing service stream (12–25).</w:t>
      </w:r>
    </w:p>
    <w:p w14:paraId="263983F3" w14:textId="77777777" w:rsidR="00817104" w:rsidRDefault="00817104" w:rsidP="00817104">
      <w:pPr>
        <w:pStyle w:val="Body"/>
      </w:pPr>
      <w:r>
        <w:t xml:space="preserve">The department provided written guidance to all Area Mental Health and Wellbeing Services on these age streams in October 2024. All whole-of-life Area Mental Health and Wellbeing Services are expected to have these age streams in place, including with appropriate naming conventions, by the end of 2026. </w:t>
      </w:r>
    </w:p>
    <w:p w14:paraId="0787B79B" w14:textId="77777777" w:rsidR="00817104" w:rsidRDefault="00817104" w:rsidP="00817104">
      <w:pPr>
        <w:pStyle w:val="Figurecaption"/>
      </w:pPr>
      <w:r>
        <w:t xml:space="preserve">Figure </w:t>
      </w:r>
      <w:r>
        <w:fldChar w:fldCharType="begin"/>
      </w:r>
      <w:r>
        <w:instrText>SEQ Figure \* ARABIC</w:instrText>
      </w:r>
      <w:r>
        <w:fldChar w:fldCharType="separate"/>
      </w:r>
      <w:r>
        <w:rPr>
          <w:noProof/>
        </w:rPr>
        <w:t>1</w:t>
      </w:r>
      <w:r>
        <w:fldChar w:fldCharType="end"/>
      </w:r>
      <w:r>
        <w:t>. Mental health and wellbeing services across two age-based streams</w:t>
      </w:r>
    </w:p>
    <w:p w14:paraId="7C9B5CDE" w14:textId="77777777" w:rsidR="00817104" w:rsidRPr="00837714" w:rsidRDefault="00817104" w:rsidP="00817104">
      <w:pPr>
        <w:pStyle w:val="Body"/>
      </w:pPr>
      <w:r>
        <w:rPr>
          <w:noProof/>
        </w:rPr>
        <w:drawing>
          <wp:inline distT="0" distB="0" distL="0" distR="0" wp14:anchorId="68CB8170" wp14:editId="623189DD">
            <wp:extent cx="5904230" cy="1398270"/>
            <wp:effectExtent l="0" t="0" r="1270" b="0"/>
            <wp:docPr id="192093511" name="Picture 2" descr="The figure shows the two age-based streams set out in this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59433" name="Picture 2" descr="The figure shows the two age-based streams set out in this section. "/>
                    <pic:cNvPicPr/>
                  </pic:nvPicPr>
                  <pic:blipFill>
                    <a:blip r:embed="rId50"/>
                    <a:stretch>
                      <a:fillRect/>
                    </a:stretch>
                  </pic:blipFill>
                  <pic:spPr>
                    <a:xfrm>
                      <a:off x="0" y="0"/>
                      <a:ext cx="5904230" cy="1398270"/>
                    </a:xfrm>
                    <a:prstGeom prst="rect">
                      <a:avLst/>
                    </a:prstGeom>
                  </pic:spPr>
                </pic:pic>
              </a:graphicData>
            </a:graphic>
          </wp:inline>
        </w:drawing>
      </w:r>
    </w:p>
    <w:p w14:paraId="6F46AD40" w14:textId="77777777" w:rsidR="00817104" w:rsidRPr="007C4158" w:rsidRDefault="00817104" w:rsidP="00817104">
      <w:pPr>
        <w:pStyle w:val="Heading4"/>
      </w:pPr>
      <w:r w:rsidRPr="007C4158">
        <w:t xml:space="preserve">Service </w:t>
      </w:r>
      <w:r>
        <w:t>c</w:t>
      </w:r>
      <w:r w:rsidRPr="007C4158">
        <w:t>atchments</w:t>
      </w:r>
    </w:p>
    <w:p w14:paraId="05717327" w14:textId="77777777" w:rsidR="00817104" w:rsidRDefault="00817104" w:rsidP="00817104">
      <w:pPr>
        <w:pStyle w:val="Body"/>
      </w:pPr>
      <w:r>
        <w:t>Mental health service catchments that have historically determined access to mental health services based on a person’s place of residence will be reviewed to enable consumer access and choice, address access inequities and avoid service discontinuity. This work intersects with multiple enabling reform priorities, such as the redesign of the Level 5 community mental health and wellbeing services and access policy. Clear and effective service planning areas will continue to support planning and design of t</w:t>
      </w:r>
      <w:r w:rsidRPr="008C4224">
        <w:t>he mental health and wellbeing service system</w:t>
      </w:r>
      <w:r>
        <w:t xml:space="preserve"> that reflect natural consumer flows. </w:t>
      </w:r>
    </w:p>
    <w:p w14:paraId="6C5B5F3B" w14:textId="77777777" w:rsidR="00817104" w:rsidRPr="00ED2095" w:rsidRDefault="00817104" w:rsidP="00817104">
      <w:pPr>
        <w:pStyle w:val="Heading4"/>
      </w:pPr>
      <w:bookmarkStart w:id="1745" w:name="_Redesigning_level_5"/>
      <w:bookmarkEnd w:id="1745"/>
      <w:r>
        <w:t>Redesigning Level 5 community mental health and wellbeing services</w:t>
      </w:r>
      <w:r w:rsidRPr="00ED2095">
        <w:t xml:space="preserve"> </w:t>
      </w:r>
    </w:p>
    <w:p w14:paraId="08613FE4" w14:textId="77777777" w:rsidR="00817104" w:rsidRDefault="00817104" w:rsidP="00817104">
      <w:pPr>
        <w:pStyle w:val="Body"/>
      </w:pPr>
      <w:r w:rsidRPr="00133CBE">
        <w:t>The Community Redesign project aims to deliver a comprehensive system design and change strategy to improve community-based Area Mental Health and Wellbeing Service responses for people of all ages experiencing ongoing mental health challenges or distress</w:t>
      </w:r>
      <w:r>
        <w:t>,</w:t>
      </w:r>
      <w:r w:rsidRPr="00133CBE">
        <w:t xml:space="preserve"> who are seeking more intensive treatment, care and support. </w:t>
      </w:r>
    </w:p>
    <w:p w14:paraId="15DCBF35" w14:textId="77777777" w:rsidR="00817104" w:rsidRDefault="00817104" w:rsidP="00817104">
      <w:pPr>
        <w:pStyle w:val="Body"/>
      </w:pPr>
      <w:r>
        <w:t xml:space="preserve">The department has engaged service providers, sector leaders, people with lived and living experience, and the frontline workforce to inform the design of a service framework that provides guidance to Area </w:t>
      </w:r>
      <w:r w:rsidRPr="00133CBE">
        <w:t xml:space="preserve">Mental Health and Wellbeing </w:t>
      </w:r>
      <w:r>
        <w:t>Services on planning and delivery of community-based services.</w:t>
      </w:r>
    </w:p>
    <w:p w14:paraId="50A022A1" w14:textId="77777777" w:rsidR="00817104" w:rsidRPr="004414EE" w:rsidRDefault="00817104" w:rsidP="00817104">
      <w:pPr>
        <w:pStyle w:val="Body"/>
      </w:pPr>
      <w:r>
        <w:t xml:space="preserve">The framework will be released in 2026–27, and Area </w:t>
      </w:r>
      <w:r w:rsidRPr="00133CBE">
        <w:t xml:space="preserve">Mental Health and Wellbeing </w:t>
      </w:r>
      <w:r>
        <w:t xml:space="preserve">Services will be expected to align to the framework. Further engagement will occur to test and validate that the service framework will meet its objectives. </w:t>
      </w:r>
      <w:r w:rsidRPr="00CB68C9">
        <w:t xml:space="preserve">The </w:t>
      </w:r>
      <w:r>
        <w:t xml:space="preserve">service </w:t>
      </w:r>
      <w:r w:rsidRPr="00CB68C9">
        <w:t xml:space="preserve">framework will be supported by a </w:t>
      </w:r>
      <w:r>
        <w:t xml:space="preserve">multi-year </w:t>
      </w:r>
      <w:r w:rsidRPr="00CB68C9">
        <w:t xml:space="preserve">change strategy that </w:t>
      </w:r>
      <w:r>
        <w:t xml:space="preserve">will </w:t>
      </w:r>
      <w:r w:rsidRPr="00CB68C9">
        <w:t xml:space="preserve">guide Area </w:t>
      </w:r>
      <w:r w:rsidRPr="00133CBE">
        <w:t xml:space="preserve">Mental Health and Wellbeing </w:t>
      </w:r>
      <w:r w:rsidRPr="00CB68C9">
        <w:t>Services to transition to new service expectations.</w:t>
      </w:r>
      <w:r>
        <w:t xml:space="preserve"> </w:t>
      </w:r>
    </w:p>
    <w:p w14:paraId="2A5D542E" w14:textId="77777777" w:rsidR="00817104" w:rsidRPr="00ED2095" w:rsidRDefault="00817104" w:rsidP="00817104">
      <w:pPr>
        <w:pStyle w:val="Heading4"/>
      </w:pPr>
      <w:r w:rsidRPr="0E2EE8E0">
        <w:t xml:space="preserve">Access </w:t>
      </w:r>
      <w:r>
        <w:t xml:space="preserve">and intake </w:t>
      </w:r>
      <w:r w:rsidRPr="0E2EE8E0">
        <w:t>policy</w:t>
      </w:r>
    </w:p>
    <w:p w14:paraId="59732C72" w14:textId="77777777" w:rsidR="00817104" w:rsidRDefault="00817104" w:rsidP="00817104">
      <w:pPr>
        <w:pStyle w:val="Body"/>
      </w:pPr>
      <w:r w:rsidRPr="00CD5CE6">
        <w:t>A new access and intake policy is under development to set system</w:t>
      </w:r>
      <w:r w:rsidRPr="00CD5CE6">
        <w:rPr>
          <w:rFonts w:ascii="Cambria Math" w:hAnsi="Cambria Math" w:cs="Cambria Math"/>
        </w:rPr>
        <w:t>‑</w:t>
      </w:r>
      <w:r w:rsidRPr="00CD5CE6">
        <w:t>wide expectations for how state</w:t>
      </w:r>
      <w:r w:rsidRPr="00CD5CE6">
        <w:rPr>
          <w:rFonts w:ascii="Cambria Math" w:hAnsi="Cambria Math" w:cs="Cambria Math"/>
        </w:rPr>
        <w:t>‑</w:t>
      </w:r>
      <w:r w:rsidRPr="00CD5CE6">
        <w:t xml:space="preserve">funded mental health and wellbeing services provide access to care in Victoria. Services will be required to apply a </w:t>
      </w:r>
      <w:r w:rsidRPr="00CD5CE6">
        <w:rPr>
          <w:rFonts w:cs="Arial"/>
        </w:rPr>
        <w:t>‘</w:t>
      </w:r>
      <w:r w:rsidRPr="00CD5CE6">
        <w:t>no wrong door</w:t>
      </w:r>
      <w:r w:rsidRPr="00CD5CE6">
        <w:rPr>
          <w:rFonts w:cs="Arial"/>
        </w:rPr>
        <w:t>’</w:t>
      </w:r>
      <w:r w:rsidRPr="00CD5CE6">
        <w:t xml:space="preserve"> and </w:t>
      </w:r>
      <w:r w:rsidRPr="00CD5CE6">
        <w:rPr>
          <w:rFonts w:cs="Arial"/>
        </w:rPr>
        <w:t>‘</w:t>
      </w:r>
      <w:r w:rsidRPr="00CD5CE6">
        <w:t>how can we help?</w:t>
      </w:r>
      <w:r w:rsidRPr="00CD5CE6">
        <w:rPr>
          <w:rFonts w:cs="Arial"/>
        </w:rPr>
        <w:t>’</w:t>
      </w:r>
      <w:r w:rsidRPr="00CD5CE6">
        <w:t xml:space="preserve"> approach</w:t>
      </w:r>
      <w:r>
        <w:t>.</w:t>
      </w:r>
    </w:p>
    <w:p w14:paraId="327CF30C" w14:textId="77777777" w:rsidR="00817104" w:rsidRDefault="00817104" w:rsidP="00817104">
      <w:pPr>
        <w:pStyle w:val="Body"/>
      </w:pPr>
      <w:r>
        <w:t>This will</w:t>
      </w:r>
      <w:r w:rsidRPr="00CD5CE6">
        <w:t xml:space="preserve"> includ</w:t>
      </w:r>
      <w:r>
        <w:t>e</w:t>
      </w:r>
      <w:r w:rsidRPr="00CD5CE6">
        <w:t xml:space="preserve"> delivery of three core front</w:t>
      </w:r>
      <w:r w:rsidRPr="00CD5CE6">
        <w:rPr>
          <w:rFonts w:ascii="Cambria Math" w:hAnsi="Cambria Math" w:cs="Cambria Math"/>
        </w:rPr>
        <w:t>‑</w:t>
      </w:r>
      <w:r w:rsidRPr="00CD5CE6">
        <w:t>end functions</w:t>
      </w:r>
      <w:r>
        <w:t xml:space="preserve"> of</w:t>
      </w:r>
      <w:r w:rsidRPr="00CD5CE6">
        <w:t>:</w:t>
      </w:r>
    </w:p>
    <w:p w14:paraId="7E84E0D5" w14:textId="77777777" w:rsidR="00817104" w:rsidRDefault="00817104" w:rsidP="00817104">
      <w:pPr>
        <w:pStyle w:val="Bullet1"/>
        <w:numPr>
          <w:ilvl w:val="0"/>
          <w:numId w:val="2"/>
        </w:numPr>
      </w:pPr>
      <w:r w:rsidRPr="00CD5CE6">
        <w:lastRenderedPageBreak/>
        <w:t>access and navigation support</w:t>
      </w:r>
    </w:p>
    <w:p w14:paraId="4AB2448A" w14:textId="77777777" w:rsidR="00817104" w:rsidRDefault="00817104" w:rsidP="00817104">
      <w:pPr>
        <w:pStyle w:val="Bullet1"/>
        <w:numPr>
          <w:ilvl w:val="0"/>
          <w:numId w:val="2"/>
        </w:numPr>
      </w:pPr>
      <w:r w:rsidRPr="00CD5CE6">
        <w:t>initial support discussions</w:t>
      </w:r>
    </w:p>
    <w:p w14:paraId="33FC3109" w14:textId="77777777" w:rsidR="00817104" w:rsidRDefault="00817104" w:rsidP="00817104">
      <w:pPr>
        <w:pStyle w:val="Bullet1"/>
        <w:numPr>
          <w:ilvl w:val="0"/>
          <w:numId w:val="2"/>
        </w:numPr>
      </w:pPr>
      <w:r w:rsidRPr="00CD5CE6">
        <w:t>comprehensive needs assessment and planning.</w:t>
      </w:r>
    </w:p>
    <w:p w14:paraId="6CF1E402" w14:textId="77777777" w:rsidR="00817104" w:rsidRDefault="00817104" w:rsidP="00817104">
      <w:pPr>
        <w:pStyle w:val="Bodyafterbullets"/>
      </w:pPr>
      <w:r w:rsidRPr="00CD5CE6">
        <w:t>The policy will support timely access to care across the lifespan and at the appropriate level of intensity</w:t>
      </w:r>
      <w:r>
        <w:t xml:space="preserve"> and</w:t>
      </w:r>
      <w:r w:rsidRPr="00CD5CE6">
        <w:t xml:space="preserve"> will set expectations for collaboration and referral arrangements between Local, Area and Statewide Mental Health and Wellbeing Services. The initial policy was developed in 2023 and refined with </w:t>
      </w:r>
      <w:r w:rsidRPr="00E333B8">
        <w:t xml:space="preserve">Local Mental Health and Wellbeing Services </w:t>
      </w:r>
      <w:r>
        <w:t xml:space="preserve">and Area </w:t>
      </w:r>
      <w:r w:rsidRPr="00E333B8">
        <w:t>Mental Health and Wellbeing Services</w:t>
      </w:r>
      <w:r w:rsidRPr="00CD5CE6">
        <w:t>, with sector</w:t>
      </w:r>
      <w:r>
        <w:rPr>
          <w:rFonts w:ascii="Cambria Math" w:hAnsi="Cambria Math" w:cs="Cambria Math"/>
        </w:rPr>
        <w:t>-</w:t>
      </w:r>
      <w:r w:rsidRPr="00CD5CE6">
        <w:t>wide rollout planned for 2027.</w:t>
      </w:r>
    </w:p>
    <w:p w14:paraId="16C51458" w14:textId="0CFC32A3" w:rsidR="00817104" w:rsidRPr="002F4F8F" w:rsidRDefault="00817104" w:rsidP="00817104">
      <w:pPr>
        <w:pStyle w:val="Heading2"/>
      </w:pPr>
      <w:bookmarkStart w:id="1746" w:name="_Six_levels_of"/>
      <w:bookmarkStart w:id="1747" w:name="_Level_4:_Local"/>
      <w:bookmarkStart w:id="1748" w:name="_Ref142310381"/>
      <w:bookmarkStart w:id="1749" w:name="_Toc143080864"/>
      <w:bookmarkStart w:id="1750" w:name="_Toc167174508"/>
      <w:bookmarkStart w:id="1751" w:name="_Toc231982260"/>
      <w:bookmarkEnd w:id="1746"/>
      <w:bookmarkEnd w:id="1747"/>
      <w:r>
        <w:t xml:space="preserve">Level 4: Local Mental Health and Wellbeing </w:t>
      </w:r>
      <w:bookmarkEnd w:id="1748"/>
      <w:bookmarkEnd w:id="1749"/>
      <w:bookmarkEnd w:id="1750"/>
      <w:r>
        <w:t>Services</w:t>
      </w:r>
      <w:bookmarkEnd w:id="1751"/>
    </w:p>
    <w:p w14:paraId="21AA31F0" w14:textId="77777777" w:rsidR="00817104" w:rsidRDefault="00817104" w:rsidP="00817104">
      <w:pPr>
        <w:pStyle w:val="Body"/>
      </w:pPr>
      <w:r>
        <w:t>Level 4 services provide easy-to-access, high-quality treatment, care and support to people experiencing mental ill-health and/or psychological distress, who require moderate to high-intensity care. Level 4 services are designed for those whose needs cannot be met by primary services and secondary mental health care providers alone, but do not require acute care from tertiary Area Mental Health and Wellbeing Services.</w:t>
      </w:r>
    </w:p>
    <w:p w14:paraId="194A7FFC" w14:textId="77777777" w:rsidR="00817104" w:rsidRDefault="00817104" w:rsidP="00817104">
      <w:pPr>
        <w:pStyle w:val="Body"/>
      </w:pPr>
      <w:r>
        <w:t xml:space="preserve">To enable a smooth transition between different system levels, each age-based stream of Local Mental Health and Wellbeing Services requires collaboration with the networked Area Mental Health and Wellbeing Service, with the level of collaboration varying per stream. </w:t>
      </w:r>
    </w:p>
    <w:p w14:paraId="5A1C9813" w14:textId="7B2F6D1C" w:rsidR="00817104" w:rsidRDefault="00817104" w:rsidP="00817104">
      <w:pPr>
        <w:pStyle w:val="Heading3"/>
      </w:pPr>
      <w:r>
        <w:t xml:space="preserve">Mental Health </w:t>
      </w:r>
      <w:r w:rsidRPr="009311A4">
        <w:t>and</w:t>
      </w:r>
      <w:r>
        <w:t xml:space="preserve"> Wellbeing Locals – adults and older adults (26+)</w:t>
      </w:r>
    </w:p>
    <w:p w14:paraId="1602ED38" w14:textId="77777777" w:rsidR="00817104" w:rsidRDefault="00817104" w:rsidP="00817104">
      <w:pPr>
        <w:pStyle w:val="Body"/>
      </w:pPr>
      <w:r w:rsidRPr="009F11A6">
        <w:t>Mental Health and Wellbeing Local</w:t>
      </w:r>
      <w:r>
        <w:t>s</w:t>
      </w:r>
      <w:r w:rsidRPr="009F11A6">
        <w:t xml:space="preserve"> </w:t>
      </w:r>
      <w:r>
        <w:t xml:space="preserve">are state-funded, community-based services for adults and older adults experiencing mental ill health or psychological distress, including people with co-occurring substance use and/or dependence, requiring moderate to high-intensity care. They </w:t>
      </w:r>
      <w:r w:rsidRPr="00A310E3">
        <w:t xml:space="preserve">provide </w:t>
      </w:r>
      <w:r>
        <w:t xml:space="preserve">holistic </w:t>
      </w:r>
      <w:r w:rsidRPr="00A310E3">
        <w:t xml:space="preserve">integrated </w:t>
      </w:r>
      <w:r>
        <w:t xml:space="preserve">mental health clinical and wellbeing </w:t>
      </w:r>
      <w:r w:rsidRPr="00A310E3">
        <w:t>treatment, care and support</w:t>
      </w:r>
      <w:r>
        <w:t>s</w:t>
      </w:r>
      <w:r w:rsidRPr="00A310E3">
        <w:t xml:space="preserve"> </w:t>
      </w:r>
      <w:r>
        <w:t>delivered by a multidisciplinary team.</w:t>
      </w:r>
    </w:p>
    <w:p w14:paraId="0953286E" w14:textId="77777777" w:rsidR="00817104" w:rsidRPr="00A310E3" w:rsidRDefault="00817104" w:rsidP="00817104">
      <w:pPr>
        <w:pStyle w:val="Body"/>
      </w:pPr>
      <w:r>
        <w:t>Mental Health and Wellbeing Locals</w:t>
      </w:r>
      <w:r w:rsidRPr="00AE1D9C">
        <w:t xml:space="preserve"> provide additional and alternative support to primary mental health services, Area </w:t>
      </w:r>
      <w:r>
        <w:t xml:space="preserve">Mental Health and Wellbeing </w:t>
      </w:r>
      <w:r w:rsidRPr="00AE1D9C">
        <w:t>Services</w:t>
      </w:r>
      <w:r>
        <w:t>,</w:t>
      </w:r>
      <w:r w:rsidRPr="00AE1D9C">
        <w:t xml:space="preserve"> and/or other </w:t>
      </w:r>
      <w:r>
        <w:t>public and private</w:t>
      </w:r>
      <w:r w:rsidRPr="00AE1D9C">
        <w:t xml:space="preserve"> mental health services.</w:t>
      </w:r>
      <w:r>
        <w:t xml:space="preserve"> Support is also available </w:t>
      </w:r>
      <w:r w:rsidRPr="00A310E3">
        <w:t>to famil</w:t>
      </w:r>
      <w:r>
        <w:t>ies</w:t>
      </w:r>
      <w:r w:rsidRPr="00A310E3">
        <w:t>, carers and supporters</w:t>
      </w:r>
      <w:r>
        <w:t xml:space="preserve">, both </w:t>
      </w:r>
      <w:r w:rsidRPr="00B91511">
        <w:t>in the context of their own mental health and wellbeing</w:t>
      </w:r>
      <w:r>
        <w:t>,</w:t>
      </w:r>
      <w:r w:rsidRPr="00B91511">
        <w:t xml:space="preserve"> and </w:t>
      </w:r>
      <w:r>
        <w:t xml:space="preserve">for </w:t>
      </w:r>
      <w:r w:rsidRPr="00B91511">
        <w:t>their role in supporting the consumer</w:t>
      </w:r>
      <w:r w:rsidRPr="00A310E3">
        <w:t>.</w:t>
      </w:r>
    </w:p>
    <w:p w14:paraId="5642C872" w14:textId="77777777" w:rsidR="00817104" w:rsidRDefault="00817104" w:rsidP="00817104">
      <w:pPr>
        <w:pStyle w:val="Body"/>
      </w:pPr>
      <w:r>
        <w:t xml:space="preserve">Mental Health and Wellbeing </w:t>
      </w:r>
      <w:r w:rsidRPr="00226B04">
        <w:t>Local</w:t>
      </w:r>
      <w:r>
        <w:t>s</w:t>
      </w:r>
      <w:r w:rsidRPr="00226B04">
        <w:t xml:space="preserve"> operate as a network</w:t>
      </w:r>
      <w:r>
        <w:t xml:space="preserve"> of different providers with 22 Mental Health and Wellbeing Locals operating across 24 locations in Victoria, delivering treatment, care and support to people with mental health and wellbeing concerns close to home. For a list of current locations, visit </w:t>
      </w:r>
      <w:hyperlink r:id="rId51" w:history="1">
        <w:r w:rsidRPr="00CE6B00">
          <w:rPr>
            <w:rStyle w:val="Hyperlink"/>
          </w:rPr>
          <w:t>Mental Health and Wellbeing Locals</w:t>
        </w:r>
      </w:hyperlink>
      <w:r>
        <w:t xml:space="preserve"> &lt;</w:t>
      </w:r>
      <w:r w:rsidRPr="00221E3A">
        <w:t>https://www.betterhealth.vic.gov.au/mental-health-wellbeing-locals</w:t>
      </w:r>
      <w:r>
        <w:t>&gt;.</w:t>
      </w:r>
    </w:p>
    <w:p w14:paraId="5B109800" w14:textId="1AA6DE26" w:rsidR="00817104" w:rsidRDefault="00817104" w:rsidP="00817104">
      <w:pPr>
        <w:pStyle w:val="Body"/>
      </w:pPr>
      <w:r>
        <w:t xml:space="preserve">Providers of </w:t>
      </w:r>
      <w:r w:rsidRPr="003665AC">
        <w:t xml:space="preserve">Mental Health and Wellbeing Locals are expected to adhere to the </w:t>
      </w:r>
      <w:r w:rsidRPr="00255515">
        <w:rPr>
          <w:i/>
          <w:iCs/>
        </w:rPr>
        <w:t xml:space="preserve">Mental Health and Wellbeing </w:t>
      </w:r>
      <w:r>
        <w:rPr>
          <w:i/>
          <w:iCs/>
        </w:rPr>
        <w:t xml:space="preserve">Locals: </w:t>
      </w:r>
      <w:r w:rsidRPr="00255515">
        <w:rPr>
          <w:i/>
          <w:iCs/>
        </w:rPr>
        <w:t xml:space="preserve">Service </w:t>
      </w:r>
      <w:r>
        <w:rPr>
          <w:i/>
          <w:iCs/>
        </w:rPr>
        <w:t>F</w:t>
      </w:r>
      <w:r w:rsidRPr="00255515">
        <w:rPr>
          <w:i/>
          <w:iCs/>
        </w:rPr>
        <w:t>ramework</w:t>
      </w:r>
      <w:r w:rsidR="00735DBD">
        <w:rPr>
          <w:i/>
          <w:iCs/>
        </w:rPr>
        <w:t xml:space="preserve"> </w:t>
      </w:r>
      <w:r>
        <w:t>which</w:t>
      </w:r>
      <w:r w:rsidRPr="00164FF9">
        <w:t xml:space="preserve"> provides clear policy and operational parameters to guide the planning, delivery and monitoring of Mental Health and Wellbeing Locals across Victoria</w:t>
      </w:r>
      <w:r>
        <w:t>.</w:t>
      </w:r>
    </w:p>
    <w:p w14:paraId="26A428FE" w14:textId="77777777" w:rsidR="00817104" w:rsidRPr="00D13930" w:rsidRDefault="00817104" w:rsidP="00817104">
      <w:pPr>
        <w:pStyle w:val="Body"/>
      </w:pPr>
      <w:r>
        <w:t xml:space="preserve">To access the framework, visit </w:t>
      </w:r>
      <w:hyperlink r:id="rId52" w:history="1">
        <w:r w:rsidRPr="00A67DC9">
          <w:rPr>
            <w:rStyle w:val="Hyperlink"/>
          </w:rPr>
          <w:t>Mental Health and Wellbeing Locals Service Framework</w:t>
        </w:r>
      </w:hyperlink>
      <w:r>
        <w:t xml:space="preserve">  &lt;</w:t>
      </w:r>
      <w:r w:rsidRPr="00EB768E">
        <w:t>https://www.health.vic.gov.au/publications/mental-health-wellbeing-locals-service-framework</w:t>
      </w:r>
      <w:r>
        <w:t>&gt;.</w:t>
      </w:r>
    </w:p>
    <w:p w14:paraId="02C56ED2" w14:textId="77777777" w:rsidR="00817104" w:rsidRPr="00D13930" w:rsidRDefault="00817104" w:rsidP="00817104">
      <w:pPr>
        <w:pStyle w:val="Body"/>
      </w:pPr>
      <w:r>
        <w:t xml:space="preserve">For more information about Mental Health and Wellbeing Locals, visit </w:t>
      </w:r>
      <w:hyperlink r:id="rId53" w:history="1">
        <w:r w:rsidRPr="00F85D94">
          <w:rPr>
            <w:rStyle w:val="Hyperlink"/>
          </w:rPr>
          <w:t>Mental Health and Wellbeing Locals</w:t>
        </w:r>
      </w:hyperlink>
      <w:r>
        <w:t xml:space="preserve"> &lt;</w:t>
      </w:r>
      <w:r w:rsidRPr="00F85D94">
        <w:t>https://www.health.vic.gov.au/mental-health-services/mental-health-and-wellbeing-locals</w:t>
      </w:r>
      <w:r>
        <w:t>&gt;.</w:t>
      </w:r>
    </w:p>
    <w:p w14:paraId="6B3919E5" w14:textId="7F53F769" w:rsidR="00817104" w:rsidRPr="003B48A1" w:rsidRDefault="00817104" w:rsidP="00817104">
      <w:pPr>
        <w:pStyle w:val="Heading3"/>
      </w:pPr>
      <w:r>
        <w:lastRenderedPageBreak/>
        <w:t>Mental Health and Wellbeing</w:t>
      </w:r>
      <w:r w:rsidRPr="28EB97F2">
        <w:t xml:space="preserve"> </w:t>
      </w:r>
      <w:r>
        <w:t>Locals</w:t>
      </w:r>
      <w:r w:rsidRPr="28EB97F2">
        <w:t xml:space="preserve"> </w:t>
      </w:r>
      <w:r>
        <w:t>– young people (12–25)</w:t>
      </w:r>
    </w:p>
    <w:p w14:paraId="08A35B76" w14:textId="5BA3DF5E" w:rsidR="00817104" w:rsidRDefault="00817104" w:rsidP="00817104">
      <w:r>
        <w:t xml:space="preserve">Australian Government-funded headspace services operate as Level 4 Local Mental Health and Wellbeing Services for young people </w:t>
      </w:r>
      <w:r>
        <w:rPr>
          <w:lang w:val="en-US"/>
        </w:rPr>
        <w:t xml:space="preserve">aged 12–25 </w:t>
      </w:r>
      <w:r w:rsidR="002A0263">
        <w:rPr>
          <w:lang w:val="en-US"/>
        </w:rPr>
        <w:t>years and</w:t>
      </w:r>
      <w:r>
        <w:t xml:space="preserve"> </w:t>
      </w:r>
      <w:r w:rsidRPr="009E4D69">
        <w:t>provide an accessible entry point to timely mental health treatment, care and wellbeing support for young people whose needs cannot be met by primary services alone but do not require acute specialist care.</w:t>
      </w:r>
    </w:p>
    <w:p w14:paraId="7DF86C3F" w14:textId="77777777" w:rsidR="00817104" w:rsidRDefault="00817104" w:rsidP="00817104">
      <w:r>
        <w:t>To support continuity of care and system navigation, Infant, Child and Youth Area Mental Health and Wellbeing Services (ICY AMHWS) are expected to work in formal partnership with headspace services in their region.</w:t>
      </w:r>
    </w:p>
    <w:p w14:paraId="3E5D976F" w14:textId="77777777" w:rsidR="00817104" w:rsidRDefault="00817104" w:rsidP="00817104">
      <w:r>
        <w:t>This includes establishing and maintaining:</w:t>
      </w:r>
    </w:p>
    <w:p w14:paraId="2787628E" w14:textId="77777777" w:rsidR="00817104" w:rsidRPr="00071FF3" w:rsidRDefault="00817104" w:rsidP="00817104">
      <w:pPr>
        <w:pStyle w:val="Bullet1"/>
        <w:numPr>
          <w:ilvl w:val="0"/>
          <w:numId w:val="2"/>
        </w:numPr>
        <w:rPr>
          <w:lang w:eastAsia="en-AU"/>
        </w:rPr>
      </w:pPr>
      <w:r w:rsidRPr="00071FF3">
        <w:rPr>
          <w:lang w:eastAsia="en-AU"/>
        </w:rPr>
        <w:t>clear step</w:t>
      </w:r>
      <w:r>
        <w:rPr>
          <w:lang w:eastAsia="en-AU"/>
        </w:rPr>
        <w:t>-</w:t>
      </w:r>
      <w:r w:rsidRPr="00071FF3">
        <w:rPr>
          <w:lang w:eastAsia="en-AU"/>
        </w:rPr>
        <w:t>up and step</w:t>
      </w:r>
      <w:r>
        <w:rPr>
          <w:rFonts w:ascii="Cambria Math" w:hAnsi="Cambria Math" w:cs="Cambria Math"/>
          <w:lang w:eastAsia="en-AU"/>
        </w:rPr>
        <w:t>-</w:t>
      </w:r>
      <w:r w:rsidRPr="00071FF3">
        <w:rPr>
          <w:lang w:eastAsia="en-AU"/>
        </w:rPr>
        <w:t>down referral pathways between headspace and ICY AMHWS</w:t>
      </w:r>
    </w:p>
    <w:p w14:paraId="0FDCA446" w14:textId="77777777" w:rsidR="00817104" w:rsidRPr="00071FF3" w:rsidRDefault="00817104" w:rsidP="00817104">
      <w:pPr>
        <w:pStyle w:val="Bullet1"/>
        <w:numPr>
          <w:ilvl w:val="0"/>
          <w:numId w:val="2"/>
        </w:numPr>
        <w:rPr>
          <w:lang w:eastAsia="en-AU"/>
        </w:rPr>
      </w:pPr>
      <w:r w:rsidRPr="00071FF3">
        <w:rPr>
          <w:lang w:eastAsia="en-AU"/>
        </w:rPr>
        <w:t>primary and secondary consultation arrangements, including shared care where appropriate</w:t>
      </w:r>
    </w:p>
    <w:p w14:paraId="1E96DE3C" w14:textId="77777777" w:rsidR="00817104" w:rsidRDefault="00817104" w:rsidP="00817104">
      <w:pPr>
        <w:pStyle w:val="Bullet1"/>
        <w:numPr>
          <w:ilvl w:val="0"/>
          <w:numId w:val="2"/>
        </w:numPr>
        <w:rPr>
          <w:lang w:eastAsia="en-AU"/>
        </w:rPr>
      </w:pPr>
      <w:r w:rsidRPr="00071FF3">
        <w:rPr>
          <w:lang w:eastAsia="en-AU"/>
        </w:rPr>
        <w:t xml:space="preserve">agreed local escalation, transition and discharge protocols </w:t>
      </w:r>
    </w:p>
    <w:p w14:paraId="1CD85E3E" w14:textId="77777777" w:rsidR="00817104" w:rsidRDefault="00817104" w:rsidP="00817104">
      <w:pPr>
        <w:pStyle w:val="Bullet1"/>
        <w:numPr>
          <w:ilvl w:val="0"/>
          <w:numId w:val="2"/>
        </w:numPr>
        <w:spacing w:after="120"/>
        <w:rPr>
          <w:lang w:eastAsia="en-AU"/>
        </w:rPr>
      </w:pPr>
      <w:r w:rsidRPr="5822612F">
        <w:rPr>
          <w:lang w:eastAsia="en-AU"/>
        </w:rPr>
        <w:t xml:space="preserve">where possible </w:t>
      </w:r>
      <w:r>
        <w:rPr>
          <w:lang w:eastAsia="en-AU"/>
        </w:rPr>
        <w:t>shared staff, infrastructure and co-location between headspace and ICY AMHWS</w:t>
      </w:r>
    </w:p>
    <w:p w14:paraId="33A43E13" w14:textId="77777777" w:rsidR="00817104" w:rsidRPr="00F14E3C" w:rsidRDefault="00817104" w:rsidP="00817104">
      <w:pPr>
        <w:pStyle w:val="Body"/>
        <w:rPr>
          <w:lang w:val="en-US"/>
        </w:rPr>
      </w:pPr>
      <w:r>
        <w:rPr>
          <w:lang w:val="en-US"/>
        </w:rPr>
        <w:t>T</w:t>
      </w:r>
      <w:r w:rsidRPr="2E8D159A">
        <w:rPr>
          <w:lang w:val="en-US"/>
        </w:rPr>
        <w:t>he</w:t>
      </w:r>
      <w:r w:rsidRPr="3569374A">
        <w:rPr>
          <w:lang w:val="en-US"/>
        </w:rPr>
        <w:t xml:space="preserve"> Bilateral Schedule of the </w:t>
      </w:r>
      <w:r w:rsidRPr="00AC556C">
        <w:rPr>
          <w:i/>
          <w:iCs/>
          <w:lang w:val="en-US"/>
        </w:rPr>
        <w:t>National Mental Health and Suicide Prevention Agreement 2021–2026</w:t>
      </w:r>
      <w:r>
        <w:rPr>
          <w:lang w:val="en-US"/>
        </w:rPr>
        <w:t xml:space="preserve"> commits </w:t>
      </w:r>
      <w:r w:rsidRPr="3569374A">
        <w:rPr>
          <w:lang w:val="en-US"/>
        </w:rPr>
        <w:t xml:space="preserve">ICY </w:t>
      </w:r>
      <w:r>
        <w:rPr>
          <w:lang w:val="en-US"/>
        </w:rPr>
        <w:t xml:space="preserve">AMHWS to provide </w:t>
      </w:r>
      <w:r w:rsidRPr="005E6257">
        <w:rPr>
          <w:lang w:val="en-US"/>
        </w:rPr>
        <w:t>in-kind clinical support</w:t>
      </w:r>
      <w:r>
        <w:rPr>
          <w:lang w:val="en-US"/>
        </w:rPr>
        <w:t xml:space="preserve">, including primary and secondary consultation, </w:t>
      </w:r>
      <w:r w:rsidRPr="005E6257">
        <w:rPr>
          <w:lang w:val="en-US"/>
        </w:rPr>
        <w:t xml:space="preserve">to young people </w:t>
      </w:r>
      <w:r>
        <w:rPr>
          <w:lang w:val="en-US"/>
        </w:rPr>
        <w:t>within</w:t>
      </w:r>
      <w:r w:rsidRPr="005E6257">
        <w:rPr>
          <w:lang w:val="en-US"/>
        </w:rPr>
        <w:t xml:space="preserve"> headspace services</w:t>
      </w:r>
      <w:r>
        <w:rPr>
          <w:lang w:val="en-US"/>
        </w:rPr>
        <w:t>. This consultation and shared care aims</w:t>
      </w:r>
      <w:r w:rsidRPr="005E6257">
        <w:rPr>
          <w:lang w:val="en-US"/>
        </w:rPr>
        <w:t xml:space="preserve"> to bette</w:t>
      </w:r>
      <w:r>
        <w:rPr>
          <w:lang w:val="en-US"/>
        </w:rPr>
        <w:t xml:space="preserve">r support young people with higher acuity or more complex needs, while ensuring timely access to specialist care when required. </w:t>
      </w:r>
    </w:p>
    <w:p w14:paraId="3EEE38AB" w14:textId="77777777" w:rsidR="00817104" w:rsidRDefault="00817104" w:rsidP="00817104">
      <w:pPr>
        <w:pStyle w:val="Body"/>
        <w:rPr>
          <w:rFonts w:eastAsia="Arial" w:cs="Arial"/>
          <w:bCs/>
          <w:color w:val="000000" w:themeColor="text1"/>
          <w:lang w:val="en-US"/>
        </w:rPr>
      </w:pPr>
      <w:r w:rsidRPr="004104EE">
        <w:rPr>
          <w:rFonts w:eastAsia="Arial" w:cs="Arial"/>
          <w:bCs/>
          <w:color w:val="000000" w:themeColor="text1"/>
          <w:lang w:val="en-US"/>
        </w:rPr>
        <w:t xml:space="preserve">Victoria is partnering with the </w:t>
      </w:r>
      <w:r>
        <w:rPr>
          <w:rFonts w:eastAsia="Arial" w:cs="Arial"/>
          <w:bCs/>
          <w:color w:val="000000" w:themeColor="text1"/>
          <w:lang w:val="en-US"/>
        </w:rPr>
        <w:t>Australian Government</w:t>
      </w:r>
      <w:r w:rsidRPr="004104EE">
        <w:rPr>
          <w:rFonts w:eastAsia="Arial" w:cs="Arial"/>
          <w:bCs/>
          <w:color w:val="000000" w:themeColor="text1"/>
          <w:lang w:val="en-US"/>
        </w:rPr>
        <w:t xml:space="preserve"> Department of Health</w:t>
      </w:r>
      <w:r>
        <w:rPr>
          <w:rFonts w:eastAsia="Arial" w:cs="Arial"/>
          <w:bCs/>
          <w:color w:val="000000" w:themeColor="text1"/>
          <w:lang w:val="en-US"/>
        </w:rPr>
        <w:t>, Disability and Ageing</w:t>
      </w:r>
      <w:r w:rsidRPr="004104EE">
        <w:rPr>
          <w:rFonts w:eastAsia="Arial" w:cs="Arial"/>
          <w:bCs/>
          <w:color w:val="000000" w:themeColor="text1"/>
          <w:lang w:val="en-US"/>
        </w:rPr>
        <w:t xml:space="preserve"> to strengthen integration between headspace services and </w:t>
      </w:r>
      <w:r>
        <w:rPr>
          <w:rFonts w:eastAsia="Arial" w:cs="Arial"/>
          <w:bCs/>
          <w:color w:val="000000" w:themeColor="text1"/>
          <w:lang w:val="en-US"/>
        </w:rPr>
        <w:t xml:space="preserve">ICY AMHWS, including the development of jointly agreed guidelines that </w:t>
      </w:r>
      <w:r w:rsidRPr="002E7607">
        <w:rPr>
          <w:lang w:eastAsia="en-AU"/>
        </w:rPr>
        <w:t>set shared</w:t>
      </w:r>
      <w:r>
        <w:rPr>
          <w:lang w:eastAsia="en-AU"/>
        </w:rPr>
        <w:t xml:space="preserve"> expectations</w:t>
      </w:r>
      <w:r w:rsidRPr="002E7607">
        <w:rPr>
          <w:lang w:eastAsia="en-AU"/>
        </w:rPr>
        <w:t>, roles and processes that support integrated care</w:t>
      </w:r>
      <w:r>
        <w:rPr>
          <w:lang w:eastAsia="en-AU"/>
        </w:rPr>
        <w:t xml:space="preserve"> between headspace service</w:t>
      </w:r>
      <w:r w:rsidRPr="00467B42">
        <w:rPr>
          <w:lang w:eastAsia="en-AU"/>
        </w:rPr>
        <w:t xml:space="preserve"> and ICY </w:t>
      </w:r>
      <w:r>
        <w:rPr>
          <w:lang w:eastAsia="en-AU"/>
        </w:rPr>
        <w:t>AMHWS. This guideline is expected to be released in 2026</w:t>
      </w:r>
      <w:r w:rsidRPr="00467B42">
        <w:rPr>
          <w:lang w:eastAsia="en-AU"/>
        </w:rPr>
        <w:t>.</w:t>
      </w:r>
    </w:p>
    <w:p w14:paraId="5400C2D3" w14:textId="1FBB46DE" w:rsidR="00817104" w:rsidRPr="003B48A1" w:rsidRDefault="00817104" w:rsidP="00817104">
      <w:pPr>
        <w:pStyle w:val="Heading3"/>
      </w:pPr>
      <w:r>
        <w:t>Children’s Health and Wellbeing Locals</w:t>
      </w:r>
      <w:r w:rsidR="00C57AAB">
        <w:t xml:space="preserve"> -</w:t>
      </w:r>
      <w:r>
        <w:t xml:space="preserve"> infants and children (0–11)</w:t>
      </w:r>
    </w:p>
    <w:p w14:paraId="5676771B" w14:textId="655B34A4" w:rsidR="00817104" w:rsidRPr="003665AC" w:rsidRDefault="00817104" w:rsidP="00817104">
      <w:pPr>
        <w:pStyle w:val="Body"/>
      </w:pPr>
      <w:bookmarkStart w:id="1752" w:name="_Toc143080865"/>
      <w:bookmarkStart w:id="1753" w:name="_Toc167174509"/>
      <w:r>
        <w:t>Three Children’s Health and Wellbeing Locals have been established in Brimbank</w:t>
      </w:r>
      <w:r w:rsidR="00C57AAB">
        <w:t>-</w:t>
      </w:r>
      <w:r>
        <w:t>Melton, Southern Melbourne and Loddon. The</w:t>
      </w:r>
      <w:r w:rsidR="00A1422E">
        <w:t xml:space="preserve">se </w:t>
      </w:r>
      <w:r>
        <w:t xml:space="preserve">Locals provide access to multidisciplinary paediatric health, mental health and family services for children aged 0–11 years who are experiencing developmental, emotional, relational and behavioural challenges, and their families. </w:t>
      </w:r>
      <w:r w:rsidR="00756FCE">
        <w:t xml:space="preserve">They </w:t>
      </w:r>
      <w:r>
        <w:t>also</w:t>
      </w:r>
      <w:r w:rsidRPr="003665AC">
        <w:t xml:space="preserve"> </w:t>
      </w:r>
      <w:r>
        <w:t>provide</w:t>
      </w:r>
      <w:r w:rsidRPr="003665AC">
        <w:t xml:space="preserve"> in-person group-based parenting sessions</w:t>
      </w:r>
      <w:r>
        <w:t xml:space="preserve">. </w:t>
      </w:r>
    </w:p>
    <w:p w14:paraId="19C43C73" w14:textId="3CD7984F" w:rsidR="00817104" w:rsidRPr="00290F99" w:rsidRDefault="00817104" w:rsidP="00817104">
      <w:pPr>
        <w:pStyle w:val="Body"/>
      </w:pPr>
      <w:r w:rsidRPr="00290F99">
        <w:t xml:space="preserve">Each Children’s Health and Wellbeing Local is led by a Community Health Service, which holds responsibility for the funding and integrated service delivery. The lead provider subcontracts the local </w:t>
      </w:r>
      <w:r w:rsidR="00073745" w:rsidRPr="00467B42">
        <w:rPr>
          <w:lang w:eastAsia="en-AU"/>
        </w:rPr>
        <w:t xml:space="preserve">ICY </w:t>
      </w:r>
      <w:r w:rsidR="00073745">
        <w:rPr>
          <w:lang w:eastAsia="en-AU"/>
        </w:rPr>
        <w:t>AMHWS</w:t>
      </w:r>
      <w:r w:rsidR="00073745" w:rsidRPr="00290F99">
        <w:t xml:space="preserve"> </w:t>
      </w:r>
      <w:r w:rsidRPr="00290F99">
        <w:t xml:space="preserve">and a local family service provider to deliver the suite of services available within the </w:t>
      </w:r>
      <w:r w:rsidRPr="003665AC">
        <w:t>Child</w:t>
      </w:r>
      <w:r>
        <w:t>ren’s</w:t>
      </w:r>
      <w:r w:rsidRPr="003665AC">
        <w:t xml:space="preserve"> Health and Wellbeing </w:t>
      </w:r>
      <w:r w:rsidRPr="00290F99">
        <w:t xml:space="preserve">Local. </w:t>
      </w:r>
    </w:p>
    <w:p w14:paraId="184FC200" w14:textId="77777777" w:rsidR="00817104" w:rsidRPr="00290F99" w:rsidRDefault="00817104" w:rsidP="00817104">
      <w:pPr>
        <w:pStyle w:val="Body"/>
      </w:pPr>
      <w:r w:rsidRPr="00290F99">
        <w:t xml:space="preserve">All Children’s Health and Wellbeing Locals must report service activity to the department through the Community Health Minimum Dataset (CHMDS) and annual reports using a departmental template. </w:t>
      </w:r>
    </w:p>
    <w:p w14:paraId="46D232A5" w14:textId="53DEA25F" w:rsidR="00817104" w:rsidRPr="00D74C14" w:rsidRDefault="00817104" w:rsidP="00817104">
      <w:pPr>
        <w:pStyle w:val="Body"/>
        <w:rPr>
          <w:highlight w:val="lightGray"/>
        </w:rPr>
      </w:pPr>
      <w:r w:rsidRPr="003665AC">
        <w:t>Child</w:t>
      </w:r>
      <w:r>
        <w:t>ren’s</w:t>
      </w:r>
      <w:r w:rsidRPr="003665AC">
        <w:t xml:space="preserve"> Health and Wellbeing Locals </w:t>
      </w:r>
      <w:r>
        <w:t xml:space="preserve">service delivery is guided by the service framework prepared by the department and local models of care developed by each Children’s Health and Wellbeing Local. These services are delivered in partnership with the </w:t>
      </w:r>
      <w:r w:rsidR="004C6A8E">
        <w:t>Commonwealth</w:t>
      </w:r>
      <w:r>
        <w:t xml:space="preserve"> through the Bilateral Agreement on Mental Health and Suicide Prevention (2022), as part of the Commonwealth’s national investment in the Medicare Mental Health Kids Hubs (formerly Head to Health Kids</w:t>
      </w:r>
      <w:r w:rsidRPr="0095390B">
        <w:t>).</w:t>
      </w:r>
    </w:p>
    <w:p w14:paraId="08EDCA13" w14:textId="1097D539" w:rsidR="00817104" w:rsidRDefault="00817104" w:rsidP="00817104">
      <w:pPr>
        <w:pStyle w:val="Heading2"/>
      </w:pPr>
      <w:bookmarkStart w:id="1754" w:name="_Toc231982261"/>
      <w:r>
        <w:lastRenderedPageBreak/>
        <w:t xml:space="preserve">Level </w:t>
      </w:r>
      <w:r w:rsidRPr="006D09F2">
        <w:t xml:space="preserve">5: Area </w:t>
      </w:r>
      <w:r w:rsidRPr="00443D45">
        <w:t>Mental</w:t>
      </w:r>
      <w:r w:rsidRPr="006D09F2">
        <w:t xml:space="preserve"> Health and Wellbeing Services</w:t>
      </w:r>
      <w:bookmarkEnd w:id="1752"/>
      <w:bookmarkEnd w:id="1753"/>
      <w:bookmarkEnd w:id="1754"/>
    </w:p>
    <w:p w14:paraId="256DDE1F" w14:textId="77777777" w:rsidR="00817104" w:rsidRDefault="00817104" w:rsidP="00817104">
      <w:pPr>
        <w:pStyle w:val="Body"/>
      </w:pPr>
      <w:r w:rsidRPr="00C82798">
        <w:t>Health services</w:t>
      </w:r>
      <w:r w:rsidRPr="00CF71F2">
        <w:t xml:space="preserve"> prescribed as a designated </w:t>
      </w:r>
      <w:r>
        <w:t>Area M</w:t>
      </w:r>
      <w:r w:rsidRPr="00CF71F2">
        <w:t xml:space="preserve">ental </w:t>
      </w:r>
      <w:r>
        <w:t>H</w:t>
      </w:r>
      <w:r w:rsidRPr="00CF71F2">
        <w:t>ealth</w:t>
      </w:r>
      <w:r>
        <w:t xml:space="preserve"> and Wellbeing</w:t>
      </w:r>
      <w:r w:rsidRPr="00CF71F2">
        <w:t xml:space="preserve"> </w:t>
      </w:r>
      <w:r>
        <w:t>S</w:t>
      </w:r>
      <w:r w:rsidRPr="00CF71F2">
        <w:t xml:space="preserve">ervice under the </w:t>
      </w:r>
      <w:r w:rsidRPr="004B6089">
        <w:rPr>
          <w:i/>
          <w:iCs/>
        </w:rPr>
        <w:t>Mental Health and Wellbeing Act 2022</w:t>
      </w:r>
      <w:r>
        <w:t xml:space="preserve"> must ensure that people experiencing </w:t>
      </w:r>
      <w:r w:rsidRPr="009B5728">
        <w:t>mental ill</w:t>
      </w:r>
      <w:r w:rsidRPr="009B5728">
        <w:rPr>
          <w:rFonts w:ascii="Cambria Math" w:hAnsi="Cambria Math" w:cs="Cambria Math"/>
        </w:rPr>
        <w:t>‑</w:t>
      </w:r>
      <w:r w:rsidRPr="009B5728">
        <w:t>health receive timely, safe and appropriate care, in line with</w:t>
      </w:r>
      <w:r>
        <w:t xml:space="preserve"> the </w:t>
      </w:r>
      <w:r w:rsidRPr="00143F11">
        <w:t>Act</w:t>
      </w:r>
      <w:r>
        <w:t>, other</w:t>
      </w:r>
      <w:r w:rsidRPr="009B5728">
        <w:t xml:space="preserve"> legislative requirements and funded activity expectations.</w:t>
      </w:r>
    </w:p>
    <w:p w14:paraId="02EF0CFA" w14:textId="076BCE47" w:rsidR="00817104" w:rsidRPr="00A0081A" w:rsidRDefault="00817104" w:rsidP="00817104">
      <w:pPr>
        <w:pStyle w:val="Heading3"/>
      </w:pPr>
      <w:r>
        <w:t>Admitted mental health bed-based services (acute services)</w:t>
      </w:r>
    </w:p>
    <w:p w14:paraId="27D191C3" w14:textId="77777777" w:rsidR="00817104" w:rsidRPr="009D5DA9" w:rsidRDefault="00817104" w:rsidP="00817104">
      <w:pPr>
        <w:pStyle w:val="Heading4"/>
      </w:pPr>
      <w:r>
        <w:t>Admitted a</w:t>
      </w:r>
      <w:r w:rsidRPr="009D5DA9">
        <w:t xml:space="preserve">cute </w:t>
      </w:r>
      <w:r>
        <w:t>c</w:t>
      </w:r>
      <w:r w:rsidRPr="009D5DA9">
        <w:t>are</w:t>
      </w:r>
    </w:p>
    <w:p w14:paraId="2DD1AF80" w14:textId="77777777" w:rsidR="00817104" w:rsidRDefault="00817104" w:rsidP="00817104">
      <w:pPr>
        <w:pStyle w:val="Body"/>
      </w:pPr>
      <w:r>
        <w:t xml:space="preserve">Admitted acute services encompass a range of distinct bed types providing services across the age streams, including: </w:t>
      </w:r>
    </w:p>
    <w:p w14:paraId="60467AD2" w14:textId="77777777" w:rsidR="00817104" w:rsidRDefault="00817104" w:rsidP="00817104">
      <w:pPr>
        <w:pStyle w:val="Bullet1"/>
        <w:numPr>
          <w:ilvl w:val="0"/>
          <w:numId w:val="2"/>
        </w:numPr>
      </w:pPr>
      <w:r>
        <w:t>acute specialist – a</w:t>
      </w:r>
      <w:r w:rsidRPr="00280FCB">
        <w:t xml:space="preserve">cute beds with a targeted model of care focusing on areas such as </w:t>
      </w:r>
      <w:r>
        <w:t xml:space="preserve">parent and infant, </w:t>
      </w:r>
      <w:r w:rsidRPr="00280FCB">
        <w:t>eating disorder</w:t>
      </w:r>
      <w:r>
        <w:t>s</w:t>
      </w:r>
      <w:r w:rsidRPr="00280FCB">
        <w:t xml:space="preserve"> and other </w:t>
      </w:r>
      <w:r>
        <w:t>specialist</w:t>
      </w:r>
      <w:r w:rsidRPr="00280FCB">
        <w:t xml:space="preserve"> areas of mental health service provision</w:t>
      </w:r>
    </w:p>
    <w:p w14:paraId="0AE2A269" w14:textId="77777777" w:rsidR="00817104" w:rsidRDefault="00817104" w:rsidP="00817104">
      <w:pPr>
        <w:pStyle w:val="Bullet1"/>
        <w:numPr>
          <w:ilvl w:val="0"/>
          <w:numId w:val="2"/>
        </w:numPr>
      </w:pPr>
      <w:r>
        <w:t xml:space="preserve">acute intensive care area – </w:t>
      </w:r>
      <w:r w:rsidRPr="00280FCB">
        <w:t xml:space="preserve">mental health </w:t>
      </w:r>
      <w:r>
        <w:t xml:space="preserve">inpatient </w:t>
      </w:r>
      <w:r w:rsidRPr="00280FCB">
        <w:t xml:space="preserve">beds </w:t>
      </w:r>
      <w:r>
        <w:t>providing assessment and treatment to people who are acutely unwell, where there are concerns for the safety of the person or others</w:t>
      </w:r>
    </w:p>
    <w:p w14:paraId="337D3AA3" w14:textId="77777777" w:rsidR="00817104" w:rsidRDefault="00817104" w:rsidP="00817104">
      <w:pPr>
        <w:pStyle w:val="Bullet1"/>
        <w:numPr>
          <w:ilvl w:val="0"/>
          <w:numId w:val="2"/>
        </w:numPr>
      </w:pPr>
      <w:r>
        <w:t>acute low-care area – mental health inpatient beds providing short-term inpatient treatment and care d</w:t>
      </w:r>
      <w:r w:rsidRPr="001D77C3">
        <w:t>uring a mental health crisis, focusing on assessment, stabili</w:t>
      </w:r>
      <w:r>
        <w:t>s</w:t>
      </w:r>
      <w:r w:rsidRPr="001D77C3">
        <w:t>ation and preparation for community-based care</w:t>
      </w:r>
    </w:p>
    <w:p w14:paraId="663F444C" w14:textId="77777777" w:rsidR="00817104" w:rsidRDefault="00817104" w:rsidP="00817104">
      <w:pPr>
        <w:pStyle w:val="Bullet1"/>
        <w:numPr>
          <w:ilvl w:val="0"/>
          <w:numId w:val="2"/>
        </w:numPr>
      </w:pPr>
      <w:r>
        <w:t xml:space="preserve">Hospital in the Home (HITH) – </w:t>
      </w:r>
      <w:r w:rsidRPr="00FF1522">
        <w:t xml:space="preserve">outreach programs where </w:t>
      </w:r>
      <w:r>
        <w:t xml:space="preserve">a </w:t>
      </w:r>
      <w:r w:rsidRPr="00FF1522">
        <w:t>patient may still need acute care but</w:t>
      </w:r>
      <w:r>
        <w:t xml:space="preserve"> is clinically suitable to receive treatment </w:t>
      </w:r>
      <w:r w:rsidRPr="00FF1522">
        <w:t>in their own homes.</w:t>
      </w:r>
    </w:p>
    <w:p w14:paraId="242C0395" w14:textId="77777777" w:rsidR="00817104" w:rsidRDefault="00817104" w:rsidP="00817104">
      <w:pPr>
        <w:pStyle w:val="Bodyafterbullets"/>
      </w:pPr>
      <w:r>
        <w:t xml:space="preserve">Acute inpatient mental health beds must be operated in accordance with clinical intent. </w:t>
      </w:r>
      <w:r w:rsidRPr="00FC7F28">
        <w:t xml:space="preserve">Health services are expected to operate all </w:t>
      </w:r>
      <w:r w:rsidRPr="00945360">
        <w:t xml:space="preserve">available </w:t>
      </w:r>
      <w:r w:rsidRPr="00FC7F28">
        <w:t xml:space="preserve">acute mental health beds </w:t>
      </w:r>
      <w:r w:rsidRPr="00945360">
        <w:t xml:space="preserve">as outlined in the </w:t>
      </w:r>
      <w:r w:rsidRPr="007C6E74">
        <w:t>Funding Rules</w:t>
      </w:r>
      <w:r w:rsidRPr="00FC7F28">
        <w:t>, except where beds are temporarily unavailable due to unplanned and unavoidable circumstances, such as infrastructure damage</w:t>
      </w:r>
      <w:r>
        <w:t xml:space="preserve">. </w:t>
      </w:r>
      <w:r w:rsidRPr="00945360">
        <w:t xml:space="preserve">Any </w:t>
      </w:r>
      <w:r>
        <w:t xml:space="preserve">planned </w:t>
      </w:r>
      <w:r w:rsidRPr="00945360">
        <w:t>changes to a health services</w:t>
      </w:r>
      <w:r>
        <w:t>’</w:t>
      </w:r>
      <w:r w:rsidRPr="00945360">
        <w:t xml:space="preserve"> operati</w:t>
      </w:r>
      <w:r>
        <w:t>ng</w:t>
      </w:r>
      <w:r w:rsidRPr="00BE6208">
        <w:t xml:space="preserve"> acute bed numbers</w:t>
      </w:r>
      <w:r w:rsidRPr="00945360">
        <w:t xml:space="preserve"> </w:t>
      </w:r>
      <w:r w:rsidRPr="00BE6208">
        <w:t xml:space="preserve">must be agreed with the </w:t>
      </w:r>
      <w:r>
        <w:t>d</w:t>
      </w:r>
      <w:r w:rsidRPr="00BE6208">
        <w:t>epartment prior to implementation.</w:t>
      </w:r>
    </w:p>
    <w:p w14:paraId="47923B27" w14:textId="77777777" w:rsidR="00E072F9" w:rsidRDefault="00817104" w:rsidP="00817104">
      <w:pPr>
        <w:pStyle w:val="Body"/>
      </w:pPr>
      <w:r w:rsidRPr="00FC7F28">
        <w:t xml:space="preserve">Health services are responsible for managing workforce, admission and discharge processes to maximise </w:t>
      </w:r>
      <w:r>
        <w:t xml:space="preserve">consumer flow and </w:t>
      </w:r>
      <w:r w:rsidRPr="00FC7F28">
        <w:t>bed availability</w:t>
      </w:r>
      <w:r>
        <w:t>,</w:t>
      </w:r>
      <w:r w:rsidRPr="00FC7F28">
        <w:t xml:space="preserve"> and are expected to manage inpatient services to achieve an average bed occupancy of </w:t>
      </w:r>
      <w:r>
        <w:t xml:space="preserve">at least </w:t>
      </w:r>
      <w:r w:rsidRPr="00FC7F28">
        <w:t>85</w:t>
      </w:r>
      <w:r>
        <w:t xml:space="preserve"> per cent</w:t>
      </w:r>
      <w:r w:rsidRPr="00FC7F28">
        <w:t>.</w:t>
      </w:r>
      <w:r>
        <w:t xml:space="preserve"> </w:t>
      </w:r>
    </w:p>
    <w:p w14:paraId="4FF420B5" w14:textId="77777777" w:rsidR="00817104" w:rsidRDefault="00817104" w:rsidP="00817104">
      <w:pPr>
        <w:pStyle w:val="Body"/>
      </w:pPr>
      <w:r>
        <w:t xml:space="preserve">All admitted acute mental health care must be delivered in accordance with the </w:t>
      </w:r>
      <w:r w:rsidRPr="004B6089">
        <w:rPr>
          <w:i/>
          <w:iCs/>
        </w:rPr>
        <w:t>Mental Health and Wellbeing Act 2022</w:t>
      </w:r>
      <w:r>
        <w:t>, including:</w:t>
      </w:r>
    </w:p>
    <w:p w14:paraId="63979BEA" w14:textId="77777777" w:rsidR="00817104" w:rsidRPr="009C163B" w:rsidRDefault="00817104" w:rsidP="00817104">
      <w:pPr>
        <w:pStyle w:val="Bullet1"/>
        <w:numPr>
          <w:ilvl w:val="0"/>
          <w:numId w:val="2"/>
        </w:numPr>
      </w:pPr>
      <w:r w:rsidRPr="009C163B">
        <w:t>least</w:t>
      </w:r>
      <w:r w:rsidRPr="009C163B">
        <w:rPr>
          <w:rFonts w:ascii="Cambria Math" w:hAnsi="Cambria Math" w:cs="Cambria Math"/>
        </w:rPr>
        <w:t>‑</w:t>
      </w:r>
      <w:r w:rsidRPr="009C163B">
        <w:t>restrictive care</w:t>
      </w:r>
    </w:p>
    <w:p w14:paraId="4A4549E2" w14:textId="77777777" w:rsidR="00817104" w:rsidRPr="009C163B" w:rsidRDefault="00817104" w:rsidP="00817104">
      <w:pPr>
        <w:pStyle w:val="Bullet1"/>
        <w:numPr>
          <w:ilvl w:val="0"/>
          <w:numId w:val="2"/>
        </w:numPr>
      </w:pPr>
      <w:r w:rsidRPr="009C163B">
        <w:t>respect for consumer rights</w:t>
      </w:r>
    </w:p>
    <w:p w14:paraId="5F302FD4" w14:textId="77777777" w:rsidR="00817104" w:rsidRPr="009C163B" w:rsidRDefault="00817104" w:rsidP="00817104">
      <w:pPr>
        <w:pStyle w:val="Bullet1"/>
        <w:numPr>
          <w:ilvl w:val="0"/>
          <w:numId w:val="2"/>
        </w:numPr>
      </w:pPr>
      <w:r w:rsidRPr="009C163B">
        <w:t>appropriate use and reduction of restrictive interventions.</w:t>
      </w:r>
    </w:p>
    <w:p w14:paraId="56A7B1DB" w14:textId="77777777" w:rsidR="00817104" w:rsidRDefault="00817104" w:rsidP="00817104">
      <w:pPr>
        <w:pStyle w:val="Bodyafterbullets"/>
      </w:pPr>
      <w:r>
        <w:t>Health services are accountable for ensuring staff are trained and supported to meet these obligations.</w:t>
      </w:r>
    </w:p>
    <w:p w14:paraId="7A5EF03A" w14:textId="77777777" w:rsidR="00817104" w:rsidRPr="00AF14FC" w:rsidRDefault="00817104" w:rsidP="00817104">
      <w:pPr>
        <w:pStyle w:val="Heading4"/>
      </w:pPr>
      <w:r w:rsidRPr="00AF14FC">
        <w:t>Mental Health and Alcohol and Other Drug</w:t>
      </w:r>
      <w:r>
        <w:t>s</w:t>
      </w:r>
      <w:r w:rsidRPr="00AF14FC">
        <w:t xml:space="preserve"> </w:t>
      </w:r>
      <w:r>
        <w:t xml:space="preserve">Emergency Department </w:t>
      </w:r>
      <w:r w:rsidRPr="00AF14FC">
        <w:t>Hub</w:t>
      </w:r>
      <w:r>
        <w:t>s</w:t>
      </w:r>
    </w:p>
    <w:p w14:paraId="2732E0D3" w14:textId="77777777" w:rsidR="00817104" w:rsidRDefault="00817104" w:rsidP="00817104">
      <w:pPr>
        <w:pStyle w:val="Body"/>
      </w:pPr>
      <w:r>
        <w:t xml:space="preserve">Health services funded to operate a </w:t>
      </w:r>
      <w:r w:rsidRPr="00AF14FC">
        <w:t>Mental Health and Alcohol and Other Drug</w:t>
      </w:r>
      <w:r>
        <w:t>s (MHAOD) Hub within an emergency department (ED) must deliver the Hub as a core component of the hospital’s emergency mental health response. This includes supporting timely access to specialist assessment, care and appropriate pathways for MHAOD consumers.</w:t>
      </w:r>
    </w:p>
    <w:p w14:paraId="65E7CCF3" w14:textId="77777777" w:rsidR="00817104" w:rsidRDefault="00817104" w:rsidP="00817104">
      <w:pPr>
        <w:pStyle w:val="Body"/>
      </w:pPr>
      <w:r>
        <w:t>MHAOD ED Hubs must be used exclusively for MHAOD consumers requiring care, including those with co-occurring alcohol and other drug issues, and must not be repurposed for non-mental health activity. The MHAOD Hub beds are not classified as mental health beds, but as admitted ED beds.</w:t>
      </w:r>
    </w:p>
    <w:p w14:paraId="08AE7F5D" w14:textId="77777777" w:rsidR="00817104" w:rsidRDefault="00817104" w:rsidP="00817104">
      <w:pPr>
        <w:pStyle w:val="Body"/>
      </w:pPr>
      <w:r>
        <w:lastRenderedPageBreak/>
        <w:t>Health services must ensure MHAOD Hubs:</w:t>
      </w:r>
    </w:p>
    <w:p w14:paraId="2958DAA5" w14:textId="77777777" w:rsidR="00817104" w:rsidRDefault="00817104" w:rsidP="00817104">
      <w:pPr>
        <w:pStyle w:val="Bullet1"/>
        <w:numPr>
          <w:ilvl w:val="0"/>
          <w:numId w:val="2"/>
        </w:numPr>
      </w:pPr>
      <w:r>
        <w:t>operate as a dedicated service within the ED to support assessment, stabilisation and care coordination for MHAOD consumers</w:t>
      </w:r>
    </w:p>
    <w:p w14:paraId="50C8A6D6" w14:textId="77777777" w:rsidR="00817104" w:rsidRDefault="00817104" w:rsidP="00817104">
      <w:pPr>
        <w:pStyle w:val="Bullet1"/>
        <w:numPr>
          <w:ilvl w:val="0"/>
          <w:numId w:val="2"/>
        </w:numPr>
      </w:pPr>
      <w:r>
        <w:t>are available at all times to respond to ED demand for MHAOD presentations</w:t>
      </w:r>
    </w:p>
    <w:p w14:paraId="3CB530BD" w14:textId="77777777" w:rsidR="00817104" w:rsidRDefault="00817104" w:rsidP="00817104">
      <w:pPr>
        <w:pStyle w:val="Bullet1"/>
        <w:numPr>
          <w:ilvl w:val="0"/>
          <w:numId w:val="2"/>
        </w:numPr>
      </w:pPr>
      <w:r>
        <w:t>provide timely access to specialist MHAOD clinical assessment and advice, including multidisciplinary input where required</w:t>
      </w:r>
    </w:p>
    <w:p w14:paraId="0E1BAA11" w14:textId="77777777" w:rsidR="00817104" w:rsidRDefault="00817104" w:rsidP="00817104">
      <w:pPr>
        <w:pStyle w:val="Bullet1"/>
        <w:numPr>
          <w:ilvl w:val="0"/>
          <w:numId w:val="2"/>
        </w:numPr>
      </w:pPr>
      <w:r>
        <w:t>facilitate timely admission, transfer or discharge to the most appropriate care pathway</w:t>
      </w:r>
    </w:p>
    <w:p w14:paraId="5657F4C3" w14:textId="77777777" w:rsidR="00817104" w:rsidRDefault="00817104" w:rsidP="00817104">
      <w:pPr>
        <w:pStyle w:val="Bullet1"/>
        <w:numPr>
          <w:ilvl w:val="0"/>
          <w:numId w:val="2"/>
        </w:numPr>
      </w:pPr>
      <w:r>
        <w:t>actively contribute to reducing prolonged ED stays for MHAOD consumers.</w:t>
      </w:r>
    </w:p>
    <w:p w14:paraId="0755CB96" w14:textId="77777777" w:rsidR="00817104" w:rsidRDefault="00817104" w:rsidP="00817104">
      <w:pPr>
        <w:pStyle w:val="Bodyafterbullets"/>
      </w:pPr>
      <w:r>
        <w:t>Health services are required to:</w:t>
      </w:r>
    </w:p>
    <w:p w14:paraId="016FFECE" w14:textId="77777777" w:rsidR="00817104" w:rsidRDefault="00817104" w:rsidP="00817104">
      <w:pPr>
        <w:pStyle w:val="Bullet1"/>
        <w:numPr>
          <w:ilvl w:val="0"/>
          <w:numId w:val="2"/>
        </w:numPr>
      </w:pPr>
      <w:r>
        <w:t>operate MHAOD Hub beds at all times, to support MHAOD consumers presenting to the ED</w:t>
      </w:r>
    </w:p>
    <w:p w14:paraId="408ED8FC" w14:textId="77777777" w:rsidR="00817104" w:rsidRDefault="00817104" w:rsidP="00817104">
      <w:pPr>
        <w:pStyle w:val="Bullet1"/>
        <w:numPr>
          <w:ilvl w:val="0"/>
          <w:numId w:val="2"/>
        </w:numPr>
      </w:pPr>
      <w:r>
        <w:t>ensure the MHAOD Hub is used only for MHAOD consumers</w:t>
      </w:r>
    </w:p>
    <w:p w14:paraId="43272592" w14:textId="77777777" w:rsidR="00817104" w:rsidRDefault="00817104" w:rsidP="00817104">
      <w:pPr>
        <w:pStyle w:val="Bullet1"/>
        <w:numPr>
          <w:ilvl w:val="0"/>
          <w:numId w:val="2"/>
        </w:numPr>
      </w:pPr>
      <w:r>
        <w:t>ensure strong integration between the MHAOD Hub, ED, Area Mental Health and Wellbeing Services and other relevant clinical services</w:t>
      </w:r>
    </w:p>
    <w:p w14:paraId="4FD9382A" w14:textId="77777777" w:rsidR="00817104" w:rsidRDefault="00817104" w:rsidP="00817104">
      <w:pPr>
        <w:pStyle w:val="Bullet1"/>
        <w:numPr>
          <w:ilvl w:val="0"/>
          <w:numId w:val="2"/>
        </w:numPr>
      </w:pPr>
      <w:r>
        <w:t>ensure clear clinical escalation, risk management and safety protocols are in place.</w:t>
      </w:r>
    </w:p>
    <w:p w14:paraId="5B4C9333" w14:textId="77777777" w:rsidR="00817104" w:rsidRDefault="00817104" w:rsidP="00817104">
      <w:pPr>
        <w:pStyle w:val="Bodyafterbullets"/>
        <w:rPr>
          <w:i/>
          <w:iCs/>
        </w:rPr>
      </w:pPr>
      <w:r>
        <w:t xml:space="preserve">The health services listed in Table 1 have been funded to deliver MHAOD ED Hub beds and are expected to operate the Hub in line with the directions in the Policy and funding guidelines and the </w:t>
      </w:r>
      <w:r w:rsidRPr="00B07294">
        <w:t>MH AOD Hub Service Framework</w:t>
      </w:r>
      <w:r>
        <w:rPr>
          <w:i/>
          <w:iCs/>
        </w:rPr>
        <w:t>.</w:t>
      </w:r>
    </w:p>
    <w:p w14:paraId="23B7F39B" w14:textId="77777777" w:rsidR="00817104" w:rsidRDefault="00817104" w:rsidP="00817104">
      <w:pPr>
        <w:pStyle w:val="Bodyafterbullets"/>
      </w:pPr>
      <w:r w:rsidRPr="00C257A2">
        <w:t>F</w:t>
      </w:r>
      <w:r>
        <w:t xml:space="preserve">or more information, visit the </w:t>
      </w:r>
      <w:hyperlink r:id="rId54" w:history="1">
        <w:r w:rsidRPr="009D0F2C">
          <w:rPr>
            <w:rStyle w:val="Hyperlink"/>
          </w:rPr>
          <w:t xml:space="preserve">Guideline for the </w:t>
        </w:r>
        <w:r>
          <w:rPr>
            <w:rStyle w:val="Hyperlink"/>
          </w:rPr>
          <w:t>MHAOD</w:t>
        </w:r>
        <w:r w:rsidRPr="009D0F2C">
          <w:rPr>
            <w:rStyle w:val="Hyperlink"/>
          </w:rPr>
          <w:t xml:space="preserve"> </w:t>
        </w:r>
        <w:r>
          <w:rPr>
            <w:rStyle w:val="Hyperlink"/>
          </w:rPr>
          <w:t>ED</w:t>
        </w:r>
        <w:r w:rsidRPr="009D0F2C">
          <w:rPr>
            <w:rStyle w:val="Hyperlink"/>
          </w:rPr>
          <w:t xml:space="preserve"> Hubs</w:t>
        </w:r>
      </w:hyperlink>
      <w:r>
        <w:t xml:space="preserve"> &lt;</w:t>
      </w:r>
      <w:r w:rsidRPr="00685B3C">
        <w:t>https://www.health.vic.gov.au/patient-care/guideline-mental-health-aod-emergency-department-hubs</w:t>
      </w:r>
      <w:r>
        <w:t>&gt;.</w:t>
      </w:r>
    </w:p>
    <w:p w14:paraId="6309403F" w14:textId="77777777" w:rsidR="00817104" w:rsidRDefault="00817104" w:rsidP="00817104">
      <w:pPr>
        <w:pStyle w:val="Tablecaption"/>
      </w:pPr>
      <w:bookmarkStart w:id="1755" w:name="_Toc230537122"/>
      <w:r>
        <w:t xml:space="preserve">Table </w:t>
      </w:r>
      <w:r>
        <w:fldChar w:fldCharType="begin"/>
      </w:r>
      <w:r>
        <w:instrText>SEQ Table \* ARABIC</w:instrText>
      </w:r>
      <w:r>
        <w:fldChar w:fldCharType="separate"/>
      </w:r>
      <w:r>
        <w:rPr>
          <w:noProof/>
        </w:rPr>
        <w:t>1</w:t>
      </w:r>
      <w:r>
        <w:fldChar w:fldCharType="end"/>
      </w:r>
      <w:r>
        <w:t>. Number of MH</w:t>
      </w:r>
      <w:r w:rsidRPr="000F57CD">
        <w:t>AOD beds</w:t>
      </w:r>
      <w:r>
        <w:t xml:space="preserve"> per health service</w:t>
      </w:r>
      <w:bookmarkEnd w:id="1755"/>
    </w:p>
    <w:tbl>
      <w:tblPr>
        <w:tblStyle w:val="GridTable4-Accent1"/>
        <w:tblW w:w="5000" w:type="pct"/>
        <w:tblLook w:val="04A0" w:firstRow="1" w:lastRow="0" w:firstColumn="1" w:lastColumn="0" w:noHBand="0" w:noVBand="1"/>
      </w:tblPr>
      <w:tblGrid>
        <w:gridCol w:w="4531"/>
        <w:gridCol w:w="4757"/>
      </w:tblGrid>
      <w:tr w:rsidR="00817104" w:rsidRPr="002D0C0A" w14:paraId="5CDF3AB3" w14:textId="77777777" w:rsidTr="008037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pct"/>
          </w:tcPr>
          <w:p w14:paraId="74F2A0E7" w14:textId="77777777" w:rsidR="00817104" w:rsidRPr="00D9557C" w:rsidRDefault="00817104" w:rsidP="001C608E">
            <w:pPr>
              <w:pStyle w:val="Bullet1"/>
              <w:numPr>
                <w:ilvl w:val="0"/>
                <w:numId w:val="0"/>
              </w:numPr>
              <w:spacing w:after="60" w:line="240" w:lineRule="auto"/>
              <w:rPr>
                <w:sz w:val="18"/>
                <w:szCs w:val="18"/>
              </w:rPr>
            </w:pPr>
            <w:r w:rsidRPr="00D9557C">
              <w:rPr>
                <w:sz w:val="18"/>
                <w:szCs w:val="18"/>
              </w:rPr>
              <w:t>Health service</w:t>
            </w:r>
          </w:p>
        </w:tc>
        <w:tc>
          <w:tcPr>
            <w:tcW w:w="2561" w:type="pct"/>
          </w:tcPr>
          <w:p w14:paraId="1B13ACF7" w14:textId="77777777" w:rsidR="00817104" w:rsidRPr="00D9557C" w:rsidRDefault="00817104" w:rsidP="001C608E">
            <w:pPr>
              <w:pStyle w:val="Bullet1"/>
              <w:numPr>
                <w:ilvl w:val="0"/>
                <w:numId w:val="0"/>
              </w:numPr>
              <w:spacing w:after="60"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D9557C">
              <w:rPr>
                <w:sz w:val="18"/>
                <w:szCs w:val="18"/>
              </w:rPr>
              <w:t>MHAOD Hub beds</w:t>
            </w:r>
          </w:p>
        </w:tc>
      </w:tr>
      <w:tr w:rsidR="00817104" w:rsidRPr="002D0C0A" w14:paraId="0108F7FE" w14:textId="77777777" w:rsidTr="00803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pct"/>
          </w:tcPr>
          <w:p w14:paraId="7ADBBCFD" w14:textId="77777777" w:rsidR="00817104" w:rsidRPr="00D9557C" w:rsidRDefault="00817104" w:rsidP="001C608E">
            <w:pPr>
              <w:pStyle w:val="Bullet1"/>
              <w:numPr>
                <w:ilvl w:val="0"/>
                <w:numId w:val="0"/>
              </w:numPr>
              <w:spacing w:after="60" w:line="240" w:lineRule="auto"/>
              <w:rPr>
                <w:b w:val="0"/>
                <w:bCs w:val="0"/>
                <w:sz w:val="18"/>
                <w:szCs w:val="18"/>
              </w:rPr>
            </w:pPr>
            <w:r w:rsidRPr="00D9557C">
              <w:rPr>
                <w:sz w:val="18"/>
                <w:szCs w:val="18"/>
              </w:rPr>
              <w:t>Barwon Health – University Hospital Geelong</w:t>
            </w:r>
          </w:p>
        </w:tc>
        <w:tc>
          <w:tcPr>
            <w:tcW w:w="2561" w:type="pct"/>
          </w:tcPr>
          <w:p w14:paraId="5AEE3F8D" w14:textId="77777777" w:rsidR="00817104" w:rsidRPr="00D9557C" w:rsidRDefault="00817104" w:rsidP="001C608E">
            <w:pPr>
              <w:pStyle w:val="Bullet1"/>
              <w:numPr>
                <w:ilvl w:val="0"/>
                <w:numId w:val="0"/>
              </w:num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D9557C">
              <w:rPr>
                <w:sz w:val="18"/>
                <w:szCs w:val="18"/>
              </w:rPr>
              <w:t>5</w:t>
            </w:r>
          </w:p>
        </w:tc>
      </w:tr>
      <w:tr w:rsidR="00817104" w:rsidRPr="002D0C0A" w14:paraId="052A838A" w14:textId="77777777" w:rsidTr="0080379A">
        <w:tc>
          <w:tcPr>
            <w:cnfStyle w:val="001000000000" w:firstRow="0" w:lastRow="0" w:firstColumn="1" w:lastColumn="0" w:oddVBand="0" w:evenVBand="0" w:oddHBand="0" w:evenHBand="0" w:firstRowFirstColumn="0" w:firstRowLastColumn="0" w:lastRowFirstColumn="0" w:lastRowLastColumn="0"/>
            <w:tcW w:w="2439" w:type="pct"/>
          </w:tcPr>
          <w:p w14:paraId="501E70BD" w14:textId="77777777" w:rsidR="00817104" w:rsidRPr="00D9557C" w:rsidRDefault="00817104" w:rsidP="001C608E">
            <w:pPr>
              <w:pStyle w:val="Bullet1"/>
              <w:numPr>
                <w:ilvl w:val="0"/>
                <w:numId w:val="0"/>
              </w:numPr>
              <w:spacing w:after="60" w:line="240" w:lineRule="auto"/>
              <w:rPr>
                <w:b w:val="0"/>
                <w:bCs w:val="0"/>
                <w:sz w:val="18"/>
                <w:szCs w:val="18"/>
              </w:rPr>
            </w:pPr>
            <w:r w:rsidRPr="00D9557C">
              <w:rPr>
                <w:sz w:val="18"/>
                <w:szCs w:val="18"/>
              </w:rPr>
              <w:t>Latrobe Regional Health</w:t>
            </w:r>
          </w:p>
        </w:tc>
        <w:tc>
          <w:tcPr>
            <w:tcW w:w="2561" w:type="pct"/>
          </w:tcPr>
          <w:p w14:paraId="3AD7D59C" w14:textId="77777777" w:rsidR="00817104" w:rsidRPr="00D9557C" w:rsidRDefault="00817104" w:rsidP="001C608E">
            <w:pPr>
              <w:pStyle w:val="Bullet1"/>
              <w:numPr>
                <w:ilvl w:val="0"/>
                <w:numId w:val="0"/>
              </w:num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D9557C">
              <w:rPr>
                <w:sz w:val="18"/>
                <w:szCs w:val="18"/>
              </w:rPr>
              <w:t>6</w:t>
            </w:r>
          </w:p>
        </w:tc>
      </w:tr>
      <w:tr w:rsidR="00817104" w:rsidRPr="002D0C0A" w14:paraId="6B155C45" w14:textId="77777777" w:rsidTr="00803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pct"/>
          </w:tcPr>
          <w:p w14:paraId="4B04EBA5" w14:textId="77777777" w:rsidR="00817104" w:rsidRPr="00D9557C" w:rsidRDefault="00817104" w:rsidP="001C608E">
            <w:pPr>
              <w:pStyle w:val="Bullet1"/>
              <w:numPr>
                <w:ilvl w:val="0"/>
                <w:numId w:val="0"/>
              </w:numPr>
              <w:spacing w:after="60" w:line="240" w:lineRule="auto"/>
              <w:rPr>
                <w:b w:val="0"/>
                <w:bCs w:val="0"/>
                <w:sz w:val="18"/>
                <w:szCs w:val="18"/>
              </w:rPr>
            </w:pPr>
            <w:r w:rsidRPr="00D9557C">
              <w:rPr>
                <w:sz w:val="18"/>
                <w:szCs w:val="18"/>
              </w:rPr>
              <w:t>Monash Health – Monash Medical Centre</w:t>
            </w:r>
          </w:p>
        </w:tc>
        <w:tc>
          <w:tcPr>
            <w:tcW w:w="2561" w:type="pct"/>
          </w:tcPr>
          <w:p w14:paraId="16D100B8" w14:textId="77777777" w:rsidR="00817104" w:rsidRPr="00D9557C" w:rsidRDefault="00817104" w:rsidP="001C608E">
            <w:pPr>
              <w:pStyle w:val="Bullet1"/>
              <w:numPr>
                <w:ilvl w:val="0"/>
                <w:numId w:val="0"/>
              </w:num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D9557C">
              <w:rPr>
                <w:sz w:val="18"/>
                <w:szCs w:val="18"/>
              </w:rPr>
              <w:t>6</w:t>
            </w:r>
          </w:p>
        </w:tc>
      </w:tr>
      <w:tr w:rsidR="00817104" w:rsidRPr="002D0C0A" w14:paraId="2078567C" w14:textId="77777777" w:rsidTr="0080379A">
        <w:tc>
          <w:tcPr>
            <w:cnfStyle w:val="001000000000" w:firstRow="0" w:lastRow="0" w:firstColumn="1" w:lastColumn="0" w:oddVBand="0" w:evenVBand="0" w:oddHBand="0" w:evenHBand="0" w:firstRowFirstColumn="0" w:firstRowLastColumn="0" w:lastRowFirstColumn="0" w:lastRowLastColumn="0"/>
            <w:tcW w:w="2439" w:type="pct"/>
          </w:tcPr>
          <w:p w14:paraId="2D81C392" w14:textId="77777777" w:rsidR="00817104" w:rsidRPr="00D9557C" w:rsidRDefault="00817104" w:rsidP="001C608E">
            <w:pPr>
              <w:pStyle w:val="Bullet1"/>
              <w:numPr>
                <w:ilvl w:val="0"/>
                <w:numId w:val="0"/>
              </w:numPr>
              <w:spacing w:after="60" w:line="240" w:lineRule="auto"/>
              <w:rPr>
                <w:b w:val="0"/>
                <w:bCs w:val="0"/>
                <w:sz w:val="18"/>
                <w:szCs w:val="18"/>
              </w:rPr>
            </w:pPr>
            <w:r w:rsidRPr="00D9557C">
              <w:rPr>
                <w:sz w:val="18"/>
                <w:szCs w:val="18"/>
              </w:rPr>
              <w:t>Bayside Health – Frankston Hospital</w:t>
            </w:r>
          </w:p>
        </w:tc>
        <w:tc>
          <w:tcPr>
            <w:tcW w:w="2561" w:type="pct"/>
          </w:tcPr>
          <w:p w14:paraId="66387F4B" w14:textId="77777777" w:rsidR="00817104" w:rsidRPr="00D9557C" w:rsidRDefault="00817104" w:rsidP="001C608E">
            <w:pPr>
              <w:pStyle w:val="Bullet1"/>
              <w:numPr>
                <w:ilvl w:val="0"/>
                <w:numId w:val="0"/>
              </w:num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D9557C">
              <w:rPr>
                <w:sz w:val="18"/>
                <w:szCs w:val="18"/>
              </w:rPr>
              <w:t>5</w:t>
            </w:r>
          </w:p>
        </w:tc>
      </w:tr>
      <w:tr w:rsidR="00817104" w:rsidRPr="002D0C0A" w14:paraId="30044AE1" w14:textId="77777777" w:rsidTr="00803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pct"/>
          </w:tcPr>
          <w:p w14:paraId="439A9EA6" w14:textId="77777777" w:rsidR="00817104" w:rsidRPr="00D9557C" w:rsidRDefault="00817104" w:rsidP="001C608E">
            <w:pPr>
              <w:pStyle w:val="Bullet1"/>
              <w:numPr>
                <w:ilvl w:val="0"/>
                <w:numId w:val="0"/>
              </w:numPr>
              <w:spacing w:after="60" w:line="240" w:lineRule="auto"/>
              <w:rPr>
                <w:b w:val="0"/>
                <w:bCs w:val="0"/>
                <w:sz w:val="18"/>
                <w:szCs w:val="18"/>
              </w:rPr>
            </w:pPr>
            <w:r w:rsidRPr="00D9557C">
              <w:rPr>
                <w:sz w:val="18"/>
                <w:szCs w:val="18"/>
              </w:rPr>
              <w:t>St Vincent’s Hospital Melbourne</w:t>
            </w:r>
          </w:p>
        </w:tc>
        <w:tc>
          <w:tcPr>
            <w:tcW w:w="2561" w:type="pct"/>
          </w:tcPr>
          <w:p w14:paraId="1DC52AB6" w14:textId="77777777" w:rsidR="00817104" w:rsidRPr="00D9557C" w:rsidRDefault="00817104" w:rsidP="001C608E">
            <w:pPr>
              <w:pStyle w:val="Bullet1"/>
              <w:numPr>
                <w:ilvl w:val="0"/>
                <w:numId w:val="0"/>
              </w:num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D9557C">
              <w:rPr>
                <w:sz w:val="18"/>
                <w:szCs w:val="18"/>
              </w:rPr>
              <w:t>6</w:t>
            </w:r>
          </w:p>
        </w:tc>
      </w:tr>
      <w:tr w:rsidR="00817104" w:rsidRPr="002D0C0A" w14:paraId="73E90EEE" w14:textId="77777777" w:rsidTr="0080379A">
        <w:tc>
          <w:tcPr>
            <w:cnfStyle w:val="001000000000" w:firstRow="0" w:lastRow="0" w:firstColumn="1" w:lastColumn="0" w:oddVBand="0" w:evenVBand="0" w:oddHBand="0" w:evenHBand="0" w:firstRowFirstColumn="0" w:firstRowLastColumn="0" w:lastRowFirstColumn="0" w:lastRowLastColumn="0"/>
            <w:tcW w:w="2439" w:type="pct"/>
          </w:tcPr>
          <w:p w14:paraId="2FB96D82" w14:textId="77777777" w:rsidR="00817104" w:rsidRPr="00D9557C" w:rsidRDefault="00817104" w:rsidP="001C608E">
            <w:pPr>
              <w:pStyle w:val="Bullet1"/>
              <w:numPr>
                <w:ilvl w:val="0"/>
                <w:numId w:val="0"/>
              </w:numPr>
              <w:spacing w:after="60" w:line="240" w:lineRule="auto"/>
              <w:rPr>
                <w:b w:val="0"/>
                <w:bCs w:val="0"/>
                <w:sz w:val="18"/>
                <w:szCs w:val="18"/>
              </w:rPr>
            </w:pPr>
            <w:r w:rsidRPr="00D9557C">
              <w:rPr>
                <w:sz w:val="18"/>
                <w:szCs w:val="18"/>
              </w:rPr>
              <w:t>Melbourne Health – Royal Melbourne Hospital</w:t>
            </w:r>
          </w:p>
        </w:tc>
        <w:tc>
          <w:tcPr>
            <w:tcW w:w="2561" w:type="pct"/>
          </w:tcPr>
          <w:p w14:paraId="77AAF0E9" w14:textId="77777777" w:rsidR="00817104" w:rsidRPr="00D9557C" w:rsidRDefault="00817104" w:rsidP="001C608E">
            <w:pPr>
              <w:pStyle w:val="Bullet1"/>
              <w:numPr>
                <w:ilvl w:val="0"/>
                <w:numId w:val="0"/>
              </w:num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D9557C">
              <w:rPr>
                <w:sz w:val="18"/>
                <w:szCs w:val="18"/>
              </w:rPr>
              <w:t>6</w:t>
            </w:r>
          </w:p>
        </w:tc>
      </w:tr>
      <w:tr w:rsidR="00817104" w:rsidRPr="002D0C0A" w14:paraId="772C5977" w14:textId="77777777" w:rsidTr="00803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pct"/>
          </w:tcPr>
          <w:p w14:paraId="4EEEBD11" w14:textId="77777777" w:rsidR="00817104" w:rsidRPr="00D9557C" w:rsidRDefault="00817104" w:rsidP="001C608E">
            <w:pPr>
              <w:pStyle w:val="Bullet1"/>
              <w:numPr>
                <w:ilvl w:val="0"/>
                <w:numId w:val="0"/>
              </w:numPr>
              <w:spacing w:after="60" w:line="240" w:lineRule="auto"/>
              <w:rPr>
                <w:b w:val="0"/>
                <w:bCs w:val="0"/>
                <w:sz w:val="18"/>
                <w:szCs w:val="18"/>
              </w:rPr>
            </w:pPr>
            <w:r w:rsidRPr="00D9557C">
              <w:rPr>
                <w:sz w:val="18"/>
                <w:szCs w:val="18"/>
              </w:rPr>
              <w:t>Western Health – Sunshine Hospital</w:t>
            </w:r>
          </w:p>
        </w:tc>
        <w:tc>
          <w:tcPr>
            <w:tcW w:w="2561" w:type="pct"/>
          </w:tcPr>
          <w:p w14:paraId="37D811B7" w14:textId="77777777" w:rsidR="00817104" w:rsidRPr="00D9557C" w:rsidRDefault="00817104" w:rsidP="001C608E">
            <w:pPr>
              <w:pStyle w:val="Bullet1"/>
              <w:numPr>
                <w:ilvl w:val="0"/>
                <w:numId w:val="0"/>
              </w:num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D9557C">
              <w:rPr>
                <w:sz w:val="18"/>
                <w:szCs w:val="18"/>
              </w:rPr>
              <w:t>6</w:t>
            </w:r>
          </w:p>
        </w:tc>
      </w:tr>
      <w:tr w:rsidR="00817104" w:rsidRPr="002D0C0A" w14:paraId="56E45631" w14:textId="77777777" w:rsidTr="0080379A">
        <w:tc>
          <w:tcPr>
            <w:cnfStyle w:val="001000000000" w:firstRow="0" w:lastRow="0" w:firstColumn="1" w:lastColumn="0" w:oddVBand="0" w:evenVBand="0" w:oddHBand="0" w:evenHBand="0" w:firstRowFirstColumn="0" w:firstRowLastColumn="0" w:lastRowFirstColumn="0" w:lastRowLastColumn="0"/>
            <w:tcW w:w="2439" w:type="pct"/>
          </w:tcPr>
          <w:p w14:paraId="7B712F13" w14:textId="77777777" w:rsidR="00817104" w:rsidRPr="00D9557C" w:rsidRDefault="00817104" w:rsidP="001C608E">
            <w:pPr>
              <w:pStyle w:val="Bullet1"/>
              <w:numPr>
                <w:ilvl w:val="0"/>
                <w:numId w:val="0"/>
              </w:numPr>
              <w:spacing w:after="60" w:line="240" w:lineRule="auto"/>
              <w:rPr>
                <w:b w:val="0"/>
                <w:bCs w:val="0"/>
                <w:sz w:val="18"/>
                <w:szCs w:val="18"/>
              </w:rPr>
            </w:pPr>
            <w:r w:rsidRPr="00D9557C">
              <w:rPr>
                <w:sz w:val="18"/>
                <w:szCs w:val="18"/>
              </w:rPr>
              <w:t>Western Health – Footscray Hospital</w:t>
            </w:r>
          </w:p>
        </w:tc>
        <w:tc>
          <w:tcPr>
            <w:tcW w:w="2561" w:type="pct"/>
          </w:tcPr>
          <w:p w14:paraId="4027EE0E" w14:textId="77777777" w:rsidR="00817104" w:rsidRPr="00D9557C" w:rsidRDefault="00817104" w:rsidP="001C608E">
            <w:pPr>
              <w:pStyle w:val="Bullet1"/>
              <w:numPr>
                <w:ilvl w:val="0"/>
                <w:numId w:val="0"/>
              </w:num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D9557C">
              <w:rPr>
                <w:sz w:val="18"/>
                <w:szCs w:val="18"/>
              </w:rPr>
              <w:t>8</w:t>
            </w:r>
          </w:p>
        </w:tc>
      </w:tr>
    </w:tbl>
    <w:p w14:paraId="10CB7E1B" w14:textId="77777777" w:rsidR="00817104" w:rsidRPr="0046492A" w:rsidRDefault="00817104" w:rsidP="00817104">
      <w:pPr>
        <w:pStyle w:val="Heading4"/>
      </w:pPr>
      <w:r w:rsidRPr="0046492A">
        <w:t>Behavioural Assessment Units</w:t>
      </w:r>
      <w:r>
        <w:t xml:space="preserve"> </w:t>
      </w:r>
    </w:p>
    <w:p w14:paraId="596D1D89" w14:textId="0EEF36F1" w:rsidR="00817104" w:rsidRDefault="00817104" w:rsidP="00817104">
      <w:pPr>
        <w:pStyle w:val="Body"/>
      </w:pPr>
      <w:r>
        <w:t>Health services with a Behavioural Assessment Unit (BAU) within the ED must operate the BAU as a dedicated, purpose</w:t>
      </w:r>
      <w:r>
        <w:rPr>
          <w:rFonts w:ascii="Cambria Math" w:hAnsi="Cambria Math" w:cs="Cambria Math"/>
        </w:rPr>
        <w:t>‑</w:t>
      </w:r>
      <w:r>
        <w:t>designed environment to support the timely assessment, stabilisation and management of mental health consumers experiencing acute behavioural disturbance presenting to the ED. The BAU beds are not classified as mental health beds, but as admitted ED beds.</w:t>
      </w:r>
      <w:r w:rsidR="00D060BD">
        <w:t xml:space="preserve"> They </w:t>
      </w:r>
      <w:r>
        <w:t>must be used exclusively for mental health consumers and must not be repurposed for non</w:t>
      </w:r>
      <w:r>
        <w:rPr>
          <w:rFonts w:ascii="Cambria Math" w:hAnsi="Cambria Math" w:cs="Cambria Math"/>
        </w:rPr>
        <w:t>‑</w:t>
      </w:r>
      <w:r>
        <w:t>mental health or general ED activity.</w:t>
      </w:r>
    </w:p>
    <w:p w14:paraId="4A1300F0" w14:textId="77777777" w:rsidR="00817104" w:rsidRDefault="00817104" w:rsidP="00817104">
      <w:pPr>
        <w:pStyle w:val="Body"/>
      </w:pPr>
      <w:r>
        <w:t>Health services must ensure that BAUs:</w:t>
      </w:r>
    </w:p>
    <w:p w14:paraId="5617CDCE" w14:textId="77777777" w:rsidR="00817104" w:rsidRDefault="00817104" w:rsidP="00817104">
      <w:pPr>
        <w:pStyle w:val="Bullet1"/>
        <w:numPr>
          <w:ilvl w:val="0"/>
          <w:numId w:val="2"/>
        </w:numPr>
      </w:pPr>
      <w:r>
        <w:t>operate as part of the ED mental health response and are integrated with emergency medicine and specialist mental health services</w:t>
      </w:r>
    </w:p>
    <w:p w14:paraId="6A3F30C6" w14:textId="77777777" w:rsidR="00817104" w:rsidRDefault="00817104" w:rsidP="00817104">
      <w:pPr>
        <w:pStyle w:val="Bullet1"/>
        <w:numPr>
          <w:ilvl w:val="0"/>
          <w:numId w:val="2"/>
        </w:numPr>
      </w:pPr>
      <w:r>
        <w:lastRenderedPageBreak/>
        <w:t>provide a low</w:t>
      </w:r>
      <w:r>
        <w:rPr>
          <w:rFonts w:ascii="Cambria Math" w:hAnsi="Cambria Math" w:cs="Cambria Math"/>
        </w:rPr>
        <w:t>‑</w:t>
      </w:r>
      <w:r>
        <w:t>stimulus, safe and therapeutic environment to support assessment, de</w:t>
      </w:r>
      <w:r>
        <w:rPr>
          <w:rFonts w:ascii="Cambria Math" w:hAnsi="Cambria Math" w:cs="Cambria Math"/>
        </w:rPr>
        <w:t>‑</w:t>
      </w:r>
      <w:r>
        <w:t>escalation and dignity for consumers experiencing acute distress or behavioural dysregulation</w:t>
      </w:r>
    </w:p>
    <w:p w14:paraId="153F0D13" w14:textId="77777777" w:rsidR="00817104" w:rsidRDefault="00817104" w:rsidP="00817104">
      <w:pPr>
        <w:pStyle w:val="Bullet1"/>
        <w:numPr>
          <w:ilvl w:val="0"/>
          <w:numId w:val="2"/>
        </w:numPr>
      </w:pPr>
      <w:r>
        <w:t>support timely psychiatric and multidisciplinary assessment, clinical decision</w:t>
      </w:r>
      <w:r>
        <w:rPr>
          <w:rFonts w:ascii="Cambria Math" w:hAnsi="Cambria Math" w:cs="Cambria Math"/>
        </w:rPr>
        <w:t>‑</w:t>
      </w:r>
      <w:r>
        <w:t>making and transition to the most appropriate care pathway, including admission, transfer or discharge with community follow</w:t>
      </w:r>
      <w:r>
        <w:rPr>
          <w:rFonts w:ascii="Cambria Math" w:hAnsi="Cambria Math" w:cs="Cambria Math"/>
        </w:rPr>
        <w:t>‑</w:t>
      </w:r>
      <w:r>
        <w:t>up</w:t>
      </w:r>
    </w:p>
    <w:p w14:paraId="2EE55005" w14:textId="77777777" w:rsidR="00817104" w:rsidRDefault="00817104" w:rsidP="00817104">
      <w:pPr>
        <w:pStyle w:val="Bullet1"/>
        <w:numPr>
          <w:ilvl w:val="0"/>
          <w:numId w:val="2"/>
        </w:numPr>
      </w:pPr>
      <w:r>
        <w:t>are staffed and resourced appropriately to operate in line with clinical governance arrangements.</w:t>
      </w:r>
    </w:p>
    <w:p w14:paraId="2E3B998C" w14:textId="77777777" w:rsidR="00817104" w:rsidRDefault="00817104" w:rsidP="00817104">
      <w:pPr>
        <w:pStyle w:val="Bodyafterbullets"/>
      </w:pPr>
      <w:r>
        <w:t>Health services are required to:</w:t>
      </w:r>
    </w:p>
    <w:p w14:paraId="3F7E5F82" w14:textId="77777777" w:rsidR="00817104" w:rsidRDefault="00817104" w:rsidP="00817104">
      <w:pPr>
        <w:pStyle w:val="Bullet1"/>
        <w:numPr>
          <w:ilvl w:val="0"/>
          <w:numId w:val="2"/>
        </w:numPr>
      </w:pPr>
      <w:r>
        <w:t>ensure BAUs are available and operational in line with ED demand for mental health assessment and care</w:t>
      </w:r>
    </w:p>
    <w:p w14:paraId="6E22DB49" w14:textId="77777777" w:rsidR="00817104" w:rsidRDefault="00817104" w:rsidP="00817104">
      <w:pPr>
        <w:pStyle w:val="Bullet1"/>
        <w:numPr>
          <w:ilvl w:val="0"/>
          <w:numId w:val="2"/>
        </w:numPr>
      </w:pPr>
      <w:r>
        <w:t>ensure clear clinical escalation, risk management and safety protocols are in place, including management of aggression or behavioural escalation.</w:t>
      </w:r>
    </w:p>
    <w:p w14:paraId="4A437049" w14:textId="77777777" w:rsidR="00817104" w:rsidRDefault="00817104" w:rsidP="00817104">
      <w:pPr>
        <w:pStyle w:val="Bodyafterbullets"/>
      </w:pPr>
      <w:r>
        <w:t>The health services that have been funded to deliver BAU beds and are expected to operate the beds in line with the directions in the Policy and funding guidelines include:</w:t>
      </w:r>
    </w:p>
    <w:p w14:paraId="18378899" w14:textId="77777777" w:rsidR="00817104" w:rsidRDefault="00817104" w:rsidP="00F9092A">
      <w:pPr>
        <w:pStyle w:val="Bullet1"/>
        <w:numPr>
          <w:ilvl w:val="0"/>
          <w:numId w:val="2"/>
        </w:numPr>
      </w:pPr>
      <w:r>
        <w:t>Melbourne Health – Royal Melbourne Hospital: six BAU beds</w:t>
      </w:r>
    </w:p>
    <w:p w14:paraId="25801486" w14:textId="77777777" w:rsidR="00817104" w:rsidRDefault="00817104" w:rsidP="00F9092A">
      <w:pPr>
        <w:pStyle w:val="Bullet1"/>
        <w:numPr>
          <w:ilvl w:val="0"/>
          <w:numId w:val="2"/>
        </w:numPr>
      </w:pPr>
      <w:r>
        <w:t>Western Health – Sunshine Hospital: four BAU beds.</w:t>
      </w:r>
    </w:p>
    <w:p w14:paraId="3DA02256" w14:textId="77777777" w:rsidR="00817104" w:rsidRPr="00AE548F" w:rsidRDefault="00817104" w:rsidP="00817104">
      <w:pPr>
        <w:pStyle w:val="Heading4"/>
      </w:pPr>
      <w:r w:rsidRPr="00AE548F">
        <w:t>Short Stay Units</w:t>
      </w:r>
      <w:r>
        <w:t xml:space="preserve"> </w:t>
      </w:r>
    </w:p>
    <w:p w14:paraId="435205EC" w14:textId="77777777" w:rsidR="00817104" w:rsidRDefault="00817104" w:rsidP="00817104">
      <w:pPr>
        <w:pStyle w:val="Body"/>
      </w:pPr>
      <w:r>
        <w:t xml:space="preserve">Health services operating a </w:t>
      </w:r>
      <w:r w:rsidRPr="00AE548F">
        <w:t>Short Stay Unit</w:t>
      </w:r>
      <w:r>
        <w:t xml:space="preserve"> (SSU) within the ED must use the unit to support the short</w:t>
      </w:r>
      <w:r>
        <w:rPr>
          <w:rFonts w:ascii="Cambria Math" w:hAnsi="Cambria Math" w:cs="Cambria Math"/>
        </w:rPr>
        <w:t>‑</w:t>
      </w:r>
      <w:r>
        <w:t>term assessment, stabilisation and treatment of mental health consumers whose care can be completed within a limited timeframe and who do not require immediate inpatient admission. SSU beds are not classified as mental health beds, but as admitted ED beds.</w:t>
      </w:r>
    </w:p>
    <w:p w14:paraId="3CBA0FEB" w14:textId="77777777" w:rsidR="00817104" w:rsidRDefault="00817104" w:rsidP="00817104">
      <w:pPr>
        <w:pStyle w:val="Body"/>
      </w:pPr>
      <w:r>
        <w:t>SSUs must be used to improve ED flow and reduce prolonged stays for mental health consumers, while ensuring safe, appropriate and timely care.</w:t>
      </w:r>
    </w:p>
    <w:p w14:paraId="49017466" w14:textId="77777777" w:rsidR="00817104" w:rsidRDefault="00817104" w:rsidP="00817104">
      <w:pPr>
        <w:pStyle w:val="Body"/>
      </w:pPr>
      <w:r>
        <w:t>Health services must ensure that SSUs:</w:t>
      </w:r>
    </w:p>
    <w:p w14:paraId="57DB5893" w14:textId="77777777" w:rsidR="00817104" w:rsidRDefault="00817104" w:rsidP="00817104">
      <w:pPr>
        <w:pStyle w:val="Bullet1"/>
        <w:numPr>
          <w:ilvl w:val="0"/>
          <w:numId w:val="2"/>
        </w:numPr>
      </w:pPr>
      <w:r>
        <w:t>operate as part of the ED mental health care pathway and are integrated with emergency medicine and specialist mental health services</w:t>
      </w:r>
    </w:p>
    <w:p w14:paraId="14E1F258" w14:textId="77777777" w:rsidR="00817104" w:rsidRDefault="00817104" w:rsidP="00817104">
      <w:pPr>
        <w:pStyle w:val="Bullet1"/>
        <w:numPr>
          <w:ilvl w:val="0"/>
          <w:numId w:val="2"/>
        </w:numPr>
      </w:pPr>
      <w:r>
        <w:t>support short</w:t>
      </w:r>
      <w:r>
        <w:rPr>
          <w:rFonts w:ascii="Cambria Math" w:hAnsi="Cambria Math" w:cs="Cambria Math"/>
        </w:rPr>
        <w:t>‑</w:t>
      </w:r>
      <w:r>
        <w:t>term care for mental health consumers requiring extended assessment, observation or brief intervention, where admission to an inpatient unit is not immediately indicated</w:t>
      </w:r>
    </w:p>
    <w:p w14:paraId="3B1AE5DF" w14:textId="77777777" w:rsidR="00817104" w:rsidRDefault="00817104" w:rsidP="00817104">
      <w:pPr>
        <w:pStyle w:val="Bullet1"/>
        <w:numPr>
          <w:ilvl w:val="0"/>
          <w:numId w:val="2"/>
        </w:numPr>
      </w:pPr>
      <w:r>
        <w:t>facilitate timely clinical decision</w:t>
      </w:r>
      <w:r>
        <w:rPr>
          <w:rFonts w:ascii="Cambria Math" w:hAnsi="Cambria Math" w:cs="Cambria Math"/>
        </w:rPr>
        <w:t>‑</w:t>
      </w:r>
      <w:r>
        <w:t>making and transition to the most appropriate, next care setting, including discharge with follow</w:t>
      </w:r>
      <w:r>
        <w:rPr>
          <w:rFonts w:ascii="Cambria Math" w:hAnsi="Cambria Math" w:cs="Cambria Math"/>
        </w:rPr>
        <w:t>‑</w:t>
      </w:r>
      <w:r>
        <w:t>up, transfer or admission where required</w:t>
      </w:r>
    </w:p>
    <w:p w14:paraId="11F175EE" w14:textId="77777777" w:rsidR="00817104" w:rsidRDefault="00817104" w:rsidP="00817104">
      <w:pPr>
        <w:pStyle w:val="Bullet1"/>
        <w:numPr>
          <w:ilvl w:val="0"/>
          <w:numId w:val="2"/>
        </w:numPr>
        <w:spacing w:after="120"/>
      </w:pPr>
      <w:r>
        <w:t>are used to reduce prolonged mental health stays in general ED treatment areas.</w:t>
      </w:r>
    </w:p>
    <w:p w14:paraId="7745DDBC" w14:textId="77777777" w:rsidR="00817104" w:rsidRDefault="00817104" w:rsidP="00817104">
      <w:r>
        <w:t>Health services are required to:</w:t>
      </w:r>
    </w:p>
    <w:p w14:paraId="4E5870EE" w14:textId="77777777" w:rsidR="00817104" w:rsidRDefault="00817104" w:rsidP="00817104">
      <w:pPr>
        <w:pStyle w:val="Bullet1"/>
        <w:numPr>
          <w:ilvl w:val="0"/>
          <w:numId w:val="2"/>
        </w:numPr>
      </w:pPr>
      <w:r>
        <w:t>ensure length of stay in the SSU is clinically appropriate and time</w:t>
      </w:r>
      <w:r>
        <w:rPr>
          <w:rFonts w:ascii="Cambria Math" w:hAnsi="Cambria Math" w:cs="Cambria Math"/>
        </w:rPr>
        <w:t>‑</w:t>
      </w:r>
      <w:r>
        <w:t>limited, in line with ED and mental health service protocols</w:t>
      </w:r>
    </w:p>
    <w:p w14:paraId="31F12936" w14:textId="77777777" w:rsidR="00817104" w:rsidRDefault="00817104" w:rsidP="00817104">
      <w:pPr>
        <w:pStyle w:val="Bullet1"/>
        <w:numPr>
          <w:ilvl w:val="0"/>
          <w:numId w:val="2"/>
        </w:numPr>
      </w:pPr>
      <w:r>
        <w:t>ensure appropriate mental health clinical input is available to support assessment, treatment planning and escalation</w:t>
      </w:r>
    </w:p>
    <w:p w14:paraId="0BC6D2CA" w14:textId="77777777" w:rsidR="00817104" w:rsidRDefault="00817104" w:rsidP="00817104">
      <w:pPr>
        <w:pStyle w:val="Bullet1"/>
        <w:numPr>
          <w:ilvl w:val="0"/>
          <w:numId w:val="2"/>
        </w:numPr>
      </w:pPr>
      <w:r>
        <w:t>maintain clear escalation pathways for consumers whose clinical needs deteriorate or require inpatient admission.</w:t>
      </w:r>
    </w:p>
    <w:p w14:paraId="65913E83" w14:textId="3A869CDE" w:rsidR="00817104" w:rsidRDefault="00817104" w:rsidP="00817104">
      <w:pPr>
        <w:pStyle w:val="Bodyafterbullets"/>
      </w:pPr>
      <w:r>
        <w:t>The following health services have been funded to deliver mental health SSU beds and are expected to operate the beds in line with the directions in the Policy and funding guidelines</w:t>
      </w:r>
      <w:r w:rsidR="00A22B09">
        <w:t>:</w:t>
      </w:r>
    </w:p>
    <w:p w14:paraId="10180B19" w14:textId="77777777" w:rsidR="00817104" w:rsidRDefault="00817104" w:rsidP="00817104">
      <w:pPr>
        <w:pStyle w:val="Bullet1"/>
        <w:numPr>
          <w:ilvl w:val="0"/>
          <w:numId w:val="2"/>
        </w:numPr>
      </w:pPr>
      <w:r>
        <w:t>Austin Health – Austin Hospital: four SSU beds</w:t>
      </w:r>
    </w:p>
    <w:p w14:paraId="056E79F4" w14:textId="77777777" w:rsidR="00817104" w:rsidRPr="0095358A" w:rsidRDefault="00817104" w:rsidP="00817104">
      <w:pPr>
        <w:pStyle w:val="Heading4"/>
      </w:pPr>
      <w:r w:rsidRPr="0095358A">
        <w:lastRenderedPageBreak/>
        <w:t xml:space="preserve">Secure </w:t>
      </w:r>
      <w:r>
        <w:t>e</w:t>
      </w:r>
      <w:r w:rsidRPr="0095358A">
        <w:t xml:space="preserve">xtended </w:t>
      </w:r>
      <w:r>
        <w:t>c</w:t>
      </w:r>
      <w:r w:rsidRPr="0095358A">
        <w:t xml:space="preserve">are </w:t>
      </w:r>
      <w:r>
        <w:t>u</w:t>
      </w:r>
      <w:r w:rsidRPr="0095358A">
        <w:t>nits</w:t>
      </w:r>
    </w:p>
    <w:p w14:paraId="7A493E22" w14:textId="77777777" w:rsidR="00817104" w:rsidRDefault="00817104" w:rsidP="00817104">
      <w:pPr>
        <w:pStyle w:val="Body"/>
      </w:pPr>
      <w:r w:rsidRPr="0095358A">
        <w:t xml:space="preserve">Secure </w:t>
      </w:r>
      <w:r>
        <w:t>e</w:t>
      </w:r>
      <w:r w:rsidRPr="0095358A">
        <w:t xml:space="preserve">xtended </w:t>
      </w:r>
      <w:r>
        <w:t>c</w:t>
      </w:r>
      <w:r w:rsidRPr="0095358A">
        <w:t xml:space="preserve">are </w:t>
      </w:r>
      <w:r>
        <w:t>u</w:t>
      </w:r>
      <w:r w:rsidRPr="0095358A">
        <w:t xml:space="preserve">nits </w:t>
      </w:r>
      <w:r>
        <w:t>(</w:t>
      </w:r>
      <w:r w:rsidRPr="009F15B0">
        <w:t>SECUs</w:t>
      </w:r>
      <w:r>
        <w:t>)</w:t>
      </w:r>
      <w:r w:rsidRPr="009F15B0">
        <w:t xml:space="preserve"> form part of the continuum of specialist clinical mental health services and provide medium</w:t>
      </w:r>
      <w:r>
        <w:rPr>
          <w:rFonts w:ascii="Cambria Math" w:hAnsi="Cambria Math" w:cs="Cambria Math"/>
        </w:rPr>
        <w:t xml:space="preserve"> </w:t>
      </w:r>
      <w:r w:rsidRPr="009F15B0">
        <w:t>to long</w:t>
      </w:r>
      <w:r w:rsidRPr="009F15B0">
        <w:rPr>
          <w:rFonts w:ascii="Cambria Math" w:hAnsi="Cambria Math" w:cs="Cambria Math"/>
        </w:rPr>
        <w:t>‑</w:t>
      </w:r>
      <w:r w:rsidRPr="009F15B0">
        <w:t>term, hospital</w:t>
      </w:r>
      <w:r w:rsidRPr="009F15B0">
        <w:rPr>
          <w:rFonts w:ascii="Cambria Math" w:hAnsi="Cambria Math" w:cs="Cambria Math"/>
        </w:rPr>
        <w:t>‑</w:t>
      </w:r>
      <w:r w:rsidRPr="009F15B0">
        <w:t>based inpatient treatment and rehabilitation for people with severe and enduring mental illness whose needs cannot be safely or effectively met in less restrictive environments.</w:t>
      </w:r>
    </w:p>
    <w:p w14:paraId="66E19CE7" w14:textId="288732D5" w:rsidR="00817104" w:rsidRDefault="00202586" w:rsidP="00817104">
      <w:pPr>
        <w:pStyle w:val="Body"/>
      </w:pPr>
      <w:r>
        <w:t xml:space="preserve">Health services must operate </w:t>
      </w:r>
      <w:r w:rsidR="00817104">
        <w:t xml:space="preserve">SECU beds in accordance with funded </w:t>
      </w:r>
      <w:r w:rsidR="00817104" w:rsidRPr="007C6E74">
        <w:t>capacity (see Funding Rules – Acute Mental Health beds) and clinical intent</w:t>
      </w:r>
      <w:r w:rsidR="00716217">
        <w:t>,</w:t>
      </w:r>
      <w:r w:rsidR="0061261E">
        <w:t xml:space="preserve"> </w:t>
      </w:r>
      <w:r w:rsidR="00817104" w:rsidRPr="007C6E74">
        <w:t>except where beds are temporarily</w:t>
      </w:r>
      <w:r w:rsidR="00817104" w:rsidRPr="00FC7F28">
        <w:t xml:space="preserve"> unavailable due to unplanned and unavoidable circumstances, such as infrastructure damage</w:t>
      </w:r>
      <w:r w:rsidR="00817104">
        <w:t xml:space="preserve">. </w:t>
      </w:r>
      <w:r w:rsidR="00817104" w:rsidRPr="00BE6208">
        <w:t xml:space="preserve">Any </w:t>
      </w:r>
      <w:r w:rsidR="00817104">
        <w:t xml:space="preserve">planned </w:t>
      </w:r>
      <w:r w:rsidR="00817104" w:rsidRPr="00BE6208">
        <w:t>changes to</w:t>
      </w:r>
      <w:r w:rsidR="00817104">
        <w:t xml:space="preserve"> SECU</w:t>
      </w:r>
      <w:r w:rsidR="00817104" w:rsidRPr="00BE6208">
        <w:t xml:space="preserve"> </w:t>
      </w:r>
      <w:r w:rsidR="00817104">
        <w:t xml:space="preserve">operating </w:t>
      </w:r>
      <w:r w:rsidR="00817104" w:rsidRPr="00BE6208">
        <w:t>bed numbers</w:t>
      </w:r>
      <w:r w:rsidR="00817104">
        <w:t xml:space="preserve"> </w:t>
      </w:r>
      <w:r w:rsidR="00817104" w:rsidRPr="00BE6208">
        <w:t xml:space="preserve">must be agreed with the </w:t>
      </w:r>
      <w:r w:rsidR="00817104">
        <w:t>d</w:t>
      </w:r>
      <w:r w:rsidR="00817104" w:rsidRPr="00BE6208">
        <w:t>epartment prior to implementation.</w:t>
      </w:r>
    </w:p>
    <w:p w14:paraId="784D422D" w14:textId="77777777" w:rsidR="00817104" w:rsidRDefault="00817104" w:rsidP="00817104">
      <w:pPr>
        <w:pStyle w:val="Body"/>
      </w:pPr>
      <w:r w:rsidRPr="00FA03D1">
        <w:t xml:space="preserve">SECU services must be delivered in accordance with relevant legislative requirements, including the </w:t>
      </w:r>
      <w:r w:rsidRPr="00BD1BC4">
        <w:rPr>
          <w:iCs/>
        </w:rPr>
        <w:t>Mental Health and Wellbeing Act</w:t>
      </w:r>
      <w:r w:rsidRPr="00FA03D1">
        <w:t>, and</w:t>
      </w:r>
      <w:r>
        <w:t xml:space="preserve"> services must be</w:t>
      </w:r>
      <w:r w:rsidRPr="00FA03D1">
        <w:t xml:space="preserve"> aligned with recovery</w:t>
      </w:r>
      <w:r w:rsidRPr="00FA03D1">
        <w:rPr>
          <w:rFonts w:ascii="Cambria Math" w:hAnsi="Cambria Math" w:cs="Cambria Math"/>
        </w:rPr>
        <w:t>‑</w:t>
      </w:r>
      <w:r w:rsidRPr="00FA03D1">
        <w:t>oriented, least</w:t>
      </w:r>
      <w:r w:rsidRPr="00FA03D1">
        <w:rPr>
          <w:rFonts w:ascii="Cambria Math" w:hAnsi="Cambria Math" w:cs="Cambria Math"/>
        </w:rPr>
        <w:t>‑</w:t>
      </w:r>
      <w:r w:rsidRPr="00FA03D1">
        <w:t>restrictive and rights</w:t>
      </w:r>
      <w:r w:rsidRPr="00FA03D1">
        <w:rPr>
          <w:rFonts w:ascii="Cambria Math" w:hAnsi="Cambria Math" w:cs="Cambria Math"/>
        </w:rPr>
        <w:t>‑</w:t>
      </w:r>
      <w:r w:rsidRPr="00FA03D1">
        <w:t>based practice.</w:t>
      </w:r>
      <w:r>
        <w:t xml:space="preserve"> </w:t>
      </w:r>
    </w:p>
    <w:p w14:paraId="46F0A6A4" w14:textId="77777777" w:rsidR="00817104" w:rsidRDefault="00817104" w:rsidP="00817104">
      <w:pPr>
        <w:pStyle w:val="Bullet1"/>
        <w:numPr>
          <w:ilvl w:val="0"/>
          <w:numId w:val="0"/>
        </w:numPr>
      </w:pPr>
      <w:r>
        <w:t xml:space="preserve">The health services listed in Table 2 have been funded to deliver SECU beds and are expected to operate the beds in line with the directions in the Policy and funding guidelines. For more information on SECUs, visit </w:t>
      </w:r>
      <w:hyperlink r:id="rId55" w:history="1">
        <w:r w:rsidRPr="00344D26">
          <w:rPr>
            <w:rStyle w:val="Hyperlink"/>
          </w:rPr>
          <w:t>Secure extended care units</w:t>
        </w:r>
      </w:hyperlink>
      <w:r>
        <w:t xml:space="preserve"> &lt;</w:t>
      </w:r>
      <w:r w:rsidRPr="00344D26">
        <w:t>https://www.health.vic.gov.au/mental-health-services/secure-extended-care-units</w:t>
      </w:r>
      <w:r>
        <w:t>&gt;.</w:t>
      </w:r>
    </w:p>
    <w:p w14:paraId="1935C9CE" w14:textId="77777777" w:rsidR="00817104" w:rsidRDefault="00817104" w:rsidP="00817104">
      <w:pPr>
        <w:pStyle w:val="Tablecaption"/>
      </w:pPr>
      <w:bookmarkStart w:id="1756" w:name="_Toc230537123"/>
      <w:r>
        <w:t xml:space="preserve">Table </w:t>
      </w:r>
      <w:r>
        <w:fldChar w:fldCharType="begin"/>
      </w:r>
      <w:r>
        <w:instrText>SEQ Table \* ARABIC</w:instrText>
      </w:r>
      <w:r>
        <w:fldChar w:fldCharType="separate"/>
      </w:r>
      <w:r>
        <w:rPr>
          <w:noProof/>
        </w:rPr>
        <w:t>2</w:t>
      </w:r>
      <w:r>
        <w:fldChar w:fldCharType="end"/>
      </w:r>
      <w:r>
        <w:t>. SECU beds by h</w:t>
      </w:r>
      <w:r w:rsidRPr="00F1228F">
        <w:t>ealth service</w:t>
      </w:r>
      <w:bookmarkEnd w:id="1756"/>
    </w:p>
    <w:tbl>
      <w:tblPr>
        <w:tblStyle w:val="GridTable4-Accent1"/>
        <w:tblW w:w="5000" w:type="pct"/>
        <w:tblLook w:val="04A0" w:firstRow="1" w:lastRow="0" w:firstColumn="1" w:lastColumn="0" w:noHBand="0" w:noVBand="1"/>
      </w:tblPr>
      <w:tblGrid>
        <w:gridCol w:w="4531"/>
        <w:gridCol w:w="4757"/>
      </w:tblGrid>
      <w:tr w:rsidR="00817104" w:rsidRPr="002D0C0A" w14:paraId="4512A39F" w14:textId="77777777" w:rsidTr="00B96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pct"/>
          </w:tcPr>
          <w:p w14:paraId="3F8BB0B6" w14:textId="77777777" w:rsidR="00817104" w:rsidRPr="00D9557C" w:rsidRDefault="00817104" w:rsidP="005F44BD">
            <w:pPr>
              <w:pStyle w:val="Bullet1"/>
              <w:numPr>
                <w:ilvl w:val="0"/>
                <w:numId w:val="0"/>
              </w:numPr>
              <w:spacing w:after="60" w:line="240" w:lineRule="auto"/>
              <w:rPr>
                <w:sz w:val="18"/>
                <w:szCs w:val="18"/>
              </w:rPr>
            </w:pPr>
            <w:r w:rsidRPr="00D9557C">
              <w:rPr>
                <w:sz w:val="18"/>
                <w:szCs w:val="18"/>
              </w:rPr>
              <w:t>Health service</w:t>
            </w:r>
          </w:p>
        </w:tc>
        <w:tc>
          <w:tcPr>
            <w:tcW w:w="2561" w:type="pct"/>
          </w:tcPr>
          <w:p w14:paraId="6D071DE4" w14:textId="77777777" w:rsidR="00817104" w:rsidRPr="00D9557C" w:rsidRDefault="00817104" w:rsidP="005F44BD">
            <w:pPr>
              <w:pStyle w:val="Bullet1"/>
              <w:numPr>
                <w:ilvl w:val="0"/>
                <w:numId w:val="0"/>
              </w:numPr>
              <w:spacing w:after="60"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D9557C">
              <w:rPr>
                <w:sz w:val="18"/>
                <w:szCs w:val="18"/>
              </w:rPr>
              <w:t>SECU beds</w:t>
            </w:r>
          </w:p>
        </w:tc>
      </w:tr>
      <w:tr w:rsidR="00817104" w:rsidRPr="002D0C0A" w14:paraId="3C806380" w14:textId="77777777" w:rsidTr="00B96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pct"/>
          </w:tcPr>
          <w:p w14:paraId="771BE4E6" w14:textId="77777777" w:rsidR="00817104" w:rsidRPr="00D9557C" w:rsidRDefault="00817104" w:rsidP="005F44BD">
            <w:pPr>
              <w:pStyle w:val="Bullet1"/>
              <w:numPr>
                <w:ilvl w:val="0"/>
                <w:numId w:val="0"/>
              </w:numPr>
              <w:spacing w:after="60" w:line="240" w:lineRule="auto"/>
              <w:rPr>
                <w:b w:val="0"/>
                <w:bCs w:val="0"/>
                <w:sz w:val="18"/>
                <w:szCs w:val="18"/>
              </w:rPr>
            </w:pPr>
            <w:r w:rsidRPr="00D9557C">
              <w:rPr>
                <w:sz w:val="18"/>
                <w:szCs w:val="18"/>
              </w:rPr>
              <w:t>Austin Health</w:t>
            </w:r>
          </w:p>
        </w:tc>
        <w:tc>
          <w:tcPr>
            <w:tcW w:w="2561" w:type="pct"/>
          </w:tcPr>
          <w:p w14:paraId="0429391B" w14:textId="77777777" w:rsidR="00817104" w:rsidRPr="00D9557C" w:rsidRDefault="00817104" w:rsidP="005F44BD">
            <w:pPr>
              <w:pStyle w:val="Bullet1"/>
              <w:numPr>
                <w:ilvl w:val="0"/>
                <w:numId w:val="0"/>
              </w:num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D9557C">
              <w:rPr>
                <w:sz w:val="18"/>
                <w:szCs w:val="18"/>
              </w:rPr>
              <w:t>25</w:t>
            </w:r>
          </w:p>
        </w:tc>
      </w:tr>
      <w:tr w:rsidR="00817104" w:rsidRPr="002D0C0A" w14:paraId="40ED5B9B" w14:textId="77777777" w:rsidTr="00B96019">
        <w:tc>
          <w:tcPr>
            <w:cnfStyle w:val="001000000000" w:firstRow="0" w:lastRow="0" w:firstColumn="1" w:lastColumn="0" w:oddVBand="0" w:evenVBand="0" w:oddHBand="0" w:evenHBand="0" w:firstRowFirstColumn="0" w:firstRowLastColumn="0" w:lastRowFirstColumn="0" w:lastRowLastColumn="0"/>
            <w:tcW w:w="2439" w:type="pct"/>
          </w:tcPr>
          <w:p w14:paraId="2476032A" w14:textId="77777777" w:rsidR="00817104" w:rsidRPr="00D9557C" w:rsidRDefault="00817104" w:rsidP="005F44BD">
            <w:pPr>
              <w:pStyle w:val="Bullet1"/>
              <w:numPr>
                <w:ilvl w:val="0"/>
                <w:numId w:val="0"/>
              </w:numPr>
              <w:spacing w:after="60" w:line="240" w:lineRule="auto"/>
              <w:rPr>
                <w:b w:val="0"/>
                <w:bCs w:val="0"/>
                <w:sz w:val="18"/>
                <w:szCs w:val="18"/>
              </w:rPr>
            </w:pPr>
            <w:r w:rsidRPr="00D9557C">
              <w:rPr>
                <w:sz w:val="18"/>
                <w:szCs w:val="18"/>
              </w:rPr>
              <w:t>Monash Health</w:t>
            </w:r>
          </w:p>
        </w:tc>
        <w:tc>
          <w:tcPr>
            <w:tcW w:w="2561" w:type="pct"/>
          </w:tcPr>
          <w:p w14:paraId="5E6417AE" w14:textId="77777777" w:rsidR="00817104" w:rsidRPr="00D9557C" w:rsidRDefault="00817104" w:rsidP="005F44BD">
            <w:pPr>
              <w:pStyle w:val="Bullet1"/>
              <w:numPr>
                <w:ilvl w:val="0"/>
                <w:numId w:val="0"/>
              </w:num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D9557C">
              <w:rPr>
                <w:sz w:val="18"/>
                <w:szCs w:val="18"/>
              </w:rPr>
              <w:t>50</w:t>
            </w:r>
          </w:p>
        </w:tc>
      </w:tr>
      <w:tr w:rsidR="00817104" w:rsidRPr="002D0C0A" w14:paraId="569E90ED" w14:textId="77777777" w:rsidTr="00B96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pct"/>
          </w:tcPr>
          <w:p w14:paraId="6CE02AA3" w14:textId="77777777" w:rsidR="00817104" w:rsidRPr="00D9557C" w:rsidRDefault="00817104" w:rsidP="005F44BD">
            <w:pPr>
              <w:pStyle w:val="Bullet1"/>
              <w:numPr>
                <w:ilvl w:val="0"/>
                <w:numId w:val="0"/>
              </w:numPr>
              <w:spacing w:after="60" w:line="240" w:lineRule="auto"/>
              <w:rPr>
                <w:b w:val="0"/>
                <w:bCs w:val="0"/>
                <w:sz w:val="18"/>
                <w:szCs w:val="18"/>
              </w:rPr>
            </w:pPr>
            <w:r w:rsidRPr="00D9557C">
              <w:rPr>
                <w:sz w:val="18"/>
                <w:szCs w:val="18"/>
              </w:rPr>
              <w:t>Western Health</w:t>
            </w:r>
          </w:p>
        </w:tc>
        <w:tc>
          <w:tcPr>
            <w:tcW w:w="2561" w:type="pct"/>
          </w:tcPr>
          <w:p w14:paraId="6ED0AD8B" w14:textId="77777777" w:rsidR="00817104" w:rsidRPr="00D9557C" w:rsidRDefault="00817104" w:rsidP="005F44BD">
            <w:pPr>
              <w:pStyle w:val="Bullet1"/>
              <w:numPr>
                <w:ilvl w:val="0"/>
                <w:numId w:val="0"/>
              </w:num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D9557C">
              <w:rPr>
                <w:sz w:val="18"/>
                <w:szCs w:val="18"/>
              </w:rPr>
              <w:t>26</w:t>
            </w:r>
          </w:p>
        </w:tc>
      </w:tr>
      <w:tr w:rsidR="00817104" w:rsidRPr="002D0C0A" w14:paraId="09519421" w14:textId="77777777" w:rsidTr="00B96019">
        <w:tc>
          <w:tcPr>
            <w:cnfStyle w:val="001000000000" w:firstRow="0" w:lastRow="0" w:firstColumn="1" w:lastColumn="0" w:oddVBand="0" w:evenVBand="0" w:oddHBand="0" w:evenHBand="0" w:firstRowFirstColumn="0" w:firstRowLastColumn="0" w:lastRowFirstColumn="0" w:lastRowLastColumn="0"/>
            <w:tcW w:w="2439" w:type="pct"/>
          </w:tcPr>
          <w:p w14:paraId="1C2AAF70" w14:textId="77777777" w:rsidR="00817104" w:rsidRPr="00D9557C" w:rsidRDefault="00817104" w:rsidP="005F44BD">
            <w:pPr>
              <w:pStyle w:val="Bullet1"/>
              <w:numPr>
                <w:ilvl w:val="0"/>
                <w:numId w:val="0"/>
              </w:numPr>
              <w:spacing w:after="60" w:line="240" w:lineRule="auto"/>
              <w:rPr>
                <w:b w:val="0"/>
                <w:bCs w:val="0"/>
                <w:sz w:val="18"/>
                <w:szCs w:val="18"/>
              </w:rPr>
            </w:pPr>
            <w:r w:rsidRPr="00D9557C">
              <w:rPr>
                <w:sz w:val="18"/>
                <w:szCs w:val="18"/>
              </w:rPr>
              <w:t>Grampians Health</w:t>
            </w:r>
          </w:p>
        </w:tc>
        <w:tc>
          <w:tcPr>
            <w:tcW w:w="2561" w:type="pct"/>
          </w:tcPr>
          <w:p w14:paraId="2C991F46" w14:textId="77777777" w:rsidR="00817104" w:rsidRPr="00D9557C" w:rsidRDefault="00817104" w:rsidP="005F44BD">
            <w:pPr>
              <w:pStyle w:val="Bullet1"/>
              <w:numPr>
                <w:ilvl w:val="0"/>
                <w:numId w:val="0"/>
              </w:num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D9557C">
              <w:rPr>
                <w:sz w:val="18"/>
                <w:szCs w:val="18"/>
              </w:rPr>
              <w:t>12</w:t>
            </w:r>
          </w:p>
        </w:tc>
      </w:tr>
      <w:tr w:rsidR="00817104" w:rsidRPr="002D0C0A" w14:paraId="19B87653" w14:textId="77777777" w:rsidTr="00B96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pct"/>
          </w:tcPr>
          <w:p w14:paraId="19AC6558" w14:textId="77777777" w:rsidR="00817104" w:rsidRPr="00D9557C" w:rsidRDefault="00817104" w:rsidP="005F44BD">
            <w:pPr>
              <w:pStyle w:val="Bullet1"/>
              <w:numPr>
                <w:ilvl w:val="0"/>
                <w:numId w:val="0"/>
              </w:numPr>
              <w:spacing w:after="60" w:line="240" w:lineRule="auto"/>
              <w:rPr>
                <w:b w:val="0"/>
                <w:bCs w:val="0"/>
                <w:sz w:val="18"/>
                <w:szCs w:val="18"/>
              </w:rPr>
            </w:pPr>
            <w:r w:rsidRPr="00D9557C">
              <w:rPr>
                <w:sz w:val="18"/>
                <w:szCs w:val="18"/>
              </w:rPr>
              <w:t>Bendigo Health</w:t>
            </w:r>
          </w:p>
        </w:tc>
        <w:tc>
          <w:tcPr>
            <w:tcW w:w="2561" w:type="pct"/>
          </w:tcPr>
          <w:p w14:paraId="05B8B305" w14:textId="77777777" w:rsidR="00817104" w:rsidRPr="00D9557C" w:rsidRDefault="00817104" w:rsidP="005F44BD">
            <w:pPr>
              <w:pStyle w:val="Bullet1"/>
              <w:numPr>
                <w:ilvl w:val="0"/>
                <w:numId w:val="0"/>
              </w:numPr>
              <w:spacing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D9557C">
              <w:rPr>
                <w:sz w:val="18"/>
                <w:szCs w:val="18"/>
              </w:rPr>
              <w:t>20</w:t>
            </w:r>
          </w:p>
        </w:tc>
      </w:tr>
      <w:tr w:rsidR="00817104" w:rsidRPr="002D0C0A" w14:paraId="17569C52" w14:textId="77777777" w:rsidTr="00B96019">
        <w:tc>
          <w:tcPr>
            <w:cnfStyle w:val="001000000000" w:firstRow="0" w:lastRow="0" w:firstColumn="1" w:lastColumn="0" w:oddVBand="0" w:evenVBand="0" w:oddHBand="0" w:evenHBand="0" w:firstRowFirstColumn="0" w:firstRowLastColumn="0" w:lastRowFirstColumn="0" w:lastRowLastColumn="0"/>
            <w:tcW w:w="2439" w:type="pct"/>
          </w:tcPr>
          <w:p w14:paraId="54A007C5" w14:textId="77777777" w:rsidR="00817104" w:rsidRPr="00D9557C" w:rsidRDefault="00817104" w:rsidP="005F44BD">
            <w:pPr>
              <w:pStyle w:val="Bullet1"/>
              <w:numPr>
                <w:ilvl w:val="0"/>
                <w:numId w:val="0"/>
              </w:numPr>
              <w:spacing w:after="60" w:line="240" w:lineRule="auto"/>
              <w:rPr>
                <w:b w:val="0"/>
                <w:bCs w:val="0"/>
                <w:sz w:val="18"/>
                <w:szCs w:val="18"/>
              </w:rPr>
            </w:pPr>
            <w:r w:rsidRPr="00D9557C">
              <w:rPr>
                <w:sz w:val="18"/>
                <w:szCs w:val="18"/>
              </w:rPr>
              <w:t>Latrobe Regional Health</w:t>
            </w:r>
          </w:p>
        </w:tc>
        <w:tc>
          <w:tcPr>
            <w:tcW w:w="2561" w:type="pct"/>
          </w:tcPr>
          <w:p w14:paraId="1A57048F" w14:textId="77777777" w:rsidR="00817104" w:rsidRPr="00D9557C" w:rsidRDefault="00817104" w:rsidP="005F44BD">
            <w:pPr>
              <w:pStyle w:val="Bullet1"/>
              <w:numPr>
                <w:ilvl w:val="0"/>
                <w:numId w:val="0"/>
              </w:numPr>
              <w:spacing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D9557C">
              <w:rPr>
                <w:sz w:val="18"/>
                <w:szCs w:val="18"/>
              </w:rPr>
              <w:t>6</w:t>
            </w:r>
          </w:p>
        </w:tc>
      </w:tr>
    </w:tbl>
    <w:p w14:paraId="70B7BC5E" w14:textId="0E8A1304" w:rsidR="00817104" w:rsidRPr="00A0081A" w:rsidRDefault="00817104" w:rsidP="00817104">
      <w:pPr>
        <w:pStyle w:val="Heading3"/>
      </w:pPr>
      <w:r>
        <w:t>Non-admitted mental health bed-based services (subacute and residential services)</w:t>
      </w:r>
    </w:p>
    <w:p w14:paraId="53C26665" w14:textId="77777777" w:rsidR="00817104" w:rsidRPr="009D5DA9" w:rsidRDefault="00817104" w:rsidP="00817104">
      <w:pPr>
        <w:pStyle w:val="Heading4"/>
      </w:pPr>
      <w:r w:rsidRPr="009D5DA9">
        <w:t xml:space="preserve">Prevention and </w:t>
      </w:r>
      <w:r>
        <w:t>R</w:t>
      </w:r>
      <w:r w:rsidRPr="009D5DA9">
        <w:t xml:space="preserve">ecovery </w:t>
      </w:r>
      <w:r>
        <w:t>C</w:t>
      </w:r>
      <w:r w:rsidRPr="009D5DA9">
        <w:t>are</w:t>
      </w:r>
      <w:r>
        <w:t xml:space="preserve"> </w:t>
      </w:r>
    </w:p>
    <w:p w14:paraId="63DF2175" w14:textId="67C3185A" w:rsidR="00817104" w:rsidRDefault="00817104" w:rsidP="00817104">
      <w:pPr>
        <w:pStyle w:val="Body"/>
      </w:pPr>
      <w:r>
        <w:t xml:space="preserve">Health services are expected to operate </w:t>
      </w:r>
      <w:r w:rsidRPr="009D5DA9">
        <w:t xml:space="preserve">Prevention and </w:t>
      </w:r>
      <w:r>
        <w:t>R</w:t>
      </w:r>
      <w:r w:rsidRPr="009D5DA9">
        <w:t xml:space="preserve">ecovery </w:t>
      </w:r>
      <w:r>
        <w:t>C</w:t>
      </w:r>
      <w:r w:rsidRPr="009D5DA9">
        <w:t>are</w:t>
      </w:r>
      <w:r>
        <w:t xml:space="preserve"> (PARC</w:t>
      </w:r>
      <w:r w:rsidR="004E30A5">
        <w:t>)</w:t>
      </w:r>
      <w:r>
        <w:t xml:space="preserve"> and Youth PARC (YPARC) services to support consumer flow across emergency, inpatient and community mental health services.</w:t>
      </w:r>
    </w:p>
    <w:p w14:paraId="02136D82" w14:textId="77777777" w:rsidR="00817104" w:rsidDel="00226A54" w:rsidRDefault="00817104" w:rsidP="00817104">
      <w:pPr>
        <w:pStyle w:val="Body"/>
      </w:pPr>
      <w:r>
        <w:t>This subacute mental health service should provide safe, short-term, recovery-orientated care as a step-up from community-based mental health services or as a step-down supporting consumers following hospitalisation, in line with approved models of care.</w:t>
      </w:r>
    </w:p>
    <w:p w14:paraId="3E5CCC33" w14:textId="77777777" w:rsidR="00817104" w:rsidRDefault="00817104" w:rsidP="00817104">
      <w:pPr>
        <w:pStyle w:val="Body"/>
      </w:pPr>
      <w:r>
        <w:t xml:space="preserve">All PARCs are required to operate in line with </w:t>
      </w:r>
      <w:r w:rsidRPr="003957DD">
        <w:t>a clinical and community partnership model of sub-acute mental health care</w:t>
      </w:r>
      <w:r>
        <w:t xml:space="preserve"> to ensure consistent service delivery across the state. For more information, visit </w:t>
      </w:r>
      <w:hyperlink r:id="rId56" w:history="1">
        <w:r w:rsidRPr="00344D26">
          <w:rPr>
            <w:rStyle w:val="Hyperlink"/>
          </w:rPr>
          <w:t>Mental health prevention and recovery care</w:t>
        </w:r>
      </w:hyperlink>
      <w:r>
        <w:t xml:space="preserve"> &lt;</w:t>
      </w:r>
      <w:r w:rsidRPr="008614C0">
        <w:t>https://www.health.vic.gov.au/publications/mental-health-prevention-and-recovery-care</w:t>
      </w:r>
      <w:r>
        <w:t>&gt;.</w:t>
      </w:r>
    </w:p>
    <w:p w14:paraId="09128E4F" w14:textId="77777777" w:rsidR="00817104" w:rsidRDefault="00817104" w:rsidP="00817104">
      <w:pPr>
        <w:pStyle w:val="Body"/>
      </w:pPr>
      <w:r>
        <w:t xml:space="preserve">The </w:t>
      </w:r>
      <w:r w:rsidRPr="005B27B8">
        <w:rPr>
          <w:i/>
        </w:rPr>
        <w:t>YPARC statewide service framework</w:t>
      </w:r>
      <w:r>
        <w:t xml:space="preserve"> creates statewide consistency in the way that YPARC services are delivered and ensures that treatment, care and support is developmentally appropriate for young people aged 16–25 years, who would benefit from a community bed-based residential </w:t>
      </w:r>
      <w:r>
        <w:lastRenderedPageBreak/>
        <w:t xml:space="preserve">service. Health services operating a YPARC are expected to align their local model of care with the </w:t>
      </w:r>
      <w:r w:rsidRPr="00D9557C">
        <w:rPr>
          <w:iCs/>
        </w:rPr>
        <w:t>framework</w:t>
      </w:r>
      <w:r w:rsidRPr="00D9557C">
        <w:t>.</w:t>
      </w:r>
    </w:p>
    <w:p w14:paraId="27EA25A6" w14:textId="77777777" w:rsidR="00817104" w:rsidRDefault="00817104" w:rsidP="00817104">
      <w:pPr>
        <w:pStyle w:val="Body"/>
      </w:pPr>
      <w:r w:rsidRPr="00FC7F28">
        <w:t xml:space="preserve">Health services are responsible for managing workforce, admission and discharge processes to maximise bed availability and are expected to manage </w:t>
      </w:r>
      <w:r>
        <w:t xml:space="preserve">PARC and YPARC </w:t>
      </w:r>
      <w:r w:rsidRPr="00FC7F28">
        <w:t xml:space="preserve">services to achieve an average bed occupancy of </w:t>
      </w:r>
      <w:r>
        <w:t xml:space="preserve">at least </w:t>
      </w:r>
      <w:r w:rsidRPr="00FC7F28">
        <w:t>8</w:t>
      </w:r>
      <w:r>
        <w:t>0</w:t>
      </w:r>
      <w:r w:rsidRPr="00FC7F28">
        <w:t xml:space="preserve"> per cent, consistent with safe, efficient and effective use of funded</w:t>
      </w:r>
      <w:r>
        <w:t xml:space="preserve"> bed </w:t>
      </w:r>
      <w:r w:rsidRPr="00FC7F28">
        <w:t>capacity.</w:t>
      </w:r>
    </w:p>
    <w:p w14:paraId="5B103B39" w14:textId="20E64662" w:rsidR="00817104" w:rsidRDefault="0077157D" w:rsidP="00817104">
      <w:pPr>
        <w:pStyle w:val="Body"/>
      </w:pPr>
      <w:r>
        <w:t xml:space="preserve">Health services must operate </w:t>
      </w:r>
      <w:r w:rsidR="00817104">
        <w:t>PARC and YPARC beds in accordance with funded capacity (</w:t>
      </w:r>
      <w:r w:rsidR="00817104" w:rsidRPr="005B27B8">
        <w:t xml:space="preserve">see </w:t>
      </w:r>
      <w:r w:rsidR="00817104" w:rsidRPr="00270FC5">
        <w:t xml:space="preserve">Funding Rules </w:t>
      </w:r>
      <w:r>
        <w:t>-</w:t>
      </w:r>
      <w:r w:rsidR="00817104" w:rsidRPr="00270FC5">
        <w:t xml:space="preserve"> Subacute Mental Health beds</w:t>
      </w:r>
      <w:r w:rsidR="00817104">
        <w:t>) and clinical intent</w:t>
      </w:r>
      <w:r>
        <w:t xml:space="preserve">, </w:t>
      </w:r>
      <w:r w:rsidR="00817104" w:rsidRPr="00FC7F28">
        <w:t>except where beds are temporarily unavailable due to unplanned and unavoidable circumstances, such as infrastructure damage</w:t>
      </w:r>
      <w:r w:rsidR="00817104">
        <w:t xml:space="preserve">. </w:t>
      </w:r>
      <w:r w:rsidR="00817104" w:rsidRPr="00BE6208">
        <w:t xml:space="preserve">Any </w:t>
      </w:r>
      <w:r w:rsidR="00817104">
        <w:t xml:space="preserve">planned </w:t>
      </w:r>
      <w:r w:rsidR="00817104" w:rsidRPr="00BE6208">
        <w:t xml:space="preserve">changes to </w:t>
      </w:r>
      <w:r w:rsidR="00817104">
        <w:t>PARC or YPARC</w:t>
      </w:r>
      <w:r w:rsidR="00817104" w:rsidRPr="00BE6208">
        <w:t xml:space="preserve"> </w:t>
      </w:r>
      <w:r w:rsidR="00817104">
        <w:t xml:space="preserve">operating </w:t>
      </w:r>
      <w:r w:rsidR="00817104" w:rsidRPr="00BE6208">
        <w:t>bed numbers</w:t>
      </w:r>
      <w:r w:rsidR="00817104">
        <w:t xml:space="preserve"> </w:t>
      </w:r>
      <w:r w:rsidR="00817104" w:rsidRPr="00BE6208">
        <w:t xml:space="preserve">must be agreed with the </w:t>
      </w:r>
      <w:r w:rsidR="00817104">
        <w:t>d</w:t>
      </w:r>
      <w:r w:rsidR="00817104" w:rsidRPr="00BE6208">
        <w:t>epartment prior to implementation.</w:t>
      </w:r>
    </w:p>
    <w:p w14:paraId="18BCE349" w14:textId="77777777" w:rsidR="00817104" w:rsidRDefault="00817104" w:rsidP="00817104">
      <w:pPr>
        <w:pStyle w:val="Body"/>
      </w:pPr>
      <w:r w:rsidRPr="00203F84">
        <w:t xml:space="preserve">Health services are accountable for monitoring PARC and YPARC utilisation, access and outcomes, and for addressing any underutilisation or service disruption in partnership with the </w:t>
      </w:r>
      <w:r>
        <w:t>d</w:t>
      </w:r>
      <w:r w:rsidRPr="00203F84">
        <w:t>epartment.</w:t>
      </w:r>
      <w:r>
        <w:t xml:space="preserve"> </w:t>
      </w:r>
    </w:p>
    <w:p w14:paraId="21681860" w14:textId="77777777" w:rsidR="00817104" w:rsidRPr="00A310E3" w:rsidRDefault="00817104" w:rsidP="00817104">
      <w:pPr>
        <w:pStyle w:val="Heading4"/>
      </w:pPr>
      <w:r w:rsidRPr="09893E8D">
        <w:t xml:space="preserve">Community </w:t>
      </w:r>
      <w:r>
        <w:t>care</w:t>
      </w:r>
      <w:r w:rsidRPr="09893E8D">
        <w:t xml:space="preserve"> </w:t>
      </w:r>
      <w:r>
        <w:t xml:space="preserve">units </w:t>
      </w:r>
    </w:p>
    <w:p w14:paraId="317BDED6" w14:textId="77777777" w:rsidR="00817104" w:rsidRDefault="00817104" w:rsidP="00817104">
      <w:pPr>
        <w:pStyle w:val="Body"/>
      </w:pPr>
      <w:r>
        <w:t>Community care units (CCUs) provide residential clinical care and rehabilitation services in home-like environments to support the recovery of people experiencing a severe mental illness.</w:t>
      </w:r>
    </w:p>
    <w:p w14:paraId="782087EA" w14:textId="77777777" w:rsidR="00817104" w:rsidRDefault="00817104" w:rsidP="00817104">
      <w:pPr>
        <w:pStyle w:val="Body"/>
      </w:pPr>
      <w:r w:rsidRPr="00FC7F28">
        <w:t xml:space="preserve">Health services are responsible for managing workforce, admission and discharge processes to maximise bed availability and are expected to manage </w:t>
      </w:r>
      <w:r>
        <w:t xml:space="preserve">CCU </w:t>
      </w:r>
      <w:r w:rsidRPr="00FC7F28">
        <w:t>services to achieve an average bed occupancy of 8</w:t>
      </w:r>
      <w:r>
        <w:t>0</w:t>
      </w:r>
      <w:r w:rsidRPr="00FC7F28">
        <w:t xml:space="preserve"> per cent, consistent with safe, efficient and effective use of funded</w:t>
      </w:r>
      <w:r>
        <w:t xml:space="preserve"> bed </w:t>
      </w:r>
      <w:r w:rsidRPr="00FC7F28">
        <w:t>capacity.</w:t>
      </w:r>
    </w:p>
    <w:p w14:paraId="130B037D" w14:textId="0B853BB0" w:rsidR="00817104" w:rsidRDefault="0077157D" w:rsidP="00817104">
      <w:pPr>
        <w:pStyle w:val="Body"/>
      </w:pPr>
      <w:r>
        <w:t xml:space="preserve">Health services must </w:t>
      </w:r>
      <w:r w:rsidR="001E22BB">
        <w:t xml:space="preserve">operate </w:t>
      </w:r>
      <w:r w:rsidR="00817104">
        <w:t>CCU beds in accordance with funded capacity (</w:t>
      </w:r>
      <w:r w:rsidR="00817104" w:rsidRPr="00270FC5">
        <w:t xml:space="preserve">see Funding Rules </w:t>
      </w:r>
      <w:r w:rsidR="00270FC5">
        <w:t xml:space="preserve">- </w:t>
      </w:r>
      <w:r w:rsidR="00817104" w:rsidRPr="00270FC5">
        <w:t>Subacute Mental Health beds</w:t>
      </w:r>
      <w:r w:rsidR="00817104">
        <w:t>) and clinical intent</w:t>
      </w:r>
      <w:r w:rsidR="001E22BB">
        <w:t xml:space="preserve">, </w:t>
      </w:r>
      <w:r w:rsidR="00817104" w:rsidRPr="00FC7F28">
        <w:t>except where beds are temporarily unavailable due to unplanned and unavoidable circumstances, such as infrastructure damage</w:t>
      </w:r>
      <w:r w:rsidR="00817104">
        <w:t xml:space="preserve">. </w:t>
      </w:r>
      <w:r w:rsidR="00817104" w:rsidRPr="00BE6208">
        <w:t>Any</w:t>
      </w:r>
      <w:r w:rsidR="00817104">
        <w:t xml:space="preserve"> planned</w:t>
      </w:r>
      <w:r w:rsidR="00817104" w:rsidRPr="00BE6208">
        <w:t xml:space="preserve"> changes to </w:t>
      </w:r>
      <w:r w:rsidR="00817104">
        <w:t>CCU</w:t>
      </w:r>
      <w:r w:rsidR="00817104" w:rsidRPr="00BE6208">
        <w:t xml:space="preserve"> bed numbers</w:t>
      </w:r>
      <w:r w:rsidR="00817104">
        <w:t xml:space="preserve"> </w:t>
      </w:r>
      <w:r w:rsidR="00817104" w:rsidRPr="00BE6208">
        <w:t xml:space="preserve">must be agreed with the </w:t>
      </w:r>
      <w:r w:rsidR="00817104">
        <w:t>d</w:t>
      </w:r>
      <w:r w:rsidR="00817104" w:rsidRPr="00BE6208">
        <w:t>epartment prior to implementation.</w:t>
      </w:r>
    </w:p>
    <w:p w14:paraId="2891800B" w14:textId="77777777" w:rsidR="00817104" w:rsidRDefault="00817104" w:rsidP="00817104">
      <w:pPr>
        <w:pStyle w:val="Body"/>
      </w:pPr>
      <w:r w:rsidRPr="00203F84">
        <w:t xml:space="preserve">Health services are accountable for monitoring </w:t>
      </w:r>
      <w:r>
        <w:t>CCU</w:t>
      </w:r>
      <w:r w:rsidRPr="00203F84">
        <w:t xml:space="preserve"> utilisation, access and outcomes, and for addressing any underutilisation or service disruption in partnership with the </w:t>
      </w:r>
      <w:r>
        <w:t>d</w:t>
      </w:r>
      <w:r w:rsidRPr="00203F84">
        <w:t>epartment.</w:t>
      </w:r>
      <w:r>
        <w:t xml:space="preserve"> </w:t>
      </w:r>
    </w:p>
    <w:p w14:paraId="70E9F139" w14:textId="77777777" w:rsidR="00817104" w:rsidRDefault="00817104" w:rsidP="00817104">
      <w:pPr>
        <w:pStyle w:val="Heading4"/>
      </w:pPr>
      <w:r>
        <w:t>P</w:t>
      </w:r>
      <w:r w:rsidRPr="00505585">
        <w:t>ublic sector residential aged care services</w:t>
      </w:r>
      <w:r>
        <w:t xml:space="preserve"> </w:t>
      </w:r>
    </w:p>
    <w:p w14:paraId="4E76C14B" w14:textId="2FA49858" w:rsidR="00817104" w:rsidRDefault="00817104" w:rsidP="004E1457">
      <w:pPr>
        <w:pStyle w:val="Body"/>
        <w:contextualSpacing/>
      </w:pPr>
      <w:r>
        <w:t>Health services funded to provide p</w:t>
      </w:r>
      <w:r w:rsidRPr="00505585">
        <w:t>ublic sector residential aged care services</w:t>
      </w:r>
      <w:r>
        <w:t xml:space="preserve"> (PSRACS) beds for mental health consumers must deliver these beds as a specialist residential care option for older people with mental illness whose care needs cannot be appropriately met in mainstream aged care settings.</w:t>
      </w:r>
      <w:r w:rsidR="003974FD">
        <w:t xml:space="preserve"> </w:t>
      </w:r>
      <w:r>
        <w:t>PSRACS beds for mental health consumers must be used exclusively to support eligible mental health consumers and must not be repurposed for general aged care or non</w:t>
      </w:r>
      <w:r>
        <w:rPr>
          <w:rFonts w:ascii="Cambria Math" w:hAnsi="Cambria Math" w:cs="Cambria Math"/>
        </w:rPr>
        <w:t>‑</w:t>
      </w:r>
      <w:r>
        <w:t>mental health use.</w:t>
      </w:r>
    </w:p>
    <w:p w14:paraId="3CE2331D" w14:textId="77777777" w:rsidR="00817104" w:rsidRDefault="00817104" w:rsidP="004E1457">
      <w:pPr>
        <w:contextualSpacing/>
      </w:pPr>
      <w:r>
        <w:t>Health services must ensure that PSRACS beds for mental health consumers:</w:t>
      </w:r>
    </w:p>
    <w:p w14:paraId="4CCFA358" w14:textId="77777777" w:rsidR="00817104" w:rsidRDefault="00817104" w:rsidP="004E1457">
      <w:pPr>
        <w:pStyle w:val="Bullet1"/>
        <w:numPr>
          <w:ilvl w:val="0"/>
          <w:numId w:val="2"/>
        </w:numPr>
      </w:pPr>
      <w:r>
        <w:t>provide residential aged care in a secure, therapeutic environment tailored to the needs of older people with mental illness</w:t>
      </w:r>
    </w:p>
    <w:p w14:paraId="54BA4F91" w14:textId="77777777" w:rsidR="00817104" w:rsidRDefault="00817104" w:rsidP="004E1457">
      <w:pPr>
        <w:pStyle w:val="Bullet1"/>
        <w:numPr>
          <w:ilvl w:val="0"/>
          <w:numId w:val="2"/>
        </w:numPr>
      </w:pPr>
      <w:r>
        <w:t>support consumers with complex mental health, behavioural or psychosocial needs that require specialist mental health capability alongside aged care</w:t>
      </w:r>
    </w:p>
    <w:p w14:paraId="0A8B5D66" w14:textId="77777777" w:rsidR="00817104" w:rsidRDefault="00817104" w:rsidP="004E1457">
      <w:pPr>
        <w:pStyle w:val="Bullet1"/>
        <w:numPr>
          <w:ilvl w:val="0"/>
          <w:numId w:val="2"/>
        </w:numPr>
      </w:pPr>
      <w:r>
        <w:t>deliver care that integrates clinical mental health treatment with residential aged care services</w:t>
      </w:r>
    </w:p>
    <w:p w14:paraId="1F8ABEDD" w14:textId="77777777" w:rsidR="00817104" w:rsidRDefault="00817104" w:rsidP="004E1457">
      <w:pPr>
        <w:pStyle w:val="Bullet1"/>
        <w:numPr>
          <w:ilvl w:val="0"/>
          <w:numId w:val="2"/>
        </w:numPr>
      </w:pPr>
      <w:r>
        <w:t>promote stability, safety, dignity and quality of life for residents</w:t>
      </w:r>
    </w:p>
    <w:p w14:paraId="28C8EF97" w14:textId="77777777" w:rsidR="00817104" w:rsidRDefault="00817104" w:rsidP="004E1457">
      <w:pPr>
        <w:pStyle w:val="Bullet1"/>
        <w:numPr>
          <w:ilvl w:val="0"/>
          <w:numId w:val="2"/>
        </w:numPr>
        <w:spacing w:after="120"/>
      </w:pPr>
      <w:r>
        <w:t>support continuity of care and minimise avoidable transitions to acute hospital settings.</w:t>
      </w:r>
    </w:p>
    <w:p w14:paraId="3F9C3C63" w14:textId="77777777" w:rsidR="00817104" w:rsidRDefault="00243012" w:rsidP="004E1457">
      <w:pPr>
        <w:pStyle w:val="Bodyafterbullets"/>
        <w:spacing w:before="0"/>
        <w:contextualSpacing/>
      </w:pPr>
      <w:r>
        <w:t>H</w:t>
      </w:r>
      <w:r w:rsidR="00817104">
        <w:t>ealth services are required to:</w:t>
      </w:r>
    </w:p>
    <w:p w14:paraId="67C57535" w14:textId="77777777" w:rsidR="00817104" w:rsidRDefault="00817104" w:rsidP="004E1457">
      <w:pPr>
        <w:pStyle w:val="Bullet1"/>
        <w:numPr>
          <w:ilvl w:val="0"/>
          <w:numId w:val="2"/>
        </w:numPr>
      </w:pPr>
      <w:r>
        <w:lastRenderedPageBreak/>
        <w:t>ensure PSRACS beds funded for mental health consumers are available and operational at all times</w:t>
      </w:r>
    </w:p>
    <w:p w14:paraId="1D2E6AE4" w14:textId="77777777" w:rsidR="00817104" w:rsidRDefault="00817104" w:rsidP="004E1457">
      <w:pPr>
        <w:pStyle w:val="Bullet1"/>
        <w:numPr>
          <w:ilvl w:val="0"/>
          <w:numId w:val="2"/>
        </w:numPr>
      </w:pPr>
      <w:r>
        <w:t>admit only consumers who meet eligibility criteria for both residential aged care and specialist mental health support</w:t>
      </w:r>
    </w:p>
    <w:p w14:paraId="18C7713E" w14:textId="77777777" w:rsidR="00817104" w:rsidRDefault="00817104" w:rsidP="004E1457">
      <w:pPr>
        <w:pStyle w:val="Bullet1"/>
        <w:numPr>
          <w:ilvl w:val="0"/>
          <w:numId w:val="2"/>
        </w:numPr>
      </w:pPr>
      <w:r>
        <w:t>deliver care in accordance with trauma</w:t>
      </w:r>
      <w:r>
        <w:rPr>
          <w:rFonts w:ascii="Cambria Math" w:hAnsi="Cambria Math" w:cs="Cambria Math"/>
        </w:rPr>
        <w:t>‑</w:t>
      </w:r>
      <w:r>
        <w:t>informed, recovery</w:t>
      </w:r>
      <w:r>
        <w:rPr>
          <w:rFonts w:ascii="Cambria Math" w:hAnsi="Cambria Math" w:cs="Cambria Math"/>
        </w:rPr>
        <w:t>‑</w:t>
      </w:r>
      <w:r>
        <w:t>oriented and culturally safe practice, including engagement with families and carers where appropriate</w:t>
      </w:r>
    </w:p>
    <w:p w14:paraId="365004C8" w14:textId="77777777" w:rsidR="00817104" w:rsidRDefault="00817104" w:rsidP="004E1457">
      <w:pPr>
        <w:pStyle w:val="Bullet1"/>
        <w:numPr>
          <w:ilvl w:val="0"/>
          <w:numId w:val="2"/>
        </w:numPr>
      </w:pPr>
      <w:r>
        <w:t>ensure access to specialist mental health assessment, treatment and clinical oversight</w:t>
      </w:r>
    </w:p>
    <w:p w14:paraId="36D43B68" w14:textId="77777777" w:rsidR="00817104" w:rsidRDefault="00817104" w:rsidP="004E1457">
      <w:pPr>
        <w:pStyle w:val="Bullet1"/>
        <w:numPr>
          <w:ilvl w:val="0"/>
          <w:numId w:val="2"/>
        </w:numPr>
        <w:spacing w:after="120"/>
      </w:pPr>
      <w:r>
        <w:t>maintain clear escalation pathways for consumers whose clinical needs deteriorate or require acute intervention.</w:t>
      </w:r>
    </w:p>
    <w:p w14:paraId="06F7DAF4" w14:textId="505949D2" w:rsidR="00817104" w:rsidRDefault="00817104" w:rsidP="004E1457">
      <w:pPr>
        <w:pStyle w:val="Bodyafterbullets"/>
        <w:spacing w:before="0"/>
        <w:contextualSpacing/>
      </w:pPr>
      <w:r w:rsidRPr="00CB18B8">
        <w:t xml:space="preserve">Health services </w:t>
      </w:r>
      <w:r w:rsidR="00285899">
        <w:t>must</w:t>
      </w:r>
      <w:r w:rsidRPr="00CB18B8">
        <w:t xml:space="preserve"> operate PSRACS beds in line with </w:t>
      </w:r>
      <w:r w:rsidR="00285899">
        <w:t xml:space="preserve">funded capacity (see </w:t>
      </w:r>
      <w:r w:rsidRPr="00CB18B8">
        <w:t>Funding Rules –</w:t>
      </w:r>
      <w:r w:rsidR="00145652">
        <w:t xml:space="preserve"> </w:t>
      </w:r>
      <w:r w:rsidRPr="00CB18B8">
        <w:t>Residential Mental Health beds</w:t>
      </w:r>
      <w:r w:rsidR="00285899">
        <w:t>) and clinical intent</w:t>
      </w:r>
      <w:r w:rsidRPr="00CB18B8">
        <w:t>, except</w:t>
      </w:r>
      <w:r w:rsidRPr="00FC7F28">
        <w:t xml:space="preserve"> where beds are temporarily unavailable due to unplanned and unavoidable circumstances, such as infrastructure damage</w:t>
      </w:r>
      <w:r>
        <w:t xml:space="preserve">. </w:t>
      </w:r>
      <w:r w:rsidRPr="00BE6208">
        <w:t xml:space="preserve">Any </w:t>
      </w:r>
      <w:r>
        <w:t>planned</w:t>
      </w:r>
      <w:r w:rsidRPr="00BE6208">
        <w:t xml:space="preserve"> changes to</w:t>
      </w:r>
      <w:r>
        <w:t xml:space="preserve"> PSRACS</w:t>
      </w:r>
      <w:r w:rsidRPr="00BE6208">
        <w:t xml:space="preserve"> bed numbers</w:t>
      </w:r>
      <w:r>
        <w:t xml:space="preserve"> </w:t>
      </w:r>
      <w:r w:rsidRPr="00BE6208">
        <w:t xml:space="preserve">must be agreed with the </w:t>
      </w:r>
      <w:r>
        <w:t>d</w:t>
      </w:r>
      <w:r w:rsidRPr="00BE6208">
        <w:t>epartment prior to implementation.</w:t>
      </w:r>
    </w:p>
    <w:p w14:paraId="6D9771C5" w14:textId="7D0D2D51" w:rsidR="00817104" w:rsidRPr="006270A4" w:rsidRDefault="00817104" w:rsidP="007D5B6F">
      <w:pPr>
        <w:pStyle w:val="Heading3"/>
      </w:pPr>
      <w:r w:rsidRPr="006270A4">
        <w:t>Non-admitted mental health services</w:t>
      </w:r>
      <w:r>
        <w:t xml:space="preserve"> (community mental health services)</w:t>
      </w:r>
    </w:p>
    <w:p w14:paraId="65F47612" w14:textId="77777777" w:rsidR="00817104" w:rsidRDefault="00817104" w:rsidP="00817104">
      <w:pPr>
        <w:pStyle w:val="Body"/>
      </w:pPr>
      <w:r>
        <w:t xml:space="preserve">Health services </w:t>
      </w:r>
      <w:r w:rsidRPr="00FA7CDC">
        <w:t>provide specialist community</w:t>
      </w:r>
      <w:r w:rsidRPr="00FA7CDC">
        <w:rPr>
          <w:rFonts w:ascii="Cambria Math" w:hAnsi="Cambria Math" w:cs="Cambria Math"/>
        </w:rPr>
        <w:t>‑</w:t>
      </w:r>
      <w:r w:rsidRPr="00FA7CDC">
        <w:t>based clinical mental health assessment, treatment and continuing care for people with severe and complex mental illness who require ongoing support outside of inpatient settings.</w:t>
      </w:r>
    </w:p>
    <w:p w14:paraId="6E6272C4" w14:textId="77777777" w:rsidR="00817104" w:rsidRDefault="00817104" w:rsidP="00817104">
      <w:pPr>
        <w:pStyle w:val="Body"/>
      </w:pPr>
      <w:r w:rsidRPr="00FA7CDC">
        <w:t xml:space="preserve">Community mental health services are a core component of the </w:t>
      </w:r>
      <w:r>
        <w:t>a</w:t>
      </w:r>
      <w:r w:rsidRPr="00FA7CDC">
        <w:t>rea</w:t>
      </w:r>
      <w:r>
        <w:rPr>
          <w:rFonts w:ascii="Cambria Math" w:hAnsi="Cambria Math" w:cs="Cambria Math"/>
        </w:rPr>
        <w:t>-</w:t>
      </w:r>
      <w:r w:rsidRPr="00FA7CDC">
        <w:t xml:space="preserve">based mental health service system and operate alongside acute inpatient, </w:t>
      </w:r>
      <w:r>
        <w:t xml:space="preserve">subacute and </w:t>
      </w:r>
      <w:r w:rsidRPr="00FA7CDC">
        <w:t>residential</w:t>
      </w:r>
      <w:r>
        <w:t xml:space="preserve"> services</w:t>
      </w:r>
      <w:r w:rsidRPr="00FA7CDC">
        <w:t>.</w:t>
      </w:r>
      <w:r>
        <w:t xml:space="preserve"> They complement the bed-based care provided by mental health services to prevent hospital admissions, reduce the burden on the acute service and provide localised early intervention and care close to home.</w:t>
      </w:r>
    </w:p>
    <w:p w14:paraId="51D9CE6D" w14:textId="77777777" w:rsidR="00817104" w:rsidRDefault="00817104" w:rsidP="00817104">
      <w:pPr>
        <w:pStyle w:val="Body"/>
      </w:pPr>
      <w:r>
        <w:t>Community mental health services should be actively used to support early intervention, relapse prevention and sustained recovery, including:</w:t>
      </w:r>
    </w:p>
    <w:p w14:paraId="2BD103F1" w14:textId="77777777" w:rsidR="00817104" w:rsidRDefault="00817104" w:rsidP="00817104">
      <w:pPr>
        <w:pStyle w:val="Bullet1"/>
        <w:numPr>
          <w:ilvl w:val="0"/>
          <w:numId w:val="2"/>
        </w:numPr>
      </w:pPr>
      <w:r>
        <w:t>timely follow</w:t>
      </w:r>
      <w:r>
        <w:rPr>
          <w:rFonts w:ascii="Cambria Math" w:hAnsi="Cambria Math" w:cs="Cambria Math"/>
        </w:rPr>
        <w:t>‑</w:t>
      </w:r>
      <w:r>
        <w:t>up after ED presentation or inpatient discharge</w:t>
      </w:r>
    </w:p>
    <w:p w14:paraId="0C90EDF3" w14:textId="77777777" w:rsidR="00817104" w:rsidRDefault="00817104" w:rsidP="00817104">
      <w:pPr>
        <w:pStyle w:val="Bullet1"/>
        <w:numPr>
          <w:ilvl w:val="0"/>
          <w:numId w:val="2"/>
        </w:numPr>
      </w:pPr>
      <w:r>
        <w:t>provision of intensive community treatment as an alternative to hospital admission where clinically appropriate</w:t>
      </w:r>
    </w:p>
    <w:p w14:paraId="2F053C00" w14:textId="77777777" w:rsidR="00817104" w:rsidRDefault="00817104" w:rsidP="00817104">
      <w:pPr>
        <w:pStyle w:val="Bullet1"/>
        <w:numPr>
          <w:ilvl w:val="0"/>
          <w:numId w:val="2"/>
        </w:numPr>
      </w:pPr>
      <w:r>
        <w:t>ensuring</w:t>
      </w:r>
      <w:r w:rsidRPr="00D533F5">
        <w:t xml:space="preserve"> services align with recovery</w:t>
      </w:r>
      <w:r w:rsidRPr="00D533F5">
        <w:rPr>
          <w:rFonts w:ascii="Cambria Math" w:hAnsi="Cambria Math" w:cs="Cambria Math"/>
        </w:rPr>
        <w:t>‑</w:t>
      </w:r>
      <w:r w:rsidRPr="00D533F5">
        <w:t>oriented, trauma</w:t>
      </w:r>
      <w:r w:rsidRPr="00D533F5">
        <w:rPr>
          <w:rFonts w:ascii="Cambria Math" w:hAnsi="Cambria Math" w:cs="Cambria Math"/>
        </w:rPr>
        <w:t>‑</w:t>
      </w:r>
      <w:r w:rsidRPr="00D533F5">
        <w:t>informed and culturally safe practice</w:t>
      </w:r>
    </w:p>
    <w:p w14:paraId="76DB92BB" w14:textId="77777777" w:rsidR="00817104" w:rsidRDefault="00817104" w:rsidP="00817104">
      <w:pPr>
        <w:pStyle w:val="Bullet1"/>
        <w:numPr>
          <w:ilvl w:val="0"/>
          <w:numId w:val="2"/>
        </w:numPr>
        <w:spacing w:after="120"/>
      </w:pPr>
      <w:r>
        <w:t>continuity of care for consumers with ongoing and complex needs.</w:t>
      </w:r>
    </w:p>
    <w:p w14:paraId="6098FBC1" w14:textId="77777777" w:rsidR="00817104" w:rsidRPr="00753F7A" w:rsidRDefault="00817104" w:rsidP="00817104">
      <w:r w:rsidRPr="00753F7A">
        <w:t>Health services are required to:</w:t>
      </w:r>
    </w:p>
    <w:p w14:paraId="67FF03A3" w14:textId="77777777" w:rsidR="00817104" w:rsidRPr="00753F7A" w:rsidRDefault="00817104" w:rsidP="00817104">
      <w:pPr>
        <w:pStyle w:val="Bullet1"/>
        <w:numPr>
          <w:ilvl w:val="0"/>
          <w:numId w:val="2"/>
        </w:numPr>
      </w:pPr>
      <w:r w:rsidRPr="00753F7A">
        <w:t xml:space="preserve">deliver the minimum community mental health service hours specified in their </w:t>
      </w:r>
      <w:r>
        <w:t>SoP</w:t>
      </w:r>
      <w:r w:rsidRPr="00753F7A">
        <w:t xml:space="preserve"> as a core condition of funding</w:t>
      </w:r>
    </w:p>
    <w:p w14:paraId="3D3B6CF7" w14:textId="77777777" w:rsidR="00817104" w:rsidRPr="00753F7A" w:rsidRDefault="00817104" w:rsidP="00817104">
      <w:pPr>
        <w:pStyle w:val="Bullet1"/>
        <w:numPr>
          <w:ilvl w:val="0"/>
          <w:numId w:val="2"/>
        </w:numPr>
      </w:pPr>
      <w:r w:rsidRPr="00753F7A">
        <w:t xml:space="preserve">continue to deliver all community mental health programs funded prior to the transition to </w:t>
      </w:r>
      <w:r>
        <w:t>ABF</w:t>
      </w:r>
      <w:r w:rsidRPr="00753F7A">
        <w:t>, at established volumes and service levels</w:t>
      </w:r>
    </w:p>
    <w:p w14:paraId="2BD01706" w14:textId="77777777" w:rsidR="00817104" w:rsidRPr="00753F7A" w:rsidRDefault="00817104" w:rsidP="00817104">
      <w:pPr>
        <w:pStyle w:val="Bullet1"/>
        <w:numPr>
          <w:ilvl w:val="0"/>
          <w:numId w:val="2"/>
        </w:numPr>
      </w:pPr>
      <w:r w:rsidRPr="00753F7A">
        <w:t>deliver any additional community mental health programs funded from 2025–26 onwards in addition to, and not as a substitute for, existing baseline service activity</w:t>
      </w:r>
    </w:p>
    <w:p w14:paraId="69100C1B" w14:textId="77777777" w:rsidR="00817104" w:rsidRDefault="00817104" w:rsidP="00817104">
      <w:pPr>
        <w:pStyle w:val="Bullet1"/>
        <w:numPr>
          <w:ilvl w:val="0"/>
          <w:numId w:val="2"/>
        </w:numPr>
      </w:pPr>
      <w:r w:rsidRPr="00A128FA">
        <w:t>ensure that no displacement or dilution of pre</w:t>
      </w:r>
      <w:r w:rsidRPr="00A128FA">
        <w:rPr>
          <w:rFonts w:ascii="Cambria Math" w:hAnsi="Cambria Math" w:cs="Cambria Math"/>
        </w:rPr>
        <w:t>‑</w:t>
      </w:r>
      <w:r w:rsidRPr="00A128FA">
        <w:t xml:space="preserve">existing community mental health services </w:t>
      </w:r>
      <w:r>
        <w:t>occur due to</w:t>
      </w:r>
      <w:r w:rsidRPr="00A128FA">
        <w:t xml:space="preserve"> the transition</w:t>
      </w:r>
      <w:r>
        <w:t xml:space="preserve"> to national ABF. </w:t>
      </w:r>
    </w:p>
    <w:p w14:paraId="27AD5A3A" w14:textId="77777777" w:rsidR="00817104" w:rsidRDefault="00817104" w:rsidP="00817104">
      <w:pPr>
        <w:pStyle w:val="Bodyafterbullets"/>
      </w:pPr>
      <w:r>
        <w:t>Health services must ensure that:</w:t>
      </w:r>
    </w:p>
    <w:p w14:paraId="406B248F" w14:textId="77777777" w:rsidR="00817104" w:rsidRDefault="00817104" w:rsidP="00817104">
      <w:pPr>
        <w:pStyle w:val="Bullet1"/>
        <w:numPr>
          <w:ilvl w:val="0"/>
          <w:numId w:val="2"/>
        </w:numPr>
      </w:pPr>
      <w:r>
        <w:t>community mental health service hours remain a core deliverable</w:t>
      </w:r>
    </w:p>
    <w:p w14:paraId="69665258" w14:textId="77777777" w:rsidR="00817104" w:rsidRDefault="00817104" w:rsidP="00817104">
      <w:pPr>
        <w:pStyle w:val="Bullet1"/>
        <w:numPr>
          <w:ilvl w:val="0"/>
          <w:numId w:val="2"/>
        </w:numPr>
      </w:pPr>
      <w:r>
        <w:t>achievement of community mental health National Weighted Activity Unit (NWAU) targets does not replace or override obligations to deliver funded service hours or program outputs</w:t>
      </w:r>
    </w:p>
    <w:p w14:paraId="1571F65A" w14:textId="77777777" w:rsidR="00817104" w:rsidRDefault="00817104" w:rsidP="00817104">
      <w:pPr>
        <w:pStyle w:val="Bullet1"/>
        <w:numPr>
          <w:ilvl w:val="0"/>
          <w:numId w:val="2"/>
        </w:numPr>
      </w:pPr>
      <w:r>
        <w:lastRenderedPageBreak/>
        <w:t>growth funding provided is specifically used to expand community mental health service delivery capacity.</w:t>
      </w:r>
    </w:p>
    <w:p w14:paraId="5004A240" w14:textId="77777777" w:rsidR="00817104" w:rsidRDefault="00817104" w:rsidP="00817104">
      <w:pPr>
        <w:pStyle w:val="Bullet1"/>
        <w:numPr>
          <w:ilvl w:val="0"/>
          <w:numId w:val="0"/>
        </w:numPr>
        <w:spacing w:before="120" w:after="120"/>
      </w:pPr>
      <w:r>
        <w:t>In 2026–27, community mental health programs that have transitioned to ABF under the national funding model will contribute to community mental health NWAU targets and service hour targets. This recognises that these programs are well established and mature, with operational stability required to deliver these targets.</w:t>
      </w:r>
    </w:p>
    <w:p w14:paraId="5CD15CFF" w14:textId="77777777" w:rsidR="00817104" w:rsidRDefault="00817104" w:rsidP="00817104">
      <w:pPr>
        <w:pStyle w:val="Heading4"/>
      </w:pPr>
      <w:r w:rsidRPr="00B74980">
        <w:t xml:space="preserve">Consultation </w:t>
      </w:r>
      <w:r>
        <w:t>liaison psychiatry</w:t>
      </w:r>
    </w:p>
    <w:p w14:paraId="66E9841E" w14:textId="77777777" w:rsidR="00817104" w:rsidRDefault="00817104" w:rsidP="00817104">
      <w:pPr>
        <w:pStyle w:val="Body"/>
      </w:pPr>
      <w:r w:rsidRPr="00E826A8">
        <w:t>C</w:t>
      </w:r>
      <w:r>
        <w:t>onsultation liaison psychiatry</w:t>
      </w:r>
      <w:r w:rsidRPr="00E826A8">
        <w:t xml:space="preserve"> is a medical subspecialty combining psychiatry with general medicine, usually delivered in a hospital setting outside the mental health ward and in collaboration with a range of health professionals. The </w:t>
      </w:r>
      <w:r>
        <w:t>consultation liaison psychiatry</w:t>
      </w:r>
      <w:r w:rsidRPr="00E826A8">
        <w:t xml:space="preserve"> team focuses on psychiatric complications of medical illness and may include psychiatrists, psychologists, psychiatric nurses, and social workers. In practice, </w:t>
      </w:r>
      <w:r>
        <w:t xml:space="preserve">consultation liaison </w:t>
      </w:r>
      <w:r w:rsidRPr="00E826A8">
        <w:t>services support surgeons and other medical officers in managing common mental health problems in their patients.</w:t>
      </w:r>
    </w:p>
    <w:p w14:paraId="277E58CE" w14:textId="77777777" w:rsidR="00817104" w:rsidRDefault="00817104" w:rsidP="00817104">
      <w:pPr>
        <w:pStyle w:val="Body"/>
      </w:pPr>
      <w:r w:rsidRPr="005D3D73">
        <w:t>A</w:t>
      </w:r>
      <w:r>
        <w:t xml:space="preserve"> </w:t>
      </w:r>
      <w:r w:rsidRPr="005D3D73">
        <w:t>specific consultation liaison code</w:t>
      </w:r>
      <w:r>
        <w:t xml:space="preserve"> </w:t>
      </w:r>
      <w:r w:rsidRPr="005D3D73">
        <w:t>was included in</w:t>
      </w:r>
      <w:r>
        <w:t xml:space="preserve"> </w:t>
      </w:r>
      <w:r w:rsidRPr="005D3D73">
        <w:t>the Twelfth Edition of the</w:t>
      </w:r>
      <w:r>
        <w:t xml:space="preserve"> </w:t>
      </w:r>
      <w:r w:rsidRPr="00E35217">
        <w:rPr>
          <w:i/>
          <w:iCs/>
        </w:rPr>
        <w:t>Australian Classification of Health Intervention</w:t>
      </w:r>
      <w:r>
        <w:t xml:space="preserve"> </w:t>
      </w:r>
      <w:r w:rsidRPr="005D3D73">
        <w:t>released in September 2023.</w:t>
      </w:r>
      <w:r>
        <w:t xml:space="preserve"> The changes enable the explicit capture of consultation liaison psychiatry activity as part of a patient’s care. Health services are required to ensure appropriate data recording and costing of consultation liaison services under this revised approach. This is to ensure that mental health care provided to patients in general hospital settings is adequately reflected in the price paid for general hospital care. </w:t>
      </w:r>
    </w:p>
    <w:p w14:paraId="62F1EEAA" w14:textId="4AA43DC9" w:rsidR="00817104" w:rsidRDefault="00817104" w:rsidP="00817104">
      <w:pPr>
        <w:pStyle w:val="Body"/>
      </w:pPr>
      <w:r>
        <w:t>As a result of these changes in the national ABF model, from 2026–27, funding for consultation liaison services will transition to acute admitted activity</w:t>
      </w:r>
      <w:r>
        <w:rPr>
          <w:rFonts w:ascii="Cambria Math" w:hAnsi="Cambria Math" w:cs="Cambria Math"/>
        </w:rPr>
        <w:t>‑</w:t>
      </w:r>
      <w:r>
        <w:t>based funding (ABF) and will be fully funded through the NWAU pricing framework.</w:t>
      </w:r>
      <w:r w:rsidR="00F9092A">
        <w:t xml:space="preserve"> </w:t>
      </w:r>
      <w:r>
        <w:t xml:space="preserve">Health services must not reduce consultation liaison services because of these changes. The department will monitor the transition during 2026–27 to ensure, at a minimum, that existing levels of service are maintained. </w:t>
      </w:r>
    </w:p>
    <w:p w14:paraId="765DD3EF" w14:textId="77777777" w:rsidR="00817104" w:rsidRDefault="00817104" w:rsidP="00817104">
      <w:pPr>
        <w:pStyle w:val="Body"/>
      </w:pPr>
      <w:r>
        <w:t xml:space="preserve"> Health services are required to:</w:t>
      </w:r>
    </w:p>
    <w:p w14:paraId="08987269" w14:textId="77777777" w:rsidR="00817104" w:rsidRDefault="00817104" w:rsidP="00817104">
      <w:pPr>
        <w:pStyle w:val="Bullet1"/>
        <w:numPr>
          <w:ilvl w:val="0"/>
          <w:numId w:val="2"/>
        </w:numPr>
      </w:pPr>
      <w:r>
        <w:t>continue to deliver consultation liaison services at current levels and volumes, consistent with existing service models and patterns of activity</w:t>
      </w:r>
    </w:p>
    <w:p w14:paraId="5B69DFEA" w14:textId="77777777" w:rsidR="00817104" w:rsidRDefault="00817104" w:rsidP="00817104">
      <w:pPr>
        <w:pStyle w:val="Bullet1"/>
        <w:numPr>
          <w:ilvl w:val="0"/>
          <w:numId w:val="2"/>
        </w:numPr>
      </w:pPr>
      <w:r>
        <w:t>ensure ongoing access to timely consultation liaison support across relevant inpatient and community settings</w:t>
      </w:r>
    </w:p>
    <w:p w14:paraId="07BFEF93" w14:textId="77777777" w:rsidR="00817104" w:rsidRDefault="00817104" w:rsidP="00817104">
      <w:pPr>
        <w:pStyle w:val="Bullet1"/>
        <w:numPr>
          <w:ilvl w:val="0"/>
          <w:numId w:val="2"/>
        </w:numPr>
      </w:pPr>
      <w:r>
        <w:t>not reduce service scope, availability or activity levels associated with consultation liaison services because of the transition to ABF.</w:t>
      </w:r>
    </w:p>
    <w:p w14:paraId="385A04BD" w14:textId="04FA01F6" w:rsidR="00817104" w:rsidRDefault="00817104" w:rsidP="00E82F16">
      <w:pPr>
        <w:pStyle w:val="Bodyafterbullets"/>
      </w:pPr>
      <w:r>
        <w:t>The department will closely monitor consultation liaison activity and service delivery following the transition to ABF to ensure there is no deterioration in service access, quality or volume.</w:t>
      </w:r>
      <w:r w:rsidR="00E82F16">
        <w:t xml:space="preserve"> </w:t>
      </w:r>
      <w:r>
        <w:t>Health services must not reduce, suspend or alter consultation liaison service delivery or activity levels without first seeking and obtaining approval from the department. Any proposed changes to consultation liaison services must be agreed to by the department prior to implementation.</w:t>
      </w:r>
    </w:p>
    <w:p w14:paraId="70749D80" w14:textId="77777777" w:rsidR="00817104" w:rsidRDefault="00817104" w:rsidP="00817104">
      <w:pPr>
        <w:pStyle w:val="Heading4"/>
      </w:pPr>
      <w:r>
        <w:t>Core community mental health programs to be delivered by all Area Mental Health and Wellbeing Services</w:t>
      </w:r>
    </w:p>
    <w:p w14:paraId="44CB2558" w14:textId="73E1365A" w:rsidR="00817104" w:rsidRDefault="00817104" w:rsidP="00817104">
      <w:pPr>
        <w:pStyle w:val="Body"/>
      </w:pPr>
      <w:r>
        <w:t>Table 3</w:t>
      </w:r>
      <w:r w:rsidRPr="00BB2F9A">
        <w:t xml:space="preserve"> outlines </w:t>
      </w:r>
      <w:r>
        <w:t>the core</w:t>
      </w:r>
      <w:r w:rsidRPr="00BB2F9A">
        <w:t xml:space="preserve"> community mental health programs that health services receiving community mental health </w:t>
      </w:r>
      <w:r>
        <w:t>funding</w:t>
      </w:r>
      <w:r w:rsidRPr="00BB2F9A">
        <w:t xml:space="preserve"> </w:t>
      </w:r>
      <w:r>
        <w:t>must</w:t>
      </w:r>
      <w:r w:rsidRPr="00BB2F9A">
        <w:t xml:space="preserve"> deliver.</w:t>
      </w:r>
      <w:r w:rsidDel="00975BFB">
        <w:t xml:space="preserve"> </w:t>
      </w:r>
      <w:r>
        <w:t>Note that infant, child and youth</w:t>
      </w:r>
      <w:r w:rsidRPr="00BB2F9A">
        <w:t xml:space="preserve"> programs </w:t>
      </w:r>
      <w:r>
        <w:t xml:space="preserve">in this table are only applicable to health services established as </w:t>
      </w:r>
      <w:r w:rsidR="00533BA7">
        <w:t xml:space="preserve">ICY </w:t>
      </w:r>
      <w:r w:rsidR="00970B4B">
        <w:t>AMHWSs</w:t>
      </w:r>
      <w:r>
        <w:t>.</w:t>
      </w:r>
    </w:p>
    <w:p w14:paraId="406485E6" w14:textId="77777777" w:rsidR="00817104" w:rsidRDefault="00817104" w:rsidP="00817104">
      <w:pPr>
        <w:pStyle w:val="Body"/>
      </w:pPr>
      <w:r>
        <w:t>Health services may operate a</w:t>
      </w:r>
      <w:r w:rsidRPr="00BB2F9A">
        <w:t xml:space="preserve">dditional </w:t>
      </w:r>
      <w:r>
        <w:t xml:space="preserve">community </w:t>
      </w:r>
      <w:r w:rsidRPr="00BB2F9A">
        <w:t xml:space="preserve">programs </w:t>
      </w:r>
      <w:r>
        <w:t xml:space="preserve">based </w:t>
      </w:r>
      <w:r w:rsidRPr="00BB2F9A">
        <w:t xml:space="preserve">on local need and </w:t>
      </w:r>
      <w:r>
        <w:t>other</w:t>
      </w:r>
      <w:r w:rsidRPr="00BB2F9A">
        <w:t xml:space="preserve"> </w:t>
      </w:r>
      <w:r>
        <w:t>funding</w:t>
      </w:r>
      <w:r w:rsidRPr="00BB2F9A">
        <w:t xml:space="preserve"> arrangements</w:t>
      </w:r>
      <w:r>
        <w:t>, as per each health service’s funding agreement with the department</w:t>
      </w:r>
      <w:r w:rsidRPr="00BB2F9A">
        <w:t>.</w:t>
      </w:r>
      <w:r>
        <w:t xml:space="preserve"> Health services </w:t>
      </w:r>
      <w:r>
        <w:lastRenderedPageBreak/>
        <w:t xml:space="preserve">must continue to operate all block-funded community programs in line with agreed funding arrangements. </w:t>
      </w:r>
    </w:p>
    <w:p w14:paraId="6B7195BA" w14:textId="77777777" w:rsidR="00817104" w:rsidRDefault="613F8BD7" w:rsidP="00817104">
      <w:pPr>
        <w:pStyle w:val="Tablecaption"/>
      </w:pPr>
      <w:bookmarkStart w:id="1757" w:name="_Toc230537124"/>
      <w:r>
        <w:t xml:space="preserve">Table </w:t>
      </w:r>
      <w:r w:rsidR="00817104">
        <w:fldChar w:fldCharType="begin"/>
      </w:r>
      <w:r w:rsidR="00817104">
        <w:instrText>SEQ Table \* ARABIC</w:instrText>
      </w:r>
      <w:r w:rsidR="00817104">
        <w:fldChar w:fldCharType="separate"/>
      </w:r>
      <w:r w:rsidRPr="1140B07A">
        <w:rPr>
          <w:noProof/>
        </w:rPr>
        <w:t>3</w:t>
      </w:r>
      <w:r w:rsidR="00817104">
        <w:fldChar w:fldCharType="end"/>
      </w:r>
      <w:r>
        <w:t>. Community-based mental health programs delivered by all Area Mental Health and Wellbeing Services</w:t>
      </w:r>
      <w:bookmarkEnd w:id="1757"/>
    </w:p>
    <w:tbl>
      <w:tblPr>
        <w:tblStyle w:val="GridTable4-Accent1"/>
        <w:tblW w:w="0" w:type="auto"/>
        <w:tblLook w:val="04A0" w:firstRow="1" w:lastRow="0" w:firstColumn="1" w:lastColumn="0" w:noHBand="0" w:noVBand="1"/>
      </w:tblPr>
      <w:tblGrid>
        <w:gridCol w:w="2203"/>
        <w:gridCol w:w="5699"/>
        <w:gridCol w:w="1386"/>
      </w:tblGrid>
      <w:tr w:rsidR="00817104" w:rsidRPr="002D0C0A" w14:paraId="15ABA2A2" w14:textId="77777777" w:rsidTr="00EC69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7F8A0437" w14:textId="77777777" w:rsidR="00817104" w:rsidRPr="00E023BD" w:rsidRDefault="00817104" w:rsidP="005F44BD">
            <w:pPr>
              <w:pStyle w:val="Body"/>
              <w:spacing w:after="60" w:line="240" w:lineRule="auto"/>
              <w:rPr>
                <w:sz w:val="18"/>
                <w:szCs w:val="18"/>
              </w:rPr>
            </w:pPr>
            <w:r w:rsidRPr="00E023BD">
              <w:rPr>
                <w:sz w:val="18"/>
                <w:szCs w:val="18"/>
              </w:rPr>
              <w:t>Community mental health programs</w:t>
            </w:r>
          </w:p>
        </w:tc>
        <w:tc>
          <w:tcPr>
            <w:tcW w:w="0" w:type="auto"/>
          </w:tcPr>
          <w:p w14:paraId="6CD0B7BA" w14:textId="77777777" w:rsidR="00817104" w:rsidRPr="00E023BD" w:rsidRDefault="00817104" w:rsidP="005F44BD">
            <w:pPr>
              <w:pStyle w:val="Body"/>
              <w:spacing w:after="6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E023BD">
              <w:rPr>
                <w:sz w:val="18"/>
                <w:szCs w:val="18"/>
              </w:rPr>
              <w:t>Description</w:t>
            </w:r>
          </w:p>
        </w:tc>
        <w:tc>
          <w:tcPr>
            <w:tcW w:w="0" w:type="auto"/>
          </w:tcPr>
          <w:p w14:paraId="1E253D41" w14:textId="0B2323A4" w:rsidR="00817104" w:rsidRPr="00E023BD" w:rsidRDefault="00817104" w:rsidP="005F44BD">
            <w:pPr>
              <w:pStyle w:val="Body"/>
              <w:spacing w:after="6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E023BD">
              <w:rPr>
                <w:sz w:val="18"/>
                <w:szCs w:val="18"/>
              </w:rPr>
              <w:t xml:space="preserve">2026–27 funding </w:t>
            </w:r>
            <w:r w:rsidR="0072152A">
              <w:rPr>
                <w:sz w:val="18"/>
                <w:szCs w:val="18"/>
              </w:rPr>
              <w:t>basis</w:t>
            </w:r>
          </w:p>
        </w:tc>
      </w:tr>
      <w:tr w:rsidR="00817104" w:rsidRPr="002D0C0A" w14:paraId="466F2469"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8AE748" w14:textId="77777777" w:rsidR="00817104" w:rsidRPr="00E023BD" w:rsidRDefault="00817104" w:rsidP="005F44BD">
            <w:pPr>
              <w:pStyle w:val="Body"/>
              <w:spacing w:after="60" w:line="240" w:lineRule="auto"/>
              <w:rPr>
                <w:b w:val="0"/>
                <w:sz w:val="18"/>
                <w:szCs w:val="18"/>
              </w:rPr>
            </w:pPr>
            <w:r w:rsidRPr="00E023BD">
              <w:rPr>
                <w:sz w:val="18"/>
                <w:szCs w:val="18"/>
              </w:rPr>
              <w:t>Family where a Parent has a Mental Illness (FaPMI)</w:t>
            </w:r>
          </w:p>
        </w:tc>
        <w:tc>
          <w:tcPr>
            <w:tcW w:w="0" w:type="auto"/>
          </w:tcPr>
          <w:p w14:paraId="0FD7AB79"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Provides system-wide coordination, workforce support and family</w:t>
            </w:r>
            <w:r w:rsidRPr="00E023BD">
              <w:rPr>
                <w:rFonts w:ascii="Cambria Math" w:hAnsi="Cambria Math" w:cs="Cambria Math"/>
                <w:sz w:val="18"/>
                <w:szCs w:val="18"/>
              </w:rPr>
              <w:t>‑</w:t>
            </w:r>
            <w:r w:rsidRPr="00E023BD">
              <w:rPr>
                <w:sz w:val="18"/>
                <w:szCs w:val="18"/>
              </w:rPr>
              <w:t>inclusive practice to reduce the impact of parental mental illness on children, young people and families.</w:t>
            </w:r>
          </w:p>
        </w:tc>
        <w:tc>
          <w:tcPr>
            <w:tcW w:w="0" w:type="auto"/>
          </w:tcPr>
          <w:p w14:paraId="5FD9ED3D"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Block funded</w:t>
            </w:r>
          </w:p>
        </w:tc>
      </w:tr>
      <w:tr w:rsidR="00817104" w:rsidRPr="002D0C0A" w14:paraId="55BDACD2"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30D4B586" w14:textId="77777777" w:rsidR="00817104" w:rsidRPr="00E023BD" w:rsidRDefault="00817104" w:rsidP="005F44BD">
            <w:pPr>
              <w:pStyle w:val="Body"/>
              <w:spacing w:after="60" w:line="240" w:lineRule="auto"/>
              <w:rPr>
                <w:b w:val="0"/>
                <w:sz w:val="18"/>
                <w:szCs w:val="18"/>
              </w:rPr>
            </w:pPr>
            <w:r w:rsidRPr="00E023BD">
              <w:rPr>
                <w:sz w:val="18"/>
                <w:szCs w:val="18"/>
              </w:rPr>
              <w:t>Early intervention psychosocial response</w:t>
            </w:r>
          </w:p>
        </w:tc>
        <w:tc>
          <w:tcPr>
            <w:tcW w:w="0" w:type="auto"/>
          </w:tcPr>
          <w:p w14:paraId="6B44A64D"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Delivers early, community-based psychosocial support and intervention to address emerging mental health needs and reduce escalation to more intensive services.</w:t>
            </w:r>
          </w:p>
        </w:tc>
        <w:tc>
          <w:tcPr>
            <w:tcW w:w="0" w:type="auto"/>
          </w:tcPr>
          <w:p w14:paraId="43ACC2E5"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Block funded</w:t>
            </w:r>
          </w:p>
        </w:tc>
      </w:tr>
      <w:tr w:rsidR="00817104" w:rsidRPr="002D0C0A" w14:paraId="03E5C09C"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9BE820" w14:textId="77777777" w:rsidR="00817104" w:rsidRPr="00E023BD" w:rsidRDefault="00817104" w:rsidP="005F44BD">
            <w:pPr>
              <w:pStyle w:val="Body"/>
              <w:spacing w:after="60" w:line="240" w:lineRule="auto"/>
              <w:rPr>
                <w:b w:val="0"/>
                <w:sz w:val="18"/>
                <w:szCs w:val="18"/>
              </w:rPr>
            </w:pPr>
            <w:r w:rsidRPr="00E023BD">
              <w:rPr>
                <w:sz w:val="18"/>
                <w:szCs w:val="18"/>
              </w:rPr>
              <w:t>National Disability Insurance Scheme (NDIS) clinical mental health interface</w:t>
            </w:r>
          </w:p>
        </w:tc>
        <w:tc>
          <w:tcPr>
            <w:tcW w:w="0" w:type="auto"/>
          </w:tcPr>
          <w:p w14:paraId="40250CC9"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Supports coordination between public clinical mental health services and the NDIS to ensure continuity of care, clarify responsibilities and facilitate access to psychosocial supports.</w:t>
            </w:r>
          </w:p>
        </w:tc>
        <w:tc>
          <w:tcPr>
            <w:tcW w:w="0" w:type="auto"/>
          </w:tcPr>
          <w:p w14:paraId="686849D8"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Block funded</w:t>
            </w:r>
          </w:p>
        </w:tc>
      </w:tr>
      <w:tr w:rsidR="00817104" w:rsidRPr="002D0C0A" w14:paraId="1B13A96F"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201ACBAF" w14:textId="77777777" w:rsidR="00817104" w:rsidRPr="00E023BD" w:rsidRDefault="00817104" w:rsidP="005F44BD">
            <w:pPr>
              <w:pStyle w:val="Body"/>
              <w:spacing w:after="60" w:line="240" w:lineRule="auto"/>
              <w:rPr>
                <w:b w:val="0"/>
                <w:sz w:val="18"/>
                <w:szCs w:val="18"/>
              </w:rPr>
            </w:pPr>
            <w:r w:rsidRPr="00E023BD">
              <w:rPr>
                <w:sz w:val="18"/>
                <w:szCs w:val="18"/>
              </w:rPr>
              <w:t>Emergency department response to AOD presentations</w:t>
            </w:r>
          </w:p>
        </w:tc>
        <w:tc>
          <w:tcPr>
            <w:tcW w:w="0" w:type="auto"/>
          </w:tcPr>
          <w:p w14:paraId="3F04B617"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Provides specialised assessment, care coordination and referral pathways for people presenting to EDs with substance use related issues, including co-occurring mental health needs.</w:t>
            </w:r>
          </w:p>
        </w:tc>
        <w:tc>
          <w:tcPr>
            <w:tcW w:w="0" w:type="auto"/>
          </w:tcPr>
          <w:p w14:paraId="32CA6F11"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Block funded</w:t>
            </w:r>
          </w:p>
        </w:tc>
      </w:tr>
      <w:tr w:rsidR="00817104" w:rsidRPr="002D0C0A" w14:paraId="4AAFFA36"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57BB06" w14:textId="77777777" w:rsidR="00817104" w:rsidRPr="00E023BD" w:rsidRDefault="00817104" w:rsidP="005F44BD">
            <w:pPr>
              <w:pStyle w:val="Body"/>
              <w:spacing w:after="60" w:line="240" w:lineRule="auto"/>
              <w:rPr>
                <w:b w:val="0"/>
                <w:bCs w:val="0"/>
                <w:sz w:val="18"/>
                <w:szCs w:val="18"/>
              </w:rPr>
            </w:pPr>
            <w:r w:rsidRPr="00E023BD">
              <w:rPr>
                <w:sz w:val="18"/>
                <w:szCs w:val="18"/>
              </w:rPr>
              <w:t>Autism state plan coordinator</w:t>
            </w:r>
          </w:p>
        </w:tc>
        <w:tc>
          <w:tcPr>
            <w:tcW w:w="0" w:type="auto"/>
          </w:tcPr>
          <w:p w14:paraId="2CAEBBC2"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Supports implementation and coordination of state-wide autism initiatives, including service integration, system navigation and improved access to mental health care for people with autism.</w:t>
            </w:r>
          </w:p>
        </w:tc>
        <w:tc>
          <w:tcPr>
            <w:tcW w:w="0" w:type="auto"/>
          </w:tcPr>
          <w:p w14:paraId="4665CE81"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Block funded</w:t>
            </w:r>
          </w:p>
        </w:tc>
      </w:tr>
      <w:tr w:rsidR="00817104" w:rsidRPr="002D0C0A" w14:paraId="1C76C9FE"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5C1ED12B" w14:textId="77777777" w:rsidR="00817104" w:rsidRPr="00E023BD" w:rsidRDefault="00817104" w:rsidP="005F44BD">
            <w:pPr>
              <w:pStyle w:val="Body"/>
              <w:spacing w:after="60" w:line="240" w:lineRule="auto"/>
              <w:rPr>
                <w:b w:val="0"/>
                <w:bCs w:val="0"/>
                <w:sz w:val="18"/>
                <w:szCs w:val="18"/>
              </w:rPr>
            </w:pPr>
            <w:r w:rsidRPr="00E023BD">
              <w:rPr>
                <w:sz w:val="18"/>
                <w:szCs w:val="18"/>
              </w:rPr>
              <w:t>Perinatal Emotional Health Program</w:t>
            </w:r>
          </w:p>
        </w:tc>
        <w:tc>
          <w:tcPr>
            <w:tcW w:w="0" w:type="auto"/>
          </w:tcPr>
          <w:p w14:paraId="254B3983"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Improve early detection of antenatal and postnatal depression and provide better support and treatment for expectant and new mothers experiencing depression.</w:t>
            </w:r>
          </w:p>
        </w:tc>
        <w:tc>
          <w:tcPr>
            <w:tcW w:w="0" w:type="auto"/>
          </w:tcPr>
          <w:p w14:paraId="51EA16BA"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067BEDEF"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2FE8BF" w14:textId="77777777" w:rsidR="00817104" w:rsidRPr="00E023BD" w:rsidRDefault="00817104" w:rsidP="005F44BD">
            <w:pPr>
              <w:pStyle w:val="Body"/>
              <w:spacing w:after="60" w:line="240" w:lineRule="auto"/>
              <w:rPr>
                <w:b w:val="0"/>
                <w:bCs w:val="0"/>
                <w:sz w:val="18"/>
                <w:szCs w:val="18"/>
              </w:rPr>
            </w:pPr>
            <w:r w:rsidRPr="00E023BD">
              <w:rPr>
                <w:sz w:val="18"/>
                <w:szCs w:val="18"/>
              </w:rPr>
              <w:t>Adult intensive clinical community services</w:t>
            </w:r>
          </w:p>
        </w:tc>
        <w:tc>
          <w:tcPr>
            <w:tcW w:w="0" w:type="auto"/>
          </w:tcPr>
          <w:p w14:paraId="0D00A834"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Delivers intensive, multidisciplinary clinical care and assertive outreach for adults with severe mental illness who require a higher level of community-based support to prevent hospitalisation.</w:t>
            </w:r>
          </w:p>
        </w:tc>
        <w:tc>
          <w:tcPr>
            <w:tcW w:w="0" w:type="auto"/>
          </w:tcPr>
          <w:p w14:paraId="6D418AEF"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1740A387"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5B63AE15" w14:textId="77777777" w:rsidR="00817104" w:rsidRPr="00E023BD" w:rsidRDefault="00817104" w:rsidP="005F44BD">
            <w:pPr>
              <w:pStyle w:val="Body"/>
              <w:spacing w:after="60" w:line="240" w:lineRule="auto"/>
              <w:rPr>
                <w:b w:val="0"/>
                <w:bCs w:val="0"/>
                <w:sz w:val="18"/>
                <w:szCs w:val="18"/>
              </w:rPr>
            </w:pPr>
            <w:r w:rsidRPr="00E023BD">
              <w:rPr>
                <w:sz w:val="18"/>
                <w:szCs w:val="18"/>
              </w:rPr>
              <w:t>Community mental health engagement support</w:t>
            </w:r>
          </w:p>
        </w:tc>
        <w:tc>
          <w:tcPr>
            <w:tcW w:w="0" w:type="auto"/>
          </w:tcPr>
          <w:p w14:paraId="1A1A47AE"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Provides support to improve engagement with services, including outreach, care coordination and linkage to health and social supports.</w:t>
            </w:r>
          </w:p>
        </w:tc>
        <w:tc>
          <w:tcPr>
            <w:tcW w:w="0" w:type="auto"/>
          </w:tcPr>
          <w:p w14:paraId="7D3C8ED6"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3FDE2693"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CE2838" w14:textId="77777777" w:rsidR="00817104" w:rsidRPr="00E023BD" w:rsidRDefault="00817104" w:rsidP="005F44BD">
            <w:pPr>
              <w:pStyle w:val="Body"/>
              <w:spacing w:after="60" w:line="240" w:lineRule="auto"/>
              <w:rPr>
                <w:b w:val="0"/>
                <w:bCs w:val="0"/>
                <w:sz w:val="18"/>
                <w:szCs w:val="18"/>
              </w:rPr>
            </w:pPr>
            <w:r w:rsidRPr="00E023BD">
              <w:rPr>
                <w:sz w:val="18"/>
                <w:szCs w:val="18"/>
              </w:rPr>
              <w:t>Infant, child and youth assessment and treatment services</w:t>
            </w:r>
          </w:p>
        </w:tc>
        <w:tc>
          <w:tcPr>
            <w:tcW w:w="0" w:type="auto"/>
          </w:tcPr>
          <w:p w14:paraId="70E9AC54"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A range of services including crisis assessment, case management, individual or group therapy, family therapy, parent support and medication-based treatments for children and adolescents experiencing significant psychological distress or mental illness. Services support a timely response to referrals, including crises, delivered on an outreach basis, where appropriate.</w:t>
            </w:r>
          </w:p>
        </w:tc>
        <w:tc>
          <w:tcPr>
            <w:tcW w:w="0" w:type="auto"/>
          </w:tcPr>
          <w:p w14:paraId="4F85175D"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35C274EB"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487A9C6F" w14:textId="77777777" w:rsidR="00817104" w:rsidRPr="00E023BD" w:rsidRDefault="00817104" w:rsidP="005F44BD">
            <w:pPr>
              <w:pStyle w:val="Body"/>
              <w:spacing w:after="60" w:line="240" w:lineRule="auto"/>
              <w:rPr>
                <w:b w:val="0"/>
                <w:bCs w:val="0"/>
                <w:sz w:val="18"/>
                <w:szCs w:val="18"/>
              </w:rPr>
            </w:pPr>
            <w:r w:rsidRPr="00E023BD">
              <w:rPr>
                <w:sz w:val="18"/>
                <w:szCs w:val="18"/>
              </w:rPr>
              <w:t>Youth assessment and treatment services</w:t>
            </w:r>
          </w:p>
        </w:tc>
        <w:tc>
          <w:tcPr>
            <w:tcW w:w="0" w:type="auto"/>
          </w:tcPr>
          <w:p w14:paraId="22D02FA8"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Delivers specialist assessment and time</w:t>
            </w:r>
            <w:r w:rsidRPr="00E023BD">
              <w:rPr>
                <w:rFonts w:ascii="Cambria Math" w:hAnsi="Cambria Math" w:cs="Cambria Math"/>
                <w:sz w:val="18"/>
                <w:szCs w:val="18"/>
              </w:rPr>
              <w:t>‑</w:t>
            </w:r>
            <w:r w:rsidRPr="00E023BD">
              <w:rPr>
                <w:sz w:val="18"/>
                <w:szCs w:val="18"/>
              </w:rPr>
              <w:t>limited treatment for young people experiencing moderate to severe mental illness within age</w:t>
            </w:r>
            <w:r w:rsidRPr="00E023BD">
              <w:rPr>
                <w:rFonts w:ascii="Cambria Math" w:hAnsi="Cambria Math" w:cs="Cambria Math"/>
                <w:sz w:val="18"/>
                <w:szCs w:val="18"/>
              </w:rPr>
              <w:t>‑</w:t>
            </w:r>
            <w:r w:rsidRPr="00E023BD">
              <w:rPr>
                <w:sz w:val="18"/>
                <w:szCs w:val="18"/>
              </w:rPr>
              <w:t>appropriate service settings.</w:t>
            </w:r>
          </w:p>
        </w:tc>
        <w:tc>
          <w:tcPr>
            <w:tcW w:w="0" w:type="auto"/>
          </w:tcPr>
          <w:p w14:paraId="27C11800"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1CB63195"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00C28B4" w14:textId="77777777" w:rsidR="00817104" w:rsidRPr="00E023BD" w:rsidRDefault="00817104" w:rsidP="005F44BD">
            <w:pPr>
              <w:pStyle w:val="Body"/>
              <w:spacing w:after="60" w:line="240" w:lineRule="auto"/>
              <w:rPr>
                <w:b w:val="0"/>
                <w:bCs w:val="0"/>
                <w:sz w:val="18"/>
                <w:szCs w:val="18"/>
              </w:rPr>
            </w:pPr>
            <w:r w:rsidRPr="00E023BD">
              <w:rPr>
                <w:sz w:val="18"/>
                <w:szCs w:val="18"/>
              </w:rPr>
              <w:t>Adult assessment and treatment services</w:t>
            </w:r>
          </w:p>
        </w:tc>
        <w:tc>
          <w:tcPr>
            <w:tcW w:w="0" w:type="auto"/>
          </w:tcPr>
          <w:p w14:paraId="6D821FE2"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Provides specialist clinical assessment, treatment and ongoing care for adults with moderate to severe mental illness in community-based settings.</w:t>
            </w:r>
          </w:p>
        </w:tc>
        <w:tc>
          <w:tcPr>
            <w:tcW w:w="0" w:type="auto"/>
          </w:tcPr>
          <w:p w14:paraId="340E1E89"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2CBD3293"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1498E35E" w14:textId="77777777" w:rsidR="00817104" w:rsidRPr="00E023BD" w:rsidRDefault="00817104" w:rsidP="005F44BD">
            <w:pPr>
              <w:pStyle w:val="Body"/>
              <w:spacing w:after="60" w:line="240" w:lineRule="auto"/>
              <w:rPr>
                <w:b w:val="0"/>
                <w:bCs w:val="0"/>
                <w:sz w:val="18"/>
                <w:szCs w:val="18"/>
              </w:rPr>
            </w:pPr>
            <w:r w:rsidRPr="00E023BD">
              <w:rPr>
                <w:sz w:val="18"/>
                <w:szCs w:val="18"/>
              </w:rPr>
              <w:t>Older adult assessment and treatment services</w:t>
            </w:r>
          </w:p>
        </w:tc>
        <w:tc>
          <w:tcPr>
            <w:tcW w:w="0" w:type="auto"/>
          </w:tcPr>
          <w:p w14:paraId="48575681"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Provides mental health assessment, treatment and care coordination for older people, including those with complex or co</w:t>
            </w:r>
            <w:r w:rsidRPr="00E023BD">
              <w:rPr>
                <w:rFonts w:ascii="Cambria Math" w:hAnsi="Cambria Math" w:cs="Cambria Math"/>
                <w:sz w:val="18"/>
                <w:szCs w:val="18"/>
              </w:rPr>
              <w:t>‑</w:t>
            </w:r>
            <w:r w:rsidRPr="00E023BD">
              <w:rPr>
                <w:sz w:val="18"/>
                <w:szCs w:val="18"/>
              </w:rPr>
              <w:t>occurring conditions.</w:t>
            </w:r>
          </w:p>
        </w:tc>
        <w:tc>
          <w:tcPr>
            <w:tcW w:w="0" w:type="auto"/>
          </w:tcPr>
          <w:p w14:paraId="599E6608"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17A864D8"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49F9EE" w14:textId="77777777" w:rsidR="00817104" w:rsidRPr="00E023BD" w:rsidRDefault="00817104" w:rsidP="005F44BD">
            <w:pPr>
              <w:pStyle w:val="Body"/>
              <w:spacing w:after="60" w:line="240" w:lineRule="auto"/>
              <w:rPr>
                <w:b w:val="0"/>
                <w:bCs w:val="0"/>
                <w:sz w:val="18"/>
                <w:szCs w:val="18"/>
              </w:rPr>
            </w:pPr>
            <w:r w:rsidRPr="00E023BD">
              <w:rPr>
                <w:sz w:val="18"/>
                <w:szCs w:val="18"/>
              </w:rPr>
              <w:t>After hours assessment and treatment services</w:t>
            </w:r>
          </w:p>
        </w:tc>
        <w:tc>
          <w:tcPr>
            <w:tcW w:w="0" w:type="auto"/>
          </w:tcPr>
          <w:p w14:paraId="3E061912"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Ensures access to urgent mental health assessment and treatment outside standard business hours, including crisis response and triage functions.</w:t>
            </w:r>
          </w:p>
        </w:tc>
        <w:tc>
          <w:tcPr>
            <w:tcW w:w="0" w:type="auto"/>
          </w:tcPr>
          <w:p w14:paraId="0AFC99E4"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18BC752A"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323181F8" w14:textId="77777777" w:rsidR="00817104" w:rsidRPr="00E023BD" w:rsidRDefault="00817104" w:rsidP="005F44BD">
            <w:pPr>
              <w:pStyle w:val="Body"/>
              <w:spacing w:after="60" w:line="240" w:lineRule="auto"/>
              <w:rPr>
                <w:b w:val="0"/>
                <w:bCs w:val="0"/>
                <w:sz w:val="18"/>
                <w:szCs w:val="18"/>
              </w:rPr>
            </w:pPr>
            <w:r w:rsidRPr="00E023BD">
              <w:rPr>
                <w:sz w:val="18"/>
                <w:szCs w:val="18"/>
              </w:rPr>
              <w:t>Integrated AOD care and treatment</w:t>
            </w:r>
          </w:p>
        </w:tc>
        <w:tc>
          <w:tcPr>
            <w:tcW w:w="0" w:type="auto"/>
          </w:tcPr>
          <w:p w14:paraId="3053D638"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Delivers coordinated assessment and treatment for people with co-occurring mental health and substance use issues, integrating mental health and AOD service responses.</w:t>
            </w:r>
          </w:p>
        </w:tc>
        <w:tc>
          <w:tcPr>
            <w:tcW w:w="0" w:type="auto"/>
          </w:tcPr>
          <w:p w14:paraId="1B4DF4FE"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1A59D980"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E78B47" w14:textId="77777777" w:rsidR="00817104" w:rsidRPr="00E023BD" w:rsidRDefault="00817104" w:rsidP="005F44BD">
            <w:pPr>
              <w:pStyle w:val="Body"/>
              <w:spacing w:after="60" w:line="240" w:lineRule="auto"/>
              <w:rPr>
                <w:b w:val="0"/>
                <w:bCs w:val="0"/>
                <w:sz w:val="18"/>
                <w:szCs w:val="18"/>
              </w:rPr>
            </w:pPr>
            <w:r w:rsidRPr="00E023BD">
              <w:rPr>
                <w:sz w:val="18"/>
                <w:szCs w:val="18"/>
              </w:rPr>
              <w:lastRenderedPageBreak/>
              <w:t>Adult integrated community service</w:t>
            </w:r>
          </w:p>
        </w:tc>
        <w:tc>
          <w:tcPr>
            <w:tcW w:w="0" w:type="auto"/>
          </w:tcPr>
          <w:p w14:paraId="1DD6CD0E"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An integrated range of services that meet the client’s treatment needs, ensuring efficient and effective community-based mental health services are provided.</w:t>
            </w:r>
          </w:p>
        </w:tc>
        <w:tc>
          <w:tcPr>
            <w:tcW w:w="0" w:type="auto"/>
          </w:tcPr>
          <w:p w14:paraId="548556A5"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4EC6B1FC"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03F9CA03" w14:textId="77777777" w:rsidR="00817104" w:rsidRPr="00E023BD" w:rsidRDefault="00817104" w:rsidP="005F44BD">
            <w:pPr>
              <w:pStyle w:val="Body"/>
              <w:spacing w:after="60" w:line="240" w:lineRule="auto"/>
              <w:rPr>
                <w:b w:val="0"/>
                <w:bCs w:val="0"/>
                <w:sz w:val="18"/>
                <w:szCs w:val="18"/>
              </w:rPr>
            </w:pPr>
            <w:r w:rsidRPr="00E023BD">
              <w:rPr>
                <w:sz w:val="18"/>
                <w:szCs w:val="18"/>
              </w:rPr>
              <w:t>Older adult intensive community services</w:t>
            </w:r>
          </w:p>
        </w:tc>
        <w:tc>
          <w:tcPr>
            <w:tcW w:w="0" w:type="auto"/>
          </w:tcPr>
          <w:p w14:paraId="20C785A5"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Short-term assessment and treatment for people over 65 years of age with acute symptoms of a mental illness, delivered in community settings.</w:t>
            </w:r>
          </w:p>
        </w:tc>
        <w:tc>
          <w:tcPr>
            <w:tcW w:w="0" w:type="auto"/>
          </w:tcPr>
          <w:p w14:paraId="215ED965"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3D70E862"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A6F686" w14:textId="77777777" w:rsidR="00817104" w:rsidRPr="00E023BD" w:rsidRDefault="00817104" w:rsidP="005F44BD">
            <w:pPr>
              <w:pStyle w:val="Body"/>
              <w:spacing w:after="60" w:line="240" w:lineRule="auto"/>
              <w:rPr>
                <w:b w:val="0"/>
                <w:bCs w:val="0"/>
                <w:sz w:val="18"/>
                <w:szCs w:val="18"/>
              </w:rPr>
            </w:pPr>
            <w:r w:rsidRPr="00E023BD">
              <w:rPr>
                <w:sz w:val="18"/>
                <w:szCs w:val="18"/>
              </w:rPr>
              <w:t>Consultation liaison</w:t>
            </w:r>
          </w:p>
        </w:tc>
        <w:tc>
          <w:tcPr>
            <w:tcW w:w="0" w:type="auto"/>
          </w:tcPr>
          <w:p w14:paraId="1B4C54B0"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Consultation liaison psychiatry is the diagnosis, treatment and prevention of psychiatric morbidity among physically ill patients who are patients of an acute general hospital. This activity includes providing psychiatric assessment, consultation, liaison and education services to non-psychiatric health professionals and their patients.</w:t>
            </w:r>
          </w:p>
        </w:tc>
        <w:tc>
          <w:tcPr>
            <w:tcW w:w="0" w:type="auto"/>
          </w:tcPr>
          <w:p w14:paraId="5A59ADE4"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79616211"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2F8FC84D" w14:textId="77777777" w:rsidR="00817104" w:rsidRPr="00E023BD" w:rsidRDefault="00817104" w:rsidP="005F44BD">
            <w:pPr>
              <w:pStyle w:val="Body"/>
              <w:spacing w:after="60" w:line="240" w:lineRule="auto"/>
              <w:rPr>
                <w:b w:val="0"/>
                <w:bCs w:val="0"/>
                <w:sz w:val="18"/>
                <w:szCs w:val="18"/>
              </w:rPr>
            </w:pPr>
            <w:r w:rsidRPr="00E023BD">
              <w:rPr>
                <w:sz w:val="18"/>
                <w:szCs w:val="18"/>
              </w:rPr>
              <w:t>Crisis assessment and treatment</w:t>
            </w:r>
          </w:p>
        </w:tc>
        <w:tc>
          <w:tcPr>
            <w:tcW w:w="0" w:type="auto"/>
          </w:tcPr>
          <w:p w14:paraId="3A03FD80"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A 24/7 mobile crisis service that provides effective assessment and treatment in the community to people in crisis due to a mental illness. This includes assessing the most effective and least restrictive client service options and screening inpatient bed admissions.</w:t>
            </w:r>
          </w:p>
        </w:tc>
        <w:tc>
          <w:tcPr>
            <w:tcW w:w="0" w:type="auto"/>
          </w:tcPr>
          <w:p w14:paraId="4620F4EF"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1CAC3BF3"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FC1FF0" w14:textId="77777777" w:rsidR="00817104" w:rsidRPr="00E023BD" w:rsidRDefault="00817104" w:rsidP="005F44BD">
            <w:pPr>
              <w:pStyle w:val="Body"/>
              <w:spacing w:after="60" w:line="240" w:lineRule="auto"/>
              <w:rPr>
                <w:b w:val="0"/>
                <w:bCs w:val="0"/>
                <w:sz w:val="18"/>
                <w:szCs w:val="18"/>
              </w:rPr>
            </w:pPr>
            <w:r w:rsidRPr="00E023BD">
              <w:rPr>
                <w:sz w:val="18"/>
                <w:szCs w:val="18"/>
              </w:rPr>
              <w:t>Early psychosis program</w:t>
            </w:r>
          </w:p>
        </w:tc>
        <w:tc>
          <w:tcPr>
            <w:tcW w:w="0" w:type="auto"/>
          </w:tcPr>
          <w:p w14:paraId="0E61F41C"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Specialist treatment and improved continuity of care services for young people with an emerging disorder, particularly coexisting substance abuse problems.</w:t>
            </w:r>
          </w:p>
        </w:tc>
        <w:tc>
          <w:tcPr>
            <w:tcW w:w="0" w:type="auto"/>
          </w:tcPr>
          <w:p w14:paraId="5EDE994E"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6EC7EB21"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1684A15C" w14:textId="77777777" w:rsidR="00817104" w:rsidRPr="00E023BD" w:rsidRDefault="00817104" w:rsidP="005F44BD">
            <w:pPr>
              <w:pStyle w:val="Body"/>
              <w:spacing w:after="60" w:line="240" w:lineRule="auto"/>
              <w:rPr>
                <w:b w:val="0"/>
                <w:bCs w:val="0"/>
                <w:sz w:val="18"/>
                <w:szCs w:val="18"/>
              </w:rPr>
            </w:pPr>
            <w:r w:rsidRPr="00E023BD">
              <w:rPr>
                <w:sz w:val="18"/>
                <w:szCs w:val="18"/>
              </w:rPr>
              <w:t>ED crisis assessment</w:t>
            </w:r>
          </w:p>
        </w:tc>
        <w:tc>
          <w:tcPr>
            <w:tcW w:w="0" w:type="auto"/>
          </w:tcPr>
          <w:p w14:paraId="792F1638"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Extended-hours coverage in EDs for mobile crisis services that provide effective assessment and treatment throughout the community to people in crisis due to a mental illness.</w:t>
            </w:r>
          </w:p>
        </w:tc>
        <w:tc>
          <w:tcPr>
            <w:tcW w:w="0" w:type="auto"/>
          </w:tcPr>
          <w:p w14:paraId="1E744D58"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6222DE05"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9439BE" w14:textId="77777777" w:rsidR="00817104" w:rsidRPr="00E023BD" w:rsidRDefault="00817104" w:rsidP="005F44BD">
            <w:pPr>
              <w:pStyle w:val="Body"/>
              <w:spacing w:after="60" w:line="240" w:lineRule="auto"/>
              <w:rPr>
                <w:b w:val="0"/>
                <w:bCs w:val="0"/>
                <w:sz w:val="18"/>
                <w:szCs w:val="18"/>
              </w:rPr>
            </w:pPr>
            <w:r w:rsidRPr="00E023BD">
              <w:rPr>
                <w:sz w:val="18"/>
                <w:szCs w:val="18"/>
              </w:rPr>
              <w:t>Mental health and police response program</w:t>
            </w:r>
          </w:p>
        </w:tc>
        <w:tc>
          <w:tcPr>
            <w:tcW w:w="0" w:type="auto"/>
          </w:tcPr>
          <w:p w14:paraId="7F77DF19"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Provides a coordinated, co</w:t>
            </w:r>
            <w:r w:rsidRPr="00E023BD">
              <w:rPr>
                <w:rFonts w:ascii="Cambria Math" w:hAnsi="Cambria Math" w:cs="Cambria Math"/>
                <w:sz w:val="18"/>
                <w:szCs w:val="18"/>
              </w:rPr>
              <w:t>‑</w:t>
            </w:r>
            <w:r w:rsidRPr="00E023BD">
              <w:rPr>
                <w:sz w:val="18"/>
                <w:szCs w:val="18"/>
              </w:rPr>
              <w:t>response service where mental health clinicians work alongside police to assess, de</w:t>
            </w:r>
            <w:r w:rsidRPr="00E023BD">
              <w:rPr>
                <w:rFonts w:ascii="Cambria Math" w:hAnsi="Cambria Math" w:cs="Cambria Math"/>
                <w:sz w:val="18"/>
                <w:szCs w:val="18"/>
              </w:rPr>
              <w:t>‑</w:t>
            </w:r>
            <w:r w:rsidRPr="00E023BD">
              <w:rPr>
                <w:sz w:val="18"/>
                <w:szCs w:val="18"/>
              </w:rPr>
              <w:t>escalate and manage people experiencing a mental health crisis in the community, facilitating access to appropriate care and reducing unnecessary ED presentations or justice involvement.</w:t>
            </w:r>
          </w:p>
        </w:tc>
        <w:tc>
          <w:tcPr>
            <w:tcW w:w="0" w:type="auto"/>
          </w:tcPr>
          <w:p w14:paraId="34B6C150"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57EC9769"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6EAC5C5A" w14:textId="77777777" w:rsidR="00817104" w:rsidRPr="00E023BD" w:rsidRDefault="00817104" w:rsidP="005F44BD">
            <w:pPr>
              <w:pStyle w:val="Body"/>
              <w:spacing w:after="60" w:line="240" w:lineRule="auto"/>
              <w:rPr>
                <w:b w:val="0"/>
                <w:bCs w:val="0"/>
                <w:sz w:val="18"/>
                <w:szCs w:val="18"/>
              </w:rPr>
            </w:pPr>
            <w:r w:rsidRPr="00E023BD">
              <w:rPr>
                <w:sz w:val="18"/>
                <w:szCs w:val="18"/>
              </w:rPr>
              <w:t>Expanding post-discharge support</w:t>
            </w:r>
          </w:p>
        </w:tc>
        <w:tc>
          <w:tcPr>
            <w:tcW w:w="0" w:type="auto"/>
          </w:tcPr>
          <w:p w14:paraId="655FD02B"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Provides enhanced follow</w:t>
            </w:r>
            <w:r w:rsidRPr="00E023BD">
              <w:rPr>
                <w:rFonts w:ascii="Cambria Math" w:hAnsi="Cambria Math" w:cs="Cambria Math"/>
                <w:sz w:val="18"/>
                <w:szCs w:val="18"/>
              </w:rPr>
              <w:t>‑</w:t>
            </w:r>
            <w:r w:rsidRPr="00E023BD">
              <w:rPr>
                <w:sz w:val="18"/>
                <w:szCs w:val="18"/>
              </w:rPr>
              <w:t>up care and coordination following discharge from hospital or acute care to support recovery and reduce readmissions.</w:t>
            </w:r>
          </w:p>
        </w:tc>
        <w:tc>
          <w:tcPr>
            <w:tcW w:w="0" w:type="auto"/>
          </w:tcPr>
          <w:p w14:paraId="27C1FBFB"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669036A4"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797F12" w14:textId="77777777" w:rsidR="00817104" w:rsidRPr="00E023BD" w:rsidRDefault="00817104" w:rsidP="005F44BD">
            <w:pPr>
              <w:pStyle w:val="Body"/>
              <w:spacing w:after="60" w:line="240" w:lineRule="auto"/>
              <w:rPr>
                <w:b w:val="0"/>
                <w:bCs w:val="0"/>
                <w:sz w:val="18"/>
                <w:szCs w:val="18"/>
              </w:rPr>
            </w:pPr>
            <w:r w:rsidRPr="00E023BD">
              <w:rPr>
                <w:sz w:val="18"/>
                <w:szCs w:val="18"/>
              </w:rPr>
              <w:t>Conduct disorder program</w:t>
            </w:r>
          </w:p>
        </w:tc>
        <w:tc>
          <w:tcPr>
            <w:tcW w:w="0" w:type="auto"/>
          </w:tcPr>
          <w:p w14:paraId="120CACE9"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Services that provide prevention programs for children and young people at risk, and clinical services for those with established conduct disorder.</w:t>
            </w:r>
          </w:p>
        </w:tc>
        <w:tc>
          <w:tcPr>
            <w:tcW w:w="0" w:type="auto"/>
          </w:tcPr>
          <w:p w14:paraId="0B52122E"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4947339F"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458D19CE" w14:textId="77777777" w:rsidR="00817104" w:rsidRPr="00E023BD" w:rsidRDefault="00817104" w:rsidP="005F44BD">
            <w:pPr>
              <w:pStyle w:val="Body"/>
              <w:spacing w:after="60" w:line="240" w:lineRule="auto"/>
              <w:rPr>
                <w:b w:val="0"/>
                <w:bCs w:val="0"/>
                <w:sz w:val="18"/>
                <w:szCs w:val="18"/>
              </w:rPr>
            </w:pPr>
            <w:r w:rsidRPr="00E023BD">
              <w:rPr>
                <w:sz w:val="18"/>
                <w:szCs w:val="18"/>
              </w:rPr>
              <w:t>Intensive youth support</w:t>
            </w:r>
          </w:p>
        </w:tc>
        <w:tc>
          <w:tcPr>
            <w:tcW w:w="0" w:type="auto"/>
          </w:tcPr>
          <w:p w14:paraId="5123C0B6"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Mobile intensive mental health case management and support to adolescents who display substantial and prolonged psychological disturbance and have complex needs that may include challenging, at-risk and suicidal behaviours, and who have been difficult to engage using less-intensive treatment approaches.</w:t>
            </w:r>
          </w:p>
        </w:tc>
        <w:tc>
          <w:tcPr>
            <w:tcW w:w="0" w:type="auto"/>
          </w:tcPr>
          <w:p w14:paraId="63A4EDE4"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3949D36B"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9434E6" w14:textId="77777777" w:rsidR="00817104" w:rsidRPr="00E023BD" w:rsidRDefault="00817104" w:rsidP="005F44BD">
            <w:pPr>
              <w:pStyle w:val="Body"/>
              <w:spacing w:after="60" w:line="240" w:lineRule="auto"/>
              <w:rPr>
                <w:b w:val="0"/>
                <w:bCs w:val="0"/>
                <w:sz w:val="18"/>
                <w:szCs w:val="18"/>
              </w:rPr>
            </w:pPr>
            <w:r w:rsidRPr="00E023BD">
              <w:rPr>
                <w:sz w:val="18"/>
                <w:szCs w:val="18"/>
              </w:rPr>
              <w:t>Koori mental health liaison officer</w:t>
            </w:r>
          </w:p>
        </w:tc>
        <w:tc>
          <w:tcPr>
            <w:tcW w:w="0" w:type="auto"/>
          </w:tcPr>
          <w:p w14:paraId="0FBE491A"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All activities associated with the mental health Koori liaison positions.</w:t>
            </w:r>
          </w:p>
        </w:tc>
        <w:tc>
          <w:tcPr>
            <w:tcW w:w="0" w:type="auto"/>
          </w:tcPr>
          <w:p w14:paraId="1207335B"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6C92B7BB"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604093E6" w14:textId="77777777" w:rsidR="00817104" w:rsidRPr="00E023BD" w:rsidRDefault="00817104" w:rsidP="005F44BD">
            <w:pPr>
              <w:pStyle w:val="Body"/>
              <w:spacing w:after="60" w:line="240" w:lineRule="auto"/>
              <w:rPr>
                <w:b w:val="0"/>
                <w:bCs w:val="0"/>
                <w:sz w:val="18"/>
                <w:szCs w:val="18"/>
              </w:rPr>
            </w:pPr>
            <w:r w:rsidRPr="00E023BD">
              <w:rPr>
                <w:sz w:val="18"/>
                <w:szCs w:val="18"/>
              </w:rPr>
              <w:t>Child clinical specialist services</w:t>
            </w:r>
          </w:p>
        </w:tc>
        <w:tc>
          <w:tcPr>
            <w:tcW w:w="0" w:type="auto"/>
          </w:tcPr>
          <w:p w14:paraId="2876CB34"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Improve the leadership and responsiveness in engaging, assessing and treating children (aged 0–12 years) with behaviour disorders linked to mental illness, such as conduct disorder and precursors, depression and anxiety, and their families and carers.</w:t>
            </w:r>
          </w:p>
        </w:tc>
        <w:tc>
          <w:tcPr>
            <w:tcW w:w="0" w:type="auto"/>
          </w:tcPr>
          <w:p w14:paraId="705E4BE6"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7954EAC4" w14:textId="77777777" w:rsidTr="00EC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9F6077" w14:textId="77777777" w:rsidR="00817104" w:rsidRPr="00E023BD" w:rsidRDefault="00817104" w:rsidP="005F44BD">
            <w:pPr>
              <w:pStyle w:val="Body"/>
              <w:spacing w:after="60" w:line="240" w:lineRule="auto"/>
              <w:rPr>
                <w:b w:val="0"/>
                <w:bCs w:val="0"/>
                <w:sz w:val="18"/>
                <w:szCs w:val="18"/>
              </w:rPr>
            </w:pPr>
            <w:r w:rsidRPr="00E023BD">
              <w:rPr>
                <w:sz w:val="18"/>
                <w:szCs w:val="18"/>
              </w:rPr>
              <w:t>Suicide prevention and Hospital Outreach Post Suicidal Engagement (HOPE)</w:t>
            </w:r>
          </w:p>
        </w:tc>
        <w:tc>
          <w:tcPr>
            <w:tcW w:w="0" w:type="auto"/>
          </w:tcPr>
          <w:p w14:paraId="2444A5DA" w14:textId="600F2575"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Programs that aim to reduce suicide among adults (26+) and young people (0–25). Programs that provide preventive support, activities and early intervention services to adults and young people, their family and friends, and the broader community. Includes the Hospital Outreach Post-</w:t>
            </w:r>
            <w:r w:rsidR="004247B4" w:rsidRPr="00E023BD">
              <w:rPr>
                <w:sz w:val="18"/>
                <w:szCs w:val="18"/>
              </w:rPr>
              <w:t>Suicidal</w:t>
            </w:r>
            <w:r w:rsidRPr="00E023BD">
              <w:rPr>
                <w:sz w:val="18"/>
                <w:szCs w:val="18"/>
              </w:rPr>
              <w:t xml:space="preserve"> Engagement (HOPE) program.</w:t>
            </w:r>
          </w:p>
        </w:tc>
        <w:tc>
          <w:tcPr>
            <w:tcW w:w="0" w:type="auto"/>
          </w:tcPr>
          <w:p w14:paraId="789B4FE5" w14:textId="77777777" w:rsidR="00817104" w:rsidRPr="00E023BD" w:rsidRDefault="00817104" w:rsidP="005F44BD">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023BD">
              <w:rPr>
                <w:sz w:val="18"/>
                <w:szCs w:val="18"/>
              </w:rPr>
              <w:t>Community mental health NWAU</w:t>
            </w:r>
          </w:p>
        </w:tc>
      </w:tr>
      <w:tr w:rsidR="00817104" w:rsidRPr="002D0C0A" w14:paraId="31548A0E" w14:textId="77777777" w:rsidTr="00EC69D9">
        <w:tc>
          <w:tcPr>
            <w:cnfStyle w:val="001000000000" w:firstRow="0" w:lastRow="0" w:firstColumn="1" w:lastColumn="0" w:oddVBand="0" w:evenVBand="0" w:oddHBand="0" w:evenHBand="0" w:firstRowFirstColumn="0" w:firstRowLastColumn="0" w:lastRowFirstColumn="0" w:lastRowLastColumn="0"/>
            <w:tcW w:w="0" w:type="auto"/>
          </w:tcPr>
          <w:p w14:paraId="49BF54AB" w14:textId="77777777" w:rsidR="00817104" w:rsidRPr="00E023BD" w:rsidRDefault="00817104" w:rsidP="005F44BD">
            <w:pPr>
              <w:pStyle w:val="Body"/>
              <w:spacing w:after="60" w:line="240" w:lineRule="auto"/>
              <w:rPr>
                <w:b w:val="0"/>
                <w:bCs w:val="0"/>
                <w:sz w:val="18"/>
                <w:szCs w:val="18"/>
              </w:rPr>
            </w:pPr>
            <w:r w:rsidRPr="00E023BD">
              <w:rPr>
                <w:sz w:val="18"/>
                <w:szCs w:val="18"/>
              </w:rPr>
              <w:t>Specialist family violence advisor</w:t>
            </w:r>
          </w:p>
        </w:tc>
        <w:tc>
          <w:tcPr>
            <w:tcW w:w="0" w:type="auto"/>
          </w:tcPr>
          <w:p w14:paraId="4C1FFA83" w14:textId="77777777"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t xml:space="preserve">Specialist family violence program to drive family violence service development, capacity building and sector collaboration. The program increases the capacity of mental health services and AOD </w:t>
            </w:r>
            <w:r w:rsidRPr="00E023BD">
              <w:rPr>
                <w:sz w:val="18"/>
                <w:szCs w:val="18"/>
              </w:rPr>
              <w:lastRenderedPageBreak/>
              <w:t>agencies to recognise and respond appropriately to family violence at both the agency and individual practitioner levels.</w:t>
            </w:r>
          </w:p>
        </w:tc>
        <w:tc>
          <w:tcPr>
            <w:tcW w:w="0" w:type="auto"/>
          </w:tcPr>
          <w:p w14:paraId="01DA5DFE" w14:textId="411E317F" w:rsidR="00817104" w:rsidRPr="00E023BD" w:rsidRDefault="00817104" w:rsidP="005F44BD">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023BD">
              <w:rPr>
                <w:sz w:val="18"/>
                <w:szCs w:val="18"/>
              </w:rPr>
              <w:lastRenderedPageBreak/>
              <w:t>Block funded</w:t>
            </w:r>
          </w:p>
        </w:tc>
      </w:tr>
    </w:tbl>
    <w:p w14:paraId="69C12C58" w14:textId="77777777" w:rsidR="00817104" w:rsidRDefault="00817104" w:rsidP="00817104">
      <w:pPr>
        <w:pStyle w:val="Heading4"/>
      </w:pPr>
      <w:r>
        <w:t>Specific community mental health programs delivered by applicable Area Mental Health and Wellbeing Services</w:t>
      </w:r>
    </w:p>
    <w:p w14:paraId="32CF2A99" w14:textId="77777777" w:rsidR="00817104" w:rsidRDefault="00817104" w:rsidP="00817104">
      <w:pPr>
        <w:pStyle w:val="Body"/>
      </w:pPr>
      <w:r>
        <w:t>Table 4</w:t>
      </w:r>
      <w:r w:rsidRPr="00BB2F9A">
        <w:t xml:space="preserve"> outlines </w:t>
      </w:r>
      <w:r>
        <w:t>specific</w:t>
      </w:r>
      <w:r w:rsidRPr="00BB2F9A" w:rsidDel="0081382F">
        <w:t xml:space="preserve"> </w:t>
      </w:r>
      <w:r w:rsidRPr="00BB2F9A">
        <w:t xml:space="preserve">community mental health programs </w:t>
      </w:r>
      <w:r>
        <w:t xml:space="preserve">funded prior to 2025–26 </w:t>
      </w:r>
      <w:r w:rsidRPr="00BB2F9A">
        <w:t>that</w:t>
      </w:r>
      <w:r>
        <w:t xml:space="preserve"> are required to continue to be delivered by funded h</w:t>
      </w:r>
      <w:r w:rsidRPr="00BB2F9A">
        <w:t>ealth services</w:t>
      </w:r>
      <w:r>
        <w:t>.</w:t>
      </w:r>
      <w:r w:rsidRPr="00BB2F9A" w:rsidDel="004E33FE">
        <w:t xml:space="preserve"> </w:t>
      </w:r>
      <w:r>
        <w:t>Note that infant, child and youth</w:t>
      </w:r>
      <w:r w:rsidRPr="00BB2F9A">
        <w:t xml:space="preserve"> programs </w:t>
      </w:r>
      <w:r>
        <w:t>in this table are only applicable to health services established as Infant, Child and Youth Area Mental Health and Wellbeing Services.</w:t>
      </w:r>
    </w:p>
    <w:p w14:paraId="50A2085F" w14:textId="77777777" w:rsidR="00817104" w:rsidRDefault="00817104" w:rsidP="00817104">
      <w:pPr>
        <w:pStyle w:val="Body"/>
      </w:pPr>
      <w:r>
        <w:t>Health services may operate a</w:t>
      </w:r>
      <w:r w:rsidRPr="00BB2F9A">
        <w:t xml:space="preserve">dditional </w:t>
      </w:r>
      <w:r>
        <w:t xml:space="preserve">community </w:t>
      </w:r>
      <w:r w:rsidRPr="00BB2F9A">
        <w:t xml:space="preserve">programs </w:t>
      </w:r>
      <w:r>
        <w:t xml:space="preserve">based </w:t>
      </w:r>
      <w:r w:rsidRPr="00BB2F9A">
        <w:t xml:space="preserve">on local need and </w:t>
      </w:r>
      <w:r>
        <w:t>other</w:t>
      </w:r>
      <w:r w:rsidRPr="00BB2F9A">
        <w:t xml:space="preserve"> </w:t>
      </w:r>
      <w:r>
        <w:t>funding</w:t>
      </w:r>
      <w:r w:rsidRPr="00BB2F9A">
        <w:t xml:space="preserve"> arrangements</w:t>
      </w:r>
      <w:r>
        <w:t>, as per each health service’s funding agreement with the department</w:t>
      </w:r>
      <w:r w:rsidRPr="00BB2F9A">
        <w:t>.</w:t>
      </w:r>
      <w:r>
        <w:t xml:space="preserve"> Health services must continue to operate all block-funded community programs in line with agreed funding arrangements. </w:t>
      </w:r>
    </w:p>
    <w:p w14:paraId="732807B7" w14:textId="77777777" w:rsidR="00817104" w:rsidRDefault="00817104" w:rsidP="00817104">
      <w:pPr>
        <w:pStyle w:val="Tablecaption"/>
      </w:pPr>
      <w:bookmarkStart w:id="1758" w:name="_Toc230537125"/>
      <w:r>
        <w:t xml:space="preserve">Table </w:t>
      </w:r>
      <w:r>
        <w:fldChar w:fldCharType="begin"/>
      </w:r>
      <w:r>
        <w:instrText>SEQ Table \* ARABIC</w:instrText>
      </w:r>
      <w:r>
        <w:fldChar w:fldCharType="separate"/>
      </w:r>
      <w:r w:rsidRPr="79113AE9">
        <w:rPr>
          <w:noProof/>
        </w:rPr>
        <w:t>4</w:t>
      </w:r>
      <w:r>
        <w:fldChar w:fldCharType="end"/>
      </w:r>
      <w:r>
        <w:t>. Community-based mental health programs delivered by applicable Area Mental Health and Wellbeing Services</w:t>
      </w:r>
      <w:bookmarkEnd w:id="1758"/>
    </w:p>
    <w:tbl>
      <w:tblPr>
        <w:tblStyle w:val="GridTable4-Accent1"/>
        <w:tblW w:w="0" w:type="auto"/>
        <w:tblLook w:val="04A0" w:firstRow="1" w:lastRow="0" w:firstColumn="1" w:lastColumn="0" w:noHBand="0" w:noVBand="1"/>
      </w:tblPr>
      <w:tblGrid>
        <w:gridCol w:w="2282"/>
        <w:gridCol w:w="3237"/>
        <w:gridCol w:w="1274"/>
        <w:gridCol w:w="2495"/>
      </w:tblGrid>
      <w:tr w:rsidR="00817104" w:rsidRPr="00F82CF7" w14:paraId="709381D5" w14:textId="77777777" w:rsidTr="00EC69D9">
        <w:trPr>
          <w:cnfStyle w:val="100000000000" w:firstRow="1" w:lastRow="0" w:firstColumn="0" w:lastColumn="0" w:oddVBand="0" w:evenVBand="0" w:oddHBand="0" w:evenHBand="0" w:firstRowFirstColumn="0" w:firstRowLastColumn="0" w:lastRowFirstColumn="0" w:lastRowLastColumn="0"/>
          <w:trHeight w:val="658"/>
          <w:tblHeader/>
        </w:trPr>
        <w:tc>
          <w:tcPr>
            <w:cnfStyle w:val="001000000000" w:firstRow="0" w:lastRow="0" w:firstColumn="1" w:lastColumn="0" w:oddVBand="0" w:evenVBand="0" w:oddHBand="0" w:evenHBand="0" w:firstRowFirstColumn="0" w:firstRowLastColumn="0" w:lastRowFirstColumn="0" w:lastRowLastColumn="0"/>
            <w:tcW w:w="0" w:type="auto"/>
          </w:tcPr>
          <w:p w14:paraId="61BCE433" w14:textId="77777777" w:rsidR="00817104" w:rsidRPr="00EC69D9" w:rsidRDefault="00817104" w:rsidP="00EC69D9">
            <w:pPr>
              <w:pStyle w:val="Body"/>
              <w:spacing w:after="60" w:line="240" w:lineRule="auto"/>
              <w:rPr>
                <w:sz w:val="18"/>
                <w:szCs w:val="18"/>
              </w:rPr>
            </w:pPr>
            <w:r w:rsidRPr="00EC69D9">
              <w:rPr>
                <w:sz w:val="18"/>
                <w:szCs w:val="18"/>
              </w:rPr>
              <w:t>Community mental health programs</w:t>
            </w:r>
          </w:p>
        </w:tc>
        <w:tc>
          <w:tcPr>
            <w:tcW w:w="0" w:type="auto"/>
          </w:tcPr>
          <w:p w14:paraId="268B67F3" w14:textId="77777777" w:rsidR="00817104" w:rsidRPr="00EC69D9" w:rsidRDefault="00817104" w:rsidP="00EC69D9">
            <w:pPr>
              <w:pStyle w:val="Body"/>
              <w:spacing w:after="6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EC69D9">
              <w:rPr>
                <w:sz w:val="18"/>
                <w:szCs w:val="18"/>
              </w:rPr>
              <w:t>Description</w:t>
            </w:r>
          </w:p>
        </w:tc>
        <w:tc>
          <w:tcPr>
            <w:tcW w:w="0" w:type="auto"/>
          </w:tcPr>
          <w:p w14:paraId="4D1F8C93" w14:textId="047DFB6F" w:rsidR="00817104" w:rsidRPr="00EC69D9" w:rsidRDefault="00817104" w:rsidP="00EC69D9">
            <w:pPr>
              <w:pStyle w:val="Body"/>
              <w:spacing w:after="6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EC69D9">
              <w:rPr>
                <w:sz w:val="18"/>
                <w:szCs w:val="18"/>
              </w:rPr>
              <w:t xml:space="preserve">Funding </w:t>
            </w:r>
            <w:r w:rsidR="000908A6">
              <w:rPr>
                <w:sz w:val="18"/>
                <w:szCs w:val="18"/>
              </w:rPr>
              <w:t>basis</w:t>
            </w:r>
          </w:p>
        </w:tc>
        <w:tc>
          <w:tcPr>
            <w:tcW w:w="0" w:type="auto"/>
          </w:tcPr>
          <w:p w14:paraId="4E60BF30" w14:textId="77777777" w:rsidR="00817104" w:rsidRPr="00EC69D9" w:rsidRDefault="00817104" w:rsidP="00EC69D9">
            <w:pPr>
              <w:pStyle w:val="Body"/>
              <w:spacing w:after="6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EC69D9">
              <w:rPr>
                <w:sz w:val="18"/>
                <w:szCs w:val="18"/>
              </w:rPr>
              <w:t>Applicable health service</w:t>
            </w:r>
          </w:p>
        </w:tc>
      </w:tr>
      <w:tr w:rsidR="00817104" w:rsidRPr="00F82CF7" w14:paraId="29A5B785" w14:textId="77777777" w:rsidTr="00EC69D9">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0" w:type="auto"/>
          </w:tcPr>
          <w:p w14:paraId="65E8A9B5" w14:textId="77777777" w:rsidR="00817104" w:rsidRPr="00EC69D9" w:rsidRDefault="00817104" w:rsidP="00EC69D9">
            <w:pPr>
              <w:pStyle w:val="Body"/>
              <w:spacing w:after="60" w:line="240" w:lineRule="auto"/>
              <w:rPr>
                <w:sz w:val="18"/>
                <w:szCs w:val="18"/>
              </w:rPr>
            </w:pPr>
            <w:r w:rsidRPr="00EC69D9">
              <w:rPr>
                <w:sz w:val="18"/>
                <w:szCs w:val="18"/>
              </w:rPr>
              <w:t>The Victorian Centre of Excellence in Eating Disorders</w:t>
            </w:r>
          </w:p>
        </w:tc>
        <w:tc>
          <w:tcPr>
            <w:tcW w:w="0" w:type="auto"/>
          </w:tcPr>
          <w:p w14:paraId="29C38329"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 xml:space="preserve">A statewide specialist service that provides clinical consultation, training and </w:t>
            </w:r>
            <w:r w:rsidRPr="00294AB3">
              <w:rPr>
                <w:sz w:val="18"/>
                <w:szCs w:val="18"/>
              </w:rPr>
              <w:t>service development to build capability and improve evidence</w:t>
            </w:r>
            <w:r w:rsidRPr="00294AB3">
              <w:rPr>
                <w:rFonts w:ascii="Cambria Math" w:hAnsi="Cambria Math" w:cs="Cambria Math"/>
                <w:sz w:val="18"/>
                <w:szCs w:val="18"/>
              </w:rPr>
              <w:t>‑</w:t>
            </w:r>
            <w:r w:rsidRPr="00294AB3">
              <w:rPr>
                <w:sz w:val="18"/>
                <w:szCs w:val="18"/>
              </w:rPr>
              <w:t xml:space="preserve">based treatment </w:t>
            </w:r>
            <w:r w:rsidRPr="00EC69D9">
              <w:rPr>
                <w:sz w:val="18"/>
                <w:szCs w:val="18"/>
              </w:rPr>
              <w:t>responses for eating disorders across the public mental health system.</w:t>
            </w:r>
          </w:p>
        </w:tc>
        <w:tc>
          <w:tcPr>
            <w:tcW w:w="0" w:type="auto"/>
          </w:tcPr>
          <w:p w14:paraId="4C8B7FC7"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Block funded</w:t>
            </w:r>
          </w:p>
        </w:tc>
        <w:tc>
          <w:tcPr>
            <w:tcW w:w="0" w:type="auto"/>
          </w:tcPr>
          <w:p w14:paraId="1EB1E4DD"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Melbourne Health</w:t>
            </w:r>
          </w:p>
        </w:tc>
      </w:tr>
      <w:tr w:rsidR="00817104" w:rsidRPr="00F82CF7" w14:paraId="45A78F5C" w14:textId="77777777" w:rsidTr="00EC69D9">
        <w:trPr>
          <w:trHeight w:val="882"/>
        </w:trPr>
        <w:tc>
          <w:tcPr>
            <w:cnfStyle w:val="001000000000" w:firstRow="0" w:lastRow="0" w:firstColumn="1" w:lastColumn="0" w:oddVBand="0" w:evenVBand="0" w:oddHBand="0" w:evenHBand="0" w:firstRowFirstColumn="0" w:firstRowLastColumn="0" w:lastRowFirstColumn="0" w:lastRowLastColumn="0"/>
            <w:tcW w:w="0" w:type="auto"/>
          </w:tcPr>
          <w:p w14:paraId="557E3CDC" w14:textId="77777777" w:rsidR="00817104" w:rsidRPr="00EC69D9" w:rsidRDefault="00817104" w:rsidP="00EC69D9">
            <w:pPr>
              <w:pStyle w:val="Body"/>
              <w:spacing w:after="60" w:line="240" w:lineRule="auto"/>
              <w:rPr>
                <w:sz w:val="18"/>
                <w:szCs w:val="18"/>
              </w:rPr>
            </w:pPr>
            <w:r w:rsidRPr="00EC69D9">
              <w:rPr>
                <w:sz w:val="18"/>
                <w:szCs w:val="18"/>
              </w:rPr>
              <w:t xml:space="preserve">Forensic threat assessment, response, prevention and recovery care </w:t>
            </w:r>
          </w:p>
        </w:tc>
        <w:tc>
          <w:tcPr>
            <w:tcW w:w="0" w:type="auto"/>
          </w:tcPr>
          <w:p w14:paraId="66F1B210"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Provides coordinated forensic mental health assessment, risk management and treatment to support prevention, recovery and safe management of individuals presenting with behavioural disturbance or forensic risk in the community.</w:t>
            </w:r>
          </w:p>
        </w:tc>
        <w:tc>
          <w:tcPr>
            <w:tcW w:w="0" w:type="auto"/>
          </w:tcPr>
          <w:p w14:paraId="61491076"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Block funded</w:t>
            </w:r>
          </w:p>
        </w:tc>
        <w:tc>
          <w:tcPr>
            <w:tcW w:w="0" w:type="auto"/>
          </w:tcPr>
          <w:p w14:paraId="4B097A59"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Melbourne Health, Monash Health, Victorian Institute of Forensic Medicine</w:t>
            </w:r>
          </w:p>
        </w:tc>
      </w:tr>
      <w:tr w:rsidR="00817104" w:rsidRPr="00F82CF7" w14:paraId="493DC746" w14:textId="77777777" w:rsidTr="00EC69D9">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tcPr>
          <w:p w14:paraId="48338CE5" w14:textId="77777777" w:rsidR="00817104" w:rsidRPr="00EC69D9" w:rsidRDefault="00817104" w:rsidP="00EC69D9">
            <w:pPr>
              <w:pStyle w:val="Body"/>
              <w:spacing w:after="60" w:line="240" w:lineRule="auto"/>
              <w:rPr>
                <w:sz w:val="18"/>
                <w:szCs w:val="18"/>
              </w:rPr>
            </w:pPr>
            <w:r w:rsidRPr="00EC69D9">
              <w:rPr>
                <w:sz w:val="18"/>
                <w:szCs w:val="18"/>
              </w:rPr>
              <w:t>Spectrum - personality disorders</w:t>
            </w:r>
          </w:p>
        </w:tc>
        <w:tc>
          <w:tcPr>
            <w:tcW w:w="0" w:type="auto"/>
          </w:tcPr>
          <w:p w14:paraId="7CB10A2D"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A statewide specialist service providing intensive assessment, treatment and secondary consultation for people with complex personality disorders, particularly those at risk of self</w:t>
            </w:r>
            <w:r w:rsidRPr="00EC69D9">
              <w:rPr>
                <w:rFonts w:ascii="Cambria Math" w:hAnsi="Cambria Math" w:cs="Cambria Math"/>
                <w:sz w:val="18"/>
                <w:szCs w:val="18"/>
              </w:rPr>
              <w:t>‑</w:t>
            </w:r>
            <w:r w:rsidRPr="00EC69D9">
              <w:rPr>
                <w:sz w:val="18"/>
                <w:szCs w:val="18"/>
              </w:rPr>
              <w:t>harm or suicide.</w:t>
            </w:r>
          </w:p>
        </w:tc>
        <w:tc>
          <w:tcPr>
            <w:tcW w:w="0" w:type="auto"/>
          </w:tcPr>
          <w:p w14:paraId="2EE04A26"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Block funded</w:t>
            </w:r>
          </w:p>
        </w:tc>
        <w:tc>
          <w:tcPr>
            <w:tcW w:w="0" w:type="auto"/>
          </w:tcPr>
          <w:p w14:paraId="6D89598F"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Eastern Health</w:t>
            </w:r>
          </w:p>
        </w:tc>
      </w:tr>
      <w:tr w:rsidR="00817104" w:rsidRPr="00F82CF7" w14:paraId="2D993293" w14:textId="77777777" w:rsidTr="00EC69D9">
        <w:trPr>
          <w:trHeight w:val="658"/>
        </w:trPr>
        <w:tc>
          <w:tcPr>
            <w:cnfStyle w:val="001000000000" w:firstRow="0" w:lastRow="0" w:firstColumn="1" w:lastColumn="0" w:oddVBand="0" w:evenVBand="0" w:oddHBand="0" w:evenHBand="0" w:firstRowFirstColumn="0" w:firstRowLastColumn="0" w:lastRowFirstColumn="0" w:lastRowLastColumn="0"/>
            <w:tcW w:w="0" w:type="auto"/>
          </w:tcPr>
          <w:p w14:paraId="621299E0" w14:textId="77777777" w:rsidR="00817104" w:rsidRPr="00EC69D9" w:rsidRDefault="00817104" w:rsidP="00EC69D9">
            <w:pPr>
              <w:pStyle w:val="Body"/>
              <w:spacing w:after="60" w:line="240" w:lineRule="auto"/>
              <w:rPr>
                <w:sz w:val="18"/>
                <w:szCs w:val="18"/>
              </w:rPr>
            </w:pPr>
            <w:r w:rsidRPr="00EC69D9">
              <w:rPr>
                <w:sz w:val="18"/>
                <w:szCs w:val="18"/>
              </w:rPr>
              <w:t>Forensic mental health in the community</w:t>
            </w:r>
          </w:p>
        </w:tc>
        <w:tc>
          <w:tcPr>
            <w:tcW w:w="0" w:type="auto"/>
          </w:tcPr>
          <w:p w14:paraId="7EA61138"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Delivery of community-based mental health services and supports to forensic clients with a moderate mental health condition referred by Corrections Victoria.</w:t>
            </w:r>
          </w:p>
        </w:tc>
        <w:tc>
          <w:tcPr>
            <w:tcW w:w="0" w:type="auto"/>
          </w:tcPr>
          <w:p w14:paraId="43EF924C"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Block funded</w:t>
            </w:r>
          </w:p>
        </w:tc>
        <w:tc>
          <w:tcPr>
            <w:tcW w:w="0" w:type="auto"/>
          </w:tcPr>
          <w:p w14:paraId="58CC3850"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Peninsula Health, Monash Health</w:t>
            </w:r>
          </w:p>
        </w:tc>
      </w:tr>
      <w:tr w:rsidR="00817104" w:rsidRPr="00F82CF7" w14:paraId="7632D346" w14:textId="77777777" w:rsidTr="00EC69D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auto"/>
          </w:tcPr>
          <w:p w14:paraId="6935FF40" w14:textId="77777777" w:rsidR="00817104" w:rsidRPr="00EC69D9" w:rsidRDefault="00817104" w:rsidP="00EC69D9">
            <w:pPr>
              <w:pStyle w:val="Body"/>
              <w:spacing w:after="60" w:line="240" w:lineRule="auto"/>
              <w:rPr>
                <w:sz w:val="18"/>
                <w:szCs w:val="18"/>
              </w:rPr>
            </w:pPr>
            <w:r w:rsidRPr="00EC69D9">
              <w:rPr>
                <w:sz w:val="18"/>
                <w:szCs w:val="18"/>
              </w:rPr>
              <w:t>Infant, child and youth group-based parenting supporting</w:t>
            </w:r>
          </w:p>
        </w:tc>
        <w:tc>
          <w:tcPr>
            <w:tcW w:w="0" w:type="auto"/>
          </w:tcPr>
          <w:p w14:paraId="578E2FE3"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Provides group</w:t>
            </w:r>
            <w:r w:rsidRPr="00EC69D9">
              <w:rPr>
                <w:rFonts w:ascii="Cambria Math" w:hAnsi="Cambria Math" w:cs="Cambria Math"/>
                <w:sz w:val="18"/>
                <w:szCs w:val="18"/>
              </w:rPr>
              <w:t>‑</w:t>
            </w:r>
            <w:r w:rsidRPr="00EC69D9">
              <w:rPr>
                <w:sz w:val="18"/>
                <w:szCs w:val="18"/>
              </w:rPr>
              <w:t>based therapeutic and psychoeducational parenting interventions to support caregivers of infants, children and young people, improving family functioning and child mental health outcomes.</w:t>
            </w:r>
          </w:p>
        </w:tc>
        <w:tc>
          <w:tcPr>
            <w:tcW w:w="0" w:type="auto"/>
          </w:tcPr>
          <w:p w14:paraId="04CFF80D"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Block funded</w:t>
            </w:r>
          </w:p>
        </w:tc>
        <w:tc>
          <w:tcPr>
            <w:tcW w:w="0" w:type="auto"/>
          </w:tcPr>
          <w:p w14:paraId="396BC35F" w14:textId="1AB689E5"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Mildura Base Hospital, Latrobe Regional Health, Grampians Health, Bendigo Health, Albury Wodonga Health, Barwon Health,</w:t>
            </w:r>
            <w:r w:rsidR="00BC127B" w:rsidRPr="00EC69D9">
              <w:rPr>
                <w:sz w:val="18"/>
                <w:szCs w:val="18"/>
              </w:rPr>
              <w:t xml:space="preserve"> </w:t>
            </w:r>
            <w:r w:rsidRPr="00EC69D9">
              <w:rPr>
                <w:sz w:val="18"/>
                <w:szCs w:val="18"/>
              </w:rPr>
              <w:t>Goulburn Valley Health, South West Healthcare</w:t>
            </w:r>
          </w:p>
        </w:tc>
      </w:tr>
      <w:tr w:rsidR="00817104" w:rsidRPr="00F82CF7" w14:paraId="79917649" w14:textId="77777777" w:rsidTr="00EC69D9">
        <w:trPr>
          <w:trHeight w:val="1209"/>
        </w:trPr>
        <w:tc>
          <w:tcPr>
            <w:cnfStyle w:val="001000000000" w:firstRow="0" w:lastRow="0" w:firstColumn="1" w:lastColumn="0" w:oddVBand="0" w:evenVBand="0" w:oddHBand="0" w:evenHBand="0" w:firstRowFirstColumn="0" w:firstRowLastColumn="0" w:lastRowFirstColumn="0" w:lastRowLastColumn="0"/>
            <w:tcW w:w="0" w:type="auto"/>
          </w:tcPr>
          <w:p w14:paraId="16E01460" w14:textId="77777777" w:rsidR="00817104" w:rsidRPr="00EC69D9" w:rsidRDefault="00817104" w:rsidP="00EC69D9">
            <w:pPr>
              <w:pStyle w:val="Body"/>
              <w:spacing w:after="60" w:line="240" w:lineRule="auto"/>
              <w:rPr>
                <w:sz w:val="18"/>
                <w:szCs w:val="18"/>
              </w:rPr>
            </w:pPr>
            <w:r w:rsidRPr="00EC69D9">
              <w:rPr>
                <w:sz w:val="18"/>
                <w:szCs w:val="18"/>
              </w:rPr>
              <w:lastRenderedPageBreak/>
              <w:t>The Hamilton Centre</w:t>
            </w:r>
          </w:p>
        </w:tc>
        <w:tc>
          <w:tcPr>
            <w:tcW w:w="0" w:type="auto"/>
          </w:tcPr>
          <w:p w14:paraId="2D7A68BD"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A statewide specialist centre that supports integrated care for people with co</w:t>
            </w:r>
            <w:r w:rsidRPr="00EC69D9">
              <w:rPr>
                <w:rFonts w:ascii="Cambria Math" w:hAnsi="Cambria Math" w:cs="Cambria Math"/>
                <w:sz w:val="18"/>
                <w:szCs w:val="18"/>
              </w:rPr>
              <w:t>‑</w:t>
            </w:r>
            <w:r w:rsidRPr="00EC69D9">
              <w:rPr>
                <w:sz w:val="18"/>
                <w:szCs w:val="18"/>
              </w:rPr>
              <w:t>occurring mental health and substance use conditions through clinical consultation, training and service system development.</w:t>
            </w:r>
          </w:p>
        </w:tc>
        <w:tc>
          <w:tcPr>
            <w:tcW w:w="0" w:type="auto"/>
          </w:tcPr>
          <w:p w14:paraId="4C10E789"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 xml:space="preserve">Block funded </w:t>
            </w:r>
          </w:p>
        </w:tc>
        <w:tc>
          <w:tcPr>
            <w:tcW w:w="0" w:type="auto"/>
          </w:tcPr>
          <w:p w14:paraId="3F8F5A8C"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St Vincent’s Hospital, Austin Hospital, Eastern Hospital, Goulburn Valley Hospital</w:t>
            </w:r>
          </w:p>
        </w:tc>
      </w:tr>
      <w:tr w:rsidR="00817104" w:rsidRPr="00F82CF7" w14:paraId="5C7C307C" w14:textId="77777777" w:rsidTr="00EC69D9">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0" w:type="auto"/>
          </w:tcPr>
          <w:p w14:paraId="5C73CF05" w14:textId="77777777" w:rsidR="00817104" w:rsidRPr="00EC69D9" w:rsidRDefault="00817104" w:rsidP="00EC69D9">
            <w:pPr>
              <w:pStyle w:val="Body"/>
              <w:spacing w:after="60" w:line="240" w:lineRule="auto"/>
              <w:rPr>
                <w:sz w:val="18"/>
                <w:szCs w:val="18"/>
              </w:rPr>
            </w:pPr>
            <w:r w:rsidRPr="00EC69D9">
              <w:rPr>
                <w:sz w:val="18"/>
                <w:szCs w:val="18"/>
              </w:rPr>
              <w:t>In-home program - eating disorders</w:t>
            </w:r>
          </w:p>
        </w:tc>
        <w:tc>
          <w:tcPr>
            <w:tcW w:w="0" w:type="auto"/>
          </w:tcPr>
          <w:p w14:paraId="61D9E06F"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Provides intensive, home</w:t>
            </w:r>
            <w:r w:rsidRPr="00EC69D9">
              <w:rPr>
                <w:rFonts w:ascii="Cambria Math" w:hAnsi="Cambria Math" w:cs="Cambria Math"/>
                <w:sz w:val="18"/>
                <w:szCs w:val="18"/>
              </w:rPr>
              <w:t>‑</w:t>
            </w:r>
            <w:r w:rsidRPr="00EC69D9">
              <w:rPr>
                <w:sz w:val="18"/>
                <w:szCs w:val="18"/>
              </w:rPr>
              <w:t>based assessment and treatment for people with eating disorders to support recovery in the least restrictive setting and reduce hospital reliance.</w:t>
            </w:r>
          </w:p>
        </w:tc>
        <w:tc>
          <w:tcPr>
            <w:tcW w:w="0" w:type="auto"/>
          </w:tcPr>
          <w:p w14:paraId="7E83F88F"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Block funded</w:t>
            </w:r>
          </w:p>
        </w:tc>
        <w:tc>
          <w:tcPr>
            <w:tcW w:w="0" w:type="auto"/>
          </w:tcPr>
          <w:p w14:paraId="27E377EB"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Austin Health, Alfred Health</w:t>
            </w:r>
          </w:p>
        </w:tc>
      </w:tr>
      <w:tr w:rsidR="00817104" w:rsidRPr="00F82CF7" w14:paraId="234D779E" w14:textId="77777777" w:rsidTr="00EC69D9">
        <w:trPr>
          <w:trHeight w:val="1395"/>
        </w:trPr>
        <w:tc>
          <w:tcPr>
            <w:cnfStyle w:val="001000000000" w:firstRow="0" w:lastRow="0" w:firstColumn="1" w:lastColumn="0" w:oddVBand="0" w:evenVBand="0" w:oddHBand="0" w:evenHBand="0" w:firstRowFirstColumn="0" w:firstRowLastColumn="0" w:lastRowFirstColumn="0" w:lastRowLastColumn="0"/>
            <w:tcW w:w="0" w:type="auto"/>
          </w:tcPr>
          <w:p w14:paraId="235CF524" w14:textId="77777777" w:rsidR="00817104" w:rsidRPr="00EC69D9" w:rsidRDefault="00817104" w:rsidP="00EC69D9">
            <w:pPr>
              <w:pStyle w:val="Body"/>
              <w:spacing w:after="60" w:line="240" w:lineRule="auto"/>
              <w:rPr>
                <w:sz w:val="18"/>
                <w:szCs w:val="18"/>
              </w:rPr>
            </w:pPr>
            <w:r w:rsidRPr="00EC69D9">
              <w:rPr>
                <w:sz w:val="18"/>
                <w:szCs w:val="18"/>
              </w:rPr>
              <w:t>Regional day program - eating disorders</w:t>
            </w:r>
          </w:p>
        </w:tc>
        <w:tc>
          <w:tcPr>
            <w:tcW w:w="0" w:type="auto"/>
          </w:tcPr>
          <w:p w14:paraId="403535BA"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Delivers structured, multidisciplinary day treatment for people with eating disorders in regional settings, supporting intensive therapy without requiring inpatient hospital admission.</w:t>
            </w:r>
          </w:p>
        </w:tc>
        <w:tc>
          <w:tcPr>
            <w:tcW w:w="0" w:type="auto"/>
          </w:tcPr>
          <w:p w14:paraId="545AFDA1"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Block funded</w:t>
            </w:r>
          </w:p>
        </w:tc>
        <w:tc>
          <w:tcPr>
            <w:tcW w:w="0" w:type="auto"/>
          </w:tcPr>
          <w:p w14:paraId="41C0FA41"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Barwon Health</w:t>
            </w:r>
          </w:p>
        </w:tc>
      </w:tr>
      <w:tr w:rsidR="00817104" w:rsidRPr="00F82CF7" w14:paraId="565BFE7E" w14:textId="77777777" w:rsidTr="00EC69D9">
        <w:trPr>
          <w:cnfStyle w:val="000000100000" w:firstRow="0" w:lastRow="0" w:firstColumn="0" w:lastColumn="0" w:oddVBand="0" w:evenVBand="0" w:oddHBand="1"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0" w:type="auto"/>
          </w:tcPr>
          <w:p w14:paraId="6DF2A05E" w14:textId="77777777" w:rsidR="00817104" w:rsidRPr="00EC69D9" w:rsidRDefault="00817104" w:rsidP="00EC69D9">
            <w:pPr>
              <w:pStyle w:val="Body"/>
              <w:spacing w:after="60" w:line="240" w:lineRule="auto"/>
              <w:rPr>
                <w:sz w:val="18"/>
                <w:szCs w:val="18"/>
              </w:rPr>
            </w:pPr>
            <w:r w:rsidRPr="00EC69D9">
              <w:rPr>
                <w:sz w:val="18"/>
                <w:szCs w:val="18"/>
              </w:rPr>
              <w:t>Specialist statewide services - dual disability</w:t>
            </w:r>
          </w:p>
        </w:tc>
        <w:tc>
          <w:tcPr>
            <w:tcW w:w="0" w:type="auto"/>
          </w:tcPr>
          <w:p w14:paraId="0FFF2A4A"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Provides specialist clinical advice, assessment and training to support people with co</w:t>
            </w:r>
            <w:r w:rsidRPr="00EC69D9">
              <w:rPr>
                <w:rFonts w:ascii="Cambria Math" w:hAnsi="Cambria Math" w:cs="Cambria Math"/>
                <w:sz w:val="18"/>
                <w:szCs w:val="18"/>
              </w:rPr>
              <w:t>‑</w:t>
            </w:r>
            <w:r w:rsidRPr="00EC69D9">
              <w:rPr>
                <w:sz w:val="18"/>
                <w:szCs w:val="18"/>
              </w:rPr>
              <w:t>occurring intellectual disability and mental illness within the public mental health system.</w:t>
            </w:r>
          </w:p>
        </w:tc>
        <w:tc>
          <w:tcPr>
            <w:tcW w:w="0" w:type="auto"/>
          </w:tcPr>
          <w:p w14:paraId="4B062157"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Block funded</w:t>
            </w:r>
          </w:p>
        </w:tc>
        <w:tc>
          <w:tcPr>
            <w:tcW w:w="0" w:type="auto"/>
          </w:tcPr>
          <w:p w14:paraId="4539D2E2"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Monash Health, St Vincent's Hospital, Alfred Health</w:t>
            </w:r>
          </w:p>
        </w:tc>
      </w:tr>
      <w:tr w:rsidR="00817104" w:rsidRPr="00F82CF7" w14:paraId="6264B76B" w14:textId="77777777" w:rsidTr="00EC69D9">
        <w:trPr>
          <w:trHeight w:val="580"/>
        </w:trPr>
        <w:tc>
          <w:tcPr>
            <w:cnfStyle w:val="001000000000" w:firstRow="0" w:lastRow="0" w:firstColumn="1" w:lastColumn="0" w:oddVBand="0" w:evenVBand="0" w:oddHBand="0" w:evenHBand="0" w:firstRowFirstColumn="0" w:firstRowLastColumn="0" w:lastRowFirstColumn="0" w:lastRowLastColumn="0"/>
            <w:tcW w:w="0" w:type="auto"/>
          </w:tcPr>
          <w:p w14:paraId="223F122C" w14:textId="77777777" w:rsidR="00817104" w:rsidRPr="00EC69D9" w:rsidRDefault="00817104" w:rsidP="00EC69D9">
            <w:pPr>
              <w:pStyle w:val="Body"/>
              <w:spacing w:after="60" w:line="240" w:lineRule="auto"/>
              <w:rPr>
                <w:sz w:val="18"/>
                <w:szCs w:val="18"/>
              </w:rPr>
            </w:pPr>
            <w:r w:rsidRPr="00EC69D9">
              <w:rPr>
                <w:sz w:val="18"/>
                <w:szCs w:val="18"/>
              </w:rPr>
              <w:t>Specialist statewide services - neuropsychiatry</w:t>
            </w:r>
          </w:p>
        </w:tc>
        <w:tc>
          <w:tcPr>
            <w:tcW w:w="0" w:type="auto"/>
          </w:tcPr>
          <w:p w14:paraId="68A8F920"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Provides specialist assessment, diagnosis and management advice for people with complex mental health conditions associated with neurological or brain disorders, supporting clinical care and consultation to mental health and medical services.</w:t>
            </w:r>
          </w:p>
        </w:tc>
        <w:tc>
          <w:tcPr>
            <w:tcW w:w="0" w:type="auto"/>
          </w:tcPr>
          <w:p w14:paraId="356A23FB"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Block funded</w:t>
            </w:r>
          </w:p>
        </w:tc>
        <w:tc>
          <w:tcPr>
            <w:tcW w:w="0" w:type="auto"/>
          </w:tcPr>
          <w:p w14:paraId="43F3287A"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Melbourne Health</w:t>
            </w:r>
          </w:p>
        </w:tc>
      </w:tr>
      <w:tr w:rsidR="00817104" w:rsidRPr="00F82CF7" w14:paraId="0115DB68" w14:textId="77777777" w:rsidTr="00EC69D9">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0" w:type="auto"/>
          </w:tcPr>
          <w:p w14:paraId="4CDD81AD" w14:textId="77777777" w:rsidR="00817104" w:rsidRPr="00EC69D9" w:rsidRDefault="00817104" w:rsidP="00EC69D9">
            <w:pPr>
              <w:pStyle w:val="Body"/>
              <w:spacing w:after="60" w:line="240" w:lineRule="auto"/>
              <w:rPr>
                <w:sz w:val="18"/>
                <w:szCs w:val="18"/>
              </w:rPr>
            </w:pPr>
            <w:r w:rsidRPr="00EC69D9">
              <w:rPr>
                <w:sz w:val="18"/>
                <w:szCs w:val="18"/>
              </w:rPr>
              <w:t>Justice Mental Health Initiative</w:t>
            </w:r>
          </w:p>
        </w:tc>
        <w:tc>
          <w:tcPr>
            <w:tcW w:w="0" w:type="auto"/>
          </w:tcPr>
          <w:p w14:paraId="68C4A2B6"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Improves access to appropriate mental health care for people involved in the justice system while building workforce capability to respond to complex mental health needs.</w:t>
            </w:r>
          </w:p>
        </w:tc>
        <w:tc>
          <w:tcPr>
            <w:tcW w:w="0" w:type="auto"/>
          </w:tcPr>
          <w:p w14:paraId="5AA30A4A"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Block funded</w:t>
            </w:r>
          </w:p>
        </w:tc>
        <w:tc>
          <w:tcPr>
            <w:tcW w:w="0" w:type="auto"/>
          </w:tcPr>
          <w:p w14:paraId="3BCEA17C" w14:textId="77E30AF6"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 xml:space="preserve">Austin Health, Grampians Health, Albury Wodonga Health, Barwon Health, Alfred Health </w:t>
            </w:r>
          </w:p>
        </w:tc>
      </w:tr>
      <w:tr w:rsidR="00817104" w:rsidRPr="00F82CF7" w14:paraId="1F5FD404" w14:textId="77777777" w:rsidTr="00EC69D9">
        <w:trPr>
          <w:trHeight w:val="1417"/>
        </w:trPr>
        <w:tc>
          <w:tcPr>
            <w:cnfStyle w:val="001000000000" w:firstRow="0" w:lastRow="0" w:firstColumn="1" w:lastColumn="0" w:oddVBand="0" w:evenVBand="0" w:oddHBand="0" w:evenHBand="0" w:firstRowFirstColumn="0" w:firstRowLastColumn="0" w:lastRowFirstColumn="0" w:lastRowLastColumn="0"/>
            <w:tcW w:w="0" w:type="auto"/>
          </w:tcPr>
          <w:p w14:paraId="3E8ED197" w14:textId="77777777" w:rsidR="00817104" w:rsidRPr="00EC69D9" w:rsidRDefault="00817104" w:rsidP="00EC69D9">
            <w:pPr>
              <w:pStyle w:val="Body"/>
              <w:spacing w:after="60" w:line="240" w:lineRule="auto"/>
              <w:rPr>
                <w:sz w:val="18"/>
                <w:szCs w:val="18"/>
              </w:rPr>
            </w:pPr>
            <w:r w:rsidRPr="00EC69D9">
              <w:rPr>
                <w:sz w:val="18"/>
                <w:szCs w:val="18"/>
              </w:rPr>
              <w:t>Custodial forensic youth mental health service</w:t>
            </w:r>
          </w:p>
        </w:tc>
        <w:tc>
          <w:tcPr>
            <w:tcW w:w="0" w:type="auto"/>
          </w:tcPr>
          <w:p w14:paraId="080B592A"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Provides specialist mental health assessment, treatment and support for young people in youth justice custodial settings, addressing complex and co</w:t>
            </w:r>
            <w:r w:rsidRPr="00EC69D9">
              <w:rPr>
                <w:rFonts w:ascii="Cambria Math" w:hAnsi="Cambria Math" w:cs="Cambria Math"/>
                <w:sz w:val="18"/>
                <w:szCs w:val="18"/>
              </w:rPr>
              <w:t>‑</w:t>
            </w:r>
            <w:r w:rsidRPr="00EC69D9">
              <w:rPr>
                <w:sz w:val="18"/>
                <w:szCs w:val="18"/>
              </w:rPr>
              <w:t>occurring mental health needs.</w:t>
            </w:r>
          </w:p>
        </w:tc>
        <w:tc>
          <w:tcPr>
            <w:tcW w:w="0" w:type="auto"/>
          </w:tcPr>
          <w:p w14:paraId="36684DE4"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Block funded</w:t>
            </w:r>
          </w:p>
        </w:tc>
        <w:tc>
          <w:tcPr>
            <w:tcW w:w="0" w:type="auto"/>
          </w:tcPr>
          <w:p w14:paraId="5A80EF0E"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Parkville Youth Mental Health and Wellbeing Service</w:t>
            </w:r>
          </w:p>
        </w:tc>
      </w:tr>
      <w:tr w:rsidR="00817104" w:rsidRPr="00F82CF7" w14:paraId="1D8F5FE7" w14:textId="77777777" w:rsidTr="00EC69D9">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0" w:type="auto"/>
          </w:tcPr>
          <w:p w14:paraId="3A554E75" w14:textId="77777777" w:rsidR="00817104" w:rsidRPr="00EC69D9" w:rsidRDefault="00817104" w:rsidP="00EC69D9">
            <w:pPr>
              <w:pStyle w:val="Body"/>
              <w:spacing w:after="60" w:line="240" w:lineRule="auto"/>
              <w:rPr>
                <w:sz w:val="18"/>
                <w:szCs w:val="18"/>
              </w:rPr>
            </w:pPr>
            <w:r w:rsidRPr="00EC69D9">
              <w:rPr>
                <w:sz w:val="18"/>
                <w:szCs w:val="18"/>
              </w:rPr>
              <w:t>Complex care client funding</w:t>
            </w:r>
          </w:p>
        </w:tc>
        <w:tc>
          <w:tcPr>
            <w:tcW w:w="0" w:type="auto"/>
          </w:tcPr>
          <w:p w14:paraId="75AFB066"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Provides targeted funding support for individuals with highly complex and intensive mental health needs requiring coordinated, multidisciplinary and often long</w:t>
            </w:r>
            <w:r w:rsidRPr="00EC69D9">
              <w:rPr>
                <w:rFonts w:ascii="Cambria Math" w:hAnsi="Cambria Math" w:cs="Cambria Math"/>
                <w:sz w:val="18"/>
                <w:szCs w:val="18"/>
              </w:rPr>
              <w:t>‑</w:t>
            </w:r>
            <w:r w:rsidRPr="00EC69D9">
              <w:rPr>
                <w:sz w:val="18"/>
                <w:szCs w:val="18"/>
              </w:rPr>
              <w:t>term care.</w:t>
            </w:r>
          </w:p>
        </w:tc>
        <w:tc>
          <w:tcPr>
            <w:tcW w:w="0" w:type="auto"/>
          </w:tcPr>
          <w:p w14:paraId="700F2759"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Community mental health NWAU</w:t>
            </w:r>
          </w:p>
        </w:tc>
        <w:tc>
          <w:tcPr>
            <w:tcW w:w="0" w:type="auto"/>
          </w:tcPr>
          <w:p w14:paraId="1065698F"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Alfred Health</w:t>
            </w:r>
          </w:p>
        </w:tc>
      </w:tr>
      <w:tr w:rsidR="00817104" w:rsidRPr="00F82CF7" w14:paraId="259F101B" w14:textId="77777777" w:rsidTr="00EC69D9">
        <w:trPr>
          <w:trHeight w:val="1191"/>
        </w:trPr>
        <w:tc>
          <w:tcPr>
            <w:cnfStyle w:val="001000000000" w:firstRow="0" w:lastRow="0" w:firstColumn="1" w:lastColumn="0" w:oddVBand="0" w:evenVBand="0" w:oddHBand="0" w:evenHBand="0" w:firstRowFirstColumn="0" w:firstRowLastColumn="0" w:lastRowFirstColumn="0" w:lastRowLastColumn="0"/>
            <w:tcW w:w="0" w:type="auto"/>
          </w:tcPr>
          <w:p w14:paraId="205EE94D" w14:textId="77777777" w:rsidR="00817104" w:rsidRPr="00EC69D9" w:rsidRDefault="00817104" w:rsidP="00EC69D9">
            <w:pPr>
              <w:pStyle w:val="Body"/>
              <w:spacing w:after="60" w:line="240" w:lineRule="auto"/>
              <w:rPr>
                <w:sz w:val="18"/>
                <w:szCs w:val="18"/>
              </w:rPr>
            </w:pPr>
            <w:r w:rsidRPr="00EC69D9">
              <w:rPr>
                <w:sz w:val="18"/>
                <w:szCs w:val="18"/>
              </w:rPr>
              <w:t>Intensive Support Service</w:t>
            </w:r>
          </w:p>
        </w:tc>
        <w:tc>
          <w:tcPr>
            <w:tcW w:w="0" w:type="auto"/>
          </w:tcPr>
          <w:p w14:paraId="7428F447"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Provides intensive, individualised and coordinated psychosocial support to people with severe mental illness to maintain stability in the community and prevent hospitalisation.</w:t>
            </w:r>
          </w:p>
        </w:tc>
        <w:tc>
          <w:tcPr>
            <w:tcW w:w="0" w:type="auto"/>
          </w:tcPr>
          <w:p w14:paraId="623048AB"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Community mental health NWAU</w:t>
            </w:r>
          </w:p>
        </w:tc>
        <w:tc>
          <w:tcPr>
            <w:tcW w:w="0" w:type="auto"/>
          </w:tcPr>
          <w:p w14:paraId="7160B224"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Monash Health</w:t>
            </w:r>
          </w:p>
        </w:tc>
      </w:tr>
      <w:tr w:rsidR="00817104" w:rsidRPr="00F82CF7" w14:paraId="556C895E" w14:textId="77777777" w:rsidTr="00EC69D9">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0" w:type="auto"/>
          </w:tcPr>
          <w:p w14:paraId="6239AD8E" w14:textId="77777777" w:rsidR="00817104" w:rsidRPr="00EC69D9" w:rsidRDefault="00817104" w:rsidP="00EC69D9">
            <w:pPr>
              <w:pStyle w:val="Body"/>
              <w:spacing w:after="60" w:line="240" w:lineRule="auto"/>
              <w:rPr>
                <w:sz w:val="18"/>
                <w:szCs w:val="18"/>
              </w:rPr>
            </w:pPr>
            <w:r w:rsidRPr="00EC69D9">
              <w:rPr>
                <w:sz w:val="18"/>
                <w:szCs w:val="18"/>
              </w:rPr>
              <w:t>Emergency Department crisis hubs</w:t>
            </w:r>
          </w:p>
        </w:tc>
        <w:tc>
          <w:tcPr>
            <w:tcW w:w="0" w:type="auto"/>
          </w:tcPr>
          <w:p w14:paraId="59C400F1"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 xml:space="preserve">Provide dedicated, multidisciplinary responses within EDs to assess, stabilise and divert people in mental </w:t>
            </w:r>
            <w:r w:rsidRPr="00EC69D9">
              <w:rPr>
                <w:sz w:val="18"/>
                <w:szCs w:val="18"/>
              </w:rPr>
              <w:lastRenderedPageBreak/>
              <w:t>health and AODO crisis to appropriate care pathways.</w:t>
            </w:r>
          </w:p>
        </w:tc>
        <w:tc>
          <w:tcPr>
            <w:tcW w:w="0" w:type="auto"/>
          </w:tcPr>
          <w:p w14:paraId="4F650E04"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lastRenderedPageBreak/>
              <w:t xml:space="preserve">Community mental </w:t>
            </w:r>
            <w:r w:rsidRPr="00EC69D9">
              <w:rPr>
                <w:sz w:val="18"/>
                <w:szCs w:val="18"/>
              </w:rPr>
              <w:lastRenderedPageBreak/>
              <w:t>health NWAU</w:t>
            </w:r>
          </w:p>
        </w:tc>
        <w:tc>
          <w:tcPr>
            <w:tcW w:w="0" w:type="auto"/>
          </w:tcPr>
          <w:p w14:paraId="72D7A1F1"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lastRenderedPageBreak/>
              <w:t xml:space="preserve">Peninsula Health, Monash Health, St Vincent's Hospital, Barwon Health, </w:t>
            </w:r>
            <w:r w:rsidRPr="00EC69D9">
              <w:rPr>
                <w:sz w:val="18"/>
                <w:szCs w:val="18"/>
              </w:rPr>
              <w:lastRenderedPageBreak/>
              <w:t>Western Health, Alfred Health, Melbourne Health</w:t>
            </w:r>
          </w:p>
        </w:tc>
      </w:tr>
      <w:tr w:rsidR="00817104" w:rsidRPr="00F82CF7" w14:paraId="4EAF2AC1" w14:textId="77777777" w:rsidTr="00EC69D9">
        <w:trPr>
          <w:trHeight w:val="1191"/>
        </w:trPr>
        <w:tc>
          <w:tcPr>
            <w:cnfStyle w:val="001000000000" w:firstRow="0" w:lastRow="0" w:firstColumn="1" w:lastColumn="0" w:oddVBand="0" w:evenVBand="0" w:oddHBand="0" w:evenHBand="0" w:firstRowFirstColumn="0" w:firstRowLastColumn="0" w:lastRowFirstColumn="0" w:lastRowLastColumn="0"/>
            <w:tcW w:w="0" w:type="auto"/>
          </w:tcPr>
          <w:p w14:paraId="3FDECDDD" w14:textId="77777777" w:rsidR="00817104" w:rsidRPr="00EC69D9" w:rsidRDefault="00817104" w:rsidP="00EC69D9">
            <w:pPr>
              <w:pStyle w:val="Body"/>
              <w:spacing w:after="60" w:line="240" w:lineRule="auto"/>
              <w:rPr>
                <w:b w:val="0"/>
                <w:bCs w:val="0"/>
                <w:sz w:val="18"/>
                <w:szCs w:val="18"/>
              </w:rPr>
            </w:pPr>
            <w:r w:rsidRPr="00EC69D9">
              <w:rPr>
                <w:sz w:val="18"/>
                <w:szCs w:val="18"/>
              </w:rPr>
              <w:lastRenderedPageBreak/>
              <w:t>Statewide Eating Disorders</w:t>
            </w:r>
          </w:p>
        </w:tc>
        <w:tc>
          <w:tcPr>
            <w:tcW w:w="0" w:type="auto"/>
          </w:tcPr>
          <w:p w14:paraId="618C74A5"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 xml:space="preserve">Supports coordinated, specialist statewide responses to eating disorders, including treatment, service development and clinical capability building across the system. </w:t>
            </w:r>
          </w:p>
        </w:tc>
        <w:tc>
          <w:tcPr>
            <w:tcW w:w="0" w:type="auto"/>
          </w:tcPr>
          <w:p w14:paraId="6463C437"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Community mental health NWAU</w:t>
            </w:r>
          </w:p>
        </w:tc>
        <w:tc>
          <w:tcPr>
            <w:tcW w:w="0" w:type="auto"/>
          </w:tcPr>
          <w:p w14:paraId="626B6FDC"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Austin Health, Alfred Health, Melbourne Health, Monash Health</w:t>
            </w:r>
          </w:p>
        </w:tc>
      </w:tr>
      <w:tr w:rsidR="00817104" w:rsidRPr="00F82CF7" w14:paraId="73FF1A0B" w14:textId="77777777" w:rsidTr="00EC69D9">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0" w:type="auto"/>
          </w:tcPr>
          <w:p w14:paraId="3108142B" w14:textId="77777777" w:rsidR="00817104" w:rsidRPr="00EC69D9" w:rsidRDefault="00817104" w:rsidP="00EC69D9">
            <w:pPr>
              <w:pStyle w:val="Body"/>
              <w:spacing w:after="60" w:line="240" w:lineRule="auto"/>
              <w:rPr>
                <w:b w:val="0"/>
                <w:bCs w:val="0"/>
                <w:sz w:val="18"/>
                <w:szCs w:val="18"/>
              </w:rPr>
            </w:pPr>
            <w:r w:rsidRPr="00EC69D9">
              <w:rPr>
                <w:sz w:val="18"/>
                <w:szCs w:val="18"/>
              </w:rPr>
              <w:t>Personality disorder clinical specialist</w:t>
            </w:r>
          </w:p>
        </w:tc>
        <w:tc>
          <w:tcPr>
            <w:tcW w:w="0" w:type="auto"/>
          </w:tcPr>
          <w:p w14:paraId="1DFA783C"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Provides specialist clinical leadership, consultation and workforce support to improve assessment and treatment of personality disorders.</w:t>
            </w:r>
          </w:p>
        </w:tc>
        <w:tc>
          <w:tcPr>
            <w:tcW w:w="0" w:type="auto"/>
          </w:tcPr>
          <w:p w14:paraId="2CE35BA2"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Community mental health NWAU</w:t>
            </w:r>
          </w:p>
        </w:tc>
        <w:tc>
          <w:tcPr>
            <w:tcW w:w="0" w:type="auto"/>
          </w:tcPr>
          <w:p w14:paraId="293F146B"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Monash Health, Barwon Health, Goulburn Valley Health, Northern Health, Alfred Health, Melbourne Health</w:t>
            </w:r>
          </w:p>
        </w:tc>
      </w:tr>
      <w:tr w:rsidR="00817104" w:rsidRPr="00F82CF7" w14:paraId="5E7E9882" w14:textId="77777777" w:rsidTr="00EC69D9">
        <w:trPr>
          <w:trHeight w:val="1134"/>
        </w:trPr>
        <w:tc>
          <w:tcPr>
            <w:cnfStyle w:val="001000000000" w:firstRow="0" w:lastRow="0" w:firstColumn="1" w:lastColumn="0" w:oddVBand="0" w:evenVBand="0" w:oddHBand="0" w:evenHBand="0" w:firstRowFirstColumn="0" w:firstRowLastColumn="0" w:lastRowFirstColumn="0" w:lastRowLastColumn="0"/>
            <w:tcW w:w="0" w:type="auto"/>
          </w:tcPr>
          <w:p w14:paraId="1C971BA6" w14:textId="77777777" w:rsidR="00817104" w:rsidRPr="00EC69D9" w:rsidRDefault="00817104" w:rsidP="00EC69D9">
            <w:pPr>
              <w:pStyle w:val="Body"/>
              <w:spacing w:after="60" w:line="240" w:lineRule="auto"/>
              <w:rPr>
                <w:b w:val="0"/>
                <w:bCs w:val="0"/>
                <w:sz w:val="18"/>
                <w:szCs w:val="18"/>
              </w:rPr>
            </w:pPr>
            <w:r w:rsidRPr="00EC69D9">
              <w:rPr>
                <w:sz w:val="18"/>
                <w:szCs w:val="18"/>
              </w:rPr>
              <w:t>Forensic clinical specialist expansion</w:t>
            </w:r>
          </w:p>
        </w:tc>
        <w:tc>
          <w:tcPr>
            <w:tcW w:w="0" w:type="auto"/>
          </w:tcPr>
          <w:p w14:paraId="6C0C6853"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Expands specialist forensic mental health expertise to support assessment, risk management and treatment of individuals with forensic needs.</w:t>
            </w:r>
          </w:p>
        </w:tc>
        <w:tc>
          <w:tcPr>
            <w:tcW w:w="0" w:type="auto"/>
          </w:tcPr>
          <w:p w14:paraId="330B1AC2"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Community mental health NWAU</w:t>
            </w:r>
          </w:p>
        </w:tc>
        <w:tc>
          <w:tcPr>
            <w:tcW w:w="0" w:type="auto"/>
          </w:tcPr>
          <w:p w14:paraId="4C0E5FD0"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Mildura Base Hospital, Albury Wodonga Health, South West Healthcare</w:t>
            </w:r>
          </w:p>
        </w:tc>
      </w:tr>
      <w:tr w:rsidR="00817104" w:rsidRPr="00F82CF7" w14:paraId="6F90113E" w14:textId="77777777" w:rsidTr="00EC69D9">
        <w:trPr>
          <w:cnfStyle w:val="000000100000" w:firstRow="0" w:lastRow="0" w:firstColumn="0" w:lastColumn="0" w:oddVBand="0" w:evenVBand="0" w:oddHBand="1"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0" w:type="auto"/>
          </w:tcPr>
          <w:p w14:paraId="39ADAD49" w14:textId="77777777" w:rsidR="00817104" w:rsidRPr="00EC69D9" w:rsidRDefault="00817104" w:rsidP="00EC69D9">
            <w:pPr>
              <w:pStyle w:val="Body"/>
              <w:spacing w:after="60" w:line="240" w:lineRule="auto"/>
              <w:rPr>
                <w:b w:val="0"/>
                <w:bCs w:val="0"/>
                <w:sz w:val="18"/>
                <w:szCs w:val="18"/>
              </w:rPr>
            </w:pPr>
            <w:r w:rsidRPr="00EC69D9">
              <w:rPr>
                <w:sz w:val="18"/>
                <w:szCs w:val="18"/>
              </w:rPr>
              <w:t>Homeless Outreach Psychiatric Services</w:t>
            </w:r>
          </w:p>
        </w:tc>
        <w:tc>
          <w:tcPr>
            <w:tcW w:w="0" w:type="auto"/>
          </w:tcPr>
          <w:p w14:paraId="56DD9F3D" w14:textId="593A462F"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Outreach services that provide assessment, treatment, rehabilitation and case management for homeless people with a mental illness. Also includes secondary consultation and support to the homelessness service sector</w:t>
            </w:r>
            <w:r w:rsidR="00EC69D9" w:rsidRPr="00EC69D9">
              <w:rPr>
                <w:sz w:val="18"/>
                <w:szCs w:val="18"/>
              </w:rPr>
              <w:t>.</w:t>
            </w:r>
          </w:p>
        </w:tc>
        <w:tc>
          <w:tcPr>
            <w:tcW w:w="0" w:type="auto"/>
          </w:tcPr>
          <w:p w14:paraId="0F32B936"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Community mental health NWAU</w:t>
            </w:r>
          </w:p>
        </w:tc>
        <w:tc>
          <w:tcPr>
            <w:tcW w:w="0" w:type="auto"/>
          </w:tcPr>
          <w:p w14:paraId="27F7FC20"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St Vincent's Hospital, Mercy Hospital, Alfred Health</w:t>
            </w:r>
          </w:p>
        </w:tc>
      </w:tr>
      <w:tr w:rsidR="00817104" w:rsidRPr="00F82CF7" w14:paraId="444AC27A" w14:textId="77777777" w:rsidTr="00EC69D9">
        <w:trPr>
          <w:trHeight w:val="1191"/>
        </w:trPr>
        <w:tc>
          <w:tcPr>
            <w:cnfStyle w:val="001000000000" w:firstRow="0" w:lastRow="0" w:firstColumn="1" w:lastColumn="0" w:oddVBand="0" w:evenVBand="0" w:oddHBand="0" w:evenHBand="0" w:firstRowFirstColumn="0" w:firstRowLastColumn="0" w:lastRowFirstColumn="0" w:lastRowLastColumn="0"/>
            <w:tcW w:w="0" w:type="auto"/>
          </w:tcPr>
          <w:p w14:paraId="04F26B84" w14:textId="77777777" w:rsidR="00817104" w:rsidRPr="00EC69D9" w:rsidRDefault="00817104" w:rsidP="00EC69D9">
            <w:pPr>
              <w:pStyle w:val="Body"/>
              <w:spacing w:after="60" w:line="240" w:lineRule="auto"/>
              <w:rPr>
                <w:b w:val="0"/>
                <w:bCs w:val="0"/>
                <w:sz w:val="18"/>
                <w:szCs w:val="18"/>
              </w:rPr>
            </w:pPr>
            <w:r w:rsidRPr="00EC69D9">
              <w:rPr>
                <w:sz w:val="18"/>
                <w:szCs w:val="18"/>
              </w:rPr>
              <w:t>Specialist/statewide services - other</w:t>
            </w:r>
          </w:p>
        </w:tc>
        <w:tc>
          <w:tcPr>
            <w:tcW w:w="0" w:type="auto"/>
          </w:tcPr>
          <w:p w14:paraId="63136152"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Provide specialised clinical expertise, consultation and system support for specific priority cohorts or complex clinical presentations not covered by other dedicated statewide services.</w:t>
            </w:r>
          </w:p>
        </w:tc>
        <w:tc>
          <w:tcPr>
            <w:tcW w:w="0" w:type="auto"/>
          </w:tcPr>
          <w:p w14:paraId="798973BB"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Community mental health NWAU</w:t>
            </w:r>
          </w:p>
        </w:tc>
        <w:tc>
          <w:tcPr>
            <w:tcW w:w="0" w:type="auto"/>
          </w:tcPr>
          <w:p w14:paraId="2929D12F"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Parkville Youth Mental Health and Wellbeing Service, Royal Children's Hospital, Eastern Health</w:t>
            </w:r>
          </w:p>
        </w:tc>
      </w:tr>
      <w:tr w:rsidR="00817104" w:rsidRPr="00F82CF7" w14:paraId="60FCC435" w14:textId="77777777" w:rsidTr="00EC69D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0" w:type="auto"/>
          </w:tcPr>
          <w:p w14:paraId="0313AA53" w14:textId="77777777" w:rsidR="00817104" w:rsidRPr="00EC69D9" w:rsidRDefault="00817104" w:rsidP="00EC69D9">
            <w:pPr>
              <w:pStyle w:val="Body"/>
              <w:spacing w:after="60" w:line="240" w:lineRule="auto"/>
              <w:rPr>
                <w:b w:val="0"/>
                <w:bCs w:val="0"/>
                <w:sz w:val="18"/>
                <w:szCs w:val="18"/>
              </w:rPr>
            </w:pPr>
            <w:r w:rsidRPr="00EC69D9">
              <w:rPr>
                <w:sz w:val="18"/>
                <w:szCs w:val="18"/>
              </w:rPr>
              <w:t>Vic Police e-referral</w:t>
            </w:r>
          </w:p>
        </w:tc>
        <w:tc>
          <w:tcPr>
            <w:tcW w:w="0" w:type="auto"/>
          </w:tcPr>
          <w:p w14:paraId="2479EA20"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Enables referral pathways from Victoria Police to mental health services to facilitate timely clinical assessment and connection to care for individuals identified in the community.</w:t>
            </w:r>
          </w:p>
        </w:tc>
        <w:tc>
          <w:tcPr>
            <w:tcW w:w="0" w:type="auto"/>
          </w:tcPr>
          <w:p w14:paraId="74179B66"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Community mental health NWAU</w:t>
            </w:r>
          </w:p>
        </w:tc>
        <w:tc>
          <w:tcPr>
            <w:tcW w:w="0" w:type="auto"/>
          </w:tcPr>
          <w:p w14:paraId="48B19DBA"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Monash Health</w:t>
            </w:r>
          </w:p>
        </w:tc>
      </w:tr>
      <w:tr w:rsidR="00817104" w:rsidRPr="00F82CF7" w14:paraId="5C1551F7" w14:textId="77777777" w:rsidTr="00EC69D9">
        <w:trPr>
          <w:trHeight w:val="1134"/>
        </w:trPr>
        <w:tc>
          <w:tcPr>
            <w:cnfStyle w:val="001000000000" w:firstRow="0" w:lastRow="0" w:firstColumn="1" w:lastColumn="0" w:oddVBand="0" w:evenVBand="0" w:oddHBand="0" w:evenHBand="0" w:firstRowFirstColumn="0" w:firstRowLastColumn="0" w:lastRowFirstColumn="0" w:lastRowLastColumn="0"/>
            <w:tcW w:w="0" w:type="auto"/>
          </w:tcPr>
          <w:p w14:paraId="5C0004B6" w14:textId="77777777" w:rsidR="00817104" w:rsidRPr="00EC69D9" w:rsidRDefault="00817104" w:rsidP="00EC69D9">
            <w:pPr>
              <w:pStyle w:val="Body"/>
              <w:spacing w:after="60" w:line="240" w:lineRule="auto"/>
              <w:rPr>
                <w:b w:val="0"/>
                <w:bCs w:val="0"/>
                <w:sz w:val="18"/>
                <w:szCs w:val="18"/>
              </w:rPr>
            </w:pPr>
            <w:r w:rsidRPr="00EC69D9">
              <w:rPr>
                <w:sz w:val="18"/>
                <w:szCs w:val="18"/>
              </w:rPr>
              <w:t>Youth Justice Mental Health</w:t>
            </w:r>
          </w:p>
        </w:tc>
        <w:tc>
          <w:tcPr>
            <w:tcW w:w="0" w:type="auto"/>
          </w:tcPr>
          <w:p w14:paraId="07C1A3B2"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Provides clinical support, assessment and consultation to improve access to mental health services for young people involved in the youth justice system.</w:t>
            </w:r>
          </w:p>
        </w:tc>
        <w:tc>
          <w:tcPr>
            <w:tcW w:w="0" w:type="auto"/>
          </w:tcPr>
          <w:p w14:paraId="2AB19485"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Community mental health NWAU</w:t>
            </w:r>
          </w:p>
        </w:tc>
        <w:tc>
          <w:tcPr>
            <w:tcW w:w="0" w:type="auto"/>
          </w:tcPr>
          <w:p w14:paraId="799B7646"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Parkville Youth Mental Health and Wellbeing Service, Monash Health, Goulburn Valley Health, Eastern Health</w:t>
            </w:r>
          </w:p>
        </w:tc>
      </w:tr>
      <w:tr w:rsidR="00817104" w:rsidRPr="00F82CF7" w14:paraId="4842B9CA" w14:textId="77777777" w:rsidTr="00EC69D9">
        <w:trPr>
          <w:cnfStyle w:val="000000100000" w:firstRow="0" w:lastRow="0" w:firstColumn="0" w:lastColumn="0" w:oddVBand="0" w:evenVBand="0" w:oddHBand="1" w:evenHBand="0" w:firstRowFirstColumn="0" w:firstRowLastColumn="0" w:lastRowFirstColumn="0" w:lastRowLastColumn="0"/>
          <w:trHeight w:val="1474"/>
        </w:trPr>
        <w:tc>
          <w:tcPr>
            <w:cnfStyle w:val="001000000000" w:firstRow="0" w:lastRow="0" w:firstColumn="1" w:lastColumn="0" w:oddVBand="0" w:evenVBand="0" w:oddHBand="0" w:evenHBand="0" w:firstRowFirstColumn="0" w:firstRowLastColumn="0" w:lastRowFirstColumn="0" w:lastRowLastColumn="0"/>
            <w:tcW w:w="0" w:type="auto"/>
          </w:tcPr>
          <w:p w14:paraId="38F6585B" w14:textId="77777777" w:rsidR="00817104" w:rsidRPr="00EC69D9" w:rsidRDefault="00817104" w:rsidP="00EC69D9">
            <w:pPr>
              <w:pStyle w:val="Body"/>
              <w:spacing w:after="60" w:line="240" w:lineRule="auto"/>
              <w:rPr>
                <w:b w:val="0"/>
                <w:bCs w:val="0"/>
                <w:sz w:val="18"/>
                <w:szCs w:val="18"/>
              </w:rPr>
            </w:pPr>
            <w:r w:rsidRPr="00EC69D9">
              <w:rPr>
                <w:sz w:val="18"/>
                <w:szCs w:val="18"/>
              </w:rPr>
              <w:t>Child and Adolescent Integrated Community Services</w:t>
            </w:r>
          </w:p>
        </w:tc>
        <w:tc>
          <w:tcPr>
            <w:tcW w:w="0" w:type="auto"/>
          </w:tcPr>
          <w:p w14:paraId="5DA87CEA"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Deliver coordinated, multidisciplinary assessment and treatment for children and adolescents with moderate to severe mental health needs in community settings.</w:t>
            </w:r>
          </w:p>
        </w:tc>
        <w:tc>
          <w:tcPr>
            <w:tcW w:w="0" w:type="auto"/>
          </w:tcPr>
          <w:p w14:paraId="23CCFF64"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Community mental health NWAU</w:t>
            </w:r>
          </w:p>
        </w:tc>
        <w:tc>
          <w:tcPr>
            <w:tcW w:w="0" w:type="auto"/>
          </w:tcPr>
          <w:p w14:paraId="0A6E65C4"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Mildura Base Hospital, Parkville Youth Mental Health and Wellbeing Service, Peninsula Health, Monash Health, Bendigo Health, Barwon Health, Eastern Health</w:t>
            </w:r>
          </w:p>
        </w:tc>
      </w:tr>
      <w:tr w:rsidR="00817104" w:rsidRPr="00F82CF7" w14:paraId="24686571" w14:textId="77777777" w:rsidTr="00EC69D9">
        <w:trPr>
          <w:trHeight w:val="1361"/>
        </w:trPr>
        <w:tc>
          <w:tcPr>
            <w:cnfStyle w:val="001000000000" w:firstRow="0" w:lastRow="0" w:firstColumn="1" w:lastColumn="0" w:oddVBand="0" w:evenVBand="0" w:oddHBand="0" w:evenHBand="0" w:firstRowFirstColumn="0" w:firstRowLastColumn="0" w:lastRowFirstColumn="0" w:lastRowLastColumn="0"/>
            <w:tcW w:w="0" w:type="auto"/>
          </w:tcPr>
          <w:p w14:paraId="42DE4CF4" w14:textId="77777777" w:rsidR="00817104" w:rsidRPr="00EC69D9" w:rsidRDefault="00817104" w:rsidP="00EC69D9">
            <w:pPr>
              <w:pStyle w:val="Body"/>
              <w:spacing w:after="60" w:line="240" w:lineRule="auto"/>
              <w:rPr>
                <w:b w:val="0"/>
                <w:bCs w:val="0"/>
                <w:sz w:val="18"/>
                <w:szCs w:val="18"/>
              </w:rPr>
            </w:pPr>
            <w:r w:rsidRPr="00EC69D9">
              <w:rPr>
                <w:sz w:val="18"/>
                <w:szCs w:val="18"/>
              </w:rPr>
              <w:t>Specialist statewide services - eating disorder</w:t>
            </w:r>
          </w:p>
        </w:tc>
        <w:tc>
          <w:tcPr>
            <w:tcW w:w="0" w:type="auto"/>
          </w:tcPr>
          <w:p w14:paraId="653B0CEC"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Provide specialist clinical consultation, workforce development and service support to improve statewide capability in eating disorder prevention, assessment and treatment.</w:t>
            </w:r>
          </w:p>
        </w:tc>
        <w:tc>
          <w:tcPr>
            <w:tcW w:w="0" w:type="auto"/>
          </w:tcPr>
          <w:p w14:paraId="256BA33C"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Community mental health NWAU</w:t>
            </w:r>
          </w:p>
        </w:tc>
        <w:tc>
          <w:tcPr>
            <w:tcW w:w="0" w:type="auto"/>
          </w:tcPr>
          <w:p w14:paraId="2D62050C"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Royal Children's Hospital, Monash Health, St Vincent's Hospital, Bendigo Health, Barwon Health, Melbourne Health</w:t>
            </w:r>
          </w:p>
        </w:tc>
      </w:tr>
      <w:tr w:rsidR="00817104" w:rsidRPr="00F82CF7" w14:paraId="3A99D265" w14:textId="77777777" w:rsidTr="00EC69D9">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0" w:type="auto"/>
          </w:tcPr>
          <w:p w14:paraId="54086FD9" w14:textId="77777777" w:rsidR="00817104" w:rsidRPr="00EC69D9" w:rsidRDefault="00817104" w:rsidP="00EC69D9">
            <w:pPr>
              <w:pStyle w:val="Body"/>
              <w:spacing w:after="60" w:line="240" w:lineRule="auto"/>
              <w:rPr>
                <w:b w:val="0"/>
                <w:bCs w:val="0"/>
                <w:sz w:val="18"/>
                <w:szCs w:val="18"/>
              </w:rPr>
            </w:pPr>
            <w:r w:rsidRPr="00EC69D9">
              <w:rPr>
                <w:sz w:val="18"/>
                <w:szCs w:val="18"/>
              </w:rPr>
              <w:lastRenderedPageBreak/>
              <w:t>Mental health advice response service</w:t>
            </w:r>
          </w:p>
        </w:tc>
        <w:tc>
          <w:tcPr>
            <w:tcW w:w="0" w:type="auto"/>
          </w:tcPr>
          <w:p w14:paraId="62B7C2D4"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Provides specialist mental health assessment, advice and referral pathways within the justice system to support early identification, diversion and appropriate treatment.</w:t>
            </w:r>
          </w:p>
        </w:tc>
        <w:tc>
          <w:tcPr>
            <w:tcW w:w="0" w:type="auto"/>
          </w:tcPr>
          <w:p w14:paraId="3EBA278A" w14:textId="1B95DF6A"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 xml:space="preserve">Block funded </w:t>
            </w:r>
          </w:p>
        </w:tc>
        <w:tc>
          <w:tcPr>
            <w:tcW w:w="0" w:type="auto"/>
          </w:tcPr>
          <w:p w14:paraId="068BC1E3"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Latrobe Regional Health, Grampians Health, Bendigo Health, Barwon Health, Goulburn Valley Health, Victorian Institute of Forensic Medicine</w:t>
            </w:r>
          </w:p>
        </w:tc>
      </w:tr>
      <w:tr w:rsidR="00817104" w:rsidRPr="00F82CF7" w14:paraId="6560314C" w14:textId="77777777" w:rsidTr="00EC69D9">
        <w:trPr>
          <w:trHeight w:val="1531"/>
        </w:trPr>
        <w:tc>
          <w:tcPr>
            <w:cnfStyle w:val="001000000000" w:firstRow="0" w:lastRow="0" w:firstColumn="1" w:lastColumn="0" w:oddVBand="0" w:evenVBand="0" w:oddHBand="0" w:evenHBand="0" w:firstRowFirstColumn="0" w:firstRowLastColumn="0" w:lastRowFirstColumn="0" w:lastRowLastColumn="0"/>
            <w:tcW w:w="0" w:type="auto"/>
          </w:tcPr>
          <w:p w14:paraId="3A29379F" w14:textId="77777777" w:rsidR="00817104" w:rsidRPr="00EC69D9" w:rsidRDefault="00817104" w:rsidP="00EC69D9">
            <w:pPr>
              <w:pStyle w:val="Body"/>
              <w:spacing w:after="60" w:line="240" w:lineRule="auto"/>
              <w:rPr>
                <w:b w:val="0"/>
                <w:bCs w:val="0"/>
                <w:sz w:val="18"/>
                <w:szCs w:val="18"/>
              </w:rPr>
            </w:pPr>
            <w:r w:rsidRPr="00EC69D9">
              <w:rPr>
                <w:sz w:val="18"/>
                <w:szCs w:val="18"/>
              </w:rPr>
              <w:t>Community forensic youth mental health service</w:t>
            </w:r>
          </w:p>
        </w:tc>
        <w:tc>
          <w:tcPr>
            <w:tcW w:w="0" w:type="auto"/>
          </w:tcPr>
          <w:p w14:paraId="5A479AD0"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Delivers community-based assessment, treatment and case management for young people with forensic involvement and mental health needs, supporting rehabilitation and reduced re</w:t>
            </w:r>
            <w:r w:rsidRPr="00EC69D9">
              <w:rPr>
                <w:rFonts w:ascii="Cambria Math" w:hAnsi="Cambria Math" w:cs="Cambria Math"/>
                <w:sz w:val="18"/>
                <w:szCs w:val="18"/>
              </w:rPr>
              <w:t>‑</w:t>
            </w:r>
            <w:r w:rsidRPr="00EC69D9">
              <w:rPr>
                <w:sz w:val="18"/>
                <w:szCs w:val="18"/>
              </w:rPr>
              <w:t>offending.</w:t>
            </w:r>
          </w:p>
        </w:tc>
        <w:tc>
          <w:tcPr>
            <w:tcW w:w="0" w:type="auto"/>
          </w:tcPr>
          <w:p w14:paraId="080B056B" w14:textId="714C6A45"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 xml:space="preserve">Block funded </w:t>
            </w:r>
          </w:p>
        </w:tc>
        <w:tc>
          <w:tcPr>
            <w:tcW w:w="0" w:type="auto"/>
          </w:tcPr>
          <w:p w14:paraId="29DB83E8" w14:textId="77777777" w:rsidR="00817104" w:rsidRPr="00EC69D9" w:rsidRDefault="00817104" w:rsidP="00EC69D9">
            <w:pPr>
              <w:pStyle w:val="Body"/>
              <w:spacing w:after="6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EC69D9">
              <w:rPr>
                <w:sz w:val="18"/>
                <w:szCs w:val="18"/>
              </w:rPr>
              <w:t>Alfred Health, Parkville Youth Mental Health and Wellbeing Service</w:t>
            </w:r>
          </w:p>
        </w:tc>
      </w:tr>
      <w:tr w:rsidR="00817104" w:rsidRPr="00F82CF7" w14:paraId="6C229279" w14:textId="77777777" w:rsidTr="00EC69D9">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0" w:type="auto"/>
          </w:tcPr>
          <w:p w14:paraId="36501E88" w14:textId="77777777" w:rsidR="00817104" w:rsidRPr="00EC69D9" w:rsidRDefault="00817104" w:rsidP="00EC69D9">
            <w:pPr>
              <w:pStyle w:val="Body"/>
              <w:spacing w:after="60" w:line="240" w:lineRule="auto"/>
              <w:rPr>
                <w:b w:val="0"/>
                <w:bCs w:val="0"/>
                <w:sz w:val="18"/>
                <w:szCs w:val="18"/>
              </w:rPr>
            </w:pPr>
            <w:r w:rsidRPr="00EC69D9">
              <w:rPr>
                <w:sz w:val="18"/>
                <w:szCs w:val="18"/>
              </w:rPr>
              <w:t>Youth homeless dual diagnosis</w:t>
            </w:r>
          </w:p>
        </w:tc>
        <w:tc>
          <w:tcPr>
            <w:tcW w:w="0" w:type="auto"/>
          </w:tcPr>
          <w:p w14:paraId="3AB00CCA"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Provides integrated mental health and substance use treatment for young people experiencing or at risk of homelessness, supporting engagement, recovery and service connection.</w:t>
            </w:r>
          </w:p>
        </w:tc>
        <w:tc>
          <w:tcPr>
            <w:tcW w:w="0" w:type="auto"/>
          </w:tcPr>
          <w:p w14:paraId="0EE782DE" w14:textId="7234DE98"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 xml:space="preserve">Block funded </w:t>
            </w:r>
          </w:p>
        </w:tc>
        <w:tc>
          <w:tcPr>
            <w:tcW w:w="0" w:type="auto"/>
          </w:tcPr>
          <w:p w14:paraId="62943E30" w14:textId="77777777" w:rsidR="00817104" w:rsidRPr="00EC69D9" w:rsidRDefault="00817104" w:rsidP="00EC69D9">
            <w:pPr>
              <w:pStyle w:val="Body"/>
              <w:spacing w:after="60"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EC69D9">
              <w:rPr>
                <w:sz w:val="18"/>
                <w:szCs w:val="18"/>
              </w:rPr>
              <w:t>Mildura Base Hospital, Latrobe Regional Health, Parkville Youth Mental Health and Wellbeing Service, Monash Health, Grampians Health, Barwon Health, Goulburn Valley Health, Eastern Health, Melbourne Health</w:t>
            </w:r>
          </w:p>
        </w:tc>
      </w:tr>
    </w:tbl>
    <w:p w14:paraId="055A2066" w14:textId="77777777" w:rsidR="00817104" w:rsidRDefault="00817104" w:rsidP="00817104">
      <w:pPr>
        <w:pStyle w:val="Heading4"/>
      </w:pPr>
      <w:r>
        <w:t>NDIS-Mental Health Interface Program</w:t>
      </w:r>
    </w:p>
    <w:p w14:paraId="6D99A705" w14:textId="77777777" w:rsidR="00817104" w:rsidRDefault="00817104" w:rsidP="00817104">
      <w:pPr>
        <w:pStyle w:val="Body"/>
      </w:pPr>
      <w:r>
        <w:t xml:space="preserve">This program provides a dedicated appointed NDIS-Mental Health Interface Lead as a single point of contact for the </w:t>
      </w:r>
      <w:r w:rsidRPr="00D97A82">
        <w:t xml:space="preserve">National Disability Insurance Agency </w:t>
      </w:r>
      <w:r>
        <w:t xml:space="preserve">(NDIA) and Local Area Coordinators (LACs) within </w:t>
      </w:r>
      <w:r w:rsidRPr="0034343B">
        <w:t>Area Mental Health and Wellbeing Services</w:t>
      </w:r>
      <w:r>
        <w:t>.</w:t>
      </w:r>
    </w:p>
    <w:p w14:paraId="3AA94CF9" w14:textId="77777777" w:rsidR="00817104" w:rsidRDefault="00817104" w:rsidP="00817104">
      <w:pPr>
        <w:pStyle w:val="Body"/>
      </w:pPr>
      <w:r>
        <w:t>The purpose of the program is to:</w:t>
      </w:r>
    </w:p>
    <w:p w14:paraId="0BFAC480" w14:textId="77777777" w:rsidR="00817104" w:rsidRDefault="00817104" w:rsidP="00817104">
      <w:pPr>
        <w:pStyle w:val="Bullet1"/>
        <w:numPr>
          <w:ilvl w:val="0"/>
          <w:numId w:val="2"/>
        </w:numPr>
      </w:pPr>
      <w:r>
        <w:t>strengthen the operational interface between clinical mental health services, inpatient units and the NDIS to support timely and safe discharge</w:t>
      </w:r>
    </w:p>
    <w:p w14:paraId="2E512663" w14:textId="77777777" w:rsidR="00817104" w:rsidRDefault="00817104" w:rsidP="00817104">
      <w:pPr>
        <w:pStyle w:val="Bullet1"/>
        <w:numPr>
          <w:ilvl w:val="0"/>
          <w:numId w:val="2"/>
        </w:numPr>
      </w:pPr>
      <w:r>
        <w:t>improve consumer, carer and workforce capability to navigate NDIS access, planning and implementation pathways</w:t>
      </w:r>
    </w:p>
    <w:p w14:paraId="7A3A6D2B" w14:textId="77777777" w:rsidR="00817104" w:rsidRPr="00A85DD5" w:rsidRDefault="00817104" w:rsidP="00817104">
      <w:pPr>
        <w:pStyle w:val="Bullet1"/>
        <w:numPr>
          <w:ilvl w:val="0"/>
          <w:numId w:val="2"/>
        </w:numPr>
      </w:pPr>
      <w:r>
        <w:t>proactively work with the NDIS to address both systemic issues and individual matters, such as delayed discharge of NDIS applicants and/or participants.</w:t>
      </w:r>
    </w:p>
    <w:p w14:paraId="2E7AF638" w14:textId="77777777" w:rsidR="00817104" w:rsidRDefault="00817104" w:rsidP="00817104">
      <w:pPr>
        <w:pStyle w:val="Bodyafterbullets"/>
      </w:pPr>
      <w:r>
        <w:t>The program has been in place since 2017, with funding provided to 18 Area Mental Health and Wellbeing Services across Victoria, and additional funding provided to St Vincents Hospital Melbourne to coordinate the statewide Community of Practice.</w:t>
      </w:r>
    </w:p>
    <w:p w14:paraId="3E4495E4" w14:textId="77777777" w:rsidR="00817104" w:rsidRDefault="00817104" w:rsidP="00817104">
      <w:pPr>
        <w:pStyle w:val="Body"/>
      </w:pPr>
      <w:r>
        <w:t xml:space="preserve">It is expected that funded Area Mental Health and Wellbeing Services maintain a dedicated NDIS–Mental Health Interface Lead role for the duration of the funding period. </w:t>
      </w:r>
    </w:p>
    <w:p w14:paraId="6837139B" w14:textId="77777777" w:rsidR="00817104" w:rsidRDefault="00817104" w:rsidP="00817104">
      <w:pPr>
        <w:pStyle w:val="Body"/>
      </w:pPr>
      <w:r>
        <w:t>All funded services are required to maintain documented local processes for NDIS interface functions, including escalation pathways for delayed NDIS access, planning or discharge.</w:t>
      </w:r>
    </w:p>
    <w:p w14:paraId="23F821F6" w14:textId="77777777" w:rsidR="00817104" w:rsidRDefault="00817104" w:rsidP="00817104">
      <w:pPr>
        <w:pStyle w:val="Body"/>
      </w:pPr>
      <w:r>
        <w:t xml:space="preserve">All NDIS-Mental Health Interface Leads are required to participate in the statewide Community of Practice and activities coordinated through St Vincent’s Hospital Melbourne. </w:t>
      </w:r>
    </w:p>
    <w:p w14:paraId="013BAF7D" w14:textId="4D0E2A7F" w:rsidR="00817104" w:rsidRDefault="00817104" w:rsidP="00817104">
      <w:pPr>
        <w:pStyle w:val="Heading3"/>
      </w:pPr>
      <w:r>
        <w:t>Charging practices for compulsory consumers</w:t>
      </w:r>
    </w:p>
    <w:p w14:paraId="69C80F12" w14:textId="77777777" w:rsidR="00817104" w:rsidRDefault="00817104" w:rsidP="00817104">
      <w:r>
        <w:t xml:space="preserve">Health services must ensure that their policies, operational procedures and billing practices relating to consumers, subject to a treatment order under the </w:t>
      </w:r>
      <w:r w:rsidRPr="004B6089">
        <w:rPr>
          <w:i/>
          <w:iCs/>
        </w:rPr>
        <w:t>Mental Health and Wellbeing Act 2022</w:t>
      </w:r>
      <w:r>
        <w:t xml:space="preserve">, are </w:t>
      </w:r>
      <w:r>
        <w:lastRenderedPageBreak/>
        <w:t xml:space="preserve">consistent with the </w:t>
      </w:r>
      <w:r w:rsidRPr="00E023BD">
        <w:rPr>
          <w:i/>
          <w:iCs/>
        </w:rPr>
        <w:t>Mental Health and Wellbeing Act 2022</w:t>
      </w:r>
      <w:r>
        <w:t xml:space="preserve">, </w:t>
      </w:r>
      <w:r>
        <w:rPr>
          <w:i/>
          <w:iCs/>
        </w:rPr>
        <w:t>Charter of Human Rights and Responsibilities Act 2006</w:t>
      </w:r>
      <w:r>
        <w:t xml:space="preserve">, the </w:t>
      </w:r>
      <w:r>
        <w:rPr>
          <w:i/>
          <w:iCs/>
        </w:rPr>
        <w:t>National Health Reform Agreement 2020–2025</w:t>
      </w:r>
      <w:r>
        <w:t xml:space="preserve">, the </w:t>
      </w:r>
      <w:r w:rsidRPr="00A43399">
        <w:rPr>
          <w:i/>
          <w:iCs/>
        </w:rPr>
        <w:t>Addendum to the National Health Reform Agreement 2026–31</w:t>
      </w:r>
      <w:r>
        <w:t xml:space="preserve"> and other relevant legislative requirements.</w:t>
      </w:r>
    </w:p>
    <w:p w14:paraId="3AF71C61" w14:textId="77777777" w:rsidR="00817104" w:rsidRDefault="00817104" w:rsidP="00817104">
      <w:r w:rsidRPr="009C4F2A">
        <w:t xml:space="preserve">The practice of billing public mental health consumers </w:t>
      </w:r>
      <w:r>
        <w:t>admitted to</w:t>
      </w:r>
      <w:r w:rsidRPr="009C4F2A">
        <w:t xml:space="preserve"> </w:t>
      </w:r>
      <w:r>
        <w:t xml:space="preserve">a </w:t>
      </w:r>
      <w:r w:rsidRPr="009C4F2A">
        <w:t>SECU is not permitted under the 2020</w:t>
      </w:r>
      <w:r>
        <w:t>–</w:t>
      </w:r>
      <w:r w:rsidRPr="009C4F2A">
        <w:t xml:space="preserve">2025 </w:t>
      </w:r>
      <w:r>
        <w:t xml:space="preserve">NHRA. </w:t>
      </w:r>
      <w:r w:rsidRPr="009C4F2A">
        <w:t xml:space="preserve">Health services must ensure no charges are applied to public consumers </w:t>
      </w:r>
      <w:r>
        <w:t xml:space="preserve">admitted to a </w:t>
      </w:r>
      <w:r w:rsidRPr="009C4F2A">
        <w:t>SECU.</w:t>
      </w:r>
    </w:p>
    <w:p w14:paraId="35087753" w14:textId="77777777" w:rsidR="00817104" w:rsidRDefault="00817104" w:rsidP="00817104">
      <w:r>
        <w:t xml:space="preserve">Health services must align charging practices with their obligations under the </w:t>
      </w:r>
      <w:r w:rsidRPr="00C333A6">
        <w:t xml:space="preserve">Charter of Human Rights and Responsibilities Act </w:t>
      </w:r>
      <w:r>
        <w:t>for:</w:t>
      </w:r>
    </w:p>
    <w:p w14:paraId="20D68CF0" w14:textId="77777777" w:rsidR="00817104" w:rsidRDefault="00817104" w:rsidP="00817104">
      <w:pPr>
        <w:pStyle w:val="Bullet1"/>
        <w:numPr>
          <w:ilvl w:val="0"/>
          <w:numId w:val="2"/>
        </w:numPr>
      </w:pPr>
      <w:r>
        <w:t xml:space="preserve">Medicare ineligible consumers receiving compulsory treatment </w:t>
      </w:r>
    </w:p>
    <w:p w14:paraId="61E9883C" w14:textId="77777777" w:rsidR="00817104" w:rsidRPr="009C4F2A" w:rsidRDefault="00817104" w:rsidP="00817104">
      <w:pPr>
        <w:pStyle w:val="Bullet1"/>
        <w:numPr>
          <w:ilvl w:val="0"/>
          <w:numId w:val="2"/>
        </w:numPr>
      </w:pPr>
      <w:r>
        <w:t xml:space="preserve">the purchase of medication for all consumers on compulsory treatment orders. </w:t>
      </w:r>
    </w:p>
    <w:p w14:paraId="571C56B6" w14:textId="240F4ACE" w:rsidR="00817104" w:rsidRDefault="00817104" w:rsidP="00817104">
      <w:pPr>
        <w:pStyle w:val="Heading3"/>
      </w:pPr>
      <w:r>
        <w:t xml:space="preserve">Parkville Youth Mental Health and Wellbeing Service </w:t>
      </w:r>
    </w:p>
    <w:p w14:paraId="75377A0D" w14:textId="77777777" w:rsidR="00817104" w:rsidRDefault="00817104" w:rsidP="00817104">
      <w:pPr>
        <w:pStyle w:val="Body"/>
      </w:pPr>
      <w:r w:rsidRPr="004950D2">
        <w:t xml:space="preserve">As a dedicated youth mental health service, </w:t>
      </w:r>
      <w:r>
        <w:t>Parkville Youth Mental Health and Wellbeing Service (PYMHWS) provides acute and sub-acute</w:t>
      </w:r>
      <w:r w:rsidRPr="004950D2">
        <w:t xml:space="preserve"> mental health and wellbeing services for 12–25</w:t>
      </w:r>
      <w:r>
        <w:t>-</w:t>
      </w:r>
      <w:r w:rsidRPr="004950D2">
        <w:t>year</w:t>
      </w:r>
      <w:r>
        <w:t>-</w:t>
      </w:r>
      <w:r w:rsidRPr="004950D2">
        <w:t xml:space="preserve">olds </w:t>
      </w:r>
      <w:r>
        <w:t>in the Local Government Areas of:</w:t>
      </w:r>
    </w:p>
    <w:p w14:paraId="6C52412D" w14:textId="77777777" w:rsidR="00817104" w:rsidRDefault="00817104" w:rsidP="00817104">
      <w:pPr>
        <w:pStyle w:val="Bullet1"/>
        <w:numPr>
          <w:ilvl w:val="0"/>
          <w:numId w:val="2"/>
        </w:numPr>
      </w:pPr>
      <w:r>
        <w:t>Wyndham</w:t>
      </w:r>
    </w:p>
    <w:p w14:paraId="2A9B5050" w14:textId="77777777" w:rsidR="00817104" w:rsidRDefault="00817104" w:rsidP="00817104">
      <w:pPr>
        <w:pStyle w:val="Bullet1"/>
        <w:numPr>
          <w:ilvl w:val="0"/>
          <w:numId w:val="2"/>
        </w:numPr>
      </w:pPr>
      <w:r>
        <w:t>Hobson’s Bay</w:t>
      </w:r>
    </w:p>
    <w:p w14:paraId="2364D55F" w14:textId="77777777" w:rsidR="00817104" w:rsidRDefault="00817104" w:rsidP="00817104">
      <w:pPr>
        <w:pStyle w:val="Bullet1"/>
        <w:numPr>
          <w:ilvl w:val="0"/>
          <w:numId w:val="2"/>
        </w:numPr>
      </w:pPr>
      <w:r>
        <w:t>Melton</w:t>
      </w:r>
    </w:p>
    <w:p w14:paraId="6E5A5BD9" w14:textId="77777777" w:rsidR="00817104" w:rsidRDefault="00817104" w:rsidP="00817104">
      <w:pPr>
        <w:pStyle w:val="Bullet1"/>
        <w:numPr>
          <w:ilvl w:val="0"/>
          <w:numId w:val="2"/>
        </w:numPr>
      </w:pPr>
      <w:r>
        <w:t>Hume</w:t>
      </w:r>
    </w:p>
    <w:p w14:paraId="1B8298D5" w14:textId="77777777" w:rsidR="00817104" w:rsidRDefault="00817104" w:rsidP="00817104">
      <w:pPr>
        <w:pStyle w:val="Bullet1"/>
        <w:numPr>
          <w:ilvl w:val="0"/>
          <w:numId w:val="2"/>
        </w:numPr>
      </w:pPr>
      <w:r>
        <w:t>Brimbank</w:t>
      </w:r>
    </w:p>
    <w:p w14:paraId="7C2DE6BC" w14:textId="77777777" w:rsidR="00817104" w:rsidRDefault="00817104" w:rsidP="00817104">
      <w:pPr>
        <w:pStyle w:val="Bullet1"/>
        <w:numPr>
          <w:ilvl w:val="0"/>
          <w:numId w:val="2"/>
        </w:numPr>
      </w:pPr>
      <w:r>
        <w:t>Maribyrnong</w:t>
      </w:r>
    </w:p>
    <w:p w14:paraId="07F9C5D1" w14:textId="77777777" w:rsidR="00817104" w:rsidRDefault="00817104" w:rsidP="00817104">
      <w:pPr>
        <w:pStyle w:val="Bullet1"/>
        <w:numPr>
          <w:ilvl w:val="0"/>
          <w:numId w:val="2"/>
        </w:numPr>
      </w:pPr>
      <w:r>
        <w:t>Moonee Valley</w:t>
      </w:r>
    </w:p>
    <w:p w14:paraId="14269ECC" w14:textId="77777777" w:rsidR="00817104" w:rsidRDefault="00817104" w:rsidP="00817104">
      <w:pPr>
        <w:pStyle w:val="Bullet1"/>
        <w:numPr>
          <w:ilvl w:val="0"/>
          <w:numId w:val="2"/>
        </w:numPr>
      </w:pPr>
      <w:r>
        <w:t>Merri-bek</w:t>
      </w:r>
    </w:p>
    <w:p w14:paraId="28A6B09B" w14:textId="77777777" w:rsidR="00817104" w:rsidRDefault="00817104" w:rsidP="00817104">
      <w:pPr>
        <w:pStyle w:val="Bullet1"/>
        <w:numPr>
          <w:ilvl w:val="0"/>
          <w:numId w:val="2"/>
        </w:numPr>
      </w:pPr>
      <w:r>
        <w:t>Melbourne.</w:t>
      </w:r>
    </w:p>
    <w:p w14:paraId="1DD20280" w14:textId="77777777" w:rsidR="00817104" w:rsidRDefault="00817104" w:rsidP="00817104">
      <w:pPr>
        <w:pStyle w:val="Bodyafterbullets"/>
      </w:pPr>
      <w:r w:rsidRPr="00304E74">
        <w:t xml:space="preserve">PYMHWS is </w:t>
      </w:r>
      <w:r>
        <w:t xml:space="preserve">required </w:t>
      </w:r>
      <w:r w:rsidRPr="00304E74">
        <w:t>to work in partnership with Western Health, Mercy Health</w:t>
      </w:r>
      <w:r>
        <w:t>, Melbourne Health, Northern Health</w:t>
      </w:r>
      <w:r w:rsidRPr="00304E74">
        <w:t xml:space="preserve"> and </w:t>
      </w:r>
      <w:r>
        <w:t>T</w:t>
      </w:r>
      <w:r w:rsidRPr="00304E74">
        <w:t xml:space="preserve">he Royal Children’s Hospital to </w:t>
      </w:r>
      <w:r>
        <w:t>provide</w:t>
      </w:r>
      <w:r w:rsidRPr="00304E74">
        <w:t xml:space="preserve"> timely access to inpatient acute and community</w:t>
      </w:r>
      <w:r w:rsidRPr="00304E74">
        <w:rPr>
          <w:rFonts w:ascii="Cambria Math" w:hAnsi="Cambria Math" w:cs="Cambria Math"/>
        </w:rPr>
        <w:t>‑</w:t>
      </w:r>
      <w:r w:rsidRPr="00304E74">
        <w:t>based mental health services for children and young people</w:t>
      </w:r>
      <w:r>
        <w:t xml:space="preserve"> in these regions, in line with agreed performance and operating requirements</w:t>
      </w:r>
      <w:r w:rsidRPr="00304E74">
        <w:t>.</w:t>
      </w:r>
    </w:p>
    <w:p w14:paraId="2916C31E" w14:textId="136AD7F8" w:rsidR="00817104" w:rsidRPr="00C04078" w:rsidRDefault="00817104" w:rsidP="00DF3A84">
      <w:pPr>
        <w:pStyle w:val="Heading4"/>
        <w:rPr>
          <w:highlight w:val="yellow"/>
        </w:rPr>
      </w:pPr>
      <w:r w:rsidRPr="00E06F6B">
        <w:t xml:space="preserve">Forensic Youth Mental Health Services </w:t>
      </w:r>
    </w:p>
    <w:p w14:paraId="69481BE1" w14:textId="2DC1C95A" w:rsidR="00817104" w:rsidRDefault="00817104" w:rsidP="00817104">
      <w:pPr>
        <w:pStyle w:val="Body"/>
      </w:pPr>
      <w:r w:rsidRPr="00D14789">
        <w:t xml:space="preserve">PYMHWS </w:t>
      </w:r>
      <w:r>
        <w:t>will provide</w:t>
      </w:r>
      <w:r w:rsidRPr="00D14789">
        <w:t xml:space="preserve"> </w:t>
      </w:r>
      <w:r w:rsidRPr="00E06F6B">
        <w:t xml:space="preserve">Forensic Youth Mental Health Service </w:t>
      </w:r>
      <w:r>
        <w:t>(</w:t>
      </w:r>
      <w:r w:rsidRPr="00D14789">
        <w:t>FYMHS</w:t>
      </w:r>
      <w:r>
        <w:t>)</w:t>
      </w:r>
      <w:r w:rsidRPr="00D14789">
        <w:t xml:space="preserve"> </w:t>
      </w:r>
      <w:r>
        <w:t xml:space="preserve">for the youth justice custodial sites at Malmsbury, Parkville and Cherry Creek and maintain access to forensic youth acute mental health inpatient beds at Footscray Hospital. </w:t>
      </w:r>
    </w:p>
    <w:p w14:paraId="0E62799B" w14:textId="77777777" w:rsidR="00817104" w:rsidRDefault="00817104" w:rsidP="00817104">
      <w:pPr>
        <w:pStyle w:val="Body"/>
      </w:pPr>
      <w:r>
        <w:t xml:space="preserve">In 2026–27, PYMHWS is required to continue to report against performance measures for the custodial FYMHS service as agreed with the </w:t>
      </w:r>
      <w:r w:rsidRPr="00CE6BE7">
        <w:t>Department of Justice and Community Safety</w:t>
      </w:r>
      <w:r>
        <w:t xml:space="preserve"> through the Joint Management Committee</w:t>
      </w:r>
      <w:r w:rsidRPr="00D14789">
        <w:t xml:space="preserve">. </w:t>
      </w:r>
    </w:p>
    <w:p w14:paraId="72DFF43D" w14:textId="4C083B13" w:rsidR="00817104" w:rsidRPr="001A2506" w:rsidRDefault="00817104" w:rsidP="00817104">
      <w:pPr>
        <w:pStyle w:val="Heading3"/>
      </w:pPr>
      <w:r>
        <w:t xml:space="preserve">Women’s Recovery Network </w:t>
      </w:r>
    </w:p>
    <w:p w14:paraId="14A9CC90" w14:textId="77777777" w:rsidR="00817104" w:rsidRDefault="00817104" w:rsidP="00817104">
      <w:pPr>
        <w:pStyle w:val="Body"/>
      </w:pPr>
      <w:r>
        <w:t>The Women’s Recovery Network (Wren) is a specialist women’s mental health service operated as a public-private partnership involving Bayside Health-Alfred Care Group, Goulburn Valley Health and Ramsay Mental Health. Wren provides specialist, trauma-informed</w:t>
      </w:r>
      <w:r w:rsidRPr="00812C99">
        <w:t xml:space="preserve"> mental </w:t>
      </w:r>
      <w:r>
        <w:t>health care for</w:t>
      </w:r>
      <w:r w:rsidRPr="00812C99">
        <w:t xml:space="preserve"> women or anyone who </w:t>
      </w:r>
      <w:r>
        <w:t>identifies</w:t>
      </w:r>
      <w:r w:rsidRPr="00812C99">
        <w:t xml:space="preserve"> as a woman, </w:t>
      </w:r>
      <w:r>
        <w:t>regardless</w:t>
      </w:r>
      <w:r w:rsidRPr="00812C99">
        <w:t xml:space="preserve"> of sex assigned at birth or gender expression</w:t>
      </w:r>
      <w:r>
        <w:t>, who are aged 18 and over and reside in Victoria.</w:t>
      </w:r>
    </w:p>
    <w:p w14:paraId="5119624A" w14:textId="77777777" w:rsidR="00817104" w:rsidRDefault="00817104" w:rsidP="00817104">
      <w:pPr>
        <w:pStyle w:val="Body"/>
      </w:pPr>
      <w:r>
        <w:lastRenderedPageBreak/>
        <w:t>In Melbourne, admitted bed-based mental health care (acute services) is provided via:</w:t>
      </w:r>
    </w:p>
    <w:p w14:paraId="55DC90A4" w14:textId="77777777" w:rsidR="00817104" w:rsidRDefault="00817104" w:rsidP="00817104">
      <w:pPr>
        <w:pStyle w:val="Bullet1"/>
        <w:numPr>
          <w:ilvl w:val="0"/>
          <w:numId w:val="2"/>
        </w:numPr>
      </w:pPr>
      <w:r>
        <w:t>general mental health (14 beds)</w:t>
      </w:r>
    </w:p>
    <w:p w14:paraId="09A5C2AA" w14:textId="77777777" w:rsidR="00817104" w:rsidRDefault="00817104" w:rsidP="00817104">
      <w:pPr>
        <w:pStyle w:val="Bullet1"/>
        <w:numPr>
          <w:ilvl w:val="0"/>
          <w:numId w:val="2"/>
        </w:numPr>
      </w:pPr>
      <w:r>
        <w:t>perinatal mental health (five beds)</w:t>
      </w:r>
    </w:p>
    <w:p w14:paraId="3729BA7E" w14:textId="77777777" w:rsidR="00817104" w:rsidRDefault="00817104" w:rsidP="00817104">
      <w:pPr>
        <w:pStyle w:val="Bullet1"/>
        <w:numPr>
          <w:ilvl w:val="0"/>
          <w:numId w:val="2"/>
        </w:numPr>
      </w:pPr>
      <w:r>
        <w:t>eating disorders (five beds)</w:t>
      </w:r>
    </w:p>
    <w:p w14:paraId="56E4393B" w14:textId="77777777" w:rsidR="00817104" w:rsidRDefault="00817104" w:rsidP="00817104">
      <w:pPr>
        <w:pStyle w:val="Bullet1"/>
        <w:numPr>
          <w:ilvl w:val="0"/>
          <w:numId w:val="2"/>
        </w:numPr>
      </w:pPr>
      <w:r>
        <w:t>HITH (six beds).</w:t>
      </w:r>
    </w:p>
    <w:p w14:paraId="0C7474E3" w14:textId="77777777" w:rsidR="00817104" w:rsidRDefault="00817104" w:rsidP="00817104">
      <w:pPr>
        <w:pStyle w:val="Bodyafterbullets"/>
      </w:pPr>
      <w:r>
        <w:t>In Shepparton, admitted bed-based mental health care (acute services) is provided via two general mental health beds and three HITH beds.</w:t>
      </w:r>
    </w:p>
    <w:p w14:paraId="6AB4E3E1" w14:textId="77777777" w:rsidR="00817104" w:rsidRDefault="00817104" w:rsidP="00817104">
      <w:pPr>
        <w:pStyle w:val="Bullet1"/>
        <w:numPr>
          <w:ilvl w:val="0"/>
          <w:numId w:val="0"/>
        </w:numPr>
      </w:pPr>
      <w:r w:rsidRPr="00FC7F28">
        <w:t>Health services are responsible for managing workforce, admission and discharge processes to maximise bed availability</w:t>
      </w:r>
      <w:r>
        <w:t>,</w:t>
      </w:r>
      <w:r w:rsidRPr="00FC7F28">
        <w:t xml:space="preserve"> and are expected to manage </w:t>
      </w:r>
      <w:r>
        <w:t xml:space="preserve">Wren </w:t>
      </w:r>
      <w:r w:rsidRPr="00FC7F28">
        <w:t>services to achieve an average bed occupancy of 8</w:t>
      </w:r>
      <w:r>
        <w:t>5 per cent</w:t>
      </w:r>
      <w:r w:rsidRPr="00FC7F28">
        <w:t>, consistent with safe, efficient and effective use of funded</w:t>
      </w:r>
      <w:r>
        <w:t xml:space="preserve"> bed </w:t>
      </w:r>
      <w:r w:rsidRPr="00FC7F28">
        <w:t>capacity.</w:t>
      </w:r>
    </w:p>
    <w:p w14:paraId="38973084" w14:textId="77777777" w:rsidR="00817104" w:rsidRDefault="00817104" w:rsidP="00817104">
      <w:pPr>
        <w:pStyle w:val="Bullet1"/>
        <w:numPr>
          <w:ilvl w:val="0"/>
          <w:numId w:val="0"/>
        </w:numPr>
      </w:pPr>
      <w:r>
        <w:t xml:space="preserve">For more information, visit </w:t>
      </w:r>
      <w:hyperlink r:id="rId57" w:history="1">
        <w:r w:rsidRPr="002A533A">
          <w:rPr>
            <w:rStyle w:val="Hyperlink"/>
          </w:rPr>
          <w:t>Wren</w:t>
        </w:r>
      </w:hyperlink>
      <w:r>
        <w:t xml:space="preserve"> &lt;</w:t>
      </w:r>
      <w:r w:rsidRPr="002A533A">
        <w:t>https://www.wren.org.au/</w:t>
      </w:r>
      <w:r>
        <w:t xml:space="preserve">&gt;. </w:t>
      </w:r>
    </w:p>
    <w:p w14:paraId="1B2D0282" w14:textId="5B39705B" w:rsidR="00817104" w:rsidRPr="001A2506" w:rsidRDefault="00817104" w:rsidP="00817104">
      <w:pPr>
        <w:pStyle w:val="Heading3"/>
      </w:pPr>
      <w:r>
        <w:t xml:space="preserve">Mental health community support services </w:t>
      </w:r>
    </w:p>
    <w:p w14:paraId="28C604CD" w14:textId="77777777" w:rsidR="00817104" w:rsidRDefault="00817104" w:rsidP="00817104">
      <w:pPr>
        <w:pStyle w:val="Body"/>
      </w:pPr>
      <w:r>
        <w:t>Mental health community support services (</w:t>
      </w:r>
      <w:r w:rsidRPr="00E11DFD">
        <w:t>MHCSS</w:t>
      </w:r>
      <w:r>
        <w:t xml:space="preserve">) are nonclinical, community-based services that </w:t>
      </w:r>
      <w:r w:rsidRPr="00E11DFD">
        <w:t>provide</w:t>
      </w:r>
      <w:r>
        <w:t xml:space="preserve"> </w:t>
      </w:r>
      <w:r w:rsidRPr="00E11DFD">
        <w:t>psychosocial</w:t>
      </w:r>
      <w:r>
        <w:t xml:space="preserve"> </w:t>
      </w:r>
      <w:r w:rsidRPr="00E11DFD">
        <w:t>rehabilitation</w:t>
      </w:r>
      <w:r>
        <w:t xml:space="preserve"> </w:t>
      </w:r>
      <w:r w:rsidRPr="00E11DFD">
        <w:t>support</w:t>
      </w:r>
      <w:r>
        <w:t xml:space="preserve"> </w:t>
      </w:r>
      <w:r w:rsidRPr="00E11DFD">
        <w:t>to</w:t>
      </w:r>
      <w:r>
        <w:t xml:space="preserve"> </w:t>
      </w:r>
      <w:r w:rsidRPr="00E11DFD">
        <w:t>people</w:t>
      </w:r>
      <w:r>
        <w:t xml:space="preserve"> </w:t>
      </w:r>
      <w:r w:rsidRPr="00E11DFD">
        <w:t>aged</w:t>
      </w:r>
      <w:r>
        <w:t xml:space="preserve"> </w:t>
      </w:r>
      <w:r w:rsidRPr="00E11DFD">
        <w:t>16–64</w:t>
      </w:r>
      <w:r>
        <w:t xml:space="preserve"> </w:t>
      </w:r>
      <w:r w:rsidRPr="00E11DFD">
        <w:t>years</w:t>
      </w:r>
      <w:r>
        <w:t xml:space="preserve">, who are </w:t>
      </w:r>
      <w:r w:rsidRPr="00E11DFD">
        <w:t>living</w:t>
      </w:r>
      <w:r>
        <w:t xml:space="preserve"> </w:t>
      </w:r>
      <w:r w:rsidRPr="00E11DFD">
        <w:t>with</w:t>
      </w:r>
      <w:r>
        <w:t xml:space="preserve"> </w:t>
      </w:r>
      <w:r w:rsidRPr="00E11DFD">
        <w:t>an</w:t>
      </w:r>
      <w:r>
        <w:t xml:space="preserve"> </w:t>
      </w:r>
      <w:r w:rsidRPr="00E11DFD">
        <w:t>enduring</w:t>
      </w:r>
      <w:r>
        <w:t xml:space="preserve"> psychosocial </w:t>
      </w:r>
      <w:r w:rsidRPr="00E11DFD">
        <w:t>disability</w:t>
      </w:r>
      <w:r w:rsidRPr="00F3308C">
        <w:t>.</w:t>
      </w:r>
      <w:r>
        <w:t xml:space="preserve"> </w:t>
      </w:r>
    </w:p>
    <w:p w14:paraId="4FB30291" w14:textId="77777777" w:rsidR="00817104" w:rsidRPr="00F3308C" w:rsidRDefault="00817104" w:rsidP="00817104">
      <w:pPr>
        <w:pStyle w:val="Body"/>
      </w:pPr>
      <w:r>
        <w:t>MHCSS support people to manage their self-care, improve social and relationship skills, and achieve broader quality of life through physical health, social connectedness, housing, education and employment. Services are largely delivered by NGOs.</w:t>
      </w:r>
    </w:p>
    <w:p w14:paraId="21764334" w14:textId="77777777" w:rsidR="00817104" w:rsidRPr="00577E6C" w:rsidRDefault="00817104" w:rsidP="00817104">
      <w:pPr>
        <w:pStyle w:val="Body"/>
      </w:pPr>
      <w:r>
        <w:t xml:space="preserve">From 2016–2020, individualised client support packages, adult residential rehabilitation and selected supported accommodation services transitioned to the NDIS, with many </w:t>
      </w:r>
      <w:r w:rsidRPr="00E11DFD">
        <w:t>MHCSS</w:t>
      </w:r>
      <w:r>
        <w:t xml:space="preserve"> clients becoming NDIS participants. The continuity of support </w:t>
      </w:r>
      <w:r w:rsidRPr="00E11DFD">
        <w:t>program</w:t>
      </w:r>
      <w:r>
        <w:t xml:space="preserve"> was established for MHCSS clients who </w:t>
      </w:r>
      <w:r w:rsidRPr="001A5838">
        <w:rPr>
          <w:lang w:val="en-US"/>
        </w:rPr>
        <w:t>are</w:t>
      </w:r>
      <w:r>
        <w:rPr>
          <w:lang w:val="en-US"/>
        </w:rPr>
        <w:t xml:space="preserve"> </w:t>
      </w:r>
      <w:r w:rsidRPr="001A5838">
        <w:rPr>
          <w:lang w:val="en-US"/>
        </w:rPr>
        <w:t>not</w:t>
      </w:r>
      <w:r>
        <w:rPr>
          <w:lang w:val="en-US"/>
        </w:rPr>
        <w:t xml:space="preserve"> </w:t>
      </w:r>
      <w:r w:rsidRPr="001A5838">
        <w:rPr>
          <w:lang w:val="en-US"/>
        </w:rPr>
        <w:t>eligible</w:t>
      </w:r>
      <w:r>
        <w:rPr>
          <w:lang w:val="en-US"/>
        </w:rPr>
        <w:t xml:space="preserve"> </w:t>
      </w:r>
      <w:r w:rsidRPr="001A5838">
        <w:rPr>
          <w:lang w:val="en-US"/>
        </w:rPr>
        <w:t>for</w:t>
      </w:r>
      <w:r>
        <w:rPr>
          <w:lang w:val="en-US"/>
        </w:rPr>
        <w:t xml:space="preserve"> </w:t>
      </w:r>
      <w:r w:rsidRPr="001A5838">
        <w:rPr>
          <w:lang w:val="en-US"/>
        </w:rPr>
        <w:t>the</w:t>
      </w:r>
      <w:r>
        <w:rPr>
          <w:lang w:val="en-US"/>
        </w:rPr>
        <w:t xml:space="preserve"> </w:t>
      </w:r>
      <w:r w:rsidRPr="001A5838">
        <w:t>NDIS</w:t>
      </w:r>
      <w:r>
        <w:rPr>
          <w:lang w:val="en-US"/>
        </w:rPr>
        <w:t xml:space="preserve"> as they do not meet the NDIS </w:t>
      </w:r>
      <w:r w:rsidRPr="001A5838">
        <w:rPr>
          <w:lang w:val="en-US"/>
        </w:rPr>
        <w:t>age</w:t>
      </w:r>
      <w:r>
        <w:rPr>
          <w:lang w:val="en-US"/>
        </w:rPr>
        <w:t xml:space="preserve"> or </w:t>
      </w:r>
      <w:r w:rsidRPr="001A5838">
        <w:rPr>
          <w:lang w:val="en-US"/>
        </w:rPr>
        <w:t>residency</w:t>
      </w:r>
      <w:r>
        <w:rPr>
          <w:lang w:val="en-US"/>
        </w:rPr>
        <w:t xml:space="preserve"> requirements. </w:t>
      </w:r>
      <w:r w:rsidRPr="00577E6C">
        <w:t xml:space="preserve">Continuity of </w:t>
      </w:r>
      <w:r>
        <w:t>s</w:t>
      </w:r>
      <w:r w:rsidRPr="00577E6C">
        <w:t>upport is limited to this residual cohort and is not open to new clients.</w:t>
      </w:r>
    </w:p>
    <w:p w14:paraId="50FCE327" w14:textId="77777777" w:rsidR="00817104" w:rsidRDefault="00817104" w:rsidP="00817104">
      <w:pPr>
        <w:pStyle w:val="Body"/>
      </w:pPr>
      <w:r w:rsidRPr="00E11DFD">
        <w:t>The</w:t>
      </w:r>
      <w:r>
        <w:t xml:space="preserve"> psychosocial support services that continue to be delivered through the </w:t>
      </w:r>
      <w:r w:rsidRPr="00E11DFD">
        <w:t>MHCSS</w:t>
      </w:r>
      <w:r>
        <w:t xml:space="preserve"> </w:t>
      </w:r>
      <w:r w:rsidRPr="00E11DFD">
        <w:t>program</w:t>
      </w:r>
      <w:r>
        <w:t xml:space="preserve"> include:</w:t>
      </w:r>
    </w:p>
    <w:p w14:paraId="10A33107" w14:textId="77777777" w:rsidR="00817104" w:rsidRDefault="00817104" w:rsidP="00817104">
      <w:pPr>
        <w:pStyle w:val="Bullet1"/>
        <w:numPr>
          <w:ilvl w:val="0"/>
          <w:numId w:val="2"/>
        </w:numPr>
      </w:pPr>
      <w:r>
        <w:t>mental health community intake</w:t>
      </w:r>
    </w:p>
    <w:p w14:paraId="5F9C958F" w14:textId="77777777" w:rsidR="00817104" w:rsidRDefault="00817104" w:rsidP="00817104">
      <w:pPr>
        <w:pStyle w:val="Bullet1"/>
        <w:numPr>
          <w:ilvl w:val="0"/>
          <w:numId w:val="2"/>
        </w:numPr>
      </w:pPr>
      <w:r>
        <w:t>y</w:t>
      </w:r>
      <w:r w:rsidRPr="00E11DFD">
        <w:t>outh</w:t>
      </w:r>
      <w:r>
        <w:t xml:space="preserve"> r</w:t>
      </w:r>
      <w:r w:rsidRPr="00E11DFD">
        <w:t>esidential</w:t>
      </w:r>
      <w:r>
        <w:t xml:space="preserve"> recovery</w:t>
      </w:r>
    </w:p>
    <w:p w14:paraId="15227BBF" w14:textId="77777777" w:rsidR="00817104" w:rsidRDefault="00817104" w:rsidP="00817104">
      <w:pPr>
        <w:pStyle w:val="Bullet1"/>
        <w:numPr>
          <w:ilvl w:val="0"/>
          <w:numId w:val="2"/>
        </w:numPr>
      </w:pPr>
      <w:r w:rsidRPr="00E11DFD">
        <w:t>supported</w:t>
      </w:r>
      <w:r>
        <w:t xml:space="preserve"> </w:t>
      </w:r>
      <w:r w:rsidRPr="00E11DFD">
        <w:t>accommodation</w:t>
      </w:r>
    </w:p>
    <w:p w14:paraId="66F21E55" w14:textId="77777777" w:rsidR="00817104" w:rsidRDefault="00817104" w:rsidP="00817104">
      <w:pPr>
        <w:pStyle w:val="Bullet1"/>
        <w:numPr>
          <w:ilvl w:val="0"/>
          <w:numId w:val="2"/>
        </w:numPr>
      </w:pPr>
      <w:r>
        <w:t>statewide supports</w:t>
      </w:r>
    </w:p>
    <w:p w14:paraId="71829BCF" w14:textId="77777777" w:rsidR="00817104" w:rsidRDefault="00817104" w:rsidP="00817104">
      <w:pPr>
        <w:pStyle w:val="Bullet1"/>
        <w:numPr>
          <w:ilvl w:val="0"/>
          <w:numId w:val="2"/>
        </w:numPr>
      </w:pPr>
      <w:r>
        <w:t>mutual support and self-help</w:t>
      </w:r>
    </w:p>
    <w:p w14:paraId="3AA05AD9" w14:textId="77777777" w:rsidR="00817104" w:rsidRDefault="00817104" w:rsidP="00817104">
      <w:pPr>
        <w:pStyle w:val="Bullet1"/>
        <w:numPr>
          <w:ilvl w:val="0"/>
          <w:numId w:val="2"/>
        </w:numPr>
      </w:pPr>
      <w:r w:rsidRPr="00E11DFD">
        <w:t>planned</w:t>
      </w:r>
      <w:r>
        <w:t xml:space="preserve"> </w:t>
      </w:r>
      <w:r w:rsidRPr="00E11DFD">
        <w:t>respite</w:t>
      </w:r>
      <w:r>
        <w:t xml:space="preserve"> and </w:t>
      </w:r>
      <w:r w:rsidRPr="00E11DFD">
        <w:t>carer</w:t>
      </w:r>
      <w:r>
        <w:t xml:space="preserve"> </w:t>
      </w:r>
      <w:r w:rsidRPr="00E11DFD">
        <w:t>support</w:t>
      </w:r>
    </w:p>
    <w:p w14:paraId="34C9FA0B" w14:textId="77777777" w:rsidR="00817104" w:rsidRDefault="00817104" w:rsidP="00817104">
      <w:pPr>
        <w:pStyle w:val="Bullet1"/>
        <w:numPr>
          <w:ilvl w:val="0"/>
          <w:numId w:val="2"/>
        </w:numPr>
      </w:pPr>
      <w:r>
        <w:t>h</w:t>
      </w:r>
      <w:r w:rsidRPr="006D7B27">
        <w:t xml:space="preserve">omelessness and </w:t>
      </w:r>
      <w:r>
        <w:t>m</w:t>
      </w:r>
      <w:r w:rsidRPr="006D7B27">
        <w:t xml:space="preserve">ental </w:t>
      </w:r>
      <w:r>
        <w:t>h</w:t>
      </w:r>
      <w:r w:rsidRPr="006D7B27">
        <w:t>ealth</w:t>
      </w:r>
      <w:r>
        <w:t xml:space="preserve"> i</w:t>
      </w:r>
      <w:r w:rsidRPr="006D7B27">
        <w:t>nitiatives</w:t>
      </w:r>
    </w:p>
    <w:p w14:paraId="438A4F36" w14:textId="77777777" w:rsidR="00817104" w:rsidRDefault="00817104" w:rsidP="00817104">
      <w:pPr>
        <w:pStyle w:val="Bullet1"/>
        <w:numPr>
          <w:ilvl w:val="0"/>
          <w:numId w:val="2"/>
        </w:numPr>
      </w:pPr>
      <w:r w:rsidRPr="00E11DFD">
        <w:t>Aboriginal</w:t>
      </w:r>
      <w:r>
        <w:t xml:space="preserve"> </w:t>
      </w:r>
      <w:r w:rsidRPr="00E11DFD">
        <w:t>mental</w:t>
      </w:r>
      <w:r>
        <w:t xml:space="preserve"> </w:t>
      </w:r>
      <w:r w:rsidRPr="00E11DFD">
        <w:t>health</w:t>
      </w:r>
      <w:r>
        <w:t xml:space="preserve"> </w:t>
      </w:r>
      <w:r w:rsidRPr="00E11DFD">
        <w:t>support</w:t>
      </w:r>
    </w:p>
    <w:p w14:paraId="2C0DB4F1" w14:textId="77777777" w:rsidR="00817104" w:rsidRDefault="00817104" w:rsidP="00817104">
      <w:pPr>
        <w:pStyle w:val="Bullet1"/>
        <w:numPr>
          <w:ilvl w:val="0"/>
          <w:numId w:val="2"/>
        </w:numPr>
        <w:spacing w:after="120"/>
        <w:rPr>
          <w:lang w:val="en-US"/>
        </w:rPr>
      </w:pPr>
      <w:r>
        <w:t>continuity of support</w:t>
      </w:r>
      <w:r w:rsidRPr="00E11DFD">
        <w:t>.</w:t>
      </w:r>
    </w:p>
    <w:p w14:paraId="24E351BA" w14:textId="77777777" w:rsidR="00817104" w:rsidRDefault="00817104" w:rsidP="00817104">
      <w:pPr>
        <w:pStyle w:val="Body"/>
        <w:rPr>
          <w:lang w:val="en-US"/>
        </w:rPr>
      </w:pPr>
      <w:r w:rsidRPr="00E11DFD">
        <w:t>Bed-based</w:t>
      </w:r>
      <w:r>
        <w:t xml:space="preserve"> </w:t>
      </w:r>
      <w:r w:rsidRPr="00E11DFD">
        <w:t>MHCSS</w:t>
      </w:r>
      <w:r>
        <w:t xml:space="preserve"> </w:t>
      </w:r>
      <w:r w:rsidRPr="00E11DFD">
        <w:t>are</w:t>
      </w:r>
      <w:r>
        <w:t xml:space="preserve"> </w:t>
      </w:r>
      <w:r w:rsidRPr="00E11DFD">
        <w:t>funded</w:t>
      </w:r>
      <w:r>
        <w:t xml:space="preserve"> </w:t>
      </w:r>
      <w:r w:rsidRPr="00E11DFD">
        <w:t>on</w:t>
      </w:r>
      <w:r>
        <w:t xml:space="preserve"> </w:t>
      </w:r>
      <w:r w:rsidRPr="00E11DFD">
        <w:t>a</w:t>
      </w:r>
      <w:r>
        <w:t xml:space="preserve"> </w:t>
      </w:r>
      <w:r w:rsidRPr="00E11DFD">
        <w:t>bed-day</w:t>
      </w:r>
      <w:r>
        <w:t xml:space="preserve"> </w:t>
      </w:r>
      <w:r w:rsidRPr="00E11DFD">
        <w:t>rate.</w:t>
      </w:r>
      <w:r>
        <w:t xml:space="preserve"> Most </w:t>
      </w:r>
      <w:r w:rsidRPr="00E11DFD">
        <w:t>other</w:t>
      </w:r>
      <w:r>
        <w:t xml:space="preserve"> </w:t>
      </w:r>
      <w:r w:rsidRPr="00E11DFD">
        <w:t>MHCSS</w:t>
      </w:r>
      <w:r>
        <w:t xml:space="preserve"> </w:t>
      </w:r>
      <w:r w:rsidRPr="00E11DFD">
        <w:t>activity</w:t>
      </w:r>
      <w:r>
        <w:t xml:space="preserve"> </w:t>
      </w:r>
      <w:r w:rsidRPr="00E11DFD">
        <w:t>is</w:t>
      </w:r>
      <w:r>
        <w:t xml:space="preserve"> </w:t>
      </w:r>
      <w:r w:rsidRPr="00E11DFD">
        <w:t>block-funded</w:t>
      </w:r>
      <w:r>
        <w:t>, excluding continuity of support, which is funded through individual client support packages</w:t>
      </w:r>
      <w:r w:rsidRPr="00E11DFD">
        <w:t>.</w:t>
      </w:r>
      <w:r>
        <w:t xml:space="preserve"> </w:t>
      </w:r>
      <w:r w:rsidRPr="00E11DFD">
        <w:t>Funding</w:t>
      </w:r>
      <w:r>
        <w:t xml:space="preserve"> is </w:t>
      </w:r>
      <w:r w:rsidRPr="00E11DFD">
        <w:t>indexed</w:t>
      </w:r>
      <w:r>
        <w:t xml:space="preserve">, </w:t>
      </w:r>
      <w:r w:rsidRPr="00E11DFD">
        <w:t>consistent</w:t>
      </w:r>
      <w:r>
        <w:t xml:space="preserve"> </w:t>
      </w:r>
      <w:r w:rsidRPr="00E11DFD">
        <w:t>with</w:t>
      </w:r>
      <w:r>
        <w:t xml:space="preserve"> </w:t>
      </w:r>
      <w:r w:rsidRPr="00E11DFD">
        <w:t>the</w:t>
      </w:r>
      <w:r>
        <w:t xml:space="preserve"> </w:t>
      </w:r>
      <w:r w:rsidRPr="00E11DFD">
        <w:t>government’s</w:t>
      </w:r>
      <w:r>
        <w:t xml:space="preserve"> </w:t>
      </w:r>
      <w:r w:rsidRPr="00E11DFD">
        <w:t>annual</w:t>
      </w:r>
      <w:r>
        <w:t xml:space="preserve"> </w:t>
      </w:r>
      <w:r w:rsidRPr="00E11DFD">
        <w:t>determination</w:t>
      </w:r>
      <w:r>
        <w:t xml:space="preserve"> </w:t>
      </w:r>
      <w:r w:rsidRPr="00E11DFD">
        <w:t>for</w:t>
      </w:r>
      <w:r>
        <w:t xml:space="preserve"> </w:t>
      </w:r>
      <w:r w:rsidRPr="00E11DFD">
        <w:t>community</w:t>
      </w:r>
      <w:r>
        <w:t xml:space="preserve"> </w:t>
      </w:r>
      <w:r w:rsidRPr="00E11DFD">
        <w:t>service</w:t>
      </w:r>
      <w:r>
        <w:t xml:space="preserve"> </w:t>
      </w:r>
      <w:r w:rsidRPr="00E11DFD">
        <w:t>organisations.</w:t>
      </w:r>
    </w:p>
    <w:p w14:paraId="3FC30DAF" w14:textId="1FFA9D77" w:rsidR="00817104" w:rsidRPr="001A2506" w:rsidRDefault="00817104" w:rsidP="00817104">
      <w:pPr>
        <w:pStyle w:val="Heading3"/>
      </w:pPr>
      <w:r w:rsidRPr="001A2506">
        <w:t xml:space="preserve">Early </w:t>
      </w:r>
      <w:r w:rsidRPr="00DD725B">
        <w:t>Intervention</w:t>
      </w:r>
      <w:r w:rsidRPr="001A2506">
        <w:t xml:space="preserve"> Psychosocial Support Response</w:t>
      </w:r>
      <w:r>
        <w:t xml:space="preserve"> </w:t>
      </w:r>
    </w:p>
    <w:p w14:paraId="38F0C67F" w14:textId="77777777" w:rsidR="00817104" w:rsidRDefault="00817104" w:rsidP="00817104">
      <w:pPr>
        <w:pStyle w:val="Body"/>
      </w:pPr>
      <w:bookmarkStart w:id="1759" w:name="_Toc143080866"/>
      <w:r w:rsidRPr="00EF219B">
        <w:t>T</w:t>
      </w:r>
      <w:r w:rsidRPr="00F3308C">
        <w:t>he</w:t>
      </w:r>
      <w:r>
        <w:t xml:space="preserve"> </w:t>
      </w:r>
      <w:r w:rsidRPr="001A2506">
        <w:t xml:space="preserve">Early </w:t>
      </w:r>
      <w:r w:rsidRPr="00DD725B">
        <w:t>Intervention</w:t>
      </w:r>
      <w:r w:rsidRPr="001A2506">
        <w:t xml:space="preserve"> Psychosocial Support Response</w:t>
      </w:r>
      <w:r>
        <w:t xml:space="preserve"> (EIPSR) </w:t>
      </w:r>
      <w:r w:rsidRPr="00F3308C">
        <w:t>is</w:t>
      </w:r>
      <w:r>
        <w:t xml:space="preserve"> </w:t>
      </w:r>
      <w:r w:rsidRPr="00F3308C">
        <w:t>a</w:t>
      </w:r>
      <w:r>
        <w:t xml:space="preserve"> short to medium-term, </w:t>
      </w:r>
      <w:r w:rsidRPr="00F3308C">
        <w:t>psychosocial</w:t>
      </w:r>
      <w:r>
        <w:t xml:space="preserve"> </w:t>
      </w:r>
      <w:r w:rsidRPr="00F3308C">
        <w:t>support</w:t>
      </w:r>
      <w:r>
        <w:t xml:space="preserve"> program for people aged 16–65 years, who are clients of Area Mental Health </w:t>
      </w:r>
      <w:r>
        <w:lastRenderedPageBreak/>
        <w:t xml:space="preserve">and Wellbeing Services and have a severe mental illness and </w:t>
      </w:r>
      <w:r w:rsidRPr="00F3308C">
        <w:t>associated</w:t>
      </w:r>
      <w:r>
        <w:t xml:space="preserve"> </w:t>
      </w:r>
      <w:r w:rsidRPr="00F3308C">
        <w:t>psychiatric</w:t>
      </w:r>
      <w:r>
        <w:t xml:space="preserve"> </w:t>
      </w:r>
      <w:r w:rsidRPr="00F3308C">
        <w:t>disability</w:t>
      </w:r>
      <w:r>
        <w:t xml:space="preserve">. EIPSR is intended for people who are </w:t>
      </w:r>
      <w:r w:rsidRPr="00DD725B">
        <w:t>not eligible for the NDIS</w:t>
      </w:r>
      <w:r w:rsidRPr="00DD725B" w:rsidDel="002A1F59">
        <w:t xml:space="preserve"> </w:t>
      </w:r>
      <w:r>
        <w:t xml:space="preserve">or are awaiting a </w:t>
      </w:r>
      <w:r w:rsidRPr="00DD725B">
        <w:t xml:space="preserve">NDIS access decision </w:t>
      </w:r>
      <w:r>
        <w:t xml:space="preserve">or commencement of an approved </w:t>
      </w:r>
      <w:r w:rsidRPr="00DD725B">
        <w:t>plan.</w:t>
      </w:r>
    </w:p>
    <w:p w14:paraId="07FBBA66" w14:textId="77777777" w:rsidR="00817104" w:rsidRDefault="00817104" w:rsidP="00817104">
      <w:pPr>
        <w:pStyle w:val="Body"/>
      </w:pPr>
      <w:r>
        <w:t>H</w:t>
      </w:r>
      <w:r w:rsidRPr="001A5838">
        <w:t>ealth</w:t>
      </w:r>
      <w:r>
        <w:t xml:space="preserve"> </w:t>
      </w:r>
      <w:r w:rsidRPr="001A5838">
        <w:t>services</w:t>
      </w:r>
      <w:r>
        <w:t xml:space="preserve"> </w:t>
      </w:r>
      <w:r w:rsidRPr="001A5838">
        <w:t>are</w:t>
      </w:r>
      <w:r>
        <w:t xml:space="preserve"> </w:t>
      </w:r>
      <w:r w:rsidRPr="001A5838">
        <w:t>funded</w:t>
      </w:r>
      <w:r>
        <w:t xml:space="preserve"> </w:t>
      </w:r>
      <w:r w:rsidRPr="001A5838">
        <w:t>to</w:t>
      </w:r>
      <w:r>
        <w:t xml:space="preserve"> </w:t>
      </w:r>
      <w:r w:rsidRPr="001A5838">
        <w:t>deliver</w:t>
      </w:r>
      <w:r>
        <w:t xml:space="preserve"> EIPSR through </w:t>
      </w:r>
      <w:r w:rsidRPr="001A5838">
        <w:t>contractual</w:t>
      </w:r>
      <w:r>
        <w:t xml:space="preserve"> </w:t>
      </w:r>
      <w:r w:rsidRPr="001A5838">
        <w:t>partnership</w:t>
      </w:r>
      <w:r>
        <w:t xml:space="preserve">s </w:t>
      </w:r>
      <w:r w:rsidRPr="001A5838">
        <w:t>with</w:t>
      </w:r>
      <w:r>
        <w:t xml:space="preserve"> NGOs</w:t>
      </w:r>
      <w:r w:rsidRPr="001A5838">
        <w:t>.</w:t>
      </w:r>
      <w:r>
        <w:t xml:space="preserve"> Services must deliver EIPSR in accordance with the </w:t>
      </w:r>
      <w:r w:rsidRPr="002D6AE5">
        <w:rPr>
          <w:iCs/>
        </w:rPr>
        <w:t>EIPSR Service Framework (2019)</w:t>
      </w:r>
      <w:r w:rsidRPr="006515C1">
        <w:rPr>
          <w:iCs/>
        </w:rPr>
        <w:t xml:space="preserve"> and the </w:t>
      </w:r>
      <w:r w:rsidRPr="002D6AE5">
        <w:rPr>
          <w:iCs/>
        </w:rPr>
        <w:t>EIPSR Performance Management Framework (2019)</w:t>
      </w:r>
      <w:r w:rsidRPr="006515C1">
        <w:rPr>
          <w:iCs/>
        </w:rPr>
        <w:t>.</w:t>
      </w:r>
    </w:p>
    <w:p w14:paraId="5F2AA0BD" w14:textId="77777777" w:rsidR="00817104" w:rsidRDefault="00817104" w:rsidP="00817104">
      <w:pPr>
        <w:pStyle w:val="Body"/>
      </w:pPr>
      <w:r>
        <w:t>Health services must cap overhead costs at 10 per cent and pass on the full indexation rate to contracted EIPSR providers.</w:t>
      </w:r>
    </w:p>
    <w:p w14:paraId="016549A8" w14:textId="77777777" w:rsidR="00817104" w:rsidRDefault="00817104" w:rsidP="00817104">
      <w:pPr>
        <w:pStyle w:val="Body"/>
      </w:pPr>
      <w:r>
        <w:t>Health services are responsible for ensuring contracted NGOs meet contractual and performance requirements, including:</w:t>
      </w:r>
    </w:p>
    <w:p w14:paraId="25C76117" w14:textId="77777777" w:rsidR="00817104" w:rsidRPr="000E1511" w:rsidRDefault="00817104" w:rsidP="00817104">
      <w:pPr>
        <w:pStyle w:val="Bullet1"/>
        <w:numPr>
          <w:ilvl w:val="0"/>
          <w:numId w:val="2"/>
        </w:numPr>
      </w:pPr>
      <w:r w:rsidRPr="000E1511">
        <w:t>delivery of 90 per cent of the total funded client support units (per annum)</w:t>
      </w:r>
    </w:p>
    <w:p w14:paraId="6CE46587" w14:textId="77777777" w:rsidR="00817104" w:rsidRPr="000E1511" w:rsidRDefault="00817104" w:rsidP="00817104">
      <w:pPr>
        <w:pStyle w:val="Bullet1"/>
        <w:numPr>
          <w:ilvl w:val="0"/>
          <w:numId w:val="2"/>
        </w:numPr>
      </w:pPr>
      <w:r w:rsidRPr="000E1511">
        <w:t>compliance with data, incidents and complaint reporting requirements</w:t>
      </w:r>
    </w:p>
    <w:p w14:paraId="1117DDE6" w14:textId="77777777" w:rsidR="00817104" w:rsidRPr="000E1511" w:rsidRDefault="00817104" w:rsidP="00817104">
      <w:pPr>
        <w:pStyle w:val="Bullet1"/>
        <w:numPr>
          <w:ilvl w:val="0"/>
          <w:numId w:val="2"/>
        </w:numPr>
      </w:pPr>
      <w:r w:rsidRPr="000E1511">
        <w:t>maintenance of accreditation against an accepted accreditation standard</w:t>
      </w:r>
    </w:p>
    <w:p w14:paraId="5BA8875C" w14:textId="77777777" w:rsidR="00817104" w:rsidRPr="00250D46" w:rsidRDefault="00817104" w:rsidP="00817104">
      <w:pPr>
        <w:pStyle w:val="Bullet1"/>
        <w:numPr>
          <w:ilvl w:val="0"/>
          <w:numId w:val="2"/>
        </w:numPr>
      </w:pPr>
      <w:r w:rsidRPr="00250D46">
        <w:t>use of funding in accordance with agreed activity and expenditure requirements.</w:t>
      </w:r>
    </w:p>
    <w:p w14:paraId="6B5DC736" w14:textId="77777777" w:rsidR="00817104" w:rsidRDefault="00817104" w:rsidP="00817104">
      <w:pPr>
        <w:pStyle w:val="Bodyafterbullets"/>
      </w:pPr>
      <w:r>
        <w:t>Health services are required to prioritise access to EIPSR for people who:</w:t>
      </w:r>
    </w:p>
    <w:p w14:paraId="07B046F3" w14:textId="77777777" w:rsidR="00817104" w:rsidRPr="009C1B31" w:rsidRDefault="00817104" w:rsidP="00817104">
      <w:pPr>
        <w:pStyle w:val="Bullet1"/>
        <w:numPr>
          <w:ilvl w:val="0"/>
          <w:numId w:val="2"/>
        </w:numPr>
      </w:pPr>
      <w:r w:rsidRPr="00E76CA9">
        <w:t xml:space="preserve">experience barriers to </w:t>
      </w:r>
      <w:r>
        <w:t xml:space="preserve">engaging with </w:t>
      </w:r>
      <w:r w:rsidRPr="00E76CA9">
        <w:t>psychosocial support</w:t>
      </w:r>
      <w:r>
        <w:t>s,</w:t>
      </w:r>
      <w:r w:rsidRPr="00E76CA9">
        <w:t xml:space="preserve"> </w:t>
      </w:r>
      <w:r>
        <w:t xml:space="preserve">including </w:t>
      </w:r>
      <w:r w:rsidRPr="00E76CA9">
        <w:t>homelessness</w:t>
      </w:r>
      <w:r>
        <w:t>, challenging behaviours,</w:t>
      </w:r>
      <w:r w:rsidRPr="00E76CA9">
        <w:t xml:space="preserve"> substance </w:t>
      </w:r>
      <w:r>
        <w:t>use</w:t>
      </w:r>
      <w:r w:rsidRPr="00E76CA9">
        <w:t xml:space="preserve"> </w:t>
      </w:r>
      <w:r>
        <w:t>or</w:t>
      </w:r>
      <w:r w:rsidRPr="00E76CA9">
        <w:t xml:space="preserve"> cognitive </w:t>
      </w:r>
      <w:r>
        <w:t>impairment</w:t>
      </w:r>
    </w:p>
    <w:p w14:paraId="109E9426" w14:textId="77777777" w:rsidR="00817104" w:rsidRPr="009C1B31" w:rsidRDefault="00817104" w:rsidP="00817104">
      <w:pPr>
        <w:pStyle w:val="Bullet1"/>
        <w:numPr>
          <w:ilvl w:val="0"/>
          <w:numId w:val="2"/>
        </w:numPr>
      </w:pPr>
      <w:r>
        <w:t>have</w:t>
      </w:r>
      <w:r w:rsidRPr="00E76CA9">
        <w:t xml:space="preserve"> enduring psychiatric disability </w:t>
      </w:r>
      <w:r>
        <w:t xml:space="preserve">and decline </w:t>
      </w:r>
      <w:r w:rsidRPr="00E76CA9">
        <w:t>to apply for the NDIS</w:t>
      </w:r>
    </w:p>
    <w:p w14:paraId="2EA62E4D" w14:textId="77777777" w:rsidR="00817104" w:rsidRPr="009C1B31" w:rsidRDefault="00817104" w:rsidP="00817104">
      <w:pPr>
        <w:pStyle w:val="Bullet1"/>
        <w:numPr>
          <w:ilvl w:val="0"/>
          <w:numId w:val="2"/>
        </w:numPr>
      </w:pPr>
      <w:r w:rsidRPr="00E76CA9">
        <w:t>frequently present to</w:t>
      </w:r>
      <w:r>
        <w:t xml:space="preserve"> EDs or </w:t>
      </w:r>
      <w:r w:rsidRPr="00E76CA9">
        <w:t>acute mental health inpatient services</w:t>
      </w:r>
      <w:r>
        <w:t xml:space="preserve"> due to unmet psychosocial needs</w:t>
      </w:r>
    </w:p>
    <w:p w14:paraId="384B182A" w14:textId="77777777" w:rsidR="00817104" w:rsidRDefault="00817104" w:rsidP="00817104">
      <w:pPr>
        <w:pStyle w:val="Bullet1"/>
        <w:numPr>
          <w:ilvl w:val="0"/>
          <w:numId w:val="2"/>
        </w:numPr>
      </w:pPr>
      <w:r>
        <w:t>are</w:t>
      </w:r>
      <w:r w:rsidRPr="00E76CA9">
        <w:t xml:space="preserve"> at risk of deterioration </w:t>
      </w:r>
      <w:r>
        <w:t xml:space="preserve">or delayed </w:t>
      </w:r>
      <w:r w:rsidRPr="00E76CA9">
        <w:t xml:space="preserve">discharge from bed-based clinical </w:t>
      </w:r>
      <w:r>
        <w:t>services</w:t>
      </w:r>
      <w:r w:rsidRPr="00E76CA9">
        <w:t xml:space="preserve"> without psychosocial supports</w:t>
      </w:r>
    </w:p>
    <w:p w14:paraId="33EAD515" w14:textId="77777777" w:rsidR="00817104" w:rsidRPr="000A1989" w:rsidRDefault="00817104" w:rsidP="00817104">
      <w:pPr>
        <w:pStyle w:val="Bullet1"/>
        <w:numPr>
          <w:ilvl w:val="0"/>
          <w:numId w:val="2"/>
        </w:numPr>
      </w:pPr>
      <w:r>
        <w:t xml:space="preserve">are </w:t>
      </w:r>
      <w:r w:rsidRPr="00E76CA9">
        <w:t xml:space="preserve">young people </w:t>
      </w:r>
      <w:r>
        <w:t>requiring</w:t>
      </w:r>
      <w:r w:rsidRPr="00E76CA9">
        <w:t xml:space="preserve"> developmentally appropriate early</w:t>
      </w:r>
      <w:r>
        <w:t xml:space="preserve"> </w:t>
      </w:r>
      <w:r w:rsidRPr="00E76CA9">
        <w:t>intervention responses.</w:t>
      </w:r>
    </w:p>
    <w:p w14:paraId="52FD4797" w14:textId="436D936E" w:rsidR="00817104" w:rsidRPr="003C48C2" w:rsidRDefault="00817104" w:rsidP="00817104">
      <w:pPr>
        <w:pStyle w:val="Heading2"/>
      </w:pPr>
      <w:bookmarkStart w:id="1760" w:name="_Toc231982262"/>
      <w:r w:rsidRPr="003C48C2">
        <w:t xml:space="preserve">Level 6: </w:t>
      </w:r>
      <w:r w:rsidRPr="00A310E3">
        <w:t>Statewide</w:t>
      </w:r>
      <w:r w:rsidRPr="003C48C2">
        <w:t xml:space="preserve"> </w:t>
      </w:r>
      <w:r>
        <w:t>s</w:t>
      </w:r>
      <w:r w:rsidRPr="003C48C2">
        <w:t>ervices</w:t>
      </w:r>
      <w:bookmarkEnd w:id="1759"/>
      <w:bookmarkEnd w:id="1760"/>
    </w:p>
    <w:p w14:paraId="59B05833" w14:textId="77777777" w:rsidR="00817104" w:rsidRDefault="00817104" w:rsidP="00817104">
      <w:pPr>
        <w:pStyle w:val="Body"/>
        <w:rPr>
          <w:rFonts w:eastAsiaTheme="majorEastAsia"/>
          <w:lang w:val="en-US"/>
        </w:rPr>
      </w:pPr>
      <w:bookmarkStart w:id="1761" w:name="_Toc167173850"/>
      <w:bookmarkStart w:id="1762" w:name="_Toc167174190"/>
      <w:bookmarkStart w:id="1763" w:name="_Toc167174510"/>
      <w:bookmarkStart w:id="1764" w:name="_Toc167182161"/>
      <w:bookmarkStart w:id="1765" w:name="_Toc167182489"/>
      <w:bookmarkStart w:id="1766" w:name="_Toc167182656"/>
      <w:bookmarkStart w:id="1767" w:name="_Toc167226024"/>
      <w:bookmarkStart w:id="1768" w:name="_Toc167260731"/>
      <w:bookmarkStart w:id="1769" w:name="_Toc40695131"/>
      <w:bookmarkStart w:id="1770" w:name="_Toc40611870"/>
      <w:bookmarkStart w:id="1771" w:name="_Toc40612519"/>
      <w:bookmarkStart w:id="1772" w:name="_Toc40612740"/>
      <w:bookmarkStart w:id="1773" w:name="_Toc40612930"/>
      <w:bookmarkStart w:id="1774" w:name="_Toc40613538"/>
      <w:bookmarkStart w:id="1775" w:name="_Toc40614050"/>
      <w:bookmarkStart w:id="1776" w:name="_Toc40695133"/>
      <w:bookmarkStart w:id="1777" w:name="_Toc40706030"/>
      <w:bookmarkStart w:id="1778" w:name="_Toc40706231"/>
      <w:bookmarkStart w:id="1779" w:name="_Toc40707786"/>
      <w:bookmarkStart w:id="1780" w:name="_Toc40707988"/>
      <w:bookmarkStart w:id="1781" w:name="_Toc40708190"/>
      <w:bookmarkStart w:id="1782" w:name="_Toc40716409"/>
      <w:bookmarkStart w:id="1783" w:name="_Toc40716581"/>
      <w:bookmarkStart w:id="1784" w:name="_Toc40716798"/>
      <w:bookmarkStart w:id="1785" w:name="_Toc40727375"/>
      <w:bookmarkStart w:id="1786" w:name="_Toc42000104"/>
      <w:bookmarkStart w:id="1787" w:name="_Toc42009447"/>
      <w:bookmarkStart w:id="1788" w:name="_Toc42076358"/>
      <w:bookmarkStart w:id="1789" w:name="_Toc42076537"/>
      <w:bookmarkStart w:id="1790" w:name="_Toc42086582"/>
      <w:bookmarkStart w:id="1791" w:name="_Toc42087913"/>
      <w:bookmarkStart w:id="1792" w:name="_Toc42097334"/>
      <w:bookmarkStart w:id="1793" w:name="_Toc42097688"/>
      <w:bookmarkStart w:id="1794" w:name="_Toc42621211"/>
      <w:bookmarkStart w:id="1795" w:name="_Toc42622062"/>
      <w:bookmarkStart w:id="1796" w:name="_Toc42678133"/>
      <w:bookmarkStart w:id="1797" w:name="_Toc42680822"/>
      <w:bookmarkStart w:id="1798" w:name="_Toc42682658"/>
      <w:bookmarkStart w:id="1799" w:name="_Toc42687289"/>
      <w:bookmarkStart w:id="1800" w:name="_Toc42687516"/>
      <w:bookmarkStart w:id="1801" w:name="_Toc42700174"/>
      <w:bookmarkStart w:id="1802" w:name="_Toc42762914"/>
      <w:bookmarkStart w:id="1803" w:name="_Toc42763137"/>
      <w:bookmarkStart w:id="1804" w:name="_Toc37934626"/>
      <w:bookmarkStart w:id="1805" w:name="_Toc453085150"/>
      <w:bookmarkStart w:id="1806" w:name="_Toc37934628"/>
      <w:bookmarkStart w:id="1807" w:name="_Toc37934629"/>
      <w:bookmarkStart w:id="1808" w:name="_Toc37934630"/>
      <w:bookmarkStart w:id="1809" w:name="_Toc37934631"/>
      <w:bookmarkStart w:id="1810" w:name="_Toc37934632"/>
      <w:bookmarkStart w:id="1811" w:name="_Toc37934633"/>
      <w:bookmarkStart w:id="1812" w:name="_Toc37934634"/>
      <w:bookmarkStart w:id="1813" w:name="_Toc37934635"/>
      <w:bookmarkStart w:id="1814" w:name="_Toc37934636"/>
      <w:bookmarkStart w:id="1815" w:name="_Toc37934637"/>
      <w:bookmarkStart w:id="1816" w:name="_Toc106868027"/>
      <w:bookmarkStart w:id="1817" w:name="_Toc106869778"/>
      <w:bookmarkStart w:id="1818" w:name="_Toc106870112"/>
      <w:bookmarkStart w:id="1819" w:name="_Toc106870278"/>
      <w:bookmarkStart w:id="1820" w:name="_Toc106870450"/>
      <w:bookmarkStart w:id="1821" w:name="_Toc6215594"/>
      <w:bookmarkStart w:id="1822" w:name="_Toc10199667"/>
      <w:bookmarkStart w:id="1823" w:name="_Toc165964651"/>
      <w:bookmarkStart w:id="1824" w:name="_Toc167174511"/>
      <w:bookmarkEnd w:id="1738"/>
      <w:bookmarkEnd w:id="1739"/>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r>
        <w:t>Statewide services</w:t>
      </w:r>
      <w:r w:rsidRPr="00A1479A">
        <w:t xml:space="preserve"> </w:t>
      </w:r>
      <w:r>
        <w:t>are intended to</w:t>
      </w:r>
      <w:r w:rsidRPr="00A1479A">
        <w:t xml:space="preserve"> respond to the smallest proportion of people with the highest levels of need</w:t>
      </w:r>
      <w:r w:rsidRPr="4F1D367D">
        <w:rPr>
          <w:rFonts w:cstheme="minorBidi"/>
          <w:vertAlign w:val="superscript"/>
        </w:rPr>
        <w:footnoteReference w:id="6"/>
      </w:r>
      <w:r>
        <w:rPr>
          <w:rFonts w:cstheme="minorBidi"/>
        </w:rPr>
        <w:t>.</w:t>
      </w:r>
      <w:r>
        <w:rPr>
          <w:rFonts w:eastAsiaTheme="majorEastAsia"/>
        </w:rPr>
        <w:t xml:space="preserve"> In addition to providing a specialised response, s</w:t>
      </w:r>
      <w:r w:rsidRPr="00546472">
        <w:rPr>
          <w:rFonts w:eastAsiaTheme="majorEastAsia"/>
        </w:rPr>
        <w:t xml:space="preserve">tatewide services </w:t>
      </w:r>
      <w:r>
        <w:rPr>
          <w:rFonts w:eastAsiaTheme="majorEastAsia"/>
        </w:rPr>
        <w:t xml:space="preserve">perform a role </w:t>
      </w:r>
      <w:r w:rsidRPr="00546472">
        <w:rPr>
          <w:rFonts w:eastAsiaTheme="majorEastAsia"/>
        </w:rPr>
        <w:t>in broader system improvement, including through research and capability</w:t>
      </w:r>
      <w:r>
        <w:rPr>
          <w:rFonts w:eastAsiaTheme="majorEastAsia"/>
        </w:rPr>
        <w:t xml:space="preserve"> </w:t>
      </w:r>
      <w:r w:rsidRPr="00546472">
        <w:rPr>
          <w:rFonts w:eastAsiaTheme="majorEastAsia"/>
        </w:rPr>
        <w:t>building.</w:t>
      </w:r>
      <w:r>
        <w:rPr>
          <w:rFonts w:eastAsiaTheme="majorEastAsia"/>
        </w:rPr>
        <w:t xml:space="preserve"> </w:t>
      </w:r>
      <w:r>
        <w:rPr>
          <w:rFonts w:eastAsiaTheme="majorEastAsia"/>
          <w:lang w:val="en-US"/>
        </w:rPr>
        <w:t>As a result, statewide</w:t>
      </w:r>
      <w:r w:rsidRPr="00546472">
        <w:rPr>
          <w:rFonts w:eastAsiaTheme="majorEastAsia"/>
          <w:lang w:val="en-US"/>
        </w:rPr>
        <w:t xml:space="preserve"> services have</w:t>
      </w:r>
      <w:r>
        <w:rPr>
          <w:rFonts w:eastAsiaTheme="majorEastAsia"/>
          <w:lang w:val="en-US"/>
        </w:rPr>
        <w:t xml:space="preserve"> a</w:t>
      </w:r>
      <w:r w:rsidRPr="00546472">
        <w:rPr>
          <w:rFonts w:eastAsiaTheme="majorEastAsia"/>
          <w:lang w:val="en-US"/>
        </w:rPr>
        <w:t>:</w:t>
      </w:r>
    </w:p>
    <w:p w14:paraId="5D348F64" w14:textId="77777777" w:rsidR="00817104" w:rsidRDefault="00817104" w:rsidP="00817104">
      <w:pPr>
        <w:pStyle w:val="Bullet1"/>
        <w:numPr>
          <w:ilvl w:val="0"/>
          <w:numId w:val="2"/>
        </w:numPr>
      </w:pPr>
      <w:r w:rsidRPr="00546472">
        <w:t>workforce with a high level of expertise and knowledge</w:t>
      </w:r>
    </w:p>
    <w:p w14:paraId="446DDAA0" w14:textId="77777777" w:rsidR="00817104" w:rsidRDefault="00817104" w:rsidP="00817104">
      <w:pPr>
        <w:pStyle w:val="Bullet1"/>
        <w:numPr>
          <w:ilvl w:val="0"/>
          <w:numId w:val="2"/>
        </w:numPr>
      </w:pPr>
      <w:r w:rsidRPr="00546472">
        <w:t>dedicated research focus</w:t>
      </w:r>
    </w:p>
    <w:p w14:paraId="45690A29" w14:textId="77777777" w:rsidR="00817104" w:rsidRPr="00546472" w:rsidRDefault="00817104" w:rsidP="00817104">
      <w:pPr>
        <w:pStyle w:val="Bullet1"/>
        <w:numPr>
          <w:ilvl w:val="0"/>
          <w:numId w:val="2"/>
        </w:numPr>
      </w:pPr>
      <w:r w:rsidRPr="00546472">
        <w:t>focus on providing treatment, care and support to a proportionately small number of people, often with higher levels of needs.</w:t>
      </w:r>
      <w:r>
        <w:t xml:space="preserve"> </w:t>
      </w:r>
    </w:p>
    <w:p w14:paraId="69B79F28" w14:textId="71EB8A15" w:rsidR="00817104" w:rsidRPr="00D12772" w:rsidRDefault="00817104" w:rsidP="00817104">
      <w:pPr>
        <w:pStyle w:val="Heading3"/>
      </w:pPr>
      <w:r>
        <w:t>The Hamilton Centre</w:t>
      </w:r>
    </w:p>
    <w:p w14:paraId="4461C0AF" w14:textId="77777777" w:rsidR="00817104" w:rsidRPr="00924ADD" w:rsidRDefault="00817104" w:rsidP="00817104">
      <w:pPr>
        <w:pStyle w:val="Body"/>
        <w:rPr>
          <w:rFonts w:eastAsia="Aptos" w:cs="Arial"/>
        </w:rPr>
      </w:pPr>
      <w:r w:rsidRPr="00924ADD">
        <w:rPr>
          <w:rFonts w:eastAsia="Aptos" w:cs="Arial"/>
        </w:rPr>
        <w:t xml:space="preserve">The Hamilton Centre delivers statewide specialist services in Victoria for individuals experiencing both mental illness and substance use or addiction. </w:t>
      </w:r>
    </w:p>
    <w:p w14:paraId="7529DCC7" w14:textId="77777777" w:rsidR="00817104" w:rsidRDefault="00817104" w:rsidP="00817104">
      <w:pPr>
        <w:pStyle w:val="Body"/>
        <w:rPr>
          <w:rFonts w:eastAsia="Aptos" w:cs="Arial"/>
        </w:rPr>
      </w:pPr>
      <w:r w:rsidRPr="00924ADD">
        <w:rPr>
          <w:rFonts w:eastAsia="Aptos" w:cs="Arial"/>
        </w:rPr>
        <w:lastRenderedPageBreak/>
        <w:t xml:space="preserve">The program </w:t>
      </w:r>
      <w:r>
        <w:rPr>
          <w:rFonts w:eastAsia="Aptos" w:cs="Arial"/>
        </w:rPr>
        <w:t>is</w:t>
      </w:r>
      <w:r w:rsidRPr="00924ADD">
        <w:rPr>
          <w:rFonts w:eastAsia="Aptos" w:cs="Arial"/>
        </w:rPr>
        <w:t xml:space="preserve"> </w:t>
      </w:r>
      <w:r w:rsidRPr="05C8C84A">
        <w:rPr>
          <w:rFonts w:eastAsia="Aptos" w:cs="Arial"/>
        </w:rPr>
        <w:t>currently block</w:t>
      </w:r>
      <w:r>
        <w:rPr>
          <w:rFonts w:eastAsia="Aptos" w:cs="Arial"/>
        </w:rPr>
        <w:t>-</w:t>
      </w:r>
      <w:r w:rsidRPr="05C8C84A">
        <w:rPr>
          <w:rFonts w:eastAsia="Aptos" w:cs="Arial"/>
        </w:rPr>
        <w:t>funded</w:t>
      </w:r>
      <w:r>
        <w:rPr>
          <w:rFonts w:eastAsia="Aptos" w:cs="Arial"/>
        </w:rPr>
        <w:t xml:space="preserve"> and delivered through</w:t>
      </w:r>
      <w:r w:rsidRPr="00924ADD">
        <w:rPr>
          <w:rFonts w:eastAsia="Aptos" w:cs="Arial"/>
        </w:rPr>
        <w:t xml:space="preserve"> a statewide lead agency </w:t>
      </w:r>
      <w:r>
        <w:rPr>
          <w:rFonts w:eastAsia="Aptos" w:cs="Arial"/>
        </w:rPr>
        <w:t>(Turning Point)</w:t>
      </w:r>
      <w:r w:rsidRPr="00924ADD">
        <w:rPr>
          <w:rFonts w:eastAsia="Aptos" w:cs="Arial"/>
        </w:rPr>
        <w:t xml:space="preserve"> </w:t>
      </w:r>
      <w:r>
        <w:rPr>
          <w:rFonts w:eastAsia="Aptos" w:cs="Arial"/>
        </w:rPr>
        <w:t xml:space="preserve">in partnership with </w:t>
      </w:r>
      <w:r w:rsidRPr="00924ADD">
        <w:rPr>
          <w:rFonts w:eastAsia="Aptos" w:cs="Arial"/>
        </w:rPr>
        <w:t>Austin Health</w:t>
      </w:r>
      <w:r>
        <w:rPr>
          <w:rFonts w:eastAsia="Aptos" w:cs="Arial"/>
        </w:rPr>
        <w:t>,</w:t>
      </w:r>
      <w:r w:rsidRPr="00924ADD">
        <w:rPr>
          <w:rFonts w:eastAsia="Aptos" w:cs="Arial"/>
        </w:rPr>
        <w:t xml:space="preserve"> Goulburn Valley Health, Western Health, St Vincent’s Hospital and Eastern Health. </w:t>
      </w:r>
    </w:p>
    <w:p w14:paraId="6207AB03" w14:textId="77777777" w:rsidR="00817104" w:rsidRDefault="00817104" w:rsidP="00817104">
      <w:pPr>
        <w:pStyle w:val="Body"/>
        <w:rPr>
          <w:rFonts w:eastAsia="Aptos" w:cs="Arial"/>
        </w:rPr>
      </w:pPr>
      <w:r>
        <w:rPr>
          <w:rFonts w:eastAsia="Aptos" w:cs="Arial"/>
        </w:rPr>
        <w:t>In</w:t>
      </w:r>
      <w:r w:rsidRPr="5A585184">
        <w:rPr>
          <w:rFonts w:eastAsia="Aptos" w:cs="Arial"/>
        </w:rPr>
        <w:t xml:space="preserve"> </w:t>
      </w:r>
      <w:r>
        <w:rPr>
          <w:rFonts w:eastAsia="Aptos" w:cs="Arial"/>
        </w:rPr>
        <w:t>2026–27, the Hamilton</w:t>
      </w:r>
      <w:r w:rsidRPr="5A585184">
        <w:rPr>
          <w:rFonts w:eastAsia="Aptos" w:cs="Arial"/>
        </w:rPr>
        <w:t xml:space="preserve"> </w:t>
      </w:r>
      <w:r>
        <w:rPr>
          <w:rFonts w:eastAsia="Aptos" w:cs="Arial"/>
        </w:rPr>
        <w:t>Centre is expected to prioritise</w:t>
      </w:r>
      <w:r w:rsidRPr="5A585184">
        <w:rPr>
          <w:rFonts w:eastAsia="Aptos" w:cs="Arial"/>
        </w:rPr>
        <w:t>:</w:t>
      </w:r>
    </w:p>
    <w:p w14:paraId="5B388182" w14:textId="77777777" w:rsidR="00817104" w:rsidRPr="004D349B" w:rsidRDefault="00817104" w:rsidP="00817104">
      <w:pPr>
        <w:pStyle w:val="Bullet1"/>
        <w:numPr>
          <w:ilvl w:val="0"/>
          <w:numId w:val="2"/>
        </w:numPr>
      </w:pPr>
      <w:r>
        <w:t>p</w:t>
      </w:r>
      <w:r w:rsidRPr="004D349B">
        <w:t xml:space="preserve">rogressive expansion of referral criteria to improve access to the Hamilton Centre and support a </w:t>
      </w:r>
      <w:r>
        <w:t>‘</w:t>
      </w:r>
      <w:r w:rsidRPr="004D349B">
        <w:t>no wrong door</w:t>
      </w:r>
      <w:r>
        <w:t>’</w:t>
      </w:r>
      <w:r w:rsidRPr="004D349B">
        <w:t xml:space="preserve"> approach across the system</w:t>
      </w:r>
    </w:p>
    <w:p w14:paraId="21CD35E4" w14:textId="77777777" w:rsidR="00817104" w:rsidRPr="004D349B" w:rsidRDefault="00817104" w:rsidP="00817104">
      <w:pPr>
        <w:pStyle w:val="Bullet1"/>
        <w:numPr>
          <w:ilvl w:val="0"/>
          <w:numId w:val="2"/>
        </w:numPr>
      </w:pPr>
      <w:r>
        <w:t>i</w:t>
      </w:r>
      <w:r w:rsidRPr="004D349B">
        <w:t>mplementation of strengthened governance and system stewardship supporting clearer oversight of program delivery, performance and accountability across the statewide service and clinical network partners</w:t>
      </w:r>
    </w:p>
    <w:p w14:paraId="58992140" w14:textId="77777777" w:rsidR="00817104" w:rsidRPr="004D349B" w:rsidRDefault="00817104" w:rsidP="00817104">
      <w:pPr>
        <w:pStyle w:val="Bullet1"/>
        <w:numPr>
          <w:ilvl w:val="0"/>
          <w:numId w:val="2"/>
        </w:numPr>
      </w:pPr>
      <w:r>
        <w:t>e</w:t>
      </w:r>
      <w:r w:rsidRPr="004D349B">
        <w:t>mbedding performance metrics, aligned with other statewide mental health programs. This will include the phased alignment of eligible activity within mental health counting, classification, reporting frameworks and establishment of annual activity targets and deliverables for both the statewide service lead and Clinical Network partners</w:t>
      </w:r>
    </w:p>
    <w:p w14:paraId="059D81A6" w14:textId="77777777" w:rsidR="00817104" w:rsidRPr="004D349B" w:rsidRDefault="00817104" w:rsidP="00817104">
      <w:pPr>
        <w:pStyle w:val="Bullet1"/>
        <w:numPr>
          <w:ilvl w:val="0"/>
          <w:numId w:val="2"/>
        </w:numPr>
      </w:pPr>
      <w:r>
        <w:t>c</w:t>
      </w:r>
      <w:r w:rsidRPr="004D349B">
        <w:t>ontinu</w:t>
      </w:r>
      <w:r>
        <w:t>ing</w:t>
      </w:r>
      <w:r w:rsidRPr="004D349B">
        <w:t xml:space="preserve"> to deliver workforce development and training in integrated </w:t>
      </w:r>
      <w:r>
        <w:t>MH</w:t>
      </w:r>
      <w:r w:rsidRPr="004D349B">
        <w:t>AOD care and the maintenance and strengthening of advanced addiction medicine training positions within the Clinical Network</w:t>
      </w:r>
    </w:p>
    <w:p w14:paraId="06837847" w14:textId="77777777" w:rsidR="00817104" w:rsidRPr="007D4B7A" w:rsidRDefault="00817104" w:rsidP="00817104">
      <w:pPr>
        <w:pStyle w:val="Bullet1"/>
        <w:numPr>
          <w:ilvl w:val="0"/>
          <w:numId w:val="2"/>
        </w:numPr>
      </w:pPr>
      <w:r>
        <w:t>i</w:t>
      </w:r>
      <w:r w:rsidRPr="004D349B">
        <w:t>mprov</w:t>
      </w:r>
      <w:r>
        <w:t>ing</w:t>
      </w:r>
      <w:r w:rsidRPr="004D349B">
        <w:t xml:space="preserve"> consistency in service delivery across Clinical Networ</w:t>
      </w:r>
      <w:r w:rsidRPr="007D4B7A">
        <w:t xml:space="preserve">k partners to support integrated </w:t>
      </w:r>
      <w:r>
        <w:t>MH</w:t>
      </w:r>
      <w:r w:rsidRPr="007D4B7A">
        <w:t>AOD care.</w:t>
      </w:r>
    </w:p>
    <w:p w14:paraId="7CA9ED64" w14:textId="77777777" w:rsidR="00817104" w:rsidRDefault="00817104" w:rsidP="00817104">
      <w:pPr>
        <w:pStyle w:val="Bodyafterbullets"/>
      </w:pPr>
      <w:r>
        <w:rPr>
          <w:rFonts w:eastAsia="Aptos" w:cs="Arial"/>
        </w:rPr>
        <w:t xml:space="preserve">For more information, visit </w:t>
      </w:r>
      <w:hyperlink r:id="rId58" w:history="1">
        <w:r>
          <w:rPr>
            <w:rStyle w:val="Hyperlink"/>
            <w:rFonts w:eastAsia="Aptos" w:cs="Arial"/>
          </w:rPr>
          <w:t>t</w:t>
        </w:r>
        <w:r w:rsidRPr="00EF4819">
          <w:rPr>
            <w:rStyle w:val="Hyperlink"/>
            <w:rFonts w:eastAsia="Aptos" w:cs="Arial"/>
          </w:rPr>
          <w:t>he Hamilton Centre</w:t>
        </w:r>
      </w:hyperlink>
      <w:r>
        <w:t xml:space="preserve"> on the department’s webpage</w:t>
      </w:r>
      <w:r>
        <w:rPr>
          <w:rFonts w:eastAsia="Aptos" w:cs="Arial"/>
        </w:rPr>
        <w:t xml:space="preserve"> &lt;</w:t>
      </w:r>
      <w:r w:rsidRPr="0099001E">
        <w:t>https://www.health.vic.gov.au/mental-health-services/the-hamilton-centre</w:t>
      </w:r>
      <w:r>
        <w:rPr>
          <w:rFonts w:eastAsia="Aptos" w:cs="Arial"/>
        </w:rPr>
        <w:t xml:space="preserve">&gt; and the </w:t>
      </w:r>
      <w:hyperlink r:id="rId59" w:anchor="home" w:history="1">
        <w:r w:rsidRPr="00191A20">
          <w:rPr>
            <w:rStyle w:val="Hyperlink"/>
            <w:rFonts w:eastAsia="Aptos" w:cs="Arial"/>
          </w:rPr>
          <w:t>Hamilton Centre’s program website</w:t>
        </w:r>
      </w:hyperlink>
      <w:r>
        <w:rPr>
          <w:rFonts w:eastAsia="Aptos" w:cs="Arial"/>
        </w:rPr>
        <w:t xml:space="preserve"> &lt;</w:t>
      </w:r>
      <w:r w:rsidRPr="0099001E">
        <w:t>https://www.hamiltoncentre.org.au/#home&gt;</w:t>
      </w:r>
    </w:p>
    <w:p w14:paraId="1E051EF9" w14:textId="480DF006" w:rsidR="00817104" w:rsidRPr="007C4158" w:rsidRDefault="00817104" w:rsidP="00817104">
      <w:pPr>
        <w:pStyle w:val="Heading2"/>
      </w:pPr>
      <w:bookmarkStart w:id="1825" w:name="_Toc195014049"/>
      <w:bookmarkStart w:id="1826" w:name="_Toc195014050"/>
      <w:bookmarkStart w:id="1827" w:name="_Toc195014051"/>
      <w:bookmarkStart w:id="1828" w:name="_Toc195014052"/>
      <w:bookmarkStart w:id="1829" w:name="_Toc195014053"/>
      <w:bookmarkStart w:id="1830" w:name="_Toc195014054"/>
      <w:bookmarkStart w:id="1831" w:name="_Toc195014058"/>
      <w:bookmarkStart w:id="1832" w:name="_Toc195014059"/>
      <w:bookmarkStart w:id="1833" w:name="_Toc195014060"/>
      <w:bookmarkStart w:id="1834" w:name="_Toc195014061"/>
      <w:bookmarkStart w:id="1835" w:name="_Toc195014062"/>
      <w:bookmarkStart w:id="1836" w:name="_Toc143080867"/>
      <w:bookmarkStart w:id="1837" w:name="_Toc195014063"/>
      <w:bookmarkStart w:id="1838" w:name="_Toc231982263"/>
      <w:bookmarkEnd w:id="1825"/>
      <w:bookmarkEnd w:id="1826"/>
      <w:bookmarkEnd w:id="1827"/>
      <w:bookmarkEnd w:id="1828"/>
      <w:bookmarkEnd w:id="1829"/>
      <w:bookmarkEnd w:id="1830"/>
      <w:bookmarkEnd w:id="1831"/>
      <w:bookmarkEnd w:id="1832"/>
      <w:bookmarkEnd w:id="1833"/>
      <w:bookmarkEnd w:id="1834"/>
      <w:bookmarkEnd w:id="1835"/>
      <w:r>
        <w:t>Alcohol and other drug (AOD)</w:t>
      </w:r>
      <w:r w:rsidRPr="007C4158">
        <w:t xml:space="preserve"> </w:t>
      </w:r>
      <w:r>
        <w:t>s</w:t>
      </w:r>
      <w:r w:rsidRPr="007C4158">
        <w:t>ervices</w:t>
      </w:r>
      <w:bookmarkEnd w:id="1836"/>
      <w:bookmarkEnd w:id="1837"/>
      <w:bookmarkEnd w:id="1838"/>
    </w:p>
    <w:p w14:paraId="458203DC" w14:textId="77777777" w:rsidR="00817104" w:rsidRDefault="00817104" w:rsidP="00817104">
      <w:pPr>
        <w:pStyle w:val="Body"/>
      </w:pPr>
      <w:r w:rsidRPr="00303B35">
        <w:t xml:space="preserve">The Victorian </w:t>
      </w:r>
      <w:r>
        <w:t>alcohol and other drug (</w:t>
      </w:r>
      <w:r w:rsidRPr="00303B35">
        <w:t>AOD</w:t>
      </w:r>
      <w:r>
        <w:t>)</w:t>
      </w:r>
      <w:r w:rsidRPr="00303B35">
        <w:t xml:space="preserve"> service system delivers a comprehensive continuum of services including but not limited to</w:t>
      </w:r>
      <w:r>
        <w:t>:</w:t>
      </w:r>
    </w:p>
    <w:p w14:paraId="27DADAC0" w14:textId="77777777" w:rsidR="00817104" w:rsidRDefault="00817104" w:rsidP="00817104">
      <w:pPr>
        <w:pStyle w:val="Bullet1"/>
        <w:numPr>
          <w:ilvl w:val="0"/>
          <w:numId w:val="2"/>
        </w:numPr>
      </w:pPr>
      <w:r w:rsidRPr="00303B35">
        <w:t>harm reduction</w:t>
      </w:r>
    </w:p>
    <w:p w14:paraId="1206CAB3" w14:textId="77777777" w:rsidR="00817104" w:rsidRDefault="00817104" w:rsidP="00817104">
      <w:pPr>
        <w:pStyle w:val="Bullet1"/>
        <w:numPr>
          <w:ilvl w:val="0"/>
          <w:numId w:val="2"/>
        </w:numPr>
      </w:pPr>
      <w:r w:rsidRPr="00303B35">
        <w:t>community-based residential and non-residential treatment</w:t>
      </w:r>
    </w:p>
    <w:p w14:paraId="299AEB6D" w14:textId="77777777" w:rsidR="00817104" w:rsidRDefault="00817104" w:rsidP="00817104">
      <w:pPr>
        <w:pStyle w:val="Bullet1"/>
        <w:numPr>
          <w:ilvl w:val="0"/>
          <w:numId w:val="2"/>
        </w:numPr>
      </w:pPr>
      <w:r w:rsidRPr="00303B35">
        <w:t>outreach</w:t>
      </w:r>
    </w:p>
    <w:p w14:paraId="3746897E" w14:textId="77777777" w:rsidR="00817104" w:rsidRDefault="00817104" w:rsidP="00817104">
      <w:pPr>
        <w:pStyle w:val="Bullet1"/>
        <w:numPr>
          <w:ilvl w:val="0"/>
          <w:numId w:val="2"/>
        </w:numPr>
      </w:pPr>
      <w:r w:rsidRPr="00303B35">
        <w:t>pharmacotherapy</w:t>
      </w:r>
    </w:p>
    <w:p w14:paraId="281578E6" w14:textId="77777777" w:rsidR="00817104" w:rsidRPr="00303B35" w:rsidRDefault="00817104" w:rsidP="00817104">
      <w:pPr>
        <w:pStyle w:val="Bullet1"/>
        <w:numPr>
          <w:ilvl w:val="0"/>
          <w:numId w:val="2"/>
        </w:numPr>
      </w:pPr>
      <w:r w:rsidRPr="00303B35">
        <w:t>cohort</w:t>
      </w:r>
      <w:r>
        <w:t>-</w:t>
      </w:r>
      <w:r w:rsidRPr="00303B35">
        <w:t xml:space="preserve">specific services for Aboriginal </w:t>
      </w:r>
      <w:r>
        <w:t>people</w:t>
      </w:r>
      <w:r w:rsidRPr="00303B35">
        <w:t>, youth and individuals involved with the criminal justice system.</w:t>
      </w:r>
    </w:p>
    <w:p w14:paraId="5ACBC607" w14:textId="77777777" w:rsidR="00817104" w:rsidRDefault="00817104" w:rsidP="00817104">
      <w:pPr>
        <w:pStyle w:val="Bodyafterbullets"/>
      </w:pPr>
      <w:r w:rsidRPr="4B227AE4">
        <w:t>The AOD service system</w:t>
      </w:r>
      <w:r w:rsidRPr="13C0326E">
        <w:t xml:space="preserve"> </w:t>
      </w:r>
      <w:r w:rsidRPr="1FFFE35B">
        <w:t>operates within a mixed funding and commissioning model designed to deliver safe, evidence</w:t>
      </w:r>
      <w:r w:rsidRPr="1FFFE35B">
        <w:rPr>
          <w:rFonts w:ascii="Cambria Math" w:hAnsi="Cambria Math" w:cs="Cambria Math"/>
        </w:rPr>
        <w:t>‑</w:t>
      </w:r>
      <w:r w:rsidRPr="1FFFE35B">
        <w:t>based and person</w:t>
      </w:r>
      <w:r w:rsidRPr="1FFFE35B">
        <w:rPr>
          <w:rFonts w:ascii="Cambria Math" w:hAnsi="Cambria Math" w:cs="Cambria Math"/>
        </w:rPr>
        <w:t>‑</w:t>
      </w:r>
      <w:r w:rsidRPr="1FFFE35B">
        <w:t>centred care</w:t>
      </w:r>
      <w:r>
        <w:t xml:space="preserve"> through</w:t>
      </w:r>
      <w:r w:rsidRPr="5090257C">
        <w:t>:</w:t>
      </w:r>
    </w:p>
    <w:p w14:paraId="5678D667" w14:textId="77777777" w:rsidR="00817104" w:rsidRDefault="00817104" w:rsidP="00817104">
      <w:pPr>
        <w:pStyle w:val="Bullet1"/>
        <w:numPr>
          <w:ilvl w:val="0"/>
          <w:numId w:val="2"/>
        </w:numPr>
      </w:pPr>
      <w:r>
        <w:t xml:space="preserve">residential services and most adult community-based services, funded via drug treatment activity units </w:t>
      </w:r>
      <w:r w:rsidRPr="00525D66">
        <w:t>(DTAU)</w:t>
      </w:r>
    </w:p>
    <w:p w14:paraId="74C621C7" w14:textId="77777777" w:rsidR="00817104" w:rsidRDefault="00817104" w:rsidP="00817104">
      <w:pPr>
        <w:pStyle w:val="Bullet1"/>
        <w:numPr>
          <w:ilvl w:val="0"/>
          <w:numId w:val="2"/>
        </w:numPr>
      </w:pPr>
      <w:r>
        <w:t xml:space="preserve">Aboriginal and youth-specific services, and some out-of-scope, community-based services, funded based on episodes of care </w:t>
      </w:r>
      <w:r w:rsidRPr="00525D66">
        <w:t>(EOC)</w:t>
      </w:r>
    </w:p>
    <w:p w14:paraId="700AD2DD" w14:textId="77777777" w:rsidR="00817104" w:rsidRDefault="00817104" w:rsidP="00817104">
      <w:pPr>
        <w:pStyle w:val="Bullet1"/>
        <w:numPr>
          <w:ilvl w:val="0"/>
          <w:numId w:val="2"/>
        </w:numPr>
      </w:pPr>
      <w:r>
        <w:t>other drug treatment activities, such as research, drug prevention and control, local initiatives and pharmacotherapy programs, which continue to be block- or grant-funded.</w:t>
      </w:r>
    </w:p>
    <w:p w14:paraId="6A4866FD" w14:textId="77777777" w:rsidR="00817104" w:rsidRPr="00D85235" w:rsidRDefault="00817104" w:rsidP="00817104">
      <w:pPr>
        <w:pStyle w:val="Bodyafterbullets"/>
      </w:pPr>
      <w:r>
        <w:t>Funding provided to service providers is indexed in line with the government’s annual determination for community service organisations.</w:t>
      </w:r>
    </w:p>
    <w:p w14:paraId="76A3D7BE" w14:textId="77777777" w:rsidR="00817104" w:rsidRDefault="00817104" w:rsidP="00817104">
      <w:pPr>
        <w:pStyle w:val="Body"/>
        <w:rPr>
          <w:rFonts w:eastAsia="Segoe UI" w:cs="Arial"/>
        </w:rPr>
      </w:pPr>
      <w:r w:rsidRPr="00303B35">
        <w:rPr>
          <w:rFonts w:eastAsia="Segoe UI" w:cs="Arial"/>
        </w:rPr>
        <w:t xml:space="preserve">System performance, quality and accountability are managed through the </w:t>
      </w:r>
      <w:r w:rsidRPr="00413245">
        <w:rPr>
          <w:i/>
          <w:iCs/>
        </w:rPr>
        <w:t>A</w:t>
      </w:r>
      <w:r>
        <w:rPr>
          <w:i/>
          <w:iCs/>
        </w:rPr>
        <w:t>lcohol and other drug</w:t>
      </w:r>
      <w:r w:rsidRPr="00413245">
        <w:rPr>
          <w:i/>
          <w:iCs/>
        </w:rPr>
        <w:t xml:space="preserve"> </w:t>
      </w:r>
      <w:r>
        <w:rPr>
          <w:rFonts w:eastAsia="Segoe UI" w:cs="Arial"/>
          <w:i/>
          <w:iCs/>
        </w:rPr>
        <w:t>p</w:t>
      </w:r>
      <w:r w:rsidRPr="00413245">
        <w:rPr>
          <w:i/>
          <w:iCs/>
        </w:rPr>
        <w:t xml:space="preserve">erformance </w:t>
      </w:r>
      <w:r>
        <w:rPr>
          <w:rFonts w:eastAsia="Segoe UI" w:cs="Arial"/>
          <w:i/>
          <w:iCs/>
        </w:rPr>
        <w:t>m</w:t>
      </w:r>
      <w:r w:rsidRPr="00413245">
        <w:rPr>
          <w:i/>
          <w:iCs/>
        </w:rPr>
        <w:t xml:space="preserve">anagement </w:t>
      </w:r>
      <w:r>
        <w:rPr>
          <w:rFonts w:eastAsia="Segoe UI" w:cs="Arial"/>
          <w:i/>
          <w:iCs/>
        </w:rPr>
        <w:t>f</w:t>
      </w:r>
      <w:r w:rsidRPr="00413245">
        <w:rPr>
          <w:i/>
          <w:iCs/>
        </w:rPr>
        <w:t>ramework</w:t>
      </w:r>
      <w:r w:rsidRPr="00303B35">
        <w:rPr>
          <w:rFonts w:eastAsia="Segoe UI" w:cs="Arial"/>
        </w:rPr>
        <w:t xml:space="preserve">, which establishes minimum expectations for activity, reporting and outcomes. Providers are required to deliver services in accordance with the </w:t>
      </w:r>
      <w:r w:rsidRPr="00413245">
        <w:t xml:space="preserve">Victorian </w:t>
      </w:r>
      <w:r w:rsidRPr="00413245">
        <w:lastRenderedPageBreak/>
        <w:t xml:space="preserve">AOD </w:t>
      </w:r>
      <w:r>
        <w:t>p</w:t>
      </w:r>
      <w:r w:rsidRPr="00413245">
        <w:t xml:space="preserve">rogram </w:t>
      </w:r>
      <w:r>
        <w:t>g</w:t>
      </w:r>
      <w:r w:rsidRPr="00413245">
        <w:t>uidelines</w:t>
      </w:r>
      <w:r w:rsidRPr="00303B35">
        <w:rPr>
          <w:rFonts w:eastAsia="Segoe UI" w:cs="Arial"/>
        </w:rPr>
        <w:t xml:space="preserve">, individual service agreements or </w:t>
      </w:r>
      <w:r>
        <w:rPr>
          <w:rFonts w:eastAsia="Segoe UI" w:cs="Arial"/>
        </w:rPr>
        <w:t>SoP</w:t>
      </w:r>
      <w:r w:rsidRPr="00303B35">
        <w:rPr>
          <w:rFonts w:eastAsia="Segoe UI" w:cs="Arial"/>
        </w:rPr>
        <w:t>, supporting consistent oversight, performance management and continuous improvement.</w:t>
      </w:r>
    </w:p>
    <w:p w14:paraId="06987A14" w14:textId="77777777" w:rsidR="00817104" w:rsidRDefault="00817104" w:rsidP="00817104">
      <w:pPr>
        <w:pStyle w:val="Body"/>
        <w:rPr>
          <w:rFonts w:eastAsia="Segoe UI" w:cs="Arial"/>
        </w:rPr>
      </w:pPr>
      <w:r>
        <w:rPr>
          <w:rFonts w:eastAsia="Segoe UI" w:cs="Arial"/>
        </w:rPr>
        <w:t>For more information, visit:</w:t>
      </w:r>
    </w:p>
    <w:p w14:paraId="22901407" w14:textId="77777777" w:rsidR="00817104" w:rsidRDefault="00817104" w:rsidP="00817104">
      <w:pPr>
        <w:pStyle w:val="Bullet1"/>
        <w:numPr>
          <w:ilvl w:val="0"/>
          <w:numId w:val="2"/>
        </w:numPr>
      </w:pPr>
      <w:hyperlink r:id="rId60" w:history="1">
        <w:r w:rsidRPr="00E023BD">
          <w:rPr>
            <w:rStyle w:val="Hyperlink"/>
            <w:rFonts w:eastAsia="Segoe UI" w:cs="Arial"/>
          </w:rPr>
          <w:t>AOD performance management framework</w:t>
        </w:r>
      </w:hyperlink>
      <w:r w:rsidRPr="00B845CB">
        <w:t xml:space="preserve"> </w:t>
      </w:r>
      <w:r>
        <w:t>&lt;</w:t>
      </w:r>
      <w:r w:rsidRPr="005C5674">
        <w:t>https://www.health.vic.gov.au/publications/alcohol-and-other-drug-performance-management-framework</w:t>
      </w:r>
      <w:r>
        <w:t>&gt;</w:t>
      </w:r>
    </w:p>
    <w:p w14:paraId="0C5D2451" w14:textId="77777777" w:rsidR="00817104" w:rsidRPr="00B845CB" w:rsidRDefault="00817104" w:rsidP="00817104">
      <w:pPr>
        <w:pStyle w:val="Bullet1"/>
        <w:numPr>
          <w:ilvl w:val="0"/>
          <w:numId w:val="2"/>
        </w:numPr>
        <w:rPr>
          <w:rFonts w:eastAsia="Segoe UI" w:cs="Arial"/>
        </w:rPr>
      </w:pPr>
      <w:hyperlink r:id="rId61" w:history="1">
        <w:r w:rsidRPr="00303B35">
          <w:rPr>
            <w:rStyle w:val="Hyperlink"/>
            <w:rFonts w:eastAsia="Segoe UI" w:cs="Arial"/>
          </w:rPr>
          <w:t xml:space="preserve">AOD </w:t>
        </w:r>
        <w:r>
          <w:rPr>
            <w:rStyle w:val="Hyperlink"/>
            <w:rFonts w:eastAsia="Segoe UI" w:cs="Arial"/>
          </w:rPr>
          <w:t>p</w:t>
        </w:r>
        <w:r w:rsidRPr="00303B35">
          <w:rPr>
            <w:rStyle w:val="Hyperlink"/>
            <w:rFonts w:eastAsia="Segoe UI" w:cs="Arial"/>
          </w:rPr>
          <w:t xml:space="preserve">rogram </w:t>
        </w:r>
        <w:r>
          <w:rPr>
            <w:rStyle w:val="Hyperlink"/>
            <w:rFonts w:eastAsia="Segoe UI" w:cs="Arial"/>
          </w:rPr>
          <w:t>g</w:t>
        </w:r>
        <w:r w:rsidRPr="00303B35">
          <w:rPr>
            <w:rStyle w:val="Hyperlink"/>
            <w:rFonts w:eastAsia="Segoe UI" w:cs="Arial"/>
          </w:rPr>
          <w:t>uidelines</w:t>
        </w:r>
      </w:hyperlink>
      <w:r>
        <w:t xml:space="preserve"> &lt;</w:t>
      </w:r>
      <w:r w:rsidRPr="00B845CB">
        <w:t>https://www.health.vic.gov.au/aod-service-standards-guidelines/alcohol-and-other-drug-program-guidelines</w:t>
      </w:r>
      <w:r>
        <w:t>&gt;.</w:t>
      </w:r>
    </w:p>
    <w:p w14:paraId="6C46EDBF" w14:textId="6D7739C7" w:rsidR="00817104" w:rsidRDefault="00817104" w:rsidP="00817104">
      <w:pPr>
        <w:pStyle w:val="Heading2"/>
      </w:pPr>
      <w:bookmarkStart w:id="1839" w:name="_Toc106868026"/>
      <w:bookmarkStart w:id="1840" w:name="_Toc106869777"/>
      <w:bookmarkStart w:id="1841" w:name="_Toc106870111"/>
      <w:bookmarkStart w:id="1842" w:name="_Toc106870277"/>
      <w:bookmarkStart w:id="1843" w:name="_Toc106870449"/>
      <w:bookmarkStart w:id="1844" w:name="_Toc107400161"/>
      <w:bookmarkStart w:id="1845" w:name="_Toc143080868"/>
      <w:bookmarkStart w:id="1846" w:name="_Toc195014064"/>
      <w:bookmarkStart w:id="1847" w:name="_Toc231982264"/>
      <w:r>
        <w:t>Mental health and wellbeing programs</w:t>
      </w:r>
      <w:bookmarkEnd w:id="1839"/>
      <w:bookmarkEnd w:id="1840"/>
      <w:bookmarkEnd w:id="1841"/>
      <w:bookmarkEnd w:id="1842"/>
      <w:bookmarkEnd w:id="1843"/>
      <w:bookmarkEnd w:id="1844"/>
      <w:bookmarkEnd w:id="1845"/>
      <w:bookmarkEnd w:id="1846"/>
      <w:bookmarkEnd w:id="1847"/>
    </w:p>
    <w:p w14:paraId="781BACAC" w14:textId="71B94CBF" w:rsidR="00817104" w:rsidRPr="00CB368B" w:rsidRDefault="00817104" w:rsidP="00817104">
      <w:pPr>
        <w:pStyle w:val="Heading3"/>
      </w:pPr>
      <w:r>
        <w:t>Suicide prevention and response</w:t>
      </w:r>
    </w:p>
    <w:p w14:paraId="58BC3F17" w14:textId="10C046BA" w:rsidR="00817104" w:rsidRPr="00D12772" w:rsidRDefault="006738FC" w:rsidP="00817104">
      <w:pPr>
        <w:pStyle w:val="Heading4"/>
      </w:pPr>
      <w:r w:rsidRPr="006738FC">
        <w:t xml:space="preserve">Hospital Outreach Post Suicidal Engagement </w:t>
      </w:r>
      <w:r>
        <w:t>(</w:t>
      </w:r>
      <w:r w:rsidR="00817104">
        <w:t>HOPE</w:t>
      </w:r>
      <w:r>
        <w:t>)</w:t>
      </w:r>
      <w:r w:rsidR="00817104" w:rsidRPr="00D12772">
        <w:t xml:space="preserve"> </w:t>
      </w:r>
      <w:r w:rsidR="00817104">
        <w:t>p</w:t>
      </w:r>
      <w:r w:rsidR="00817104" w:rsidRPr="00D12772">
        <w:t xml:space="preserve">rogram </w:t>
      </w:r>
    </w:p>
    <w:p w14:paraId="48CD31E4" w14:textId="77777777" w:rsidR="00817104" w:rsidRDefault="00817104" w:rsidP="00817104">
      <w:pPr>
        <w:pStyle w:val="Body"/>
      </w:pPr>
      <w:r>
        <w:t>In Victoria, all Area Mental Health and Wellbeing Services are funded to deliver the adult HOPE program. Four infant, child and youth mental health and wellbeing services (the Royal Children’s Hospital, Alfred Heath, Monash Children’s Hospital and Parkville Youth Mental Health and Wellbeing Service) are funded to deliver the child and youth HOPE program. All health services receive additional funding to provide expanded referral pathways and extended service hours.</w:t>
      </w:r>
    </w:p>
    <w:p w14:paraId="02FFDE2F" w14:textId="77777777" w:rsidR="00817104" w:rsidRDefault="00817104" w:rsidP="00817104">
      <w:pPr>
        <w:pStyle w:val="Body"/>
      </w:pPr>
      <w:r w:rsidRPr="00A125AC">
        <w:t xml:space="preserve">The </w:t>
      </w:r>
      <w:r w:rsidRPr="00B3475E">
        <w:t>HOPE</w:t>
      </w:r>
      <w:r>
        <w:t xml:space="preserve"> program</w:t>
      </w:r>
      <w:r w:rsidRPr="00B3475E">
        <w:t xml:space="preserve"> is a </w:t>
      </w:r>
      <w:r>
        <w:t>peer,</w:t>
      </w:r>
      <w:r w:rsidRPr="00B3475E">
        <w:t xml:space="preserve"> </w:t>
      </w:r>
      <w:r>
        <w:t xml:space="preserve">wellbeing </w:t>
      </w:r>
      <w:r w:rsidRPr="00B3475E">
        <w:t xml:space="preserve">and clinical support service that delivers responsive outreach to </w:t>
      </w:r>
      <w:r>
        <w:t>people after</w:t>
      </w:r>
      <w:r w:rsidRPr="00B3475E">
        <w:t xml:space="preserve"> </w:t>
      </w:r>
      <w:r>
        <w:t xml:space="preserve">a </w:t>
      </w:r>
      <w:r w:rsidRPr="006E0203">
        <w:t>suicide attempt</w:t>
      </w:r>
      <w:r>
        <w:t>,</w:t>
      </w:r>
      <w:r w:rsidRPr="006E0203">
        <w:t xml:space="preserve"> </w:t>
      </w:r>
      <w:r w:rsidRPr="00B3475E">
        <w:t>planning or intent</w:t>
      </w:r>
      <w:r>
        <w:t>,</w:t>
      </w:r>
      <w:r w:rsidRPr="00B3475E">
        <w:t xml:space="preserve"> and/or</w:t>
      </w:r>
      <w:r w:rsidRPr="00B3475E" w:rsidDel="00320430">
        <w:t xml:space="preserve"> </w:t>
      </w:r>
      <w:r w:rsidRPr="00B3475E">
        <w:t>self-harm.</w:t>
      </w:r>
      <w:r>
        <w:t xml:space="preserve"> </w:t>
      </w:r>
      <w:r w:rsidRPr="00B3475E">
        <w:t xml:space="preserve">HOPE teams support </w:t>
      </w:r>
      <w:r>
        <w:t>individuals</w:t>
      </w:r>
      <w:r w:rsidRPr="00B3475E">
        <w:t xml:space="preserve"> and their family, friends</w:t>
      </w:r>
      <w:r>
        <w:t>,</w:t>
      </w:r>
      <w:r w:rsidRPr="00B3475E">
        <w:t xml:space="preserve"> carers</w:t>
      </w:r>
      <w:r>
        <w:t xml:space="preserve"> and other supporters</w:t>
      </w:r>
      <w:r w:rsidRPr="00B3475E">
        <w:t xml:space="preserve"> for up to three months</w:t>
      </w:r>
      <w:r>
        <w:t>,</w:t>
      </w:r>
      <w:r w:rsidRPr="00B3475E">
        <w:t xml:space="preserve"> helping them to identify and build protective factors against suicide.</w:t>
      </w:r>
    </w:p>
    <w:p w14:paraId="2CFB6932" w14:textId="77777777" w:rsidR="00817104" w:rsidRDefault="00817104" w:rsidP="00817104">
      <w:pPr>
        <w:pStyle w:val="Body"/>
      </w:pPr>
      <w:r>
        <w:t xml:space="preserve">Health services are responsible for ensuring that all relevant parts of the service (such as EDs) have an awareness of the HOPE program and that the program is delivered in alignment with the </w:t>
      </w:r>
      <w:r w:rsidRPr="00E023BD">
        <w:t>HOPE service framework</w:t>
      </w:r>
      <w:r>
        <w:rPr>
          <w:i/>
          <w:iCs/>
        </w:rPr>
        <w:t xml:space="preserve">, </w:t>
      </w:r>
      <w:r>
        <w:t xml:space="preserve">which provides clear policy and operational parameters to guide the planning, delivery and monitoring of the HOPE program. </w:t>
      </w:r>
    </w:p>
    <w:p w14:paraId="43FF7EE1" w14:textId="77777777" w:rsidR="00817104" w:rsidRDefault="00817104" w:rsidP="00817104">
      <w:pPr>
        <w:pStyle w:val="Body"/>
      </w:pPr>
      <w:r>
        <w:t>It aims to:</w:t>
      </w:r>
    </w:p>
    <w:p w14:paraId="3BB354CE" w14:textId="77777777" w:rsidR="00817104" w:rsidRDefault="00817104" w:rsidP="00817104">
      <w:pPr>
        <w:pStyle w:val="Bullet1"/>
        <w:numPr>
          <w:ilvl w:val="0"/>
          <w:numId w:val="2"/>
        </w:numPr>
      </w:pPr>
      <w:r>
        <w:t>describe the minimum expectations for the HOPE program</w:t>
      </w:r>
    </w:p>
    <w:p w14:paraId="69C93F38" w14:textId="77777777" w:rsidR="00817104" w:rsidRDefault="00817104" w:rsidP="00817104">
      <w:pPr>
        <w:pStyle w:val="Bullet1"/>
        <w:numPr>
          <w:ilvl w:val="0"/>
          <w:numId w:val="2"/>
        </w:numPr>
      </w:pPr>
      <w:r>
        <w:t>provide clear guidance about who the program is for, the multidisciplinary (peer, wellbeing and clinical) care to be provided and program requirements</w:t>
      </w:r>
    </w:p>
    <w:p w14:paraId="688B461F" w14:textId="77777777" w:rsidR="00817104" w:rsidRDefault="00817104" w:rsidP="00817104">
      <w:pPr>
        <w:pStyle w:val="Bullet1"/>
        <w:numPr>
          <w:ilvl w:val="0"/>
          <w:numId w:val="2"/>
        </w:numPr>
      </w:pPr>
      <w:r>
        <w:t>promote an approach that results in easy-to-access, timely and compassionate support, care and treatment</w:t>
      </w:r>
    </w:p>
    <w:p w14:paraId="420DF9FD" w14:textId="77777777" w:rsidR="00817104" w:rsidRDefault="00817104" w:rsidP="00817104">
      <w:pPr>
        <w:pStyle w:val="Bullet1"/>
        <w:numPr>
          <w:ilvl w:val="0"/>
          <w:numId w:val="2"/>
        </w:numPr>
      </w:pPr>
      <w:r>
        <w:t>enable fidelity to the model of care</w:t>
      </w:r>
    </w:p>
    <w:p w14:paraId="2D3C39E0" w14:textId="77777777" w:rsidR="00817104" w:rsidRDefault="00817104" w:rsidP="00817104">
      <w:pPr>
        <w:pStyle w:val="Bullet1"/>
        <w:numPr>
          <w:ilvl w:val="0"/>
          <w:numId w:val="2"/>
        </w:numPr>
      </w:pPr>
      <w:r>
        <w:t>support and enable integration of the program with other parts of the suicide prevention and mental health and wellbeing systems, and other service providers</w:t>
      </w:r>
    </w:p>
    <w:p w14:paraId="7A850D7B" w14:textId="77777777" w:rsidR="00817104" w:rsidRDefault="00817104" w:rsidP="00817104">
      <w:pPr>
        <w:pStyle w:val="Bullet1"/>
        <w:numPr>
          <w:ilvl w:val="0"/>
          <w:numId w:val="2"/>
        </w:numPr>
      </w:pPr>
      <w:r>
        <w:t>be a working document that will be adjusted and refined as the program matures.</w:t>
      </w:r>
    </w:p>
    <w:p w14:paraId="5D630FFB" w14:textId="77777777" w:rsidR="00817104" w:rsidRDefault="00817104" w:rsidP="00817104">
      <w:pPr>
        <w:pStyle w:val="Heading4"/>
      </w:pPr>
      <w:r>
        <w:t>Suicide prevention and response programs</w:t>
      </w:r>
    </w:p>
    <w:p w14:paraId="3C690A64" w14:textId="77777777" w:rsidR="00817104" w:rsidRDefault="00817104" w:rsidP="00817104">
      <w:r>
        <w:t xml:space="preserve">To ensure appropriate support, care and treatment is provided for suicide attempt survivors, people experiencing suicidal distress and their families, carers and supporters, health services should be familiar with a broad range of community-based suicide prevention and response supports, as well as those that address drivers of distress, such as gambling harm supports, financial counselling and family violence services. </w:t>
      </w:r>
    </w:p>
    <w:p w14:paraId="24C081FC" w14:textId="77777777" w:rsidR="00817104" w:rsidRDefault="00817104" w:rsidP="00817104">
      <w:r>
        <w:t>Other suicide prevention and response programs funded by the department include:</w:t>
      </w:r>
    </w:p>
    <w:p w14:paraId="08476A5B" w14:textId="77777777" w:rsidR="00817104" w:rsidRDefault="00817104" w:rsidP="00817104">
      <w:pPr>
        <w:pStyle w:val="Bullet1"/>
        <w:numPr>
          <w:ilvl w:val="0"/>
          <w:numId w:val="2"/>
        </w:numPr>
      </w:pPr>
      <w:r w:rsidRPr="00154590">
        <w:lastRenderedPageBreak/>
        <w:t>LGBTIQA+ aftercare, delivered by</w:t>
      </w:r>
      <w:r>
        <w:t xml:space="preserve"> </w:t>
      </w:r>
      <w:hyperlink r:id="rId62" w:history="1">
        <w:r w:rsidRPr="00365459">
          <w:rPr>
            <w:rStyle w:val="Hyperlink"/>
          </w:rPr>
          <w:t xml:space="preserve">Mind Australia: Aftercare </w:t>
        </w:r>
      </w:hyperlink>
      <w:r>
        <w:t xml:space="preserve"> </w:t>
      </w:r>
      <w:r w:rsidRPr="00154590">
        <w:t>&lt;https://www.mindaustralia.org.au/services/aftercare&gt;</w:t>
      </w:r>
    </w:p>
    <w:p w14:paraId="36C7D550" w14:textId="77777777" w:rsidR="00817104" w:rsidRPr="00154590" w:rsidRDefault="00817104" w:rsidP="00817104">
      <w:pPr>
        <w:pStyle w:val="Bullet1"/>
        <w:numPr>
          <w:ilvl w:val="0"/>
          <w:numId w:val="2"/>
        </w:numPr>
      </w:pPr>
      <w:r>
        <w:t xml:space="preserve">LGBTIQA+ suicide prevention and postvention support, delivered by </w:t>
      </w:r>
      <w:hyperlink r:id="rId63" w:history="1">
        <w:r w:rsidRPr="000D7BCF">
          <w:rPr>
            <w:rStyle w:val="Hyperlink"/>
            <w:rFonts w:cs="Arial"/>
            <w:szCs w:val="21"/>
          </w:rPr>
          <w:t>Switchboard Victoria</w:t>
        </w:r>
      </w:hyperlink>
      <w:r>
        <w:t xml:space="preserve"> &lt;https://www.switchboard.org.au&gt;</w:t>
      </w:r>
    </w:p>
    <w:p w14:paraId="2B4F3701" w14:textId="77777777" w:rsidR="00817104" w:rsidRPr="00154590" w:rsidRDefault="00817104" w:rsidP="00817104">
      <w:pPr>
        <w:pStyle w:val="Bullet1"/>
        <w:numPr>
          <w:ilvl w:val="0"/>
          <w:numId w:val="2"/>
        </w:numPr>
      </w:pPr>
      <w:r>
        <w:t xml:space="preserve">the </w:t>
      </w:r>
      <w:hyperlink r:id="rId64" w:history="1">
        <w:r w:rsidRPr="00154590">
          <w:rPr>
            <w:rStyle w:val="Hyperlink"/>
            <w:rFonts w:cs="Arial"/>
            <w:szCs w:val="21"/>
          </w:rPr>
          <w:t>Distress support service</w:t>
        </w:r>
      </w:hyperlink>
      <w:r>
        <w:t xml:space="preserve"> &lt;</w:t>
      </w:r>
      <w:r w:rsidRPr="00F001CA">
        <w:t>https://www.health.vic.gov.au/suicide-prevention/distress-support-service</w:t>
      </w:r>
      <w:r>
        <w:t>&gt;</w:t>
      </w:r>
    </w:p>
    <w:p w14:paraId="18FDEC25" w14:textId="77777777" w:rsidR="00817104" w:rsidRDefault="00817104" w:rsidP="00817104">
      <w:pPr>
        <w:pStyle w:val="Bullet1"/>
        <w:numPr>
          <w:ilvl w:val="0"/>
          <w:numId w:val="2"/>
        </w:numPr>
      </w:pPr>
      <w:r>
        <w:t xml:space="preserve">postvention supports, through </w:t>
      </w:r>
      <w:hyperlink r:id="rId65" w:history="1">
        <w:r w:rsidRPr="00154590">
          <w:rPr>
            <w:rStyle w:val="Hyperlink"/>
            <w:rFonts w:cs="Arial"/>
            <w:szCs w:val="21"/>
          </w:rPr>
          <w:t>StandBy Support After Suicide</w:t>
        </w:r>
      </w:hyperlink>
      <w:r>
        <w:t xml:space="preserve"> &lt;</w:t>
      </w:r>
      <w:r w:rsidRPr="00A8577D">
        <w:t>https://standbysupport.com.au/find-support/vic/</w:t>
      </w:r>
      <w:r>
        <w:t xml:space="preserve">&gt; </w:t>
      </w:r>
    </w:p>
    <w:p w14:paraId="6059058E" w14:textId="77777777" w:rsidR="00817104" w:rsidRPr="008A2D64" w:rsidRDefault="00817104" w:rsidP="00817104">
      <w:pPr>
        <w:pStyle w:val="Bullet1"/>
        <w:numPr>
          <w:ilvl w:val="0"/>
          <w:numId w:val="2"/>
        </w:numPr>
      </w:pPr>
      <w:hyperlink r:id="rId66" w:history="1">
        <w:r w:rsidRPr="00154590">
          <w:rPr>
            <w:rStyle w:val="Hyperlink"/>
            <w:rFonts w:cs="Arial"/>
            <w:szCs w:val="21"/>
          </w:rPr>
          <w:t>SuicideLine Victoria</w:t>
        </w:r>
      </w:hyperlink>
      <w:r w:rsidRPr="00154590">
        <w:t xml:space="preserve"> </w:t>
      </w:r>
      <w:r>
        <w:t>&lt;</w:t>
      </w:r>
      <w:r w:rsidRPr="00A8577D">
        <w:t>https://suicideline.org.au/</w:t>
      </w:r>
      <w:r>
        <w:t xml:space="preserve">&gt; </w:t>
      </w:r>
      <w:r w:rsidRPr="00154590">
        <w:t>delivered by Lifeline</w:t>
      </w:r>
      <w:r>
        <w:t xml:space="preserve">. </w:t>
      </w:r>
      <w:r w:rsidRPr="00F860DD">
        <w:rPr>
          <w:rFonts w:eastAsiaTheme="minorHAnsi"/>
          <w:kern w:val="2"/>
          <w14:ligatures w14:val="standardContextual"/>
        </w:rPr>
        <w:t>It provides 24/7 telephone, web chat and video counselling to people 15 years and older who are at risk of suicide, bereaved by suicide or concerned for someone at risk of suicide. Services include intake and assessment, single and multi-session counselling, and referrals for Victorians in need.</w:t>
      </w:r>
    </w:p>
    <w:p w14:paraId="523708AE" w14:textId="4DDBE71F" w:rsidR="00817104" w:rsidRDefault="00817104" w:rsidP="00817104">
      <w:pPr>
        <w:pStyle w:val="Bodyafterbullets"/>
      </w:pPr>
      <w:r>
        <w:t xml:space="preserve">More information on Victoria’s approach to suicide prevention and response is available in the </w:t>
      </w:r>
      <w:r w:rsidRPr="00984816">
        <w:rPr>
          <w:i/>
          <w:iCs/>
        </w:rPr>
        <w:t>Victorian suicide prevention and response strategy 2024–34</w:t>
      </w:r>
      <w:r w:rsidR="002872F2">
        <w:t xml:space="preserve"> </w:t>
      </w:r>
      <w:r>
        <w:t>and its accompanying rolling implementation plans and accountability framework.</w:t>
      </w:r>
    </w:p>
    <w:p w14:paraId="2454CADD" w14:textId="77777777" w:rsidR="00817104" w:rsidRDefault="00817104" w:rsidP="00817104">
      <w:pPr>
        <w:pStyle w:val="Bodyafterbullets"/>
      </w:pPr>
      <w:r>
        <w:t xml:space="preserve">For more information, visit </w:t>
      </w:r>
      <w:hyperlink r:id="rId67" w:history="1">
        <w:r w:rsidRPr="00984816">
          <w:rPr>
            <w:rStyle w:val="Hyperlink"/>
          </w:rPr>
          <w:t>Victorian suicide prevention and response strategy</w:t>
        </w:r>
      </w:hyperlink>
      <w:r w:rsidRPr="00DB1512">
        <w:rPr>
          <w:u w:val="single"/>
        </w:rPr>
        <w:t xml:space="preserve"> </w:t>
      </w:r>
      <w:r>
        <w:t>&lt;</w:t>
      </w:r>
      <w:r w:rsidRPr="000E5091">
        <w:t>https://www.health.vic.gov.au/mental-health-wellbeing-reform/victorian-suicide-prevention-and-response-strategy</w:t>
      </w:r>
      <w:r>
        <w:t xml:space="preserve">&gt;. </w:t>
      </w:r>
    </w:p>
    <w:p w14:paraId="63F736FB" w14:textId="77777777" w:rsidR="00817104" w:rsidRPr="00F104C4" w:rsidRDefault="00817104" w:rsidP="00817104">
      <w:pPr>
        <w:pStyle w:val="Heading4"/>
      </w:pPr>
      <w:r>
        <w:t xml:space="preserve">Supporting Aboriginal social </w:t>
      </w:r>
      <w:r w:rsidRPr="00CB368B">
        <w:t>and</w:t>
      </w:r>
      <w:r>
        <w:t xml:space="preserve"> emotional wellbeing</w:t>
      </w:r>
    </w:p>
    <w:p w14:paraId="1E052BF4" w14:textId="77777777" w:rsidR="00817104" w:rsidRDefault="00817104" w:rsidP="00817104">
      <w:pPr>
        <w:pStyle w:val="Body"/>
      </w:pPr>
      <w:r>
        <w:t>Aboriginal Community Controlled Health Organisations (ACCHOs) provide self-determined Aboriginal social and emotional wellbeing services to local communities with Aboriginal social and emotional wellbeing teams funded in 25 ACCHOs across the state.</w:t>
      </w:r>
    </w:p>
    <w:p w14:paraId="4773F147" w14:textId="77777777" w:rsidR="00817104" w:rsidRDefault="00817104" w:rsidP="00817104">
      <w:pPr>
        <w:pStyle w:val="Body"/>
      </w:pPr>
      <w:r>
        <w:t xml:space="preserve">With social and emotional wellbeing funding, ACCHOs can also choose to </w:t>
      </w:r>
      <w:r w:rsidRPr="00551CE1">
        <w:t>commission culturally appropriate, family-oriented, social and emotional wellbeing services for children and young people</w:t>
      </w:r>
      <w:r>
        <w:t>, and support communities with brokerage funding.</w:t>
      </w:r>
    </w:p>
    <w:p w14:paraId="45FC0F21" w14:textId="77777777" w:rsidR="00817104" w:rsidRDefault="00817104" w:rsidP="00817104">
      <w:pPr>
        <w:pStyle w:val="Body"/>
      </w:pPr>
      <w:r>
        <w:t>The department</w:t>
      </w:r>
      <w:r w:rsidDel="000A09DE">
        <w:t xml:space="preserve"> </w:t>
      </w:r>
      <w:r>
        <w:t xml:space="preserve">works in partnership with the </w:t>
      </w:r>
      <w:r w:rsidRPr="00E02B5F">
        <w:t xml:space="preserve">Victorian Aboriginal Community Controlled Health Organisation </w:t>
      </w:r>
      <w:r>
        <w:t xml:space="preserve">(VACCHO), through the Balit Durn Durn Centre of Excellence in Aboriginal social and emotional wellbeing, to deliver the </w:t>
      </w:r>
      <w:r w:rsidRPr="00551CE1">
        <w:t>Aboriginal social and emotional wellbeing scholarship program</w:t>
      </w:r>
      <w:r>
        <w:t>,</w:t>
      </w:r>
      <w:r w:rsidRPr="00551CE1">
        <w:t xml:space="preserve"> </w:t>
      </w:r>
      <w:r>
        <w:t>which</w:t>
      </w:r>
      <w:r w:rsidRPr="00551CE1">
        <w:t xml:space="preserve"> </w:t>
      </w:r>
      <w:r>
        <w:t xml:space="preserve">provides financial </w:t>
      </w:r>
      <w:r w:rsidRPr="00551CE1">
        <w:t>support</w:t>
      </w:r>
      <w:r>
        <w:t xml:space="preserve"> for </w:t>
      </w:r>
      <w:r w:rsidRPr="00551CE1">
        <w:t xml:space="preserve">Aboriginal </w:t>
      </w:r>
      <w:r>
        <w:t xml:space="preserve">and Torres Strait Islander </w:t>
      </w:r>
      <w:r w:rsidRPr="00551CE1">
        <w:t xml:space="preserve">students to access high-quality education and training </w:t>
      </w:r>
      <w:r>
        <w:t>to complete</w:t>
      </w:r>
      <w:r w:rsidRPr="00551CE1">
        <w:t xml:space="preserve"> a mental health</w:t>
      </w:r>
      <w:r>
        <w:t>-</w:t>
      </w:r>
      <w:r w:rsidRPr="00551CE1">
        <w:t>related qualification</w:t>
      </w:r>
      <w:r>
        <w:t xml:space="preserve">. </w:t>
      </w:r>
    </w:p>
    <w:p w14:paraId="71DD32C3" w14:textId="41ACE269" w:rsidR="00817104" w:rsidRPr="004877F4" w:rsidRDefault="00817104" w:rsidP="00817104">
      <w:pPr>
        <w:pStyle w:val="Body"/>
      </w:pPr>
      <w:r w:rsidRPr="004877F4">
        <w:t>All mainstream health services have an obligation to provide culturally safe care to Aboriginal people and communities</w:t>
      </w:r>
      <w:r>
        <w:t>.</w:t>
      </w:r>
      <w:r w:rsidRPr="004877F4">
        <w:t xml:space="preserve"> </w:t>
      </w:r>
      <w:r>
        <w:t xml:space="preserve">To support mainstream mental services to improve their capability in providing culturally safe and responsive services, 13 </w:t>
      </w:r>
      <w:r w:rsidR="008A473D">
        <w:t>Infant, Child and Youth Area Mental Health and Wellbeing Services</w:t>
      </w:r>
      <w:r w:rsidR="002872F2">
        <w:t xml:space="preserve"> (ICY AMHWS</w:t>
      </w:r>
      <w:r w:rsidR="003D4E3A">
        <w:t>)</w:t>
      </w:r>
      <w:r w:rsidR="008A473D">
        <w:t xml:space="preserve"> </w:t>
      </w:r>
      <w:r>
        <w:t>have been funded to undertake cultural safety training to improve practice and support Aboriginal young people and their families.</w:t>
      </w:r>
      <w:r w:rsidRPr="004877F4">
        <w:t xml:space="preserve"> </w:t>
      </w:r>
      <w:r>
        <w:t xml:space="preserve">This funding is in addition to the Aboriginal cultural </w:t>
      </w:r>
      <w:r w:rsidRPr="00393542">
        <w:t>safety fixed</w:t>
      </w:r>
      <w:r>
        <w:t>-</w:t>
      </w:r>
      <w:r w:rsidRPr="00393542">
        <w:t>grant</w:t>
      </w:r>
      <w:r>
        <w:t xml:space="preserve"> funding provided annually to health services. </w:t>
      </w:r>
    </w:p>
    <w:p w14:paraId="4DF15182" w14:textId="1728D3A7" w:rsidR="00817104" w:rsidRDefault="00817104" w:rsidP="00817104">
      <w:pPr>
        <w:pStyle w:val="Body"/>
      </w:pPr>
      <w:r>
        <w:t xml:space="preserve">Ten </w:t>
      </w:r>
      <w:r w:rsidRPr="00D16A5D">
        <w:t>Koori Mental Health Liaison Officers work</w:t>
      </w:r>
      <w:r>
        <w:t xml:space="preserve"> in selected </w:t>
      </w:r>
      <w:r w:rsidR="003D4E3A">
        <w:t>ICY AMHWS</w:t>
      </w:r>
      <w:r w:rsidRPr="00D16A5D">
        <w:t xml:space="preserve"> </w:t>
      </w:r>
      <w:r>
        <w:t xml:space="preserve">to </w:t>
      </w:r>
      <w:r w:rsidRPr="00D16A5D">
        <w:t>support</w:t>
      </w:r>
      <w:r>
        <w:t xml:space="preserve"> </w:t>
      </w:r>
      <w:r w:rsidRPr="00D16A5D">
        <w:t>the cultural safety of Aboriginal children, young people and their families when accessing acute mental health services.</w:t>
      </w:r>
      <w:r w:rsidRPr="00EB62C2">
        <w:t xml:space="preserve"> </w:t>
      </w:r>
      <w:r>
        <w:t>Eleven</w:t>
      </w:r>
      <w:r w:rsidRPr="00EB62C2">
        <w:t xml:space="preserve"> Koori Mental Health Liaison Officers </w:t>
      </w:r>
      <w:r>
        <w:t xml:space="preserve">also </w:t>
      </w:r>
      <w:r w:rsidRPr="00EB62C2">
        <w:t xml:space="preserve">support adults in accessing culturally safe care in adult </w:t>
      </w:r>
      <w:r>
        <w:t>A</w:t>
      </w:r>
      <w:r w:rsidRPr="00D16A5D">
        <w:t xml:space="preserve">rea </w:t>
      </w:r>
      <w:r>
        <w:t>M</w:t>
      </w:r>
      <w:r w:rsidRPr="00D16A5D">
        <w:t xml:space="preserve">ental </w:t>
      </w:r>
      <w:r>
        <w:t>H</w:t>
      </w:r>
      <w:r w:rsidRPr="00D16A5D">
        <w:t xml:space="preserve">ealth and </w:t>
      </w:r>
      <w:r>
        <w:t>W</w:t>
      </w:r>
      <w:r w:rsidRPr="00D16A5D">
        <w:t xml:space="preserve">ellbeing </w:t>
      </w:r>
      <w:r>
        <w:t>S</w:t>
      </w:r>
      <w:r w:rsidRPr="00D16A5D">
        <w:t>ervices</w:t>
      </w:r>
      <w:r w:rsidRPr="00EB62C2">
        <w:t>.</w:t>
      </w:r>
    </w:p>
    <w:p w14:paraId="3DD0CD01" w14:textId="77777777" w:rsidR="00817104" w:rsidRDefault="00817104" w:rsidP="00817104">
      <w:pPr>
        <w:pStyle w:val="Body"/>
      </w:pPr>
      <w:r>
        <w:t>This work</w:t>
      </w:r>
      <w:r w:rsidRPr="00551CE1">
        <w:t xml:space="preserve"> supports and builds on key actions and priorities committed under the </w:t>
      </w:r>
      <w:r w:rsidRPr="00E34F46">
        <w:rPr>
          <w:i/>
          <w:iCs/>
        </w:rPr>
        <w:t xml:space="preserve">Balit Murrup: Aboriginal </w:t>
      </w:r>
      <w:r>
        <w:rPr>
          <w:i/>
          <w:iCs/>
        </w:rPr>
        <w:t>s</w:t>
      </w:r>
      <w:r w:rsidRPr="00E34F46">
        <w:rPr>
          <w:i/>
          <w:iCs/>
        </w:rPr>
        <w:t xml:space="preserve">ocial and </w:t>
      </w:r>
      <w:r>
        <w:rPr>
          <w:i/>
          <w:iCs/>
        </w:rPr>
        <w:t>e</w:t>
      </w:r>
      <w:r w:rsidRPr="00E34F46">
        <w:rPr>
          <w:i/>
          <w:iCs/>
        </w:rPr>
        <w:t xml:space="preserve">motional </w:t>
      </w:r>
      <w:r>
        <w:rPr>
          <w:i/>
          <w:iCs/>
        </w:rPr>
        <w:t>w</w:t>
      </w:r>
      <w:r w:rsidRPr="00E34F46">
        <w:rPr>
          <w:i/>
          <w:iCs/>
        </w:rPr>
        <w:t xml:space="preserve">ellbeing </w:t>
      </w:r>
      <w:r>
        <w:rPr>
          <w:i/>
          <w:iCs/>
        </w:rPr>
        <w:t>f</w:t>
      </w:r>
      <w:r w:rsidRPr="00E34F46">
        <w:rPr>
          <w:i/>
          <w:iCs/>
        </w:rPr>
        <w:t>ramework 2017</w:t>
      </w:r>
      <w:r>
        <w:rPr>
          <w:i/>
          <w:iCs/>
        </w:rPr>
        <w:t>–</w:t>
      </w:r>
      <w:r w:rsidRPr="00E34F46">
        <w:rPr>
          <w:i/>
          <w:iCs/>
        </w:rPr>
        <w:t>2027</w:t>
      </w:r>
      <w:r w:rsidRPr="004877F4">
        <w:t>.</w:t>
      </w:r>
    </w:p>
    <w:p w14:paraId="0E5584F8" w14:textId="77777777" w:rsidR="00817104" w:rsidRPr="004877F4" w:rsidRDefault="00817104" w:rsidP="00817104">
      <w:pPr>
        <w:pStyle w:val="Body"/>
      </w:pPr>
      <w:r w:rsidRPr="004877F4">
        <w:t>Balit Murrup domains for action include:</w:t>
      </w:r>
      <w:r w:rsidRPr="00551CE1">
        <w:t xml:space="preserve"> </w:t>
      </w:r>
    </w:p>
    <w:p w14:paraId="01DADD43" w14:textId="77777777" w:rsidR="00817104" w:rsidRPr="004877F4" w:rsidRDefault="00817104" w:rsidP="00817104">
      <w:pPr>
        <w:pStyle w:val="Bullet1"/>
        <w:numPr>
          <w:ilvl w:val="0"/>
          <w:numId w:val="2"/>
        </w:numPr>
      </w:pPr>
      <w:r w:rsidRPr="004877F4">
        <w:t>Domain 1: Improving access to culturally responsive services</w:t>
      </w:r>
    </w:p>
    <w:p w14:paraId="44670B89" w14:textId="77777777" w:rsidR="00817104" w:rsidRPr="004877F4" w:rsidRDefault="00817104" w:rsidP="00817104">
      <w:pPr>
        <w:pStyle w:val="Bullet1"/>
        <w:numPr>
          <w:ilvl w:val="0"/>
          <w:numId w:val="2"/>
        </w:numPr>
      </w:pPr>
      <w:r w:rsidRPr="004877F4">
        <w:lastRenderedPageBreak/>
        <w:t>Domain 2: Supporting resilience, healing and trauma recovery</w:t>
      </w:r>
    </w:p>
    <w:p w14:paraId="40326974" w14:textId="77777777" w:rsidR="00817104" w:rsidRPr="004877F4" w:rsidRDefault="00817104" w:rsidP="00817104">
      <w:pPr>
        <w:pStyle w:val="Bullet1"/>
        <w:numPr>
          <w:ilvl w:val="0"/>
          <w:numId w:val="2"/>
        </w:numPr>
      </w:pPr>
      <w:r w:rsidRPr="004877F4">
        <w:t>Domain 3: Building a strong, skilled and supported workforce</w:t>
      </w:r>
    </w:p>
    <w:p w14:paraId="69045A16" w14:textId="77777777" w:rsidR="00817104" w:rsidRPr="00551CE1" w:rsidRDefault="00817104" w:rsidP="00817104">
      <w:pPr>
        <w:pStyle w:val="Bullet1"/>
        <w:numPr>
          <w:ilvl w:val="0"/>
          <w:numId w:val="2"/>
        </w:numPr>
      </w:pPr>
      <w:r w:rsidRPr="004877F4">
        <w:t>Domain 4: Integrated and seamless service delivery</w:t>
      </w:r>
      <w:r>
        <w:t>.</w:t>
      </w:r>
    </w:p>
    <w:p w14:paraId="6700DAC0" w14:textId="77777777" w:rsidR="00817104" w:rsidRDefault="00817104" w:rsidP="00817104">
      <w:pPr>
        <w:pStyle w:val="Bodyafterbullets"/>
      </w:pPr>
      <w:r>
        <w:t>For more information on the work underway to support Aboriginal social and emotional wellbeing, visit:</w:t>
      </w:r>
    </w:p>
    <w:p w14:paraId="26D4F302" w14:textId="77777777" w:rsidR="00817104" w:rsidRDefault="00817104" w:rsidP="00817104">
      <w:pPr>
        <w:pStyle w:val="Bullet1"/>
        <w:numPr>
          <w:ilvl w:val="0"/>
          <w:numId w:val="2"/>
        </w:numPr>
      </w:pPr>
      <w:hyperlink r:id="rId68" w:history="1">
        <w:r w:rsidRPr="009F4481">
          <w:rPr>
            <w:rStyle w:val="Hyperlink"/>
          </w:rPr>
          <w:t>A shared vision for Aboriginal social and emotional wellbeing in Victoria</w:t>
        </w:r>
      </w:hyperlink>
      <w:r>
        <w:t xml:space="preserve"> &lt;</w:t>
      </w:r>
      <w:r w:rsidRPr="00E02B5F">
        <w:t>https://www.health.vic.gov.au/mental-health-wellbeing-reform/a-shared-vision-for-aboriginal-social-and-emotional-wellbeing-in</w:t>
      </w:r>
      <w:r>
        <w:t>&gt;</w:t>
      </w:r>
    </w:p>
    <w:p w14:paraId="527B65D9" w14:textId="77777777" w:rsidR="00817104" w:rsidRDefault="00817104" w:rsidP="00817104">
      <w:pPr>
        <w:pStyle w:val="Bullet1"/>
        <w:numPr>
          <w:ilvl w:val="0"/>
          <w:numId w:val="2"/>
        </w:numPr>
      </w:pPr>
      <w:r>
        <w:t xml:space="preserve">the </w:t>
      </w:r>
      <w:hyperlink r:id="rId69">
        <w:r w:rsidRPr="00E0756E">
          <w:rPr>
            <w:rStyle w:val="Hyperlink"/>
            <w:i/>
            <w:iCs/>
            <w:szCs w:val="21"/>
          </w:rPr>
          <w:t>Balit Murrup: Aboriginal social emotional wellbeing-framework 2017–2027</w:t>
        </w:r>
      </w:hyperlink>
      <w:r>
        <w:t xml:space="preserve"> &lt;</w:t>
      </w:r>
      <w:r w:rsidRPr="00721B74">
        <w:t>https://www.health.vic.gov.au/publications/balit-murrup-aboriginal-social-emotional-wellbeing-framework-2017-2027</w:t>
      </w:r>
      <w:r>
        <w:t>&gt;.</w:t>
      </w:r>
    </w:p>
    <w:p w14:paraId="62FF12AB" w14:textId="4F3E39E0" w:rsidR="00817104" w:rsidRDefault="00817104" w:rsidP="00817104">
      <w:pPr>
        <w:pStyle w:val="Heading3"/>
        <w:rPr>
          <w:b/>
        </w:rPr>
      </w:pPr>
      <w:r w:rsidRPr="00FB2356">
        <w:t xml:space="preserve">Gambling </w:t>
      </w:r>
      <w:r>
        <w:t>harm p</w:t>
      </w:r>
      <w:r w:rsidRPr="00FB2356">
        <w:t>r</w:t>
      </w:r>
      <w:r>
        <w:t>evention and response</w:t>
      </w:r>
    </w:p>
    <w:p w14:paraId="6E7C05FB" w14:textId="77777777" w:rsidR="00817104" w:rsidRPr="00E03A76" w:rsidRDefault="00817104" w:rsidP="00817104">
      <w:pPr>
        <w:spacing w:after="160" w:line="276" w:lineRule="auto"/>
        <w:rPr>
          <w:rFonts w:eastAsia="Aptos" w:cs="Arial"/>
          <w:szCs w:val="21"/>
        </w:rPr>
      </w:pPr>
      <w:r w:rsidRPr="00E03A76">
        <w:rPr>
          <w:rFonts w:eastAsia="Aptos" w:cs="Arial"/>
          <w:szCs w:val="21"/>
        </w:rPr>
        <w:t xml:space="preserve">The </w:t>
      </w:r>
      <w:r>
        <w:rPr>
          <w:rFonts w:eastAsia="Aptos" w:cs="Arial"/>
          <w:szCs w:val="21"/>
        </w:rPr>
        <w:t>d</w:t>
      </w:r>
      <w:r w:rsidRPr="00E03A76">
        <w:rPr>
          <w:rFonts w:eastAsia="Aptos" w:cs="Arial"/>
          <w:szCs w:val="21"/>
        </w:rPr>
        <w:t xml:space="preserve">epartment provides funding to partner agencies for local delivery of gambling harm prevention, early intervention, treatment and support programs. </w:t>
      </w:r>
    </w:p>
    <w:p w14:paraId="26FE628D" w14:textId="77777777" w:rsidR="00817104" w:rsidRPr="00E03A76" w:rsidRDefault="00817104" w:rsidP="00817104">
      <w:pPr>
        <w:spacing w:after="160" w:line="276" w:lineRule="auto"/>
        <w:rPr>
          <w:rFonts w:eastAsia="Aptos" w:cs="Arial"/>
          <w:szCs w:val="21"/>
        </w:rPr>
      </w:pPr>
      <w:r w:rsidRPr="00E03A76">
        <w:rPr>
          <w:rFonts w:eastAsia="Aptos" w:cs="Arial"/>
          <w:szCs w:val="21"/>
        </w:rPr>
        <w:t>Specialist supports are funded for First Nations and multicultural communities, and for those with lived and living experience of gambling harm</w:t>
      </w:r>
      <w:r>
        <w:rPr>
          <w:rFonts w:eastAsia="Aptos" w:cs="Arial"/>
          <w:szCs w:val="21"/>
        </w:rPr>
        <w:t>,</w:t>
      </w:r>
      <w:r w:rsidRPr="00E03A76">
        <w:rPr>
          <w:rFonts w:eastAsia="Aptos" w:cs="Arial"/>
          <w:szCs w:val="21"/>
        </w:rPr>
        <w:t xml:space="preserve"> including family and friends. </w:t>
      </w:r>
    </w:p>
    <w:p w14:paraId="08177226" w14:textId="77777777" w:rsidR="00817104" w:rsidRPr="00E03A76" w:rsidRDefault="00817104" w:rsidP="00817104">
      <w:pPr>
        <w:spacing w:after="160" w:line="276" w:lineRule="auto"/>
        <w:rPr>
          <w:rFonts w:eastAsia="Aptos" w:cs="Arial"/>
          <w:szCs w:val="21"/>
        </w:rPr>
      </w:pPr>
      <w:r w:rsidRPr="00E03A76">
        <w:rPr>
          <w:rFonts w:eastAsia="Aptos" w:cs="Arial"/>
          <w:szCs w:val="21"/>
        </w:rPr>
        <w:t>Collectively, these programs aim to minimise the individual personal, health, social and financial harms that arise from gambling</w:t>
      </w:r>
      <w:r>
        <w:rPr>
          <w:rFonts w:eastAsia="Aptos" w:cs="Arial"/>
          <w:szCs w:val="21"/>
        </w:rPr>
        <w:t>,</w:t>
      </w:r>
      <w:r w:rsidRPr="00E03A76">
        <w:rPr>
          <w:rFonts w:eastAsia="Aptos" w:cs="Arial"/>
          <w:szCs w:val="21"/>
        </w:rPr>
        <w:t xml:space="preserve"> and </w:t>
      </w:r>
      <w:r>
        <w:rPr>
          <w:rFonts w:eastAsia="Aptos" w:cs="Arial"/>
          <w:szCs w:val="21"/>
        </w:rPr>
        <w:t xml:space="preserve">to </w:t>
      </w:r>
      <w:r w:rsidRPr="00E03A76">
        <w:rPr>
          <w:rFonts w:eastAsia="Aptos" w:cs="Arial"/>
          <w:szCs w:val="21"/>
        </w:rPr>
        <w:t>improve individual and community capability to reduce gambling</w:t>
      </w:r>
      <w:r>
        <w:rPr>
          <w:rFonts w:eastAsia="Aptos" w:cs="Arial"/>
          <w:szCs w:val="21"/>
        </w:rPr>
        <w:t xml:space="preserve"> </w:t>
      </w:r>
      <w:r w:rsidRPr="00E03A76">
        <w:rPr>
          <w:rFonts w:eastAsia="Aptos" w:cs="Arial"/>
          <w:szCs w:val="21"/>
        </w:rPr>
        <w:t>related harm.</w:t>
      </w:r>
    </w:p>
    <w:p w14:paraId="0682D4C1" w14:textId="77777777" w:rsidR="00817104" w:rsidRDefault="00817104" w:rsidP="00817104">
      <w:pPr>
        <w:spacing w:after="160" w:line="276" w:lineRule="auto"/>
        <w:rPr>
          <w:rFonts w:eastAsia="Aptos" w:cs="Arial"/>
          <w:szCs w:val="21"/>
        </w:rPr>
      </w:pPr>
      <w:r>
        <w:rPr>
          <w:rFonts w:eastAsia="Aptos" w:cs="Arial"/>
          <w:szCs w:val="21"/>
        </w:rPr>
        <w:t>For m</w:t>
      </w:r>
      <w:r w:rsidRPr="00E03A76">
        <w:rPr>
          <w:rFonts w:eastAsia="Aptos" w:cs="Arial"/>
          <w:szCs w:val="21"/>
        </w:rPr>
        <w:t>ore information on the specific programs funded</w:t>
      </w:r>
      <w:r>
        <w:rPr>
          <w:rFonts w:eastAsia="Aptos" w:cs="Arial"/>
          <w:szCs w:val="21"/>
        </w:rPr>
        <w:t>, visit the</w:t>
      </w:r>
      <w:r w:rsidRPr="00E03A76">
        <w:rPr>
          <w:rFonts w:eastAsia="Aptos" w:cs="Arial"/>
          <w:szCs w:val="21"/>
        </w:rPr>
        <w:t xml:space="preserve"> </w:t>
      </w:r>
      <w:hyperlink r:id="rId70" w:history="1">
        <w:r w:rsidRPr="00DF4E8B">
          <w:rPr>
            <w:rStyle w:val="Hyperlink"/>
            <w:rFonts w:eastAsia="Aptos" w:cs="Arial"/>
            <w:szCs w:val="21"/>
          </w:rPr>
          <w:t>Gambler’s Help program guidelines</w:t>
        </w:r>
      </w:hyperlink>
      <w:r w:rsidRPr="00E03A76">
        <w:rPr>
          <w:rFonts w:eastAsia="Aptos" w:cs="Arial"/>
          <w:szCs w:val="21"/>
        </w:rPr>
        <w:t xml:space="preserve"> </w:t>
      </w:r>
      <w:r>
        <w:rPr>
          <w:rFonts w:eastAsia="Aptos" w:cs="Arial"/>
          <w:szCs w:val="21"/>
        </w:rPr>
        <w:t>&lt;</w:t>
      </w:r>
      <w:r w:rsidRPr="00DF4E8B">
        <w:rPr>
          <w:rFonts w:eastAsia="Aptos" w:cs="Arial"/>
          <w:szCs w:val="21"/>
        </w:rPr>
        <w:t>https://www.health.vic.gov.au/publications/gamblers-help-program-guidelines</w:t>
      </w:r>
      <w:r>
        <w:rPr>
          <w:rFonts w:eastAsia="Aptos" w:cs="Arial"/>
          <w:szCs w:val="21"/>
        </w:rPr>
        <w:t xml:space="preserve">&gt;. </w:t>
      </w:r>
      <w:r>
        <w:rPr>
          <w:rFonts w:eastAsia="Aptos" w:cs="Arial"/>
          <w:szCs w:val="21"/>
        </w:rPr>
        <w:br w:type="page"/>
      </w:r>
    </w:p>
    <w:p w14:paraId="6428A563" w14:textId="77777777" w:rsidR="00817104" w:rsidRPr="004256C5" w:rsidRDefault="00817104" w:rsidP="007D5B6F">
      <w:pPr>
        <w:pStyle w:val="Heading1"/>
      </w:pPr>
      <w:bookmarkStart w:id="1848" w:name="_Toc231982265"/>
      <w:r>
        <w:lastRenderedPageBreak/>
        <w:t xml:space="preserve">Ageing, aged and home care </w:t>
      </w:r>
      <w:r w:rsidRPr="00330A6D">
        <w:t>services</w:t>
      </w:r>
      <w:bookmarkEnd w:id="1816"/>
      <w:bookmarkEnd w:id="1817"/>
      <w:bookmarkEnd w:id="1818"/>
      <w:bookmarkEnd w:id="1819"/>
      <w:bookmarkEnd w:id="1820"/>
      <w:bookmarkEnd w:id="1821"/>
      <w:bookmarkEnd w:id="1822"/>
      <w:bookmarkEnd w:id="1823"/>
      <w:bookmarkEnd w:id="1824"/>
      <w:bookmarkEnd w:id="1848"/>
    </w:p>
    <w:p w14:paraId="065DA66D" w14:textId="02C19ED4" w:rsidR="00817104" w:rsidRPr="00894778" w:rsidRDefault="00817104" w:rsidP="00817104">
      <w:pPr>
        <w:pStyle w:val="Heading2"/>
      </w:pPr>
      <w:bookmarkStart w:id="1849" w:name="_Toc42000109"/>
      <w:bookmarkStart w:id="1850" w:name="_Toc42009452"/>
      <w:bookmarkStart w:id="1851" w:name="_Toc42076363"/>
      <w:bookmarkStart w:id="1852" w:name="_Toc42076542"/>
      <w:bookmarkStart w:id="1853" w:name="_Toc42086587"/>
      <w:bookmarkStart w:id="1854" w:name="_Toc42087918"/>
      <w:bookmarkStart w:id="1855" w:name="_Toc42097339"/>
      <w:bookmarkStart w:id="1856" w:name="_Toc42097693"/>
      <w:bookmarkStart w:id="1857" w:name="_Toc42621216"/>
      <w:bookmarkStart w:id="1858" w:name="_Toc42622067"/>
      <w:bookmarkStart w:id="1859" w:name="_Toc42678138"/>
      <w:bookmarkStart w:id="1860" w:name="_Toc42680827"/>
      <w:bookmarkStart w:id="1861" w:name="_Toc42682663"/>
      <w:bookmarkStart w:id="1862" w:name="_Toc42687294"/>
      <w:bookmarkStart w:id="1863" w:name="_Toc42687521"/>
      <w:bookmarkStart w:id="1864" w:name="_Toc42700179"/>
      <w:bookmarkStart w:id="1865" w:name="_Toc42762919"/>
      <w:bookmarkStart w:id="1866" w:name="_Toc42763142"/>
      <w:bookmarkStart w:id="1867" w:name="_Toc231982266"/>
      <w:bookmarkStart w:id="1868" w:name="_Toc6215595"/>
      <w:bookmarkStart w:id="1869" w:name="_Toc10199668"/>
      <w:bookmarkStart w:id="1870" w:name="_Toc106868028"/>
      <w:bookmarkStart w:id="1871" w:name="_Toc106869779"/>
      <w:bookmarkStart w:id="1872" w:name="_Toc106870113"/>
      <w:bookmarkStart w:id="1873" w:name="_Toc106870279"/>
      <w:bookmarkStart w:id="1874" w:name="_Toc106870451"/>
      <w:bookmarkStart w:id="1875" w:name="_Toc165964652"/>
      <w:bookmarkStart w:id="1876" w:name="_Toc167174512"/>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r w:rsidRPr="00894778">
        <w:t xml:space="preserve">Aged </w:t>
      </w:r>
      <w:r>
        <w:t>C</w:t>
      </w:r>
      <w:r w:rsidRPr="00894778">
        <w:t xml:space="preserve">are </w:t>
      </w:r>
      <w:r>
        <w:t>A</w:t>
      </w:r>
      <w:r w:rsidRPr="00894778">
        <w:t>ssessment</w:t>
      </w:r>
      <w:bookmarkEnd w:id="1867"/>
      <w:r w:rsidRPr="00894778">
        <w:t xml:space="preserve"> </w:t>
      </w:r>
      <w:bookmarkEnd w:id="1868"/>
      <w:bookmarkEnd w:id="1869"/>
      <w:bookmarkEnd w:id="1870"/>
      <w:bookmarkEnd w:id="1871"/>
      <w:bookmarkEnd w:id="1872"/>
      <w:bookmarkEnd w:id="1873"/>
      <w:bookmarkEnd w:id="1874"/>
      <w:bookmarkEnd w:id="1875"/>
      <w:bookmarkEnd w:id="1876"/>
    </w:p>
    <w:p w14:paraId="51C666CF" w14:textId="77777777" w:rsidR="00817104" w:rsidRPr="002B69EE" w:rsidRDefault="00817104" w:rsidP="00817104">
      <w:pPr>
        <w:pStyle w:val="Body"/>
        <w:rPr>
          <w:szCs w:val="21"/>
        </w:rPr>
      </w:pPr>
      <w:bookmarkStart w:id="1877" w:name="_Toc6215596"/>
      <w:bookmarkStart w:id="1878" w:name="_Toc10199669"/>
      <w:bookmarkStart w:id="1879" w:name="_Toc106868029"/>
      <w:bookmarkStart w:id="1880" w:name="_Toc106869780"/>
      <w:bookmarkStart w:id="1881" w:name="_Toc106870114"/>
      <w:bookmarkStart w:id="1882" w:name="_Toc106870280"/>
      <w:bookmarkStart w:id="1883" w:name="_Toc106870452"/>
      <w:bookmarkStart w:id="1884" w:name="_Toc165964653"/>
      <w:bookmarkStart w:id="1885" w:name="_Toc167174513"/>
      <w:r w:rsidRPr="002B69EE">
        <w:rPr>
          <w:szCs w:val="21"/>
        </w:rPr>
        <w:t xml:space="preserve">Access to Commonwealth aged care services requires an </w:t>
      </w:r>
      <w:r w:rsidRPr="00894778">
        <w:t xml:space="preserve">Aged </w:t>
      </w:r>
      <w:r>
        <w:t>C</w:t>
      </w:r>
      <w:r w:rsidRPr="00894778">
        <w:t xml:space="preserve">are </w:t>
      </w:r>
      <w:r>
        <w:t>A</w:t>
      </w:r>
      <w:r w:rsidRPr="00894778">
        <w:t xml:space="preserve">ssessment </w:t>
      </w:r>
      <w:r>
        <w:t>(</w:t>
      </w:r>
      <w:r w:rsidRPr="002B69EE">
        <w:rPr>
          <w:szCs w:val="21"/>
        </w:rPr>
        <w:t>ACA</w:t>
      </w:r>
      <w:r>
        <w:rPr>
          <w:szCs w:val="21"/>
        </w:rPr>
        <w:t>)</w:t>
      </w:r>
      <w:r w:rsidRPr="002B69EE">
        <w:rPr>
          <w:szCs w:val="21"/>
        </w:rPr>
        <w:t xml:space="preserve"> under the Commonwealth’s Single Assessment</w:t>
      </w:r>
      <w:r>
        <w:rPr>
          <w:szCs w:val="21"/>
        </w:rPr>
        <w:t xml:space="preserve">. For more information, visit </w:t>
      </w:r>
      <w:hyperlink r:id="rId71" w:history="1">
        <w:r w:rsidRPr="002B69EE">
          <w:rPr>
            <w:rStyle w:val="Hyperlink"/>
            <w:szCs w:val="21"/>
          </w:rPr>
          <w:t>My Aged Care assessment services</w:t>
        </w:r>
      </w:hyperlink>
      <w:r w:rsidRPr="002B69EE">
        <w:rPr>
          <w:szCs w:val="21"/>
        </w:rPr>
        <w:t xml:space="preserve"> </w:t>
      </w:r>
      <w:r>
        <w:t>&lt;</w:t>
      </w:r>
      <w:r w:rsidRPr="00790C14">
        <w:t>https://www.health.vic.gov.au/ageing-and-aged-care/my-aged-care-assessment-services</w:t>
      </w:r>
      <w:r w:rsidRPr="002B69EE">
        <w:rPr>
          <w:szCs w:val="21"/>
        </w:rPr>
        <w:t>&gt;</w:t>
      </w:r>
      <w:r>
        <w:rPr>
          <w:szCs w:val="21"/>
        </w:rPr>
        <w:t>.</w:t>
      </w:r>
    </w:p>
    <w:p w14:paraId="4362EA6A" w14:textId="77777777" w:rsidR="00817104" w:rsidRPr="002B69EE" w:rsidRDefault="00817104" w:rsidP="00817104">
      <w:pPr>
        <w:pStyle w:val="Body"/>
        <w:rPr>
          <w:szCs w:val="21"/>
        </w:rPr>
      </w:pPr>
      <w:r w:rsidRPr="002B69EE">
        <w:rPr>
          <w:szCs w:val="21"/>
        </w:rPr>
        <w:t xml:space="preserve">The ACA determines eligibility for services under the Commonwealth </w:t>
      </w:r>
      <w:r w:rsidRPr="002B69EE">
        <w:rPr>
          <w:i/>
          <w:szCs w:val="21"/>
        </w:rPr>
        <w:t>Aged Care Act 2024.</w:t>
      </w:r>
      <w:r>
        <w:rPr>
          <w:i/>
          <w:szCs w:val="21"/>
        </w:rPr>
        <w:t xml:space="preserve"> </w:t>
      </w:r>
      <w:r w:rsidRPr="002B69EE">
        <w:rPr>
          <w:szCs w:val="21"/>
        </w:rPr>
        <w:t>My Aged Care is the entry point for community-based assessments. Referrals for inpatient assessments continue to be made directly to the relevant departmental ACA provider.</w:t>
      </w:r>
      <w:r>
        <w:rPr>
          <w:szCs w:val="21"/>
        </w:rPr>
        <w:t xml:space="preserve"> </w:t>
      </w:r>
    </w:p>
    <w:p w14:paraId="44C7CED5" w14:textId="77777777" w:rsidR="00817104" w:rsidRPr="002B69EE" w:rsidRDefault="00817104" w:rsidP="00817104">
      <w:pPr>
        <w:pStyle w:val="Body"/>
        <w:rPr>
          <w:szCs w:val="21"/>
        </w:rPr>
      </w:pPr>
      <w:r w:rsidRPr="002B69EE">
        <w:rPr>
          <w:szCs w:val="21"/>
        </w:rPr>
        <w:t xml:space="preserve">From </w:t>
      </w:r>
      <w:r>
        <w:rPr>
          <w:szCs w:val="21"/>
        </w:rPr>
        <w:t>2026–27</w:t>
      </w:r>
      <w:r w:rsidRPr="002B69EE">
        <w:rPr>
          <w:szCs w:val="21"/>
        </w:rPr>
        <w:t>, the department is implementing the Lead Provider model for the delivery of ACA</w:t>
      </w:r>
      <w:r>
        <w:rPr>
          <w:szCs w:val="21"/>
        </w:rPr>
        <w:t>s</w:t>
      </w:r>
      <w:r w:rsidRPr="002B69EE">
        <w:rPr>
          <w:szCs w:val="21"/>
        </w:rPr>
        <w:t>, across four Victorian Service Areas</w:t>
      </w:r>
      <w:r>
        <w:rPr>
          <w:szCs w:val="21"/>
        </w:rPr>
        <w:t xml:space="preserve"> that are</w:t>
      </w:r>
      <w:r w:rsidRPr="002B69EE">
        <w:rPr>
          <w:szCs w:val="21"/>
        </w:rPr>
        <w:t>:</w:t>
      </w:r>
    </w:p>
    <w:p w14:paraId="4056918D" w14:textId="77777777" w:rsidR="00817104" w:rsidRPr="002B69EE" w:rsidRDefault="00817104" w:rsidP="00817104">
      <w:pPr>
        <w:pStyle w:val="Bullet1"/>
        <w:numPr>
          <w:ilvl w:val="0"/>
          <w:numId w:val="2"/>
        </w:numPr>
      </w:pPr>
      <w:r w:rsidRPr="002B69EE">
        <w:t>Service Area 1</w:t>
      </w:r>
      <w:r>
        <w:t xml:space="preserve">: </w:t>
      </w:r>
      <w:r w:rsidRPr="002B69EE">
        <w:t xml:space="preserve">Western and Northern Metropolitan </w:t>
      </w:r>
    </w:p>
    <w:p w14:paraId="541AB5B3" w14:textId="77777777" w:rsidR="00817104" w:rsidRPr="002B69EE" w:rsidRDefault="00817104" w:rsidP="00817104">
      <w:pPr>
        <w:pStyle w:val="Bullet1"/>
        <w:numPr>
          <w:ilvl w:val="0"/>
          <w:numId w:val="2"/>
        </w:numPr>
      </w:pPr>
      <w:r w:rsidRPr="002B69EE">
        <w:t>Service Area 2</w:t>
      </w:r>
      <w:r>
        <w:t xml:space="preserve">: </w:t>
      </w:r>
      <w:r w:rsidRPr="002B69EE">
        <w:t xml:space="preserve">Eastern and Southern Metropolitan </w:t>
      </w:r>
    </w:p>
    <w:p w14:paraId="1FB967F3" w14:textId="66431939" w:rsidR="00817104" w:rsidRPr="002B69EE" w:rsidRDefault="00817104" w:rsidP="00817104">
      <w:pPr>
        <w:pStyle w:val="Bullet1"/>
        <w:numPr>
          <w:ilvl w:val="0"/>
          <w:numId w:val="2"/>
        </w:numPr>
      </w:pPr>
      <w:r w:rsidRPr="002B69EE">
        <w:t>Service Area 3</w:t>
      </w:r>
      <w:r>
        <w:t xml:space="preserve">: </w:t>
      </w:r>
      <w:r w:rsidRPr="002B69EE">
        <w:t xml:space="preserve">Grampians, Loddon Mallee and Barwon-South West </w:t>
      </w:r>
    </w:p>
    <w:p w14:paraId="26D5998A" w14:textId="77777777" w:rsidR="00817104" w:rsidRPr="002B69EE" w:rsidRDefault="00817104" w:rsidP="00817104">
      <w:pPr>
        <w:pStyle w:val="Bullet1"/>
        <w:numPr>
          <w:ilvl w:val="0"/>
          <w:numId w:val="2"/>
        </w:numPr>
      </w:pPr>
      <w:r w:rsidRPr="002B69EE">
        <w:t>Service Area 4</w:t>
      </w:r>
      <w:r>
        <w:t xml:space="preserve">: </w:t>
      </w:r>
      <w:r w:rsidRPr="002B69EE">
        <w:t xml:space="preserve">Gippsland and Hume. </w:t>
      </w:r>
    </w:p>
    <w:p w14:paraId="6B7008D0" w14:textId="77777777" w:rsidR="00817104" w:rsidRPr="002B69EE" w:rsidRDefault="00817104" w:rsidP="00817104">
      <w:pPr>
        <w:pStyle w:val="Bodyafterbullets"/>
      </w:pPr>
      <w:r w:rsidRPr="002B69EE">
        <w:t xml:space="preserve">The ACA Lead Provider model is designed to support consistency, strengthen operational capability and ensure ACA remains responsive to community need. </w:t>
      </w:r>
    </w:p>
    <w:p w14:paraId="440F10EB" w14:textId="77777777" w:rsidR="00817104" w:rsidRPr="002B69EE" w:rsidRDefault="00817104" w:rsidP="00817104">
      <w:pPr>
        <w:pStyle w:val="Body"/>
        <w:rPr>
          <w:szCs w:val="21"/>
        </w:rPr>
      </w:pPr>
      <w:r w:rsidRPr="002B69EE">
        <w:rPr>
          <w:szCs w:val="21"/>
        </w:rPr>
        <w:t xml:space="preserve">The ACA Lead Provider is required to meet both Commonwealth and State requirements in relation to the delivery of </w:t>
      </w:r>
      <w:r>
        <w:rPr>
          <w:szCs w:val="21"/>
        </w:rPr>
        <w:t>ACAs</w:t>
      </w:r>
      <w:r w:rsidRPr="002B69EE">
        <w:rPr>
          <w:szCs w:val="21"/>
        </w:rPr>
        <w:t>. This includes using the My Aged Care system for referral workflow and the Health Data portal for data reports and monitoring of key performance indicators, ensuring workforce capability</w:t>
      </w:r>
      <w:r>
        <w:rPr>
          <w:szCs w:val="21"/>
        </w:rPr>
        <w:t>,</w:t>
      </w:r>
      <w:r w:rsidRPr="002B69EE">
        <w:rPr>
          <w:szCs w:val="21"/>
        </w:rPr>
        <w:t xml:space="preserve"> training requirements and compliance reporting.</w:t>
      </w:r>
      <w:r>
        <w:rPr>
          <w:szCs w:val="21"/>
        </w:rPr>
        <w:t xml:space="preserve">  </w:t>
      </w:r>
    </w:p>
    <w:p w14:paraId="1108DCDE" w14:textId="77777777" w:rsidR="00817104" w:rsidRDefault="00817104" w:rsidP="00817104">
      <w:pPr>
        <w:pStyle w:val="Body"/>
        <w:rPr>
          <w:szCs w:val="21"/>
        </w:rPr>
      </w:pPr>
      <w:r w:rsidRPr="002B69EE">
        <w:rPr>
          <w:szCs w:val="21"/>
        </w:rPr>
        <w:t>The ACA Lead Provider will have responsibility for ACA service delivery in their Service Area, in partner arrangements, via subcontracting, with previous department</w:t>
      </w:r>
      <w:r>
        <w:rPr>
          <w:szCs w:val="21"/>
        </w:rPr>
        <w:t>-</w:t>
      </w:r>
      <w:r w:rsidRPr="002B69EE">
        <w:rPr>
          <w:szCs w:val="21"/>
        </w:rPr>
        <w:t xml:space="preserve">funded ACA organisations. The Lead Provider is responsible </w:t>
      </w:r>
      <w:r>
        <w:rPr>
          <w:szCs w:val="21"/>
        </w:rPr>
        <w:t>for</w:t>
      </w:r>
      <w:r w:rsidRPr="002B69EE">
        <w:rPr>
          <w:szCs w:val="21"/>
        </w:rPr>
        <w:t xml:space="preserve"> ensur</w:t>
      </w:r>
      <w:r>
        <w:rPr>
          <w:szCs w:val="21"/>
        </w:rPr>
        <w:t>ing</w:t>
      </w:r>
      <w:r w:rsidRPr="002B69EE">
        <w:rPr>
          <w:szCs w:val="21"/>
        </w:rPr>
        <w:t xml:space="preserve"> all partnering subcontracting arrangements are approved in writing by the department</w:t>
      </w:r>
      <w:r>
        <w:rPr>
          <w:szCs w:val="21"/>
        </w:rPr>
        <w:t>,</w:t>
      </w:r>
      <w:r w:rsidRPr="002B69EE">
        <w:rPr>
          <w:szCs w:val="21"/>
        </w:rPr>
        <w:t xml:space="preserve"> including any changes to the subcontracting arrangements.</w:t>
      </w:r>
    </w:p>
    <w:p w14:paraId="1C0DEDCB" w14:textId="77777777" w:rsidR="00817104" w:rsidRPr="002B69EE" w:rsidRDefault="00817104" w:rsidP="00817104">
      <w:pPr>
        <w:pStyle w:val="Body"/>
        <w:rPr>
          <w:szCs w:val="21"/>
        </w:rPr>
      </w:pPr>
      <w:r>
        <w:rPr>
          <w:szCs w:val="21"/>
        </w:rPr>
        <w:t>T</w:t>
      </w:r>
      <w:r w:rsidRPr="002B69EE">
        <w:rPr>
          <w:szCs w:val="21"/>
        </w:rPr>
        <w:t xml:space="preserve">he Lead Provider must </w:t>
      </w:r>
      <w:r>
        <w:rPr>
          <w:szCs w:val="21"/>
        </w:rPr>
        <w:t xml:space="preserve">also </w:t>
      </w:r>
      <w:r w:rsidRPr="002B69EE">
        <w:rPr>
          <w:szCs w:val="21"/>
        </w:rPr>
        <w:t xml:space="preserve">ensure that partnering </w:t>
      </w:r>
      <w:r>
        <w:rPr>
          <w:szCs w:val="21"/>
        </w:rPr>
        <w:t xml:space="preserve">and </w:t>
      </w:r>
      <w:r w:rsidRPr="002B69EE">
        <w:rPr>
          <w:szCs w:val="21"/>
        </w:rPr>
        <w:t>subcontracting arrangements meet the department’s policy, standards and obligation requirements. This includes compliance reporting requirements and meeting performance measures relating to quality and timeliness.</w:t>
      </w:r>
    </w:p>
    <w:p w14:paraId="5D68409D" w14:textId="77777777" w:rsidR="00817104" w:rsidRDefault="00817104" w:rsidP="00817104">
      <w:pPr>
        <w:rPr>
          <w:iCs/>
          <w:szCs w:val="21"/>
          <w14:ligatures w14:val="standardContextual"/>
        </w:rPr>
      </w:pPr>
      <w:r w:rsidRPr="00A64389">
        <w:rPr>
          <w:iCs/>
          <w:szCs w:val="21"/>
        </w:rPr>
        <w:t>As required, t</w:t>
      </w:r>
      <w:r w:rsidRPr="00A64389">
        <w:rPr>
          <w:iCs/>
          <w:szCs w:val="21"/>
          <w14:ligatures w14:val="standardContextual"/>
        </w:rPr>
        <w:t>he department will undertake a due diligence assessment in approving subcontracting arrangements. This includes an attestation process whereby the ACA Lead Provider will complete an attestation form describing the services that are to be subcontracted and attest how it has evaluated the proposed subcontractor/s and how it will manage and monitor them.</w:t>
      </w:r>
    </w:p>
    <w:p w14:paraId="0383A5E6" w14:textId="77777777" w:rsidR="00817104" w:rsidRPr="007E0183" w:rsidRDefault="00817104" w:rsidP="00817104">
      <w:pPr>
        <w:rPr>
          <w:rFonts w:ascii="Aptos" w:hAnsi="Aptos"/>
          <w:iCs/>
          <w:szCs w:val="21"/>
        </w:rPr>
      </w:pPr>
      <w:r w:rsidRPr="00A64389">
        <w:rPr>
          <w:iCs/>
          <w:szCs w:val="21"/>
          <w14:ligatures w14:val="standardContextual"/>
        </w:rPr>
        <w:t>Whil</w:t>
      </w:r>
      <w:r>
        <w:rPr>
          <w:iCs/>
          <w:szCs w:val="21"/>
          <w14:ligatures w14:val="standardContextual"/>
        </w:rPr>
        <w:t>e</w:t>
      </w:r>
      <w:r w:rsidRPr="00586D7F">
        <w:rPr>
          <w:iCs/>
          <w:szCs w:val="21"/>
          <w14:ligatures w14:val="standardContextual"/>
        </w:rPr>
        <w:t xml:space="preserve"> the ACA Lead Provider has responsibility for the subcontractor/s activities, the department may </w:t>
      </w:r>
      <w:r>
        <w:rPr>
          <w:iCs/>
          <w:szCs w:val="21"/>
          <w14:ligatures w14:val="standardContextual"/>
        </w:rPr>
        <w:t xml:space="preserve">be </w:t>
      </w:r>
      <w:r w:rsidRPr="00586D7F">
        <w:rPr>
          <w:iCs/>
          <w:szCs w:val="21"/>
          <w14:ligatures w14:val="standardContextual"/>
        </w:rPr>
        <w:t>require</w:t>
      </w:r>
      <w:r>
        <w:rPr>
          <w:iCs/>
          <w:szCs w:val="21"/>
          <w14:ligatures w14:val="standardContextual"/>
        </w:rPr>
        <w:t>d</w:t>
      </w:r>
      <w:r w:rsidRPr="00586D7F">
        <w:rPr>
          <w:iCs/>
          <w:szCs w:val="21"/>
          <w14:ligatures w14:val="standardContextual"/>
        </w:rPr>
        <w:t xml:space="preserve"> to liaise with the subcontracted agencies for administrative activities associated with the My Aged Care system</w:t>
      </w:r>
      <w:r>
        <w:rPr>
          <w:iCs/>
          <w:szCs w:val="21"/>
          <w14:ligatures w14:val="standardContextual"/>
        </w:rPr>
        <w:t>.</w:t>
      </w:r>
    </w:p>
    <w:p w14:paraId="6C801A61" w14:textId="77777777" w:rsidR="00817104" w:rsidRPr="002B69EE" w:rsidRDefault="00817104" w:rsidP="00817104">
      <w:pPr>
        <w:pStyle w:val="Body"/>
        <w:rPr>
          <w:szCs w:val="21"/>
        </w:rPr>
      </w:pPr>
      <w:r w:rsidRPr="002B69EE">
        <w:rPr>
          <w:szCs w:val="21"/>
        </w:rPr>
        <w:t>The department will continue to support ACA and health services to deliver high-quality and timely assessments for people needing access to health and aged care services.</w:t>
      </w:r>
    </w:p>
    <w:p w14:paraId="0980F36D" w14:textId="58F6D74C" w:rsidR="00817104" w:rsidRPr="009B0F16" w:rsidRDefault="00817104" w:rsidP="00817104">
      <w:pPr>
        <w:pStyle w:val="Heading2"/>
      </w:pPr>
      <w:bookmarkStart w:id="1886" w:name="_Toc38520174"/>
      <w:bookmarkStart w:id="1887" w:name="_Toc38520334"/>
      <w:bookmarkStart w:id="1888" w:name="_Toc38629563"/>
      <w:bookmarkStart w:id="1889" w:name="_Toc38629771"/>
      <w:bookmarkStart w:id="1890" w:name="_Toc38520175"/>
      <w:bookmarkStart w:id="1891" w:name="_Toc38520335"/>
      <w:bookmarkStart w:id="1892" w:name="_Toc38629564"/>
      <w:bookmarkStart w:id="1893" w:name="_Toc38629772"/>
      <w:bookmarkStart w:id="1894" w:name="_Toc37934643"/>
      <w:bookmarkStart w:id="1895" w:name="_Toc6215597"/>
      <w:bookmarkStart w:id="1896" w:name="_Toc10199670"/>
      <w:bookmarkStart w:id="1897" w:name="_Toc106868030"/>
      <w:bookmarkStart w:id="1898" w:name="_Toc106869781"/>
      <w:bookmarkStart w:id="1899" w:name="_Toc106870115"/>
      <w:bookmarkStart w:id="1900" w:name="_Toc106870281"/>
      <w:bookmarkStart w:id="1901" w:name="_Toc106870453"/>
      <w:bookmarkStart w:id="1902" w:name="_Toc165964654"/>
      <w:bookmarkStart w:id="1903" w:name="_Toc167174514"/>
      <w:bookmarkStart w:id="1904" w:name="_Toc231982267"/>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r>
        <w:lastRenderedPageBreak/>
        <w:t xml:space="preserve">Home and Community Care </w:t>
      </w:r>
      <w:r w:rsidRPr="00330A6D">
        <w:t>Program</w:t>
      </w:r>
      <w:r>
        <w:t xml:space="preserve"> for Younger People</w:t>
      </w:r>
      <w:bookmarkEnd w:id="1895"/>
      <w:bookmarkEnd w:id="1896"/>
      <w:bookmarkEnd w:id="1897"/>
      <w:bookmarkEnd w:id="1898"/>
      <w:bookmarkEnd w:id="1899"/>
      <w:bookmarkEnd w:id="1900"/>
      <w:bookmarkEnd w:id="1901"/>
      <w:bookmarkEnd w:id="1902"/>
      <w:bookmarkEnd w:id="1903"/>
      <w:bookmarkEnd w:id="1904"/>
      <w:r>
        <w:t xml:space="preserve"> </w:t>
      </w:r>
    </w:p>
    <w:p w14:paraId="33075D90" w14:textId="77777777" w:rsidR="00817104" w:rsidRDefault="00817104" w:rsidP="00817104">
      <w:pPr>
        <w:pStyle w:val="Body"/>
      </w:pPr>
      <w:r>
        <w:t xml:space="preserve">The Home and Community Care </w:t>
      </w:r>
      <w:r w:rsidRPr="00330A6D">
        <w:t>Program</w:t>
      </w:r>
      <w:r>
        <w:t xml:space="preserve"> for Younger People (HACC PYP) provides community</w:t>
      </w:r>
      <w:r>
        <w:rPr>
          <w:rFonts w:ascii="Cambria Math" w:hAnsi="Cambria Math" w:cs="Cambria Math"/>
        </w:rPr>
        <w:t>‑</w:t>
      </w:r>
      <w:r>
        <w:t xml:space="preserve">based supports for eligible Victorians to regain or maintain their independence to live safely at home </w:t>
      </w:r>
      <w:r w:rsidRPr="00DF3E8F">
        <w:t xml:space="preserve">and </w:t>
      </w:r>
      <w:r>
        <w:t xml:space="preserve">in </w:t>
      </w:r>
      <w:r w:rsidRPr="00A61590">
        <w:t>their</w:t>
      </w:r>
      <w:r w:rsidRPr="00DF3E8F">
        <w:t xml:space="preserve"> community</w:t>
      </w:r>
      <w:r>
        <w:t xml:space="preserve">. </w:t>
      </w:r>
    </w:p>
    <w:p w14:paraId="3C9D234C" w14:textId="77777777" w:rsidR="00817104" w:rsidRDefault="00817104" w:rsidP="00817104">
      <w:pPr>
        <w:pStyle w:val="Body"/>
      </w:pPr>
      <w:r>
        <w:t>The HACC</w:t>
      </w:r>
      <w:r>
        <w:rPr>
          <w:rFonts w:cs="Arial"/>
        </w:rPr>
        <w:t> </w:t>
      </w:r>
      <w:r>
        <w:t>PYP supports Victorians from birth to under 65 years, and Aboriginal and Torres Strait Islander people from birth to under 50 years, where their capacity for independent living is at risk due to chronic illness, mental health issues, disability or other conditions, and they require one</w:t>
      </w:r>
      <w:r>
        <w:rPr>
          <w:rFonts w:ascii="Cambria Math" w:hAnsi="Cambria Math" w:cs="Cambria Math"/>
        </w:rPr>
        <w:t>‑</w:t>
      </w:r>
      <w:r>
        <w:t>off, intermittent or ongoing support to undertake activities of daily living.</w:t>
      </w:r>
    </w:p>
    <w:p w14:paraId="735FE71C" w14:textId="77777777" w:rsidR="00817104" w:rsidRDefault="00817104" w:rsidP="00817104">
      <w:pPr>
        <w:pStyle w:val="Body"/>
      </w:pPr>
      <w:r>
        <w:t>Access to the HACC PYP is targeted to people who meet the eligibility criteria and is managed through priority of access processes. The program delivers funded activities through service streams that assist people to live safely and independently in the home and in their community.</w:t>
      </w:r>
    </w:p>
    <w:p w14:paraId="41320878" w14:textId="77777777" w:rsidR="00817104" w:rsidRDefault="00817104" w:rsidP="00817104">
      <w:pPr>
        <w:pStyle w:val="Body"/>
      </w:pPr>
      <w:r>
        <w:t>This includes:</w:t>
      </w:r>
    </w:p>
    <w:p w14:paraId="377BC1A1" w14:textId="77777777" w:rsidR="00817104" w:rsidRDefault="00817104" w:rsidP="00817104">
      <w:pPr>
        <w:pStyle w:val="Bullet1"/>
        <w:numPr>
          <w:ilvl w:val="0"/>
          <w:numId w:val="2"/>
        </w:numPr>
      </w:pPr>
      <w:r>
        <w:t>assessment and access supports (including living</w:t>
      </w:r>
      <w:r>
        <w:rPr>
          <w:rFonts w:ascii="Cambria Math" w:hAnsi="Cambria Math" w:cs="Cambria Math"/>
        </w:rPr>
        <w:t>‑</w:t>
      </w:r>
      <w:r>
        <w:t>at</w:t>
      </w:r>
      <w:r>
        <w:rPr>
          <w:rFonts w:ascii="Cambria Math" w:hAnsi="Cambria Math" w:cs="Cambria Math"/>
        </w:rPr>
        <w:t>‑</w:t>
      </w:r>
      <w:r>
        <w:t>home assessment and care planning)</w:t>
      </w:r>
    </w:p>
    <w:p w14:paraId="21C015C2" w14:textId="77777777" w:rsidR="00817104" w:rsidRDefault="00817104" w:rsidP="00817104">
      <w:pPr>
        <w:pStyle w:val="Bullet1"/>
        <w:numPr>
          <w:ilvl w:val="0"/>
          <w:numId w:val="2"/>
        </w:numPr>
      </w:pPr>
      <w:r>
        <w:t>health supports (clinical nursing and allied health)</w:t>
      </w:r>
    </w:p>
    <w:p w14:paraId="610F65E7" w14:textId="77777777" w:rsidR="00817104" w:rsidRDefault="00817104" w:rsidP="00817104">
      <w:pPr>
        <w:pStyle w:val="Bullet1"/>
        <w:numPr>
          <w:ilvl w:val="0"/>
          <w:numId w:val="2"/>
        </w:numPr>
      </w:pPr>
      <w:r>
        <w:t>personal and in</w:t>
      </w:r>
      <w:r>
        <w:rPr>
          <w:rFonts w:ascii="Cambria Math" w:hAnsi="Cambria Math" w:cs="Cambria Math"/>
        </w:rPr>
        <w:t>‑</w:t>
      </w:r>
      <w:r>
        <w:t>home support</w:t>
      </w:r>
    </w:p>
    <w:p w14:paraId="26C53220" w14:textId="77777777" w:rsidR="00817104" w:rsidRDefault="00817104" w:rsidP="00817104">
      <w:pPr>
        <w:pStyle w:val="Bullet1"/>
        <w:numPr>
          <w:ilvl w:val="0"/>
          <w:numId w:val="2"/>
        </w:numPr>
      </w:pPr>
      <w:r>
        <w:t>social and community engagement.</w:t>
      </w:r>
    </w:p>
    <w:p w14:paraId="7620BBFB" w14:textId="77777777" w:rsidR="00817104" w:rsidRDefault="00817104" w:rsidP="00817104">
      <w:pPr>
        <w:pStyle w:val="Bodyafterbullets"/>
      </w:pPr>
      <w:r>
        <w:t>For more information and to access the HACC</w:t>
      </w:r>
      <w:r>
        <w:rPr>
          <w:rFonts w:cs="Arial"/>
        </w:rPr>
        <w:t> </w:t>
      </w:r>
      <w:r>
        <w:t xml:space="preserve">PYP Guidelines, visit the </w:t>
      </w:r>
      <w:hyperlink r:id="rId72" w:history="1">
        <w:r w:rsidRPr="007E0183">
          <w:rPr>
            <w:rStyle w:val="Hyperlink"/>
          </w:rPr>
          <w:t>Home and Community Care Program for Younger People</w:t>
        </w:r>
      </w:hyperlink>
      <w:r>
        <w:t xml:space="preserve"> &lt;</w:t>
      </w:r>
      <w:r w:rsidRPr="00865546">
        <w:t>https://www.health.vic.gov.au/home-and-community-care/hacc-program-for-younger-people</w:t>
      </w:r>
      <w:r>
        <w:t>&gt;.</w:t>
      </w:r>
    </w:p>
    <w:p w14:paraId="60D87B86" w14:textId="5213858E" w:rsidR="00817104" w:rsidRDefault="00817104" w:rsidP="00817104">
      <w:pPr>
        <w:pStyle w:val="Bodyafterbullets"/>
      </w:pPr>
      <w:r>
        <w:t xml:space="preserve">Service providers may implement fees for HACC PYP activities to support the </w:t>
      </w:r>
      <w:r w:rsidR="00A70130">
        <w:t>cost-of-service</w:t>
      </w:r>
      <w:r>
        <w:t xml:space="preserve"> delivery. Service providers are not required to charge fees. Where fees are charged, this must occur in line with the department’s HACC PYP fees policy and schedule of fees. Inability to pay cannot be used as a basis for refusing a service to a person assessed as requiring support.</w:t>
      </w:r>
    </w:p>
    <w:p w14:paraId="6C07C0E2" w14:textId="77777777" w:rsidR="00817104" w:rsidRDefault="00817104" w:rsidP="00817104">
      <w:pPr>
        <w:pStyle w:val="Bodyafterbullets"/>
      </w:pPr>
      <w:r>
        <w:t xml:space="preserve">For more information on the schedule of fees, visit the </w:t>
      </w:r>
      <w:hyperlink r:id="rId73" w:history="1">
        <w:r w:rsidRPr="003217A3">
          <w:rPr>
            <w:rStyle w:val="Hyperlink"/>
          </w:rPr>
          <w:t>HACC PYP schedule of fees</w:t>
        </w:r>
      </w:hyperlink>
      <w:r>
        <w:t xml:space="preserve"> &lt;</w:t>
      </w:r>
      <w:r w:rsidRPr="00D00030">
        <w:t>https://www.health.vic.gov.au/home-and-community-care/HACC PYP-fees-policy-and-schedule-of-fees</w:t>
      </w:r>
      <w:r>
        <w:t>&gt;.</w:t>
      </w:r>
    </w:p>
    <w:p w14:paraId="007F8BF3" w14:textId="6B3FDAA2" w:rsidR="00817104" w:rsidRDefault="00817104" w:rsidP="00817104">
      <w:pPr>
        <w:pStyle w:val="Bodyafterbullets"/>
      </w:pPr>
      <w:r>
        <w:t>Agencies receiving funding for HACC PYP activities must demonstrate that funds are used to meet program objectives. This is achieved through contractual, reporting and financial acquittal requirements (see</w:t>
      </w:r>
      <w:r w:rsidR="00850E2D">
        <w:t xml:space="preserve"> </w:t>
      </w:r>
      <w:hyperlink w:anchor="_Ageing,_aged_and" w:history="1">
        <w:r w:rsidR="00850E2D" w:rsidRPr="00850E2D">
          <w:rPr>
            <w:rStyle w:val="Hyperlink"/>
          </w:rPr>
          <w:t>section</w:t>
        </w:r>
        <w:r w:rsidR="00657D46" w:rsidRPr="00850E2D">
          <w:rPr>
            <w:rStyle w:val="Hyperlink"/>
          </w:rPr>
          <w:t xml:space="preserve"> 18.11</w:t>
        </w:r>
      </w:hyperlink>
      <w:r w:rsidR="00850E2D">
        <w:t>).</w:t>
      </w:r>
      <w:r>
        <w:t xml:space="preserve"> </w:t>
      </w:r>
    </w:p>
    <w:p w14:paraId="3828A7D8" w14:textId="566795FF" w:rsidR="00817104" w:rsidRPr="009B0F16" w:rsidRDefault="00817104" w:rsidP="00817104">
      <w:pPr>
        <w:pStyle w:val="Heading2"/>
      </w:pPr>
      <w:bookmarkStart w:id="1905" w:name="_Toc166688921"/>
      <w:bookmarkStart w:id="1906" w:name="_Toc167173855"/>
      <w:bookmarkStart w:id="1907" w:name="_Toc167174195"/>
      <w:bookmarkStart w:id="1908" w:name="_Toc167174515"/>
      <w:bookmarkStart w:id="1909" w:name="_Toc167182494"/>
      <w:bookmarkStart w:id="1910" w:name="_Toc167182661"/>
      <w:bookmarkStart w:id="1911" w:name="_Toc167226029"/>
      <w:bookmarkStart w:id="1912" w:name="_Toc167260736"/>
      <w:bookmarkStart w:id="1913" w:name="_Toc166688922"/>
      <w:bookmarkStart w:id="1914" w:name="_Toc167173856"/>
      <w:bookmarkStart w:id="1915" w:name="_Toc167174196"/>
      <w:bookmarkStart w:id="1916" w:name="_Toc167174516"/>
      <w:bookmarkStart w:id="1917" w:name="_Toc167182495"/>
      <w:bookmarkStart w:id="1918" w:name="_Toc167182662"/>
      <w:bookmarkStart w:id="1919" w:name="_Toc167226030"/>
      <w:bookmarkStart w:id="1920" w:name="_Toc167260737"/>
      <w:bookmarkStart w:id="1921" w:name="_Toc166688923"/>
      <w:bookmarkStart w:id="1922" w:name="_Toc167173857"/>
      <w:bookmarkStart w:id="1923" w:name="_Toc167174197"/>
      <w:bookmarkStart w:id="1924" w:name="_Toc167174517"/>
      <w:bookmarkStart w:id="1925" w:name="_Toc167182496"/>
      <w:bookmarkStart w:id="1926" w:name="_Toc167182663"/>
      <w:bookmarkStart w:id="1927" w:name="_Toc167226031"/>
      <w:bookmarkStart w:id="1928" w:name="_Toc167260738"/>
      <w:bookmarkStart w:id="1929" w:name="_Toc42000113"/>
      <w:bookmarkStart w:id="1930" w:name="_Toc42009456"/>
      <w:bookmarkStart w:id="1931" w:name="_Toc42076367"/>
      <w:bookmarkStart w:id="1932" w:name="_Toc42076546"/>
      <w:bookmarkStart w:id="1933" w:name="_Toc42086591"/>
      <w:bookmarkStart w:id="1934" w:name="_Toc42087922"/>
      <w:bookmarkStart w:id="1935" w:name="_Toc42097343"/>
      <w:bookmarkStart w:id="1936" w:name="_Toc42097697"/>
      <w:bookmarkStart w:id="1937" w:name="_Toc42621220"/>
      <w:bookmarkStart w:id="1938" w:name="_Toc42622071"/>
      <w:bookmarkStart w:id="1939" w:name="_Toc42678142"/>
      <w:bookmarkStart w:id="1940" w:name="_Toc42680831"/>
      <w:bookmarkStart w:id="1941" w:name="_Toc42682667"/>
      <w:bookmarkStart w:id="1942" w:name="_Toc42687298"/>
      <w:bookmarkStart w:id="1943" w:name="_Toc42687525"/>
      <w:bookmarkStart w:id="1944" w:name="_Toc42700183"/>
      <w:bookmarkStart w:id="1945" w:name="_Toc42762923"/>
      <w:bookmarkStart w:id="1946" w:name="_Toc42763146"/>
      <w:bookmarkStart w:id="1947" w:name="_Toc37934645"/>
      <w:bookmarkStart w:id="1948" w:name="_Toc37934646"/>
      <w:bookmarkStart w:id="1949" w:name="_Toc37934647"/>
      <w:bookmarkStart w:id="1950" w:name="_Toc6215598"/>
      <w:bookmarkStart w:id="1951" w:name="_Toc10199671"/>
      <w:bookmarkStart w:id="1952" w:name="_Toc106868031"/>
      <w:bookmarkStart w:id="1953" w:name="_Toc106869782"/>
      <w:bookmarkStart w:id="1954" w:name="_Toc106870116"/>
      <w:bookmarkStart w:id="1955" w:name="_Toc106870282"/>
      <w:bookmarkStart w:id="1956" w:name="_Toc106870454"/>
      <w:bookmarkStart w:id="1957" w:name="_Toc165964655"/>
      <w:bookmarkStart w:id="1958" w:name="_Toc167174518"/>
      <w:bookmarkStart w:id="1959" w:name="_Toc231982268"/>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r>
        <w:t>Victorian Aids and Equipment Program</w:t>
      </w:r>
      <w:bookmarkEnd w:id="1950"/>
      <w:bookmarkEnd w:id="1951"/>
      <w:bookmarkEnd w:id="1952"/>
      <w:bookmarkEnd w:id="1953"/>
      <w:bookmarkEnd w:id="1954"/>
      <w:bookmarkEnd w:id="1955"/>
      <w:bookmarkEnd w:id="1956"/>
      <w:bookmarkEnd w:id="1957"/>
      <w:bookmarkEnd w:id="1958"/>
      <w:bookmarkEnd w:id="1959"/>
      <w:r>
        <w:t xml:space="preserve"> </w:t>
      </w:r>
    </w:p>
    <w:p w14:paraId="0ABBD6A6" w14:textId="77777777" w:rsidR="00817104" w:rsidRPr="0008389C" w:rsidRDefault="00817104" w:rsidP="00817104">
      <w:pPr>
        <w:pStyle w:val="Body"/>
      </w:pPr>
      <w:r w:rsidRPr="0670E279">
        <w:rPr>
          <w:lang w:eastAsia="en-AU"/>
        </w:rPr>
        <w:t xml:space="preserve">The </w:t>
      </w:r>
      <w:r>
        <w:t>Victorian Aids and Equipment Program (</w:t>
      </w:r>
      <w:r>
        <w:rPr>
          <w:lang w:eastAsia="en-AU"/>
        </w:rPr>
        <w:t>VA&amp;EP)</w:t>
      </w:r>
      <w:r w:rsidRPr="0670E279">
        <w:rPr>
          <w:lang w:eastAsia="en-AU"/>
        </w:rPr>
        <w:t xml:space="preserve"> assists eligible </w:t>
      </w:r>
      <w:r>
        <w:rPr>
          <w:lang w:eastAsia="en-AU"/>
        </w:rPr>
        <w:t>people</w:t>
      </w:r>
      <w:r w:rsidRPr="0670E279">
        <w:rPr>
          <w:lang w:eastAsia="en-AU"/>
        </w:rPr>
        <w:t xml:space="preserve"> to improve their independence and participate in the community. It also supports families and carers to maintain care arrangements by providing a range of subsidies for aids and equipment, and health-related products. The program funds the repair of equipment owned by the service provider.</w:t>
      </w:r>
    </w:p>
    <w:p w14:paraId="632660B0" w14:textId="77777777" w:rsidR="00817104" w:rsidRPr="00F64A0A" w:rsidRDefault="00817104" w:rsidP="00817104">
      <w:pPr>
        <w:pStyle w:val="Body"/>
      </w:pPr>
      <w:r w:rsidRPr="0670E279">
        <w:rPr>
          <w:lang w:eastAsia="en-AU"/>
        </w:rPr>
        <w:t xml:space="preserve">Assistive technology programs and schemes funded under the </w:t>
      </w:r>
      <w:r>
        <w:rPr>
          <w:lang w:eastAsia="en-AU"/>
        </w:rPr>
        <w:t>program</w:t>
      </w:r>
      <w:r w:rsidRPr="0670E279">
        <w:rPr>
          <w:lang w:eastAsia="en-AU"/>
        </w:rPr>
        <w:t xml:space="preserve"> include:</w:t>
      </w:r>
    </w:p>
    <w:p w14:paraId="52583D97" w14:textId="77777777" w:rsidR="00817104" w:rsidRPr="0008389C" w:rsidRDefault="00817104" w:rsidP="00817104">
      <w:pPr>
        <w:pStyle w:val="Bullet1"/>
        <w:numPr>
          <w:ilvl w:val="0"/>
          <w:numId w:val="2"/>
        </w:numPr>
        <w:rPr>
          <w:lang w:val="en-US" w:eastAsia="en-AU"/>
        </w:rPr>
      </w:pPr>
      <w:r w:rsidRPr="0670E279">
        <w:rPr>
          <w:lang w:eastAsia="en-AU"/>
        </w:rPr>
        <w:t>an equipment loan service for people who have been diagnosed with motor neurone di</w:t>
      </w:r>
      <w:r w:rsidRPr="0670E279">
        <w:rPr>
          <w:rFonts w:cs="Calibri"/>
          <w:lang w:eastAsia="en-AU"/>
        </w:rPr>
        <w:t>sease</w:t>
      </w:r>
    </w:p>
    <w:p w14:paraId="1E3FBB26" w14:textId="77777777" w:rsidR="00817104" w:rsidRPr="0008389C" w:rsidRDefault="00817104" w:rsidP="00817104">
      <w:pPr>
        <w:pStyle w:val="Bullet1"/>
        <w:numPr>
          <w:ilvl w:val="0"/>
          <w:numId w:val="2"/>
        </w:numPr>
        <w:rPr>
          <w:lang w:val="en-US" w:eastAsia="en-AU"/>
        </w:rPr>
      </w:pPr>
      <w:r w:rsidRPr="0670E279">
        <w:rPr>
          <w:lang w:eastAsia="en-AU"/>
        </w:rPr>
        <w:t>specialist low-cost aids and equipment for people who have vision impairment</w:t>
      </w:r>
    </w:p>
    <w:p w14:paraId="0DFB6CDC" w14:textId="77777777" w:rsidR="00817104" w:rsidRPr="0008389C" w:rsidRDefault="00817104" w:rsidP="00817104">
      <w:pPr>
        <w:pStyle w:val="Bullet1"/>
        <w:numPr>
          <w:ilvl w:val="0"/>
          <w:numId w:val="2"/>
        </w:numPr>
        <w:rPr>
          <w:lang w:val="en-US" w:eastAsia="en-AU"/>
        </w:rPr>
      </w:pPr>
      <w:r w:rsidRPr="0670E279">
        <w:rPr>
          <w:lang w:eastAsia="en-AU"/>
        </w:rPr>
        <w:t>lymphoedema compression garments</w:t>
      </w:r>
    </w:p>
    <w:p w14:paraId="018BF56A" w14:textId="77777777" w:rsidR="00817104" w:rsidRPr="0008389C" w:rsidRDefault="00817104" w:rsidP="00817104">
      <w:pPr>
        <w:pStyle w:val="Bullet1"/>
        <w:numPr>
          <w:ilvl w:val="0"/>
          <w:numId w:val="2"/>
        </w:numPr>
        <w:rPr>
          <w:lang w:val="en-US" w:eastAsia="en-AU"/>
        </w:rPr>
      </w:pPr>
      <w:r w:rsidRPr="0670E279">
        <w:rPr>
          <w:lang w:eastAsia="en-AU"/>
        </w:rPr>
        <w:t>individualised solutions</w:t>
      </w:r>
    </w:p>
    <w:p w14:paraId="71528D8A" w14:textId="77777777" w:rsidR="00817104" w:rsidRPr="0008389C" w:rsidRDefault="00817104" w:rsidP="00817104">
      <w:pPr>
        <w:pStyle w:val="Bullet1"/>
        <w:numPr>
          <w:ilvl w:val="0"/>
          <w:numId w:val="2"/>
        </w:numPr>
        <w:rPr>
          <w:lang w:val="en-US" w:eastAsia="en-AU"/>
        </w:rPr>
      </w:pPr>
      <w:r w:rsidRPr="0670E279">
        <w:rPr>
          <w:lang w:eastAsia="en-AU"/>
        </w:rPr>
        <w:t>electronic communication devices</w:t>
      </w:r>
    </w:p>
    <w:p w14:paraId="070CE385" w14:textId="77777777" w:rsidR="00817104" w:rsidRPr="0008389C" w:rsidRDefault="00817104" w:rsidP="00817104">
      <w:pPr>
        <w:pStyle w:val="Bullet1"/>
        <w:numPr>
          <w:ilvl w:val="0"/>
          <w:numId w:val="2"/>
        </w:numPr>
        <w:rPr>
          <w:lang w:val="en-US" w:eastAsia="en-AU"/>
        </w:rPr>
      </w:pPr>
      <w:r w:rsidRPr="0670E279">
        <w:rPr>
          <w:lang w:eastAsia="en-AU"/>
        </w:rPr>
        <w:lastRenderedPageBreak/>
        <w:t>smoke alarms for those with profound or severe hearing loss</w:t>
      </w:r>
    </w:p>
    <w:p w14:paraId="1481120D" w14:textId="77777777" w:rsidR="00817104" w:rsidRPr="0008389C" w:rsidRDefault="00817104" w:rsidP="00817104">
      <w:pPr>
        <w:pStyle w:val="Bullet1"/>
        <w:numPr>
          <w:ilvl w:val="0"/>
          <w:numId w:val="2"/>
        </w:numPr>
        <w:rPr>
          <w:lang w:eastAsia="en-AU"/>
        </w:rPr>
      </w:pPr>
      <w:r w:rsidRPr="0670E279">
        <w:rPr>
          <w:lang w:eastAsia="en-AU"/>
        </w:rPr>
        <w:t>aids and equipment subsidies for home and vehicle modifications, and a range of mobility aids</w:t>
      </w:r>
    </w:p>
    <w:p w14:paraId="369E410F" w14:textId="77777777" w:rsidR="00817104" w:rsidRPr="0008389C" w:rsidRDefault="00817104" w:rsidP="00817104">
      <w:pPr>
        <w:pStyle w:val="Bullet1"/>
        <w:numPr>
          <w:ilvl w:val="0"/>
          <w:numId w:val="2"/>
        </w:numPr>
        <w:rPr>
          <w:lang w:val="en-US" w:eastAsia="en-AU"/>
        </w:rPr>
      </w:pPr>
      <w:r w:rsidRPr="0670E279">
        <w:rPr>
          <w:lang w:eastAsia="en-AU"/>
        </w:rPr>
        <w:t>domiciliary oxygen</w:t>
      </w:r>
    </w:p>
    <w:p w14:paraId="7032A919" w14:textId="77777777" w:rsidR="00817104" w:rsidRPr="0008389C" w:rsidRDefault="00817104" w:rsidP="00817104">
      <w:pPr>
        <w:pStyle w:val="Bullet1"/>
        <w:numPr>
          <w:ilvl w:val="0"/>
          <w:numId w:val="2"/>
        </w:numPr>
        <w:rPr>
          <w:lang w:eastAsia="en-AU"/>
        </w:rPr>
      </w:pPr>
      <w:r w:rsidRPr="0670E279">
        <w:rPr>
          <w:lang w:eastAsia="en-AU"/>
        </w:rPr>
        <w:t>laryngectomy consumables</w:t>
      </w:r>
    </w:p>
    <w:p w14:paraId="628E1D50" w14:textId="77777777" w:rsidR="00817104" w:rsidRPr="0008389C" w:rsidRDefault="00817104" w:rsidP="00817104">
      <w:pPr>
        <w:pStyle w:val="Bullet1"/>
        <w:numPr>
          <w:ilvl w:val="0"/>
          <w:numId w:val="2"/>
        </w:numPr>
        <w:rPr>
          <w:lang w:val="en-US" w:eastAsia="en-AU"/>
        </w:rPr>
      </w:pPr>
      <w:r w:rsidRPr="0670E279">
        <w:rPr>
          <w:lang w:eastAsia="en-AU"/>
        </w:rPr>
        <w:t>continence products.</w:t>
      </w:r>
    </w:p>
    <w:p w14:paraId="0107825F" w14:textId="77777777" w:rsidR="00817104" w:rsidRPr="0008389C" w:rsidRDefault="00817104" w:rsidP="00817104">
      <w:pPr>
        <w:pStyle w:val="Bodyafterbullets"/>
        <w:rPr>
          <w:lang w:eastAsia="en-AU"/>
        </w:rPr>
      </w:pPr>
      <w:r w:rsidRPr="0670E279">
        <w:rPr>
          <w:lang w:eastAsia="en-AU"/>
        </w:rPr>
        <w:t xml:space="preserve">The client group for this activity is people of all ages, with some eligibility restrictions. For more information, visit the </w:t>
      </w:r>
      <w:hyperlink r:id="rId74">
        <w:r>
          <w:rPr>
            <w:rStyle w:val="Hyperlink"/>
          </w:rPr>
          <w:t>VA&amp;EP</w:t>
        </w:r>
      </w:hyperlink>
      <w:r w:rsidRPr="0670E279">
        <w:rPr>
          <w:lang w:eastAsia="en-AU"/>
        </w:rPr>
        <w:t xml:space="preserve"> &lt;https://www.health.vic.gov.au/supporting-independent-living/victorian-aids-and-equipment-program&gt;. </w:t>
      </w:r>
    </w:p>
    <w:p w14:paraId="1821371A" w14:textId="5EF22BA1" w:rsidR="00817104" w:rsidRPr="009B0F16" w:rsidRDefault="00817104" w:rsidP="00817104">
      <w:pPr>
        <w:pStyle w:val="Heading2"/>
      </w:pPr>
      <w:bookmarkStart w:id="1960" w:name="_Toc106868032"/>
      <w:bookmarkStart w:id="1961" w:name="_Toc106869783"/>
      <w:bookmarkStart w:id="1962" w:name="_Toc106870117"/>
      <w:bookmarkStart w:id="1963" w:name="_Toc106870283"/>
      <w:bookmarkStart w:id="1964" w:name="_Toc106870455"/>
      <w:bookmarkStart w:id="1965" w:name="_Toc6215599"/>
      <w:bookmarkStart w:id="1966" w:name="_Toc10199672"/>
      <w:bookmarkStart w:id="1967" w:name="_Toc165964656"/>
      <w:bookmarkStart w:id="1968" w:name="_Toc167174519"/>
      <w:bookmarkStart w:id="1969" w:name="_Toc231982269"/>
      <w:r>
        <w:t>Aged support services</w:t>
      </w:r>
      <w:bookmarkEnd w:id="1960"/>
      <w:bookmarkEnd w:id="1961"/>
      <w:bookmarkEnd w:id="1962"/>
      <w:bookmarkEnd w:id="1963"/>
      <w:bookmarkEnd w:id="1964"/>
      <w:bookmarkEnd w:id="1965"/>
      <w:bookmarkEnd w:id="1966"/>
      <w:bookmarkEnd w:id="1967"/>
      <w:bookmarkEnd w:id="1968"/>
      <w:bookmarkEnd w:id="1969"/>
    </w:p>
    <w:p w14:paraId="4D4BA9F3" w14:textId="77777777" w:rsidR="00817104" w:rsidRDefault="00817104" w:rsidP="00817104">
      <w:pPr>
        <w:pStyle w:val="Body"/>
      </w:pPr>
      <w:r>
        <w:t>Aged support services provide a range of support, mostly for people who are living in their own homes. While clients of the services are generally aged 65 years or older, people aged under 65 years can also access the services listed below.</w:t>
      </w:r>
    </w:p>
    <w:p w14:paraId="6AC3BBE2" w14:textId="0B80B115" w:rsidR="00817104" w:rsidRPr="00920A3D" w:rsidRDefault="00817104" w:rsidP="00817104">
      <w:pPr>
        <w:pStyle w:val="Heading3"/>
      </w:pPr>
      <w:bookmarkStart w:id="1970" w:name="_Toc40695144"/>
      <w:bookmarkStart w:id="1971" w:name="_Toc40695145"/>
      <w:bookmarkEnd w:id="1970"/>
      <w:bookmarkEnd w:id="1971"/>
      <w:r>
        <w:t xml:space="preserve">Personal Alert Victoria </w:t>
      </w:r>
    </w:p>
    <w:p w14:paraId="720BC522" w14:textId="77777777" w:rsidR="00817104" w:rsidRDefault="00817104" w:rsidP="00817104">
      <w:pPr>
        <w:pStyle w:val="Body"/>
      </w:pPr>
      <w:bookmarkStart w:id="1972" w:name="_Toc40695148"/>
      <w:bookmarkEnd w:id="1972"/>
      <w:r>
        <w:t>Personal Alert Victoria (PAV) is a daily monitoring and duress response service for frail older people and people with a disability, who have high ongoing health and support needs, mostly live alone and are at risk of falls. It aims to support clients to live independently for as long as possible.</w:t>
      </w:r>
    </w:p>
    <w:p w14:paraId="4896A91B" w14:textId="77777777" w:rsidR="00817104" w:rsidRPr="003C1F7D" w:rsidRDefault="00817104" w:rsidP="00817104">
      <w:pPr>
        <w:pStyle w:val="Body"/>
      </w:pPr>
      <w:r>
        <w:t xml:space="preserve">PAV relies on nominated contacts (such as family, friends and neighbours) to provide assistance in responding to calls, ensuring public emergency services are used effectively. </w:t>
      </w:r>
    </w:p>
    <w:p w14:paraId="56E23F1C" w14:textId="77777777" w:rsidR="00817104" w:rsidRDefault="00817104" w:rsidP="00817104">
      <w:pPr>
        <w:pStyle w:val="Body"/>
      </w:pPr>
      <w:r w:rsidRPr="00DB6DE8">
        <w:t>PAV clients who do</w:t>
      </w:r>
      <w:r>
        <w:t xml:space="preserve"> </w:t>
      </w:r>
      <w:r w:rsidRPr="00DB6DE8">
        <w:t>n</w:t>
      </w:r>
      <w:r>
        <w:t>o</w:t>
      </w:r>
      <w:r w:rsidRPr="00DB6DE8">
        <w:t>t have suitable family or friends to act as nominated contacts can register with a PAV Response Service.</w:t>
      </w:r>
    </w:p>
    <w:p w14:paraId="409BE7E5" w14:textId="77777777" w:rsidR="00817104" w:rsidRPr="003C1F7D" w:rsidRDefault="00817104" w:rsidP="00817104">
      <w:pPr>
        <w:pStyle w:val="Body"/>
      </w:pPr>
      <w:r>
        <w:t xml:space="preserve">For more information, visit </w:t>
      </w:r>
      <w:hyperlink r:id="rId75" w:history="1">
        <w:r w:rsidRPr="00C40152">
          <w:rPr>
            <w:rStyle w:val="Hyperlink"/>
          </w:rPr>
          <w:t>Personal Alert Victoria</w:t>
        </w:r>
      </w:hyperlink>
      <w:r>
        <w:t xml:space="preserve"> &lt;</w:t>
      </w:r>
      <w:r w:rsidRPr="00AA4A54">
        <w:t>https://www.health.vic.gov.au/supporting-independent-living/personal-alert-victoria</w:t>
      </w:r>
      <w:r>
        <w:t>&gt;.</w:t>
      </w:r>
    </w:p>
    <w:p w14:paraId="381C040C" w14:textId="50945E7B" w:rsidR="00817104" w:rsidRPr="00E568C8" w:rsidRDefault="009B4680" w:rsidP="00817104">
      <w:pPr>
        <w:pStyle w:val="Heading3"/>
        <w:tabs>
          <w:tab w:val="left" w:pos="567"/>
          <w:tab w:val="left" w:pos="1134"/>
        </w:tabs>
      </w:pPr>
      <w:bookmarkStart w:id="1973" w:name="_Public_sector_residential"/>
      <w:bookmarkEnd w:id="1973"/>
      <w:r w:rsidRPr="009B4680">
        <w:t>Public sector residential aged care services</w:t>
      </w:r>
      <w:r>
        <w:t xml:space="preserve"> </w:t>
      </w:r>
      <w:r w:rsidR="00233D35">
        <w:t>(PSRACS)</w:t>
      </w:r>
    </w:p>
    <w:p w14:paraId="25D4219E" w14:textId="77777777" w:rsidR="00817104" w:rsidRDefault="00817104" w:rsidP="00817104">
      <w:pPr>
        <w:pStyle w:val="Body"/>
      </w:pPr>
      <w:r>
        <w:t>The department funds health services, multipurpose service providers and contracted non-government providers to deliver PSRACS. Funded organisations are required to deliver a set number of available bed days, with funding supporting the additional operational expenses required for high-quality, nurse-led care.</w:t>
      </w:r>
    </w:p>
    <w:p w14:paraId="561A7B65" w14:textId="77777777" w:rsidR="00817104" w:rsidRPr="005354B3" w:rsidRDefault="00817104" w:rsidP="00817104">
      <w:pPr>
        <w:pStyle w:val="Body"/>
      </w:pPr>
      <w:r>
        <w:t>In 2026–27, the department will continue to fund PSRACS through a unit-priced funding approach for high-care and low-care beds as designated at services</w:t>
      </w:r>
    </w:p>
    <w:p w14:paraId="50FCB917" w14:textId="77777777" w:rsidR="00817104" w:rsidRDefault="00817104" w:rsidP="00817104">
      <w:pPr>
        <w:pStyle w:val="Body"/>
      </w:pPr>
      <w:r>
        <w:t xml:space="preserve">In 2022–23, the Australian Government introduced the Australian National Aged Care Classification (AN-ACC), a new funding model that provides revenue to PSRACS. The department is monitoring and modelling the revenue effects of the AN-ACC on PSRACS throughout 2026–27. </w:t>
      </w:r>
    </w:p>
    <w:p w14:paraId="0A559AAC" w14:textId="77777777" w:rsidR="00817104" w:rsidRDefault="00817104" w:rsidP="00817104">
      <w:pPr>
        <w:pStyle w:val="Body"/>
      </w:pPr>
      <w:r>
        <w:t xml:space="preserve">Any changes to the funding allocations will be made to best use the available </w:t>
      </w:r>
      <w:r w:rsidRPr="0028199A">
        <w:t xml:space="preserve">state </w:t>
      </w:r>
      <w:r>
        <w:t xml:space="preserve">funding across funded </w:t>
      </w:r>
      <w:r w:rsidRPr="0028199A">
        <w:t>organisations</w:t>
      </w:r>
      <w:r>
        <w:t xml:space="preserve"> to achieve sector objectives and intended support. The department will notify PSRACS providers in advance of any changes to their funding.</w:t>
      </w:r>
    </w:p>
    <w:p w14:paraId="111B80DE" w14:textId="77777777" w:rsidR="00817104" w:rsidRPr="00623562" w:rsidRDefault="00817104" w:rsidP="00817104">
      <w:pPr>
        <w:pStyle w:val="Body"/>
      </w:pPr>
      <w:r w:rsidRPr="00623562">
        <w:t xml:space="preserve">Commencing in </w:t>
      </w:r>
      <w:r>
        <w:t>2026–27</w:t>
      </w:r>
      <w:r w:rsidRPr="00623562">
        <w:t xml:space="preserve">, funded organisations </w:t>
      </w:r>
      <w:r w:rsidRPr="0028199A">
        <w:t>must submit to the department, by 30 November each year,</w:t>
      </w:r>
      <w:r w:rsidRPr="00623562">
        <w:t xml:space="preserve"> the receipt report generated by the Commonwealth for the annual Aged Care Financial Report</w:t>
      </w:r>
      <w:r w:rsidRPr="0028199A">
        <w:t>. PSRACS operating the multipurpose services program are exempt from this requirement</w:t>
      </w:r>
      <w:r w:rsidRPr="00623562">
        <w:t>.</w:t>
      </w:r>
    </w:p>
    <w:p w14:paraId="672B89F4" w14:textId="65DD132A" w:rsidR="00817104" w:rsidRDefault="00817104" w:rsidP="00817104">
      <w:pPr>
        <w:pStyle w:val="Heading3"/>
      </w:pPr>
      <w:r>
        <w:lastRenderedPageBreak/>
        <w:t>Low-cost accommodation support</w:t>
      </w:r>
    </w:p>
    <w:p w14:paraId="0C585685" w14:textId="77777777" w:rsidR="00817104" w:rsidRDefault="00817104" w:rsidP="00817104">
      <w:pPr>
        <w:pStyle w:val="Body"/>
      </w:pPr>
      <w:r>
        <w:t>Low-cost accommodation support programs are a group of outreach programs for older and vulnerable Victorians with unmet complex needs, who are homeless or living in insecure or low-cost accommodation. The programs link clients to relevant health, community care and welfare services to improve their health and social wellbeing.</w:t>
      </w:r>
    </w:p>
    <w:p w14:paraId="33FBEFFA" w14:textId="77777777" w:rsidR="00817104" w:rsidRDefault="00817104" w:rsidP="00817104">
      <w:pPr>
        <w:pStyle w:val="Body"/>
      </w:pPr>
      <w:r>
        <w:t>They include three subprograms that are the:</w:t>
      </w:r>
    </w:p>
    <w:p w14:paraId="6332247B" w14:textId="77777777" w:rsidR="00817104" w:rsidRDefault="00817104" w:rsidP="00817104">
      <w:pPr>
        <w:pStyle w:val="Bullet1"/>
        <w:numPr>
          <w:ilvl w:val="0"/>
          <w:numId w:val="2"/>
        </w:numPr>
      </w:pPr>
      <w:r>
        <w:t>Community Connections Program</w:t>
      </w:r>
    </w:p>
    <w:p w14:paraId="15AE7AA6" w14:textId="77777777" w:rsidR="00817104" w:rsidRDefault="00817104" w:rsidP="00817104">
      <w:pPr>
        <w:pStyle w:val="Bullet1"/>
        <w:numPr>
          <w:ilvl w:val="0"/>
          <w:numId w:val="2"/>
        </w:numPr>
      </w:pPr>
      <w:r>
        <w:t>Housing Support for the Aged Program</w:t>
      </w:r>
    </w:p>
    <w:p w14:paraId="61A3DE5C" w14:textId="77777777" w:rsidR="00817104" w:rsidRDefault="00817104" w:rsidP="00817104">
      <w:pPr>
        <w:pStyle w:val="Bullet1"/>
        <w:numPr>
          <w:ilvl w:val="0"/>
          <w:numId w:val="2"/>
        </w:numPr>
      </w:pPr>
      <w:r>
        <w:t>Older Persons High Rise Program.</w:t>
      </w:r>
    </w:p>
    <w:p w14:paraId="66966821" w14:textId="77777777" w:rsidR="00817104" w:rsidRDefault="00817104" w:rsidP="00817104">
      <w:pPr>
        <w:pStyle w:val="Bodyafterbullets"/>
      </w:pPr>
      <w:r>
        <w:t xml:space="preserve">For more information, visit </w:t>
      </w:r>
      <w:hyperlink r:id="rId76" w:history="1">
        <w:r w:rsidRPr="00DE24FA">
          <w:rPr>
            <w:rStyle w:val="Hyperlink"/>
          </w:rPr>
          <w:t>Low-cost accommodation support programs</w:t>
        </w:r>
      </w:hyperlink>
      <w:r w:rsidRPr="00486B11" w:rsidDel="00486B11">
        <w:t xml:space="preserve"> </w:t>
      </w:r>
      <w:r>
        <w:t>&lt;</w:t>
      </w:r>
      <w:r w:rsidRPr="00694877">
        <w:t>https://www.health.vic.gov.au/supporting-independent-living/low-cost-accommodation-support-programs</w:t>
      </w:r>
      <w:r>
        <w:t>&gt;.</w:t>
      </w:r>
    </w:p>
    <w:p w14:paraId="3325ABBB" w14:textId="77777777" w:rsidR="00817104" w:rsidRDefault="00817104" w:rsidP="00817104">
      <w:pPr>
        <w:spacing w:after="0" w:line="240" w:lineRule="auto"/>
        <w:rPr>
          <w:rFonts w:eastAsia="Times"/>
        </w:rPr>
      </w:pPr>
      <w:r>
        <w:br w:type="page"/>
      </w:r>
    </w:p>
    <w:p w14:paraId="4739F46F" w14:textId="77777777" w:rsidR="00817104" w:rsidRDefault="00817104" w:rsidP="007D5B6F">
      <w:pPr>
        <w:pStyle w:val="Heading1"/>
      </w:pPr>
      <w:bookmarkStart w:id="1974" w:name="_Toc40611881"/>
      <w:bookmarkStart w:id="1975" w:name="_Toc40612530"/>
      <w:bookmarkStart w:id="1976" w:name="_Toc40612751"/>
      <w:bookmarkStart w:id="1977" w:name="_Toc40612941"/>
      <w:bookmarkStart w:id="1978" w:name="_Toc40613549"/>
      <w:bookmarkStart w:id="1979" w:name="_Toc40614061"/>
      <w:bookmarkStart w:id="1980" w:name="_Toc40695153"/>
      <w:bookmarkStart w:id="1981" w:name="_Toc40706041"/>
      <w:bookmarkStart w:id="1982" w:name="_Toc40706242"/>
      <w:bookmarkStart w:id="1983" w:name="_Toc40707797"/>
      <w:bookmarkStart w:id="1984" w:name="_Toc40707999"/>
      <w:bookmarkStart w:id="1985" w:name="_Toc40708201"/>
      <w:bookmarkStart w:id="1986" w:name="_Toc40716420"/>
      <w:bookmarkStart w:id="1987" w:name="_Toc40716592"/>
      <w:bookmarkStart w:id="1988" w:name="_Toc40716809"/>
      <w:bookmarkStart w:id="1989" w:name="_Toc40727386"/>
      <w:bookmarkStart w:id="1990" w:name="_Toc42000118"/>
      <w:bookmarkStart w:id="1991" w:name="_Toc42009461"/>
      <w:bookmarkStart w:id="1992" w:name="_Toc42076372"/>
      <w:bookmarkStart w:id="1993" w:name="_Toc42076551"/>
      <w:bookmarkStart w:id="1994" w:name="_Toc42086596"/>
      <w:bookmarkStart w:id="1995" w:name="_Toc42087927"/>
      <w:bookmarkStart w:id="1996" w:name="_Toc42097348"/>
      <w:bookmarkStart w:id="1997" w:name="_Toc42097702"/>
      <w:bookmarkStart w:id="1998" w:name="_Toc42621225"/>
      <w:bookmarkStart w:id="1999" w:name="_Toc42622076"/>
      <w:bookmarkStart w:id="2000" w:name="_Toc42678147"/>
      <w:bookmarkStart w:id="2001" w:name="_Toc42680836"/>
      <w:bookmarkStart w:id="2002" w:name="_Toc42682672"/>
      <w:bookmarkStart w:id="2003" w:name="_Toc42687303"/>
      <w:bookmarkStart w:id="2004" w:name="_Toc42687530"/>
      <w:bookmarkStart w:id="2005" w:name="_Toc42700188"/>
      <w:bookmarkStart w:id="2006" w:name="_Toc42762928"/>
      <w:bookmarkStart w:id="2007" w:name="_Toc42763151"/>
      <w:bookmarkStart w:id="2008" w:name="_Toc40611882"/>
      <w:bookmarkStart w:id="2009" w:name="_Toc40612531"/>
      <w:bookmarkStart w:id="2010" w:name="_Toc40612752"/>
      <w:bookmarkStart w:id="2011" w:name="_Toc40612942"/>
      <w:bookmarkStart w:id="2012" w:name="_Toc40613550"/>
      <w:bookmarkStart w:id="2013" w:name="_Toc40614062"/>
      <w:bookmarkStart w:id="2014" w:name="_Toc40695154"/>
      <w:bookmarkStart w:id="2015" w:name="_Toc40706042"/>
      <w:bookmarkStart w:id="2016" w:name="_Toc40706243"/>
      <w:bookmarkStart w:id="2017" w:name="_Toc40707798"/>
      <w:bookmarkStart w:id="2018" w:name="_Toc40708000"/>
      <w:bookmarkStart w:id="2019" w:name="_Toc40708202"/>
      <w:bookmarkStart w:id="2020" w:name="_Toc40716421"/>
      <w:bookmarkStart w:id="2021" w:name="_Toc40716593"/>
      <w:bookmarkStart w:id="2022" w:name="_Toc40716810"/>
      <w:bookmarkStart w:id="2023" w:name="_Toc40727387"/>
      <w:bookmarkStart w:id="2024" w:name="_Toc42000119"/>
      <w:bookmarkStart w:id="2025" w:name="_Toc42009462"/>
      <w:bookmarkStart w:id="2026" w:name="_Toc42076373"/>
      <w:bookmarkStart w:id="2027" w:name="_Toc42076552"/>
      <w:bookmarkStart w:id="2028" w:name="_Toc42086597"/>
      <w:bookmarkStart w:id="2029" w:name="_Toc42087928"/>
      <w:bookmarkStart w:id="2030" w:name="_Toc42097349"/>
      <w:bookmarkStart w:id="2031" w:name="_Toc42097703"/>
      <w:bookmarkStart w:id="2032" w:name="_Toc42621226"/>
      <w:bookmarkStart w:id="2033" w:name="_Toc42622077"/>
      <w:bookmarkStart w:id="2034" w:name="_Toc42678148"/>
      <w:bookmarkStart w:id="2035" w:name="_Toc42680837"/>
      <w:bookmarkStart w:id="2036" w:name="_Toc42682673"/>
      <w:bookmarkStart w:id="2037" w:name="_Toc42687304"/>
      <w:bookmarkStart w:id="2038" w:name="_Toc42687531"/>
      <w:bookmarkStart w:id="2039" w:name="_Toc42700189"/>
      <w:bookmarkStart w:id="2040" w:name="_Toc42762929"/>
      <w:bookmarkStart w:id="2041" w:name="_Toc42763152"/>
      <w:bookmarkStart w:id="2042" w:name="_Toc6215602"/>
      <w:bookmarkStart w:id="2043" w:name="_Toc10199675"/>
      <w:bookmarkStart w:id="2044" w:name="_Toc106868033"/>
      <w:bookmarkStart w:id="2045" w:name="_Toc106869784"/>
      <w:bookmarkStart w:id="2046" w:name="_Toc106870118"/>
      <w:bookmarkStart w:id="2047" w:name="_Toc106870284"/>
      <w:bookmarkStart w:id="2048" w:name="_Toc106870456"/>
      <w:bookmarkStart w:id="2049" w:name="_Toc165964657"/>
      <w:bookmarkStart w:id="2050" w:name="_Toc167174520"/>
      <w:bookmarkStart w:id="2051" w:name="_Toc231982270"/>
      <w:bookmarkStart w:id="2052" w:name="_Toc418694949"/>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r>
        <w:lastRenderedPageBreak/>
        <w:t xml:space="preserve">Rural and </w:t>
      </w:r>
      <w:r w:rsidRPr="001D24BB">
        <w:t>regional</w:t>
      </w:r>
      <w:r>
        <w:t xml:space="preserve"> </w:t>
      </w:r>
      <w:r w:rsidRPr="00330A6D">
        <w:t>health</w:t>
      </w:r>
      <w:bookmarkEnd w:id="2042"/>
      <w:bookmarkEnd w:id="2043"/>
      <w:bookmarkEnd w:id="2044"/>
      <w:bookmarkEnd w:id="2045"/>
      <w:bookmarkEnd w:id="2046"/>
      <w:bookmarkEnd w:id="2047"/>
      <w:bookmarkEnd w:id="2048"/>
      <w:bookmarkEnd w:id="2049"/>
      <w:bookmarkEnd w:id="2050"/>
      <w:bookmarkEnd w:id="2051"/>
    </w:p>
    <w:p w14:paraId="15631574" w14:textId="77777777" w:rsidR="00817104" w:rsidRDefault="00817104" w:rsidP="00817104">
      <w:pPr>
        <w:pStyle w:val="Body"/>
      </w:pPr>
      <w:bookmarkStart w:id="2053" w:name="_Toc418694950"/>
      <w:bookmarkStart w:id="2054" w:name="_Toc422155938"/>
      <w:bookmarkStart w:id="2055" w:name="_Toc418694951"/>
      <w:bookmarkEnd w:id="2052"/>
      <w:r>
        <w:t>Rural and regional health services deliver safe, high-quality care close to where people live. The system has a hierarchy of health services. This includes regional, subregional, local and small rural health services (SRHS), including multipurpose services and bush nursing centres.</w:t>
      </w:r>
    </w:p>
    <w:p w14:paraId="153AAF6D" w14:textId="018D2598" w:rsidR="00817104" w:rsidRPr="009B0F16" w:rsidRDefault="00EC01E6" w:rsidP="00817104">
      <w:pPr>
        <w:pStyle w:val="Heading2"/>
      </w:pPr>
      <w:bookmarkStart w:id="2056" w:name="_Toc37934652"/>
      <w:bookmarkStart w:id="2057" w:name="_Toc37934653"/>
      <w:bookmarkStart w:id="2058" w:name="_Toc37934654"/>
      <w:bookmarkStart w:id="2059" w:name="_Toc37934655"/>
      <w:bookmarkStart w:id="2060" w:name="_Toc37934656"/>
      <w:bookmarkStart w:id="2061" w:name="_Toc37934657"/>
      <w:bookmarkStart w:id="2062" w:name="_Toc37934658"/>
      <w:bookmarkStart w:id="2063" w:name="_Toc231982271"/>
      <w:bookmarkStart w:id="2064" w:name="_Toc165964658"/>
      <w:bookmarkStart w:id="2065" w:name="_Toc167174521"/>
      <w:bookmarkEnd w:id="2056"/>
      <w:bookmarkEnd w:id="2057"/>
      <w:bookmarkEnd w:id="2058"/>
      <w:bookmarkEnd w:id="2059"/>
      <w:bookmarkEnd w:id="2060"/>
      <w:bookmarkEnd w:id="2061"/>
      <w:bookmarkEnd w:id="2062"/>
      <w:r>
        <w:t>Small rural health services</w:t>
      </w:r>
      <w:bookmarkEnd w:id="2063"/>
      <w:r>
        <w:t xml:space="preserve"> </w:t>
      </w:r>
      <w:bookmarkEnd w:id="2064"/>
      <w:bookmarkEnd w:id="2065"/>
    </w:p>
    <w:p w14:paraId="0768A97D" w14:textId="77777777" w:rsidR="00817104" w:rsidRDefault="00817104" w:rsidP="00817104">
      <w:pPr>
        <w:pStyle w:val="Body"/>
      </w:pPr>
      <w:r>
        <w:t>The funding model for SRHS is intended to support eight key principles of:</w:t>
      </w:r>
    </w:p>
    <w:p w14:paraId="553ADF6D" w14:textId="77777777" w:rsidR="00817104" w:rsidRDefault="00817104" w:rsidP="00817104">
      <w:pPr>
        <w:pStyle w:val="Bullet1"/>
        <w:numPr>
          <w:ilvl w:val="0"/>
          <w:numId w:val="2"/>
        </w:numPr>
      </w:pPr>
      <w:r>
        <w:t>flexibility</w:t>
      </w:r>
    </w:p>
    <w:p w14:paraId="4E9A2938" w14:textId="77777777" w:rsidR="00817104" w:rsidRDefault="00817104" w:rsidP="00817104">
      <w:pPr>
        <w:pStyle w:val="Bullet1"/>
        <w:numPr>
          <w:ilvl w:val="0"/>
          <w:numId w:val="2"/>
        </w:numPr>
      </w:pPr>
      <w:r>
        <w:t>person- and family-centred care</w:t>
      </w:r>
    </w:p>
    <w:p w14:paraId="0B2C3445" w14:textId="77777777" w:rsidR="00817104" w:rsidRDefault="00817104" w:rsidP="00817104">
      <w:pPr>
        <w:pStyle w:val="Bullet1"/>
        <w:numPr>
          <w:ilvl w:val="0"/>
          <w:numId w:val="2"/>
        </w:numPr>
      </w:pPr>
      <w:r>
        <w:t>community value</w:t>
      </w:r>
    </w:p>
    <w:p w14:paraId="39DDF643" w14:textId="77777777" w:rsidR="00817104" w:rsidRDefault="00817104" w:rsidP="00817104">
      <w:pPr>
        <w:pStyle w:val="Bullet1"/>
        <w:numPr>
          <w:ilvl w:val="0"/>
          <w:numId w:val="2"/>
        </w:numPr>
      </w:pPr>
      <w:r>
        <w:t>transparency</w:t>
      </w:r>
    </w:p>
    <w:p w14:paraId="133D2EDA" w14:textId="77777777" w:rsidR="00817104" w:rsidRDefault="00817104" w:rsidP="00817104">
      <w:pPr>
        <w:pStyle w:val="Bullet1"/>
        <w:numPr>
          <w:ilvl w:val="0"/>
          <w:numId w:val="2"/>
        </w:numPr>
      </w:pPr>
      <w:r>
        <w:t>sustainability</w:t>
      </w:r>
    </w:p>
    <w:p w14:paraId="2D3B11C0" w14:textId="77777777" w:rsidR="00817104" w:rsidRDefault="00817104" w:rsidP="00817104">
      <w:pPr>
        <w:pStyle w:val="Bullet1"/>
        <w:numPr>
          <w:ilvl w:val="0"/>
          <w:numId w:val="2"/>
        </w:numPr>
      </w:pPr>
      <w:r>
        <w:t>simplicity</w:t>
      </w:r>
    </w:p>
    <w:p w14:paraId="4E24C133" w14:textId="77777777" w:rsidR="00817104" w:rsidRDefault="00817104" w:rsidP="00817104">
      <w:pPr>
        <w:pStyle w:val="Bullet1"/>
        <w:numPr>
          <w:ilvl w:val="0"/>
          <w:numId w:val="2"/>
        </w:numPr>
      </w:pPr>
      <w:r>
        <w:t>accountability</w:t>
      </w:r>
    </w:p>
    <w:p w14:paraId="7314A22F" w14:textId="77777777" w:rsidR="00817104" w:rsidRDefault="00817104" w:rsidP="00817104">
      <w:pPr>
        <w:pStyle w:val="Bullet1"/>
        <w:numPr>
          <w:ilvl w:val="0"/>
          <w:numId w:val="2"/>
        </w:numPr>
      </w:pPr>
      <w:r>
        <w:t>service integration.</w:t>
      </w:r>
    </w:p>
    <w:p w14:paraId="799ECB0C" w14:textId="6EFA176F" w:rsidR="00817104" w:rsidRDefault="00817104" w:rsidP="00817104">
      <w:pPr>
        <w:pStyle w:val="Bodyafterbullets"/>
      </w:pPr>
      <w:r>
        <w:t xml:space="preserve">SRHS can use funds provided </w:t>
      </w:r>
      <w:r w:rsidRPr="00330A6D">
        <w:t>through</w:t>
      </w:r>
      <w:r>
        <w:t xml:space="preserve"> the ‘Small rural services – acute health’ and ‘Small rural services – primary care’ outputs flexibly to deliver admitted and non-admitted services that meet the needs of their community. This includes acute care, subacute care, primary healthcare, HACC PYP, health promotion and prevention activities. </w:t>
      </w:r>
      <w:r w:rsidRPr="00B92A5F">
        <w:t>Funding</w:t>
      </w:r>
      <w:r>
        <w:t xml:space="preserve"> </w:t>
      </w:r>
      <w:r w:rsidRPr="00B92A5F">
        <w:t>arrangements</w:t>
      </w:r>
      <w:r>
        <w:t xml:space="preserve"> </w:t>
      </w:r>
      <w:r w:rsidRPr="00B92A5F">
        <w:t>for</w:t>
      </w:r>
      <w:r>
        <w:t xml:space="preserve"> PSRACS </w:t>
      </w:r>
      <w:r w:rsidRPr="00B92A5F">
        <w:t>are</w:t>
      </w:r>
      <w:r>
        <w:t xml:space="preserve"> </w:t>
      </w:r>
      <w:r w:rsidRPr="00B92A5F">
        <w:t>outlined</w:t>
      </w:r>
      <w:r>
        <w:t xml:space="preserve"> </w:t>
      </w:r>
      <w:r w:rsidRPr="00B92A5F">
        <w:t>in</w:t>
      </w:r>
      <w:r>
        <w:t xml:space="preserve"> </w:t>
      </w:r>
      <w:hyperlink w:anchor="_Public_sector_residential" w:history="1">
        <w:r w:rsidRPr="009A51AC">
          <w:rPr>
            <w:rStyle w:val="Hyperlink"/>
            <w:shd w:val="clear" w:color="auto" w:fill="E6E6E6"/>
          </w:rPr>
          <w:t xml:space="preserve">section </w:t>
        </w:r>
        <w:r w:rsidR="009A51AC" w:rsidRPr="009A51AC">
          <w:rPr>
            <w:rStyle w:val="Hyperlink"/>
            <w:shd w:val="clear" w:color="auto" w:fill="E6E6E6"/>
          </w:rPr>
          <w:t>6.4.2</w:t>
        </w:r>
      </w:hyperlink>
      <w:r w:rsidRPr="009A51AC">
        <w:t>.</w:t>
      </w:r>
    </w:p>
    <w:p w14:paraId="5BE093CD" w14:textId="77777777" w:rsidR="00817104" w:rsidRPr="00DC330E" w:rsidRDefault="00817104" w:rsidP="00817104">
      <w:r>
        <w:t>Multipurpose services can flexibly use funding as SRHS. However, under the tripartite agreement with the Australian Government Department of Health, Disability and Ageing, they are also able to flexibly use aged care funding to deliver both residential and home-based aged care services.</w:t>
      </w:r>
    </w:p>
    <w:p w14:paraId="519316D5" w14:textId="597C2DAC" w:rsidR="00817104" w:rsidRPr="009B0F16" w:rsidRDefault="00817104" w:rsidP="00817104">
      <w:pPr>
        <w:pStyle w:val="Heading2"/>
      </w:pPr>
      <w:bookmarkStart w:id="2066" w:name="_Toc106868035"/>
      <w:bookmarkStart w:id="2067" w:name="_Toc106869786"/>
      <w:bookmarkStart w:id="2068" w:name="_Toc106870120"/>
      <w:bookmarkStart w:id="2069" w:name="_Toc106870286"/>
      <w:bookmarkStart w:id="2070" w:name="_Toc106870458"/>
      <w:bookmarkStart w:id="2071" w:name="_Toc165964659"/>
      <w:bookmarkStart w:id="2072" w:name="_Toc167174522"/>
      <w:bookmarkStart w:id="2073" w:name="_Toc231982272"/>
      <w:r>
        <w:t>Bush nursing centres</w:t>
      </w:r>
      <w:bookmarkEnd w:id="2066"/>
      <w:bookmarkEnd w:id="2067"/>
      <w:bookmarkEnd w:id="2068"/>
      <w:bookmarkEnd w:id="2069"/>
      <w:bookmarkEnd w:id="2070"/>
      <w:bookmarkEnd w:id="2071"/>
      <w:bookmarkEnd w:id="2072"/>
      <w:bookmarkEnd w:id="2073"/>
    </w:p>
    <w:p w14:paraId="12DFD0C8" w14:textId="77777777" w:rsidR="00817104" w:rsidRDefault="00817104" w:rsidP="00817104">
      <w:pPr>
        <w:pStyle w:val="Body"/>
      </w:pPr>
      <w:bookmarkStart w:id="2074" w:name="_Toc37934661"/>
      <w:bookmarkStart w:id="2075" w:name="_Toc37934662"/>
      <w:bookmarkStart w:id="2076" w:name="_Toc37934663"/>
      <w:bookmarkStart w:id="2077" w:name="_Toc37934664"/>
      <w:bookmarkStart w:id="2078" w:name="_Toc37934665"/>
      <w:bookmarkStart w:id="2079" w:name="_Toc37934666"/>
      <w:bookmarkStart w:id="2080" w:name="_Toc37934667"/>
      <w:bookmarkStart w:id="2081" w:name="_Toc37934668"/>
      <w:bookmarkStart w:id="2082" w:name="_Toc37934669"/>
      <w:bookmarkStart w:id="2083" w:name="_Toc37934670"/>
      <w:bookmarkStart w:id="2084" w:name="_Toc37934671"/>
      <w:bookmarkStart w:id="2085" w:name="_Toc37934672"/>
      <w:bookmarkEnd w:id="2074"/>
      <w:bookmarkEnd w:id="2075"/>
      <w:bookmarkEnd w:id="2076"/>
      <w:bookmarkEnd w:id="2077"/>
      <w:bookmarkEnd w:id="2078"/>
      <w:bookmarkEnd w:id="2079"/>
      <w:bookmarkEnd w:id="2080"/>
      <w:bookmarkEnd w:id="2081"/>
      <w:bookmarkEnd w:id="2082"/>
      <w:bookmarkEnd w:id="2083"/>
      <w:bookmarkEnd w:id="2084"/>
      <w:bookmarkEnd w:id="2085"/>
      <w:r>
        <w:t>Bush nursing centres are located in geographically isolated or very small rural communities. They are generally the only primary healthcare provider in their community. These entities are funded under the SRHS funding model to support the flexible use of funding to deliver primary, community and home-based care that meets the needs of their communities.</w:t>
      </w:r>
    </w:p>
    <w:p w14:paraId="2F59559C" w14:textId="77777777" w:rsidR="00817104" w:rsidRDefault="00817104" w:rsidP="00817104">
      <w:pPr>
        <w:pStyle w:val="Body"/>
      </w:pPr>
      <w:r>
        <w:t xml:space="preserve">Bush nursing centres are required to have a signed memorandum of understanding with their partnering health services for clinical governance support, and with Ambulance Victoria, where a bush nursing centre provides the remote area nursing role. </w:t>
      </w:r>
    </w:p>
    <w:p w14:paraId="11360A0E" w14:textId="30C38D91" w:rsidR="00817104" w:rsidRDefault="00817104" w:rsidP="00817104">
      <w:pPr>
        <w:pStyle w:val="Body"/>
      </w:pPr>
      <w:r w:rsidRPr="000F01F1">
        <w:t xml:space="preserve">Bush nursing centres are responsible for accurate and timely submission of quarterly performance data for funded </w:t>
      </w:r>
      <w:r w:rsidR="001640DE" w:rsidRPr="000F01F1">
        <w:t>services</w:t>
      </w:r>
      <w:r w:rsidR="001640DE">
        <w:t xml:space="preserve"> and</w:t>
      </w:r>
      <w:r w:rsidRPr="000F01F1">
        <w:t xml:space="preserve"> must ensure that the information systems used comply with the department’s reporting requirements</w:t>
      </w:r>
      <w:r>
        <w:t>.</w:t>
      </w:r>
    </w:p>
    <w:p w14:paraId="612C8065" w14:textId="77777777" w:rsidR="00817104" w:rsidRDefault="00817104" w:rsidP="00817104">
      <w:pPr>
        <w:pStyle w:val="Body"/>
      </w:pPr>
      <w:r>
        <w:t>For more information and the reporting requirements, visit:</w:t>
      </w:r>
    </w:p>
    <w:p w14:paraId="03467D35" w14:textId="77777777" w:rsidR="00817104" w:rsidRPr="00A44DB9" w:rsidRDefault="00817104" w:rsidP="00817104">
      <w:pPr>
        <w:pStyle w:val="Bullet1"/>
        <w:numPr>
          <w:ilvl w:val="0"/>
          <w:numId w:val="2"/>
        </w:numPr>
      </w:pPr>
      <w:hyperlink r:id="rId77" w:history="1">
        <w:r w:rsidRPr="00A44DB9">
          <w:rPr>
            <w:rStyle w:val="Hyperlink"/>
          </w:rPr>
          <w:t>Community health data reporting</w:t>
        </w:r>
      </w:hyperlink>
      <w:r w:rsidRPr="00A44DB9">
        <w:t xml:space="preserve"> &lt;https://www.health.vic.gov.au/community-health/community-health-data-reporting&gt;</w:t>
      </w:r>
    </w:p>
    <w:p w14:paraId="423E1DEA" w14:textId="77777777" w:rsidR="00817104" w:rsidRPr="00A93630" w:rsidRDefault="00817104" w:rsidP="00817104">
      <w:pPr>
        <w:pStyle w:val="Bullet1"/>
        <w:numPr>
          <w:ilvl w:val="0"/>
          <w:numId w:val="2"/>
        </w:numPr>
      </w:pPr>
      <w:hyperlink r:id="rId78" w:history="1">
        <w:r w:rsidRPr="00A44DB9">
          <w:rPr>
            <w:rStyle w:val="Hyperlink"/>
          </w:rPr>
          <w:t xml:space="preserve">Community Health </w:t>
        </w:r>
        <w:r>
          <w:rPr>
            <w:rStyle w:val="Hyperlink"/>
          </w:rPr>
          <w:t>MD</w:t>
        </w:r>
        <w:r w:rsidRPr="00A44DB9">
          <w:rPr>
            <w:rStyle w:val="Hyperlink"/>
          </w:rPr>
          <w:t>S</w:t>
        </w:r>
      </w:hyperlink>
      <w:r w:rsidRPr="00A44DB9">
        <w:t xml:space="preserve"> &lt;https://www.health.vic.gov.au/community-health/community-health-minimum-data-set-chmds&gt;. </w:t>
      </w:r>
    </w:p>
    <w:p w14:paraId="640E74AC" w14:textId="77777777" w:rsidR="00817104" w:rsidRDefault="00817104" w:rsidP="00817104">
      <w:pPr>
        <w:pStyle w:val="Bodyafterbullets"/>
      </w:pPr>
      <w:r>
        <w:lastRenderedPageBreak/>
        <w:t xml:space="preserve">Bush nursing centres are required to be accredited under the Australian Commission on Safety and Quality in Health Care’s </w:t>
      </w:r>
      <w:hyperlink r:id="rId79">
        <w:r w:rsidRPr="00E023BD">
          <w:rPr>
            <w:rStyle w:val="Hyperlink"/>
            <w:rFonts w:eastAsia="Arial" w:cs="Arial"/>
            <w:i/>
            <w:iCs/>
          </w:rPr>
          <w:t>National Safety and Quality Primary and Community Healthcare Standards</w:t>
        </w:r>
      </w:hyperlink>
      <w:r>
        <w:t xml:space="preserve"> &lt;https://www.safetyandquality.gov.au/standards/primary-and-community-healthcare&gt;.</w:t>
      </w:r>
    </w:p>
    <w:p w14:paraId="199ED316" w14:textId="77777777" w:rsidR="00817104" w:rsidRDefault="00817104" w:rsidP="00817104">
      <w:pPr>
        <w:pStyle w:val="Body"/>
        <w:rPr>
          <w:rFonts w:eastAsia="Arial" w:cs="Arial"/>
        </w:rPr>
      </w:pPr>
      <w:r>
        <w:t xml:space="preserve">See </w:t>
      </w:r>
      <w:hyperlink w:anchor="_Australian_Health_Service" w:history="1">
        <w:r w:rsidRPr="0095069E">
          <w:rPr>
            <w:rStyle w:val="Hyperlink"/>
          </w:rPr>
          <w:t>section</w:t>
        </w:r>
        <w:r>
          <w:rPr>
            <w:rStyle w:val="Hyperlink"/>
          </w:rPr>
          <w:t xml:space="preserve"> 19.1</w:t>
        </w:r>
      </w:hyperlink>
      <w:r w:rsidRPr="0670E279">
        <w:rPr>
          <w:rFonts w:eastAsia="Arial" w:cs="Arial"/>
        </w:rPr>
        <w:t xml:space="preserve"> </w:t>
      </w:r>
      <w:r>
        <w:rPr>
          <w:rFonts w:eastAsia="Arial" w:cs="Arial"/>
        </w:rPr>
        <w:t>for information on</w:t>
      </w:r>
      <w:r w:rsidRPr="0670E279">
        <w:rPr>
          <w:rFonts w:eastAsia="Arial" w:cs="Arial"/>
        </w:rPr>
        <w:t xml:space="preserve"> the reporting and monitoring of performance against the relevant safety and quality accreditation standards.</w:t>
      </w:r>
    </w:p>
    <w:p w14:paraId="7D14BC58" w14:textId="77777777" w:rsidR="00817104" w:rsidRDefault="00817104" w:rsidP="00817104">
      <w:pPr>
        <w:pStyle w:val="Body"/>
      </w:pPr>
      <w:r w:rsidRPr="00051CCD">
        <w:t xml:space="preserve">During </w:t>
      </w:r>
      <w:r>
        <w:t>2026–27</w:t>
      </w:r>
      <w:r w:rsidRPr="00051CCD">
        <w:t>,</w:t>
      </w:r>
      <w:r>
        <w:t xml:space="preserve"> the department will continue to work with bush nursing centres to ensure that service delivery continues to align with government policy and standardised performance monitoring oversight mechanisms are in place. </w:t>
      </w:r>
    </w:p>
    <w:p w14:paraId="1F8A7581" w14:textId="0BF108D7" w:rsidR="00817104" w:rsidRPr="009B0F16" w:rsidRDefault="00817104" w:rsidP="00817104">
      <w:pPr>
        <w:pStyle w:val="Heading2"/>
      </w:pPr>
      <w:bookmarkStart w:id="2086" w:name="_Toc6215605"/>
      <w:bookmarkStart w:id="2087" w:name="_Toc10199678"/>
      <w:bookmarkStart w:id="2088" w:name="_Toc106868036"/>
      <w:bookmarkStart w:id="2089" w:name="_Toc106869787"/>
      <w:bookmarkStart w:id="2090" w:name="_Toc106870121"/>
      <w:bookmarkStart w:id="2091" w:name="_Toc106870287"/>
      <w:bookmarkStart w:id="2092" w:name="_Toc106870459"/>
      <w:bookmarkStart w:id="2093" w:name="_Toc165964660"/>
      <w:bookmarkStart w:id="2094" w:name="_Toc167174523"/>
      <w:bookmarkStart w:id="2095" w:name="_Toc231982273"/>
      <w:r>
        <w:t xml:space="preserve">Victorian Patient Transport Assistance </w:t>
      </w:r>
      <w:r w:rsidRPr="00330A6D">
        <w:t>Scheme</w:t>
      </w:r>
      <w:bookmarkEnd w:id="2086"/>
      <w:bookmarkEnd w:id="2087"/>
      <w:bookmarkEnd w:id="2088"/>
      <w:bookmarkEnd w:id="2089"/>
      <w:bookmarkEnd w:id="2090"/>
      <w:bookmarkEnd w:id="2091"/>
      <w:bookmarkEnd w:id="2092"/>
      <w:bookmarkEnd w:id="2093"/>
      <w:bookmarkEnd w:id="2094"/>
      <w:bookmarkEnd w:id="2095"/>
      <w:r>
        <w:t xml:space="preserve"> </w:t>
      </w:r>
    </w:p>
    <w:p w14:paraId="1DCAA152" w14:textId="77777777" w:rsidR="00817104" w:rsidRDefault="00817104" w:rsidP="00817104">
      <w:pPr>
        <w:pStyle w:val="Body"/>
        <w:rPr>
          <w:rFonts w:eastAsia="Arial" w:cs="Arial"/>
          <w:sz w:val="20"/>
        </w:rPr>
      </w:pPr>
      <w:bookmarkStart w:id="2096" w:name="_Toc106868037"/>
      <w:bookmarkStart w:id="2097" w:name="_Toc106869788"/>
      <w:bookmarkStart w:id="2098" w:name="_Toc106870122"/>
      <w:bookmarkStart w:id="2099" w:name="_Toc106870288"/>
      <w:bookmarkStart w:id="2100" w:name="_Toc106870460"/>
      <w:bookmarkStart w:id="2101" w:name="_Toc165964661"/>
      <w:bookmarkStart w:id="2102" w:name="_Toc167174524"/>
      <w:r w:rsidRPr="00B07356">
        <w:t xml:space="preserve">The </w:t>
      </w:r>
      <w:r>
        <w:t xml:space="preserve">Victorian Patient Transport Assistance </w:t>
      </w:r>
      <w:r w:rsidRPr="00330A6D">
        <w:t>Scheme</w:t>
      </w:r>
      <w:r>
        <w:t xml:space="preserve"> (</w:t>
      </w:r>
      <w:r w:rsidRPr="62CBD605">
        <w:t>VPTAS</w:t>
      </w:r>
      <w:r>
        <w:t>)</w:t>
      </w:r>
      <w:r w:rsidRPr="00B07356">
        <w:t xml:space="preserve"> provides financial assistance to eligible Victorians who need to travel long distances for specialist medical or specialist dental treatment. </w:t>
      </w:r>
      <w:r>
        <w:t>It</w:t>
      </w:r>
      <w:r w:rsidRPr="00B07356">
        <w:t xml:space="preserve"> subsidises travel and accommodation costs</w:t>
      </w:r>
      <w:r>
        <w:t>, but i</w:t>
      </w:r>
      <w:r w:rsidRPr="00B07356">
        <w:t>t is not intended to reimburse all costs.</w:t>
      </w:r>
      <w:r>
        <w:t xml:space="preserve"> </w:t>
      </w:r>
    </w:p>
    <w:p w14:paraId="019B76E6" w14:textId="77777777" w:rsidR="00817104" w:rsidRDefault="00817104" w:rsidP="00817104">
      <w:pPr>
        <w:pStyle w:val="Body"/>
        <w:rPr>
          <w:rFonts w:eastAsia="Arial" w:cs="Arial"/>
          <w:sz w:val="20"/>
        </w:rPr>
      </w:pPr>
      <w:r w:rsidRPr="00B07356">
        <w:t>Eligibility criteria include:</w:t>
      </w:r>
    </w:p>
    <w:p w14:paraId="442CFA32" w14:textId="77777777" w:rsidR="00817104" w:rsidRPr="00B07356" w:rsidRDefault="00817104" w:rsidP="00817104">
      <w:pPr>
        <w:pStyle w:val="Bullet1"/>
        <w:numPr>
          <w:ilvl w:val="0"/>
          <w:numId w:val="2"/>
        </w:numPr>
        <w:rPr>
          <w:sz w:val="20"/>
        </w:rPr>
      </w:pPr>
      <w:r>
        <w:t xml:space="preserve">being </w:t>
      </w:r>
      <w:r w:rsidRPr="002217CF">
        <w:t>an Australian citizen, permanent resident or refugee</w:t>
      </w:r>
      <w:r>
        <w:t>,</w:t>
      </w:r>
      <w:r w:rsidRPr="62CBD605">
        <w:t xml:space="preserve"> and a </w:t>
      </w:r>
      <w:r w:rsidRPr="002217CF">
        <w:t>Victorian resident at the time of referral and treatment</w:t>
      </w:r>
    </w:p>
    <w:p w14:paraId="0C872330" w14:textId="77777777" w:rsidR="00817104" w:rsidRPr="00B07356" w:rsidRDefault="00817104" w:rsidP="00817104">
      <w:pPr>
        <w:pStyle w:val="Bullet1"/>
        <w:numPr>
          <w:ilvl w:val="0"/>
          <w:numId w:val="2"/>
        </w:numPr>
        <w:rPr>
          <w:sz w:val="20"/>
        </w:rPr>
      </w:pPr>
      <w:r w:rsidRPr="002217CF">
        <w:t>travel to the closest eligible approved specialist medical or dental specialist service</w:t>
      </w:r>
    </w:p>
    <w:p w14:paraId="375DB145" w14:textId="77777777" w:rsidR="00817104" w:rsidRDefault="00817104" w:rsidP="00817104">
      <w:pPr>
        <w:pStyle w:val="Bullet1"/>
        <w:numPr>
          <w:ilvl w:val="0"/>
          <w:numId w:val="2"/>
        </w:numPr>
        <w:rPr>
          <w:szCs w:val="21"/>
        </w:rPr>
      </w:pPr>
      <w:r w:rsidRPr="62CBD605">
        <w:rPr>
          <w:szCs w:val="21"/>
        </w:rPr>
        <w:t xml:space="preserve">travel either 100 km one way or 500 km within </w:t>
      </w:r>
      <w:r>
        <w:rPr>
          <w:szCs w:val="21"/>
        </w:rPr>
        <w:t>seven</w:t>
      </w:r>
      <w:r w:rsidRPr="62CBD605">
        <w:rPr>
          <w:szCs w:val="21"/>
        </w:rPr>
        <w:t xml:space="preserve"> days for the specialist service (rural and regional zone patients only)</w:t>
      </w:r>
    </w:p>
    <w:p w14:paraId="20666CD3" w14:textId="77777777" w:rsidR="00817104" w:rsidRPr="00B07356" w:rsidRDefault="00817104" w:rsidP="00817104">
      <w:pPr>
        <w:pStyle w:val="Bullet1"/>
        <w:numPr>
          <w:ilvl w:val="0"/>
          <w:numId w:val="2"/>
        </w:numPr>
        <w:rPr>
          <w:sz w:val="20"/>
        </w:rPr>
      </w:pPr>
      <w:r w:rsidRPr="002217CF">
        <w:t>travel interstate for services not available in Victoria (all Victorian residents, including metropolitan zones)</w:t>
      </w:r>
    </w:p>
    <w:p w14:paraId="14699C71" w14:textId="77777777" w:rsidR="00817104" w:rsidRPr="00B07356" w:rsidRDefault="00817104" w:rsidP="00817104">
      <w:pPr>
        <w:pStyle w:val="Bullet1"/>
        <w:numPr>
          <w:ilvl w:val="0"/>
          <w:numId w:val="2"/>
        </w:numPr>
        <w:rPr>
          <w:sz w:val="20"/>
        </w:rPr>
      </w:pPr>
      <w:r>
        <w:t xml:space="preserve">to </w:t>
      </w:r>
      <w:r w:rsidRPr="002217CF">
        <w:t>lodge a claim with VPTAS within 12 months of the specialist appointment</w:t>
      </w:r>
      <w:r>
        <w:t xml:space="preserve"> or </w:t>
      </w:r>
      <w:r w:rsidRPr="002217CF">
        <w:t>treatment</w:t>
      </w:r>
      <w:r>
        <w:t>.</w:t>
      </w:r>
    </w:p>
    <w:p w14:paraId="32A360F6" w14:textId="77777777" w:rsidR="00817104" w:rsidRDefault="00817104" w:rsidP="00817104">
      <w:pPr>
        <w:pStyle w:val="Bodyafterbullets"/>
        <w:rPr>
          <w:sz w:val="20"/>
        </w:rPr>
      </w:pPr>
      <w:r>
        <w:t xml:space="preserve">The current key subsidies for eligible patients and up to one escort include: </w:t>
      </w:r>
    </w:p>
    <w:p w14:paraId="40CB82E7" w14:textId="77777777" w:rsidR="00817104" w:rsidRDefault="00817104" w:rsidP="00817104">
      <w:pPr>
        <w:pStyle w:val="Bullet1"/>
        <w:numPr>
          <w:ilvl w:val="0"/>
          <w:numId w:val="2"/>
        </w:numPr>
        <w:rPr>
          <w:sz w:val="20"/>
          <w:lang w:eastAsia="en-AU"/>
        </w:rPr>
      </w:pPr>
      <w:r w:rsidRPr="00B07356">
        <w:t xml:space="preserve">21c per kilometre for travel </w:t>
      </w:r>
      <w:r>
        <w:t>in</w:t>
      </w:r>
      <w:r w:rsidRPr="00B07356">
        <w:t xml:space="preserve"> a private vehicle</w:t>
      </w:r>
    </w:p>
    <w:p w14:paraId="5A69A0F9" w14:textId="77777777" w:rsidR="00817104" w:rsidRDefault="00817104" w:rsidP="00817104">
      <w:pPr>
        <w:pStyle w:val="Bullet1"/>
        <w:numPr>
          <w:ilvl w:val="0"/>
          <w:numId w:val="2"/>
        </w:numPr>
        <w:rPr>
          <w:sz w:val="20"/>
          <w:lang w:eastAsia="en-AU"/>
        </w:rPr>
      </w:pPr>
      <w:r w:rsidRPr="00B07356">
        <w:t>a maximum of $49.50 per person, per night, for commercial accommodation</w:t>
      </w:r>
    </w:p>
    <w:p w14:paraId="21514E1F" w14:textId="77777777" w:rsidR="00817104" w:rsidRDefault="00817104" w:rsidP="00817104">
      <w:pPr>
        <w:pStyle w:val="Bullet1"/>
        <w:numPr>
          <w:ilvl w:val="0"/>
          <w:numId w:val="2"/>
        </w:numPr>
        <w:rPr>
          <w:sz w:val="20"/>
          <w:lang w:eastAsia="en-AU"/>
        </w:rPr>
      </w:pPr>
      <w:r w:rsidRPr="00B07356">
        <w:t>economy class fares for public transport.</w:t>
      </w:r>
    </w:p>
    <w:p w14:paraId="472EB0AF" w14:textId="77777777" w:rsidR="00817104" w:rsidRDefault="00817104" w:rsidP="00817104">
      <w:pPr>
        <w:pStyle w:val="Bodyafterbullets"/>
        <w:rPr>
          <w:sz w:val="20"/>
        </w:rPr>
      </w:pPr>
      <w:r>
        <w:t xml:space="preserve">For more information, including how to claim online or a copy of the claim application, visit the </w:t>
      </w:r>
      <w:hyperlink r:id="rId80">
        <w:r w:rsidRPr="0670E279">
          <w:rPr>
            <w:rStyle w:val="Hyperlink"/>
          </w:rPr>
          <w:t>Victorian Patient Transport Assistance Scheme</w:t>
        </w:r>
      </w:hyperlink>
      <w:r>
        <w:t xml:space="preserve"> &lt;https://www.health.vic.gov.au/rural-health/victorian-patient-transport-assistance-scheme-vptas&gt;. </w:t>
      </w:r>
    </w:p>
    <w:p w14:paraId="653D16F8" w14:textId="38ECC785" w:rsidR="00817104" w:rsidRPr="009B0F16" w:rsidRDefault="00817104" w:rsidP="00817104">
      <w:pPr>
        <w:pStyle w:val="Heading2"/>
      </w:pPr>
      <w:bookmarkStart w:id="2103" w:name="_Toc231982274"/>
      <w:r>
        <w:t xml:space="preserve">Improving access to primary care in rural and remote </w:t>
      </w:r>
      <w:bookmarkEnd w:id="2096"/>
      <w:bookmarkEnd w:id="2097"/>
      <w:bookmarkEnd w:id="2098"/>
      <w:bookmarkEnd w:id="2099"/>
      <w:bookmarkEnd w:id="2100"/>
      <w:bookmarkEnd w:id="2101"/>
      <w:r>
        <w:t>areas</w:t>
      </w:r>
      <w:bookmarkEnd w:id="2102"/>
      <w:bookmarkEnd w:id="2103"/>
    </w:p>
    <w:p w14:paraId="73A7096C" w14:textId="1FECE82E" w:rsidR="00817104" w:rsidRDefault="00817104" w:rsidP="00817104">
      <w:pPr>
        <w:pStyle w:val="Body"/>
        <w:rPr>
          <w:lang w:eastAsia="en-AU"/>
        </w:rPr>
      </w:pPr>
      <w:bookmarkStart w:id="2104" w:name="_Toc37934674"/>
      <w:bookmarkStart w:id="2105" w:name="_Toc37934676"/>
      <w:bookmarkStart w:id="2106" w:name="_Toc37934677"/>
      <w:bookmarkStart w:id="2107" w:name="_Toc37934678"/>
      <w:bookmarkStart w:id="2108" w:name="_Toc37934679"/>
      <w:bookmarkStart w:id="2109" w:name="_Toc37934680"/>
      <w:bookmarkStart w:id="2110" w:name="_Toc37934681"/>
      <w:bookmarkStart w:id="2111" w:name="_Toc37934682"/>
      <w:bookmarkStart w:id="2112" w:name="_Toc37934683"/>
      <w:bookmarkStart w:id="2113" w:name="_Toc37934684"/>
      <w:bookmarkStart w:id="2114" w:name="_Toc37934685"/>
      <w:bookmarkStart w:id="2115" w:name="_Toc37934686"/>
      <w:bookmarkStart w:id="2116" w:name="_Toc37934687"/>
      <w:bookmarkStart w:id="2117" w:name="_Toc37934688"/>
      <w:bookmarkEnd w:id="2053"/>
      <w:bookmarkEnd w:id="2054"/>
      <w:bookmarkEnd w:id="2055"/>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r w:rsidRPr="0670E279">
        <w:rPr>
          <w:lang w:eastAsia="en-AU"/>
        </w:rPr>
        <w:t xml:space="preserve">The Victorian Government </w:t>
      </w:r>
      <w:r>
        <w:rPr>
          <w:lang w:eastAsia="en-AU"/>
        </w:rPr>
        <w:t>has a current m</w:t>
      </w:r>
      <w:r w:rsidRPr="0670E279">
        <w:rPr>
          <w:lang w:eastAsia="en-AU"/>
        </w:rPr>
        <w:t xml:space="preserve">emorandum of understanding with the </w:t>
      </w:r>
      <w:r w:rsidR="006D28CD">
        <w:rPr>
          <w:lang w:eastAsia="en-AU"/>
        </w:rPr>
        <w:t>Commonwealth</w:t>
      </w:r>
      <w:r>
        <w:rPr>
          <w:lang w:eastAsia="en-AU"/>
        </w:rPr>
        <w:t xml:space="preserve"> </w:t>
      </w:r>
      <w:r w:rsidRPr="0670E279">
        <w:rPr>
          <w:lang w:eastAsia="en-AU"/>
        </w:rPr>
        <w:t>(in effect until 30 June 202</w:t>
      </w:r>
      <w:r>
        <w:rPr>
          <w:lang w:eastAsia="en-AU"/>
        </w:rPr>
        <w:t>7</w:t>
      </w:r>
      <w:r w:rsidRPr="0670E279">
        <w:rPr>
          <w:lang w:eastAsia="en-AU"/>
        </w:rPr>
        <w:t xml:space="preserve">) </w:t>
      </w:r>
      <w:r>
        <w:rPr>
          <w:lang w:eastAsia="en-AU"/>
        </w:rPr>
        <w:t xml:space="preserve">for the </w:t>
      </w:r>
      <w:r w:rsidRPr="00D609CE">
        <w:rPr>
          <w:lang w:eastAsia="en-AU"/>
        </w:rPr>
        <w:t>Council of Australian Governments</w:t>
      </w:r>
      <w:r>
        <w:rPr>
          <w:lang w:eastAsia="en-AU"/>
        </w:rPr>
        <w:t xml:space="preserve"> (COAG)</w:t>
      </w:r>
      <w:r w:rsidRPr="0670E279">
        <w:rPr>
          <w:lang w:eastAsia="en-AU"/>
        </w:rPr>
        <w:t xml:space="preserve"> </w:t>
      </w:r>
      <w:r>
        <w:rPr>
          <w:lang w:eastAsia="en-AU"/>
        </w:rPr>
        <w:t>section 19</w:t>
      </w:r>
      <w:r w:rsidRPr="0670E279">
        <w:rPr>
          <w:lang w:eastAsia="en-AU"/>
        </w:rPr>
        <w:t xml:space="preserve">(2) </w:t>
      </w:r>
      <w:r>
        <w:rPr>
          <w:lang w:eastAsia="en-AU"/>
        </w:rPr>
        <w:t>e</w:t>
      </w:r>
      <w:r w:rsidRPr="0670E279">
        <w:rPr>
          <w:lang w:eastAsia="en-AU"/>
        </w:rPr>
        <w:t xml:space="preserve">xemption </w:t>
      </w:r>
      <w:r>
        <w:rPr>
          <w:lang w:eastAsia="en-AU"/>
        </w:rPr>
        <w:t>i</w:t>
      </w:r>
      <w:r w:rsidRPr="0670E279">
        <w:rPr>
          <w:lang w:eastAsia="en-AU"/>
        </w:rPr>
        <w:t>nitiative to improve access to primary healthcare for Victorians living in eligible rural and remote communities.</w:t>
      </w:r>
      <w:r w:rsidRPr="004C7E65">
        <w:rPr>
          <w:lang w:eastAsia="en-AU"/>
        </w:rPr>
        <w:t xml:space="preserve"> </w:t>
      </w:r>
    </w:p>
    <w:p w14:paraId="6A217290" w14:textId="77777777" w:rsidR="00817104" w:rsidRPr="00355025" w:rsidRDefault="00817104" w:rsidP="00817104">
      <w:pPr>
        <w:pStyle w:val="Body"/>
      </w:pPr>
      <w:r>
        <w:rPr>
          <w:lang w:eastAsia="en-AU"/>
        </w:rPr>
        <w:t xml:space="preserve">The initiative aims to support improved access to primary care by increasing access to the Medicare Benefits Schedule (MBS) to those living in eligible rural and remote areas. </w:t>
      </w:r>
    </w:p>
    <w:p w14:paraId="2034E1BF" w14:textId="134D9A17" w:rsidR="00817104" w:rsidRPr="00D1655D" w:rsidRDefault="00817104" w:rsidP="00817104">
      <w:pPr>
        <w:pStyle w:val="Body"/>
      </w:pPr>
      <w:r w:rsidRPr="00D1655D">
        <w:t xml:space="preserve">Under this initiative, public hospitals and bush nursing centres located in Modified Monash Model categories 5–7 can apply to the Victorian Department of Health and the </w:t>
      </w:r>
      <w:r w:rsidR="006D28CD">
        <w:t>Commonwealth</w:t>
      </w:r>
      <w:r w:rsidRPr="00D1655D">
        <w:t xml:space="preserve"> Department of Health</w:t>
      </w:r>
      <w:r>
        <w:t>, Disability</w:t>
      </w:r>
      <w:r w:rsidRPr="00D1655D">
        <w:t xml:space="preserve"> </w:t>
      </w:r>
      <w:r>
        <w:t>and Ageing to</w:t>
      </w:r>
      <w:r w:rsidRPr="00D1655D">
        <w:t xml:space="preserve"> be granted an exemption from section 19(2) of the </w:t>
      </w:r>
      <w:r w:rsidRPr="001D074F">
        <w:rPr>
          <w:i/>
          <w:iCs/>
        </w:rPr>
        <w:t>Health Insurance Act 1973</w:t>
      </w:r>
      <w:r w:rsidRPr="00051CCD">
        <w:t xml:space="preserve"> (</w:t>
      </w:r>
      <w:r w:rsidRPr="00D1655D">
        <w:t xml:space="preserve">Cth) by the </w:t>
      </w:r>
      <w:r>
        <w:t>Australian Minister</w:t>
      </w:r>
      <w:r w:rsidRPr="00D1655D">
        <w:t xml:space="preserve"> for Health</w:t>
      </w:r>
      <w:r>
        <w:t>, Disability and Ageing</w:t>
      </w:r>
      <w:r w:rsidRPr="00D1655D">
        <w:t>.</w:t>
      </w:r>
    </w:p>
    <w:p w14:paraId="27C5114A" w14:textId="77777777" w:rsidR="00817104" w:rsidRDefault="00817104" w:rsidP="00817104">
      <w:pPr>
        <w:pStyle w:val="Body"/>
      </w:pPr>
      <w:r>
        <w:lastRenderedPageBreak/>
        <w:t>For more information, including guidance and templates to support application and reporting requirements, visit:</w:t>
      </w:r>
    </w:p>
    <w:p w14:paraId="4E350080" w14:textId="77777777" w:rsidR="00817104" w:rsidRDefault="00817104" w:rsidP="00817104">
      <w:pPr>
        <w:pStyle w:val="Bullet1"/>
        <w:numPr>
          <w:ilvl w:val="0"/>
          <w:numId w:val="2"/>
        </w:numPr>
      </w:pPr>
      <w:hyperlink r:id="rId81" w:anchor="ministers-directions" w:history="1">
        <w:r w:rsidRPr="005229F8">
          <w:rPr>
            <w:rStyle w:val="Hyperlink"/>
          </w:rPr>
          <w:t>About the COAG Section 19(2) Exemptions Initiative: Minister’s directions | Australian Government Department of Health, Disability and Ageing</w:t>
        </w:r>
      </w:hyperlink>
      <w:r>
        <w:t xml:space="preserve"> &lt;</w:t>
      </w:r>
      <w:r w:rsidRPr="00C93A7F">
        <w:t>https://www.health.gov.au/our-work/coag-section-192-exemptions-initiative/about#ministers-directions</w:t>
      </w:r>
      <w:r>
        <w:t>&gt;</w:t>
      </w:r>
    </w:p>
    <w:p w14:paraId="62610650" w14:textId="77777777" w:rsidR="00817104" w:rsidRDefault="00817104" w:rsidP="00817104">
      <w:pPr>
        <w:pStyle w:val="Bullet1"/>
        <w:numPr>
          <w:ilvl w:val="0"/>
          <w:numId w:val="2"/>
        </w:numPr>
      </w:pPr>
      <w:hyperlink r:id="rId82">
        <w:r w:rsidRPr="142E9E6B">
          <w:rPr>
            <w:rStyle w:val="Hyperlink"/>
          </w:rPr>
          <w:t>Improving access to primary care in rural and remote area</w:t>
        </w:r>
        <w:r>
          <w:rPr>
            <w:rStyle w:val="Hyperlink"/>
          </w:rPr>
          <w:t>s initiative</w:t>
        </w:r>
      </w:hyperlink>
      <w:r>
        <w:t xml:space="preserve"> &lt;https://www.health.vic.gov.au/improving-access-to-primary-care-in-rural-and-remote-areas&gt;</w:t>
      </w:r>
    </w:p>
    <w:p w14:paraId="3F3C26C5" w14:textId="77777777" w:rsidR="00817104" w:rsidRDefault="00817104" w:rsidP="00817104">
      <w:pPr>
        <w:pStyle w:val="Bullet1"/>
        <w:numPr>
          <w:ilvl w:val="0"/>
          <w:numId w:val="2"/>
        </w:numPr>
      </w:pPr>
      <w:r>
        <w:br w:type="page"/>
      </w:r>
    </w:p>
    <w:p w14:paraId="01A82923" w14:textId="77777777" w:rsidR="00817104" w:rsidRDefault="00817104" w:rsidP="008B27F4">
      <w:pPr>
        <w:pStyle w:val="Heading1"/>
      </w:pPr>
      <w:bookmarkStart w:id="2118" w:name="_Toc231982275"/>
      <w:r>
        <w:lastRenderedPageBreak/>
        <w:t xml:space="preserve">Primary, </w:t>
      </w:r>
      <w:r w:rsidRPr="003F7421">
        <w:t>community</w:t>
      </w:r>
      <w:r>
        <w:t xml:space="preserve"> and dental health</w:t>
      </w:r>
      <w:bookmarkEnd w:id="2118"/>
    </w:p>
    <w:p w14:paraId="2B3EE7D4" w14:textId="53170886" w:rsidR="00817104" w:rsidRPr="009B0F16" w:rsidRDefault="00817104" w:rsidP="00817104">
      <w:pPr>
        <w:pStyle w:val="Heading2"/>
      </w:pPr>
      <w:bookmarkStart w:id="2119" w:name="_Toc106868039"/>
      <w:bookmarkStart w:id="2120" w:name="_Toc106869790"/>
      <w:bookmarkStart w:id="2121" w:name="_Toc106870124"/>
      <w:bookmarkStart w:id="2122" w:name="_Toc106870290"/>
      <w:bookmarkStart w:id="2123" w:name="_Toc106870462"/>
      <w:bookmarkStart w:id="2124" w:name="_Toc418694955"/>
      <w:bookmarkStart w:id="2125" w:name="_Toc6215609"/>
      <w:bookmarkStart w:id="2126" w:name="_Toc10199682"/>
      <w:bookmarkStart w:id="2127" w:name="_Toc165964663"/>
      <w:bookmarkStart w:id="2128" w:name="_Toc167174526"/>
      <w:bookmarkStart w:id="2129" w:name="_Toc231982276"/>
      <w:r>
        <w:t xml:space="preserve">Primary health </w:t>
      </w:r>
      <w:r w:rsidRPr="00DC4A01">
        <w:t>services</w:t>
      </w:r>
      <w:bookmarkEnd w:id="2119"/>
      <w:bookmarkEnd w:id="2120"/>
      <w:bookmarkEnd w:id="2121"/>
      <w:bookmarkEnd w:id="2122"/>
      <w:bookmarkEnd w:id="2123"/>
      <w:bookmarkEnd w:id="2124"/>
      <w:bookmarkEnd w:id="2125"/>
      <w:bookmarkEnd w:id="2126"/>
      <w:bookmarkEnd w:id="2127"/>
      <w:bookmarkEnd w:id="2128"/>
      <w:bookmarkEnd w:id="2129"/>
    </w:p>
    <w:p w14:paraId="275067C4" w14:textId="35AED120" w:rsidR="00817104" w:rsidRPr="008D02AA" w:rsidDel="001D7B97" w:rsidRDefault="00817104" w:rsidP="00817104">
      <w:pPr>
        <w:pStyle w:val="Heading3"/>
      </w:pPr>
      <w:r>
        <w:t>Community Health Program</w:t>
      </w:r>
    </w:p>
    <w:p w14:paraId="52A98E93" w14:textId="77777777" w:rsidR="00817104" w:rsidRPr="00000B71" w:rsidRDefault="00817104" w:rsidP="00817104">
      <w:pPr>
        <w:pStyle w:val="Body"/>
      </w:pPr>
      <w:r>
        <w:t>The Community Health Program provides for community-based</w:t>
      </w:r>
      <w:r w:rsidDel="00372D09">
        <w:t xml:space="preserve"> </w:t>
      </w:r>
      <w:r>
        <w:t>allied health, nursing, general counselling and care coordination services for the Victorian community. These services intervene early to maximise health and wellbeing outcomes and seek to prevent or slow the progression of ill health.</w:t>
      </w:r>
    </w:p>
    <w:p w14:paraId="4DCF80B8" w14:textId="77777777" w:rsidR="00817104" w:rsidRDefault="00817104" w:rsidP="00817104">
      <w:pPr>
        <w:pStyle w:val="Body"/>
      </w:pPr>
      <w:r>
        <w:t xml:space="preserve">Access to the program is targeted to those with, or at risk of, poorer health, who face barriers to accessing care through other services and in other settings. For information about the access principles and eligibility criteria, visit the </w:t>
      </w:r>
      <w:hyperlink r:id="rId83" w:history="1">
        <w:r w:rsidRPr="00051955">
          <w:rPr>
            <w:rStyle w:val="Hyperlink"/>
          </w:rPr>
          <w:t>Community Health Program access policy</w:t>
        </w:r>
      </w:hyperlink>
      <w:r>
        <w:t xml:space="preserve"> &lt;</w:t>
      </w:r>
      <w:r w:rsidRPr="00051955">
        <w:t>https://www.health.vic.gov.au/community-health/community-health-program-access-policy</w:t>
      </w:r>
      <w:r>
        <w:t>&gt;.</w:t>
      </w:r>
    </w:p>
    <w:p w14:paraId="2C89F6CD" w14:textId="77777777" w:rsidR="00817104" w:rsidRDefault="00817104" w:rsidP="00817104">
      <w:pPr>
        <w:pStyle w:val="Body"/>
      </w:pPr>
      <w:r>
        <w:t>Alongside the core Community Health Program are complementary programs for specific population groups or people living with specific health conditions.</w:t>
      </w:r>
    </w:p>
    <w:p w14:paraId="43CDD5CA" w14:textId="77777777" w:rsidR="00817104" w:rsidRDefault="00817104" w:rsidP="00817104">
      <w:pPr>
        <w:pStyle w:val="Body"/>
      </w:pPr>
      <w:r>
        <w:t>These include:</w:t>
      </w:r>
    </w:p>
    <w:p w14:paraId="4A8F6C84" w14:textId="77777777" w:rsidR="00817104" w:rsidRPr="00DC0E67" w:rsidRDefault="00817104" w:rsidP="00817104">
      <w:pPr>
        <w:pStyle w:val="Bullet1"/>
        <w:numPr>
          <w:ilvl w:val="0"/>
          <w:numId w:val="2"/>
        </w:numPr>
      </w:pPr>
      <w:r>
        <w:t xml:space="preserve">the </w:t>
      </w:r>
      <w:r w:rsidRPr="00DC0E67">
        <w:t>Community Asthma Program</w:t>
      </w:r>
    </w:p>
    <w:p w14:paraId="7B42DE63" w14:textId="77777777" w:rsidR="00817104" w:rsidRPr="00DC0E67" w:rsidRDefault="00817104" w:rsidP="00817104">
      <w:pPr>
        <w:pStyle w:val="Bullet1"/>
        <w:numPr>
          <w:ilvl w:val="0"/>
          <w:numId w:val="2"/>
        </w:numPr>
      </w:pPr>
      <w:r>
        <w:t xml:space="preserve">the </w:t>
      </w:r>
      <w:r w:rsidRPr="00DC0E67">
        <w:t>Family and Reproductive Rights Education Program</w:t>
      </w:r>
    </w:p>
    <w:p w14:paraId="4F5A8562" w14:textId="77777777" w:rsidR="00817104" w:rsidRPr="00DC0E67" w:rsidRDefault="00817104" w:rsidP="00817104">
      <w:pPr>
        <w:pStyle w:val="Bullet1"/>
        <w:numPr>
          <w:ilvl w:val="0"/>
          <w:numId w:val="2"/>
        </w:numPr>
      </w:pPr>
      <w:r w:rsidRPr="00DC0E67">
        <w:t>Family Planning</w:t>
      </w:r>
    </w:p>
    <w:p w14:paraId="5EBBDF89" w14:textId="77777777" w:rsidR="00817104" w:rsidRPr="00DC0E67" w:rsidRDefault="00817104" w:rsidP="00817104">
      <w:pPr>
        <w:pStyle w:val="Bullet1"/>
        <w:numPr>
          <w:ilvl w:val="0"/>
          <w:numId w:val="2"/>
        </w:numPr>
      </w:pPr>
      <w:r w:rsidRPr="00DC0E67">
        <w:t>Healthy Mothers Healthy Babies</w:t>
      </w:r>
    </w:p>
    <w:p w14:paraId="687B69ED" w14:textId="77777777" w:rsidR="00817104" w:rsidRPr="00DC0E67" w:rsidRDefault="00817104" w:rsidP="00817104">
      <w:pPr>
        <w:pStyle w:val="Bullet1"/>
        <w:numPr>
          <w:ilvl w:val="0"/>
          <w:numId w:val="2"/>
        </w:numPr>
      </w:pPr>
      <w:r w:rsidRPr="00DC0E67">
        <w:t>Innovative Health Services for Homeless Youth</w:t>
      </w:r>
      <w:r>
        <w:t xml:space="preserve"> </w:t>
      </w:r>
    </w:p>
    <w:p w14:paraId="619B9D29" w14:textId="77777777" w:rsidR="00817104" w:rsidRPr="00DC0E67" w:rsidRDefault="00817104" w:rsidP="00817104">
      <w:pPr>
        <w:pStyle w:val="Bullet1"/>
        <w:numPr>
          <w:ilvl w:val="0"/>
          <w:numId w:val="2"/>
        </w:numPr>
      </w:pPr>
      <w:r w:rsidRPr="00DC0E67">
        <w:t>Integrated Chronic Disease Management</w:t>
      </w:r>
    </w:p>
    <w:p w14:paraId="29E91599" w14:textId="77777777" w:rsidR="00817104" w:rsidRPr="00DC0E67" w:rsidRDefault="00817104" w:rsidP="00817104">
      <w:pPr>
        <w:pStyle w:val="Bullet1"/>
        <w:numPr>
          <w:ilvl w:val="0"/>
          <w:numId w:val="2"/>
        </w:numPr>
      </w:pPr>
      <w:r>
        <w:t xml:space="preserve">the </w:t>
      </w:r>
      <w:r w:rsidRPr="00DC0E67">
        <w:t>Multi</w:t>
      </w:r>
      <w:r>
        <w:t>d</w:t>
      </w:r>
      <w:r w:rsidRPr="00DC0E67">
        <w:t>isciplinary Centre Community Health Nurse</w:t>
      </w:r>
    </w:p>
    <w:p w14:paraId="6DEE510A" w14:textId="77777777" w:rsidR="00817104" w:rsidRPr="00DC0E67" w:rsidRDefault="00817104" w:rsidP="00817104">
      <w:pPr>
        <w:pStyle w:val="Bullet1"/>
        <w:numPr>
          <w:ilvl w:val="0"/>
          <w:numId w:val="2"/>
        </w:numPr>
      </w:pPr>
      <w:r w:rsidRPr="00DC0E67">
        <w:t xml:space="preserve">Refugee and Asylum Seeker Health Services. </w:t>
      </w:r>
    </w:p>
    <w:p w14:paraId="6AA7F141" w14:textId="05CCA39B" w:rsidR="00817104" w:rsidRDefault="00817104" w:rsidP="00817104">
      <w:pPr>
        <w:pStyle w:val="Bodyafterbullets"/>
      </w:pPr>
      <w:r>
        <w:t xml:space="preserve">For more information about the Community Health Program and complementary programs, visit the </w:t>
      </w:r>
      <w:hyperlink r:id="rId84" w:history="1">
        <w:r w:rsidRPr="002D6AE5">
          <w:rPr>
            <w:rStyle w:val="Hyperlink"/>
            <w:i/>
            <w:iCs/>
          </w:rPr>
          <w:t xml:space="preserve">Community Health Program </w:t>
        </w:r>
        <w:r w:rsidR="00CF44D4">
          <w:rPr>
            <w:rStyle w:val="Hyperlink"/>
            <w:i/>
            <w:iCs/>
          </w:rPr>
          <w:t>G</w:t>
        </w:r>
        <w:r w:rsidRPr="002D6AE5">
          <w:rPr>
            <w:rStyle w:val="Hyperlink"/>
            <w:i/>
            <w:iCs/>
          </w:rPr>
          <w:t>uidelines</w:t>
        </w:r>
      </w:hyperlink>
      <w:r>
        <w:t xml:space="preserve"> &lt;</w:t>
      </w:r>
      <w:r w:rsidRPr="00D61FB4">
        <w:t>https://www.health.vic.gov.au/community-health/community-health-program-guidelines</w:t>
      </w:r>
      <w:r>
        <w:t>&gt;.</w:t>
      </w:r>
    </w:p>
    <w:p w14:paraId="47DF37EF" w14:textId="77777777" w:rsidR="00817104" w:rsidRDefault="00817104" w:rsidP="00817104">
      <w:pPr>
        <w:pStyle w:val="Bodyafterbullets"/>
      </w:pPr>
      <w:r>
        <w:t xml:space="preserve">To support service access and demand management for Community Health Program services, service providers are required to use the </w:t>
      </w:r>
      <w:hyperlink r:id="rId85" w:history="1">
        <w:r w:rsidRPr="0048717C">
          <w:rPr>
            <w:rStyle w:val="Hyperlink"/>
          </w:rPr>
          <w:t>Community Health Demand Management Toolkit</w:t>
        </w:r>
      </w:hyperlink>
      <w:r>
        <w:t xml:space="preserve"> &lt;</w:t>
      </w:r>
      <w:r w:rsidRPr="005558C0">
        <w:t>https://www.health.vic.gov.au/community-health/community-health-demand-management-toolkit</w:t>
      </w:r>
      <w:r>
        <w:t xml:space="preserve">&gt;. </w:t>
      </w:r>
    </w:p>
    <w:p w14:paraId="5971A630" w14:textId="77777777" w:rsidR="00817104" w:rsidRDefault="00817104" w:rsidP="00817104">
      <w:pPr>
        <w:pStyle w:val="Bodyafterbullets"/>
      </w:pPr>
      <w:r>
        <w:t xml:space="preserve">The toolkit was developed in consultation with the community health sector and supports consistent demand management across the state, while providing flexibility for service providers to adapt practices according to individual service models and local population needs. </w:t>
      </w:r>
    </w:p>
    <w:p w14:paraId="78015B85" w14:textId="58197BD4" w:rsidR="00817104" w:rsidRPr="007F0D9E" w:rsidDel="001D7B97" w:rsidRDefault="00817104" w:rsidP="00817104">
      <w:pPr>
        <w:pStyle w:val="Body"/>
      </w:pPr>
      <w:r>
        <w:t xml:space="preserve">Community Health Program funding is activity-based, and the activity measure is service hours. A single unit price was introduced for all Community Health Program activities from 1 July 2025 and is based on one hour of service delivery. This includes the direct and indirect costs of delivering that service. </w:t>
      </w:r>
    </w:p>
    <w:p w14:paraId="67210695" w14:textId="70D2DA96" w:rsidR="00817104" w:rsidRDefault="00817104" w:rsidP="00817104">
      <w:pPr>
        <w:pStyle w:val="Body"/>
      </w:pPr>
      <w:r>
        <w:t xml:space="preserve">Service providers may implement fees for Community Health Program activities to support the </w:t>
      </w:r>
      <w:r w:rsidR="001640DE">
        <w:t>cost-of-service</w:t>
      </w:r>
      <w:r>
        <w:t xml:space="preserve"> delivery and to generate income to invest back into services. </w:t>
      </w:r>
    </w:p>
    <w:p w14:paraId="79067956" w14:textId="77777777" w:rsidR="00817104" w:rsidRDefault="00817104" w:rsidP="00817104">
      <w:pPr>
        <w:pStyle w:val="Body"/>
      </w:pPr>
      <w:r>
        <w:t>Service providers are not required to charge fees.</w:t>
      </w:r>
    </w:p>
    <w:p w14:paraId="0869D813" w14:textId="77777777" w:rsidR="00817104" w:rsidRPr="00665CF2" w:rsidDel="001D7B97" w:rsidRDefault="00817104" w:rsidP="00817104">
      <w:pPr>
        <w:pStyle w:val="Body"/>
        <w:rPr>
          <w:color w:val="004C97"/>
          <w:u w:val="dotted"/>
        </w:rPr>
      </w:pPr>
      <w:r>
        <w:lastRenderedPageBreak/>
        <w:t xml:space="preserve">Service providers that do charge fees must only do so in line with the department’s </w:t>
      </w:r>
      <w:hyperlink r:id="rId86" w:history="1">
        <w:r w:rsidRPr="0043783E">
          <w:rPr>
            <w:rStyle w:val="Hyperlink"/>
          </w:rPr>
          <w:t>Community Health Program Fee Policy</w:t>
        </w:r>
      </w:hyperlink>
      <w:r>
        <w:t xml:space="preserve"> &lt;</w:t>
      </w:r>
      <w:r w:rsidRPr="008D58C7">
        <w:t>https://www.health.vic.gov.au/community-health/community-health-fees-schedule-and-income-ranges</w:t>
      </w:r>
      <w:r>
        <w:t>&gt;.</w:t>
      </w:r>
    </w:p>
    <w:p w14:paraId="5F92FFE1" w14:textId="77777777" w:rsidR="00817104" w:rsidRDefault="00817104" w:rsidP="00817104">
      <w:pPr>
        <w:pStyle w:val="Bodyafterbullets"/>
      </w:pPr>
      <w:r>
        <w:t xml:space="preserve">Agencies receiving funding for Community Health Program activities and complementary programs must demonstrate that funds are targeted to meet the aims of the initiative. This is achieved through reporting requirements (see </w:t>
      </w:r>
      <w:hyperlink w:anchor="_Primary,_community_and" w:history="1">
        <w:r w:rsidRPr="00B203BD">
          <w:rPr>
            <w:rStyle w:val="Hyperlink"/>
          </w:rPr>
          <w:t>section 29.7</w:t>
        </w:r>
      </w:hyperlink>
      <w:r>
        <w:t xml:space="preserve">). </w:t>
      </w:r>
    </w:p>
    <w:p w14:paraId="256F56AC" w14:textId="5ACB3BD3" w:rsidR="00817104" w:rsidRDefault="00817104" w:rsidP="00817104">
      <w:pPr>
        <w:pStyle w:val="Heading3"/>
      </w:pPr>
      <w:r>
        <w:t xml:space="preserve">Urgent Care Clinics </w:t>
      </w:r>
    </w:p>
    <w:p w14:paraId="3B5CC898" w14:textId="77777777" w:rsidR="00817104" w:rsidRPr="005F3DCF" w:rsidRDefault="00817104" w:rsidP="00817104">
      <w:pPr>
        <w:pStyle w:val="Body"/>
      </w:pPr>
      <w:r>
        <w:t>The Victorian Government invests in GP-led Urgent Care Clinics (UCCs) aiming to:</w:t>
      </w:r>
    </w:p>
    <w:p w14:paraId="71884D53" w14:textId="77777777" w:rsidR="00817104" w:rsidRDefault="00817104" w:rsidP="00817104">
      <w:pPr>
        <w:pStyle w:val="Bullet1"/>
        <w:numPr>
          <w:ilvl w:val="0"/>
          <w:numId w:val="2"/>
        </w:numPr>
      </w:pPr>
      <w:r>
        <w:t>increase access to primary care for people requiring urgent care, but not an emergency response</w:t>
      </w:r>
    </w:p>
    <w:p w14:paraId="150B6EC1" w14:textId="77777777" w:rsidR="00817104" w:rsidRPr="00D7483C" w:rsidRDefault="00817104" w:rsidP="00817104">
      <w:pPr>
        <w:pStyle w:val="Bullet1"/>
        <w:numPr>
          <w:ilvl w:val="0"/>
          <w:numId w:val="2"/>
        </w:numPr>
      </w:pPr>
      <w:r>
        <w:t xml:space="preserve">reduce pressure on hospital EDs. </w:t>
      </w:r>
    </w:p>
    <w:p w14:paraId="72A4907E" w14:textId="2DA2EB51" w:rsidR="00817104" w:rsidRDefault="00817104" w:rsidP="00817104">
      <w:pPr>
        <w:pStyle w:val="Bodyafterbullets"/>
      </w:pPr>
      <w:r>
        <w:t xml:space="preserve">UCCs are delivered in partnership with the </w:t>
      </w:r>
      <w:r w:rsidR="004374F6">
        <w:t>Australian Government</w:t>
      </w:r>
      <w:r>
        <w:t xml:space="preserve">. Victoria has a role in ensuring a coordinated system, including promoting and supporting referral pathways between statewide triage services and other healthcare providers. Victorian Primary Health Networks (PHNs) commission the UCCs and provide oversight functions and project support. </w:t>
      </w:r>
    </w:p>
    <w:p w14:paraId="2E481C53" w14:textId="41C2E46B" w:rsidR="00817104" w:rsidRDefault="00817104" w:rsidP="00817104">
      <w:pPr>
        <w:pStyle w:val="Heading3"/>
      </w:pPr>
      <w:r>
        <w:t>Nurse-on-Call</w:t>
      </w:r>
    </w:p>
    <w:p w14:paraId="1F735B05" w14:textId="77777777" w:rsidR="00817104" w:rsidRDefault="00817104" w:rsidP="00817104">
      <w:pPr>
        <w:pStyle w:val="Body"/>
      </w:pPr>
      <w:bookmarkStart w:id="2130" w:name="_Toc165964664"/>
      <w:bookmarkStart w:id="2131" w:name="_Toc167174527"/>
      <w:r w:rsidRPr="0015791E">
        <w:t>Nurse-on-Call</w:t>
      </w:r>
      <w:r w:rsidRPr="0015791E" w:rsidDel="0015791E">
        <w:t xml:space="preserve"> </w:t>
      </w:r>
      <w:r>
        <w:t xml:space="preserve">is a Victoria-wide telephone helpline that provides immediate expert health advice from a registered nurse, 24/7. </w:t>
      </w:r>
    </w:p>
    <w:p w14:paraId="27779181" w14:textId="06BC2D96" w:rsidR="00817104" w:rsidRPr="00611076" w:rsidRDefault="00817104" w:rsidP="00817104">
      <w:pPr>
        <w:pStyle w:val="Body"/>
      </w:pPr>
      <w:r>
        <w:t xml:space="preserve">In 2023–24, </w:t>
      </w:r>
      <w:r w:rsidRPr="0015791E">
        <w:t>Nurse-on-Call</w:t>
      </w:r>
      <w:r w:rsidDel="0015791E">
        <w:t xml:space="preserve"> </w:t>
      </w:r>
      <w:r>
        <w:t xml:space="preserve">introduced four new referral pathways to the </w:t>
      </w:r>
      <w:r w:rsidRPr="00B203BD">
        <w:t xml:space="preserve">Victorian Virtual </w:t>
      </w:r>
      <w:r>
        <w:t>ED</w:t>
      </w:r>
      <w:r w:rsidRPr="00B203BD">
        <w:t xml:space="preserve"> </w:t>
      </w:r>
      <w:r>
        <w:t xml:space="preserve">(VVED) (adults and paediatrics), Victorian Virtual GP and UCCs. These referral pathways are helping reduce the number of callers that are referred by </w:t>
      </w:r>
      <w:r w:rsidRPr="0015791E">
        <w:t>Nurse-on-Call</w:t>
      </w:r>
      <w:r w:rsidDel="0015791E">
        <w:t xml:space="preserve"> </w:t>
      </w:r>
      <w:r>
        <w:t xml:space="preserve">to an </w:t>
      </w:r>
      <w:r w:rsidR="00D97CB9">
        <w:t>ED</w:t>
      </w:r>
      <w:r>
        <w:t xml:space="preserve">. </w:t>
      </w:r>
    </w:p>
    <w:p w14:paraId="3115CEAB" w14:textId="77777777" w:rsidR="00817104" w:rsidRDefault="00817104" w:rsidP="00817104">
      <w:pPr>
        <w:pStyle w:val="Body"/>
      </w:pPr>
      <w:r>
        <w:t xml:space="preserve">On 1 January 2026, the Australian Government introduced the 1800MEDICARE telephone helpline, which is a rebranding of the existing national Health Information and Advice Service and is currently operating alongside the Victorian-branded </w:t>
      </w:r>
      <w:r w:rsidRPr="0015791E">
        <w:t>Nurse-on-Call</w:t>
      </w:r>
      <w:r>
        <w:t>.</w:t>
      </w:r>
    </w:p>
    <w:p w14:paraId="2CA63091" w14:textId="77777777" w:rsidR="00817104" w:rsidRPr="00611076" w:rsidRDefault="00817104" w:rsidP="00817104">
      <w:pPr>
        <w:pStyle w:val="Body"/>
      </w:pPr>
      <w:r>
        <w:t xml:space="preserve">For more information, visit </w:t>
      </w:r>
      <w:hyperlink r:id="rId87" w:history="1">
        <w:r w:rsidRPr="00E0682A">
          <w:rPr>
            <w:rStyle w:val="Hyperlink"/>
          </w:rPr>
          <w:t>Nurse-on-Call</w:t>
        </w:r>
      </w:hyperlink>
      <w:r w:rsidRPr="006054B4">
        <w:t xml:space="preserve"> </w:t>
      </w:r>
      <w:r>
        <w:t>&lt;</w:t>
      </w:r>
      <w:r w:rsidRPr="006054B4">
        <w:t>https://www.betterhealth.vic.gov.au/health/serviceprofiles/nurse-on-call-service</w:t>
      </w:r>
      <w:r>
        <w:t xml:space="preserve">&gt;. </w:t>
      </w:r>
    </w:p>
    <w:p w14:paraId="7EA1F839" w14:textId="6CC1C3BF" w:rsidR="00817104" w:rsidRPr="009B0F16" w:rsidRDefault="00817104" w:rsidP="00817104">
      <w:pPr>
        <w:pStyle w:val="Heading2"/>
      </w:pPr>
      <w:bookmarkStart w:id="2132" w:name="_Toc231982277"/>
      <w:bookmarkEnd w:id="2130"/>
      <w:bookmarkEnd w:id="2131"/>
      <w:r>
        <w:t>Dental health services</w:t>
      </w:r>
      <w:bookmarkEnd w:id="2132"/>
    </w:p>
    <w:p w14:paraId="26BCA2D6" w14:textId="77777777" w:rsidR="00817104" w:rsidRDefault="00817104" w:rsidP="00817104">
      <w:pPr>
        <w:pStyle w:val="Body"/>
      </w:pPr>
      <w:r>
        <w:t>The public dental program delivers public dental care to eligible Victorians through the Royal Dental Hospital Melbourne and more than 40 integrated and registered community health services, and ACCHOs</w:t>
      </w:r>
      <w:r w:rsidRPr="0024401D">
        <w:t xml:space="preserve"> </w:t>
      </w:r>
      <w:r>
        <w:t>across Victoria.</w:t>
      </w:r>
    </w:p>
    <w:p w14:paraId="2DBFB699" w14:textId="77777777" w:rsidR="00817104" w:rsidRPr="00390F8D" w:rsidRDefault="00817104" w:rsidP="00817104">
      <w:pPr>
        <w:pStyle w:val="Body"/>
      </w:pPr>
      <w:r>
        <w:t>In 2026–27, the department</w:t>
      </w:r>
      <w:r w:rsidRPr="006A67C7">
        <w:t xml:space="preserve"> </w:t>
      </w:r>
      <w:r>
        <w:t>will commence implementation of new funding arrangements for dental clinical placements</w:t>
      </w:r>
      <w:r w:rsidRPr="006A67C7">
        <w:t xml:space="preserve"> </w:t>
      </w:r>
      <w:r>
        <w:t>and will complete a review of the current approach to language services funding for public dental services</w:t>
      </w:r>
      <w:r w:rsidRPr="006A67C7">
        <w:t>.</w:t>
      </w:r>
      <w:r>
        <w:t xml:space="preserve">  </w:t>
      </w:r>
    </w:p>
    <w:p w14:paraId="2ECCD0AB" w14:textId="77777777" w:rsidR="00817104" w:rsidRDefault="00817104" w:rsidP="00817104">
      <w:pPr>
        <w:pStyle w:val="Bodyafterbullets"/>
      </w:pPr>
      <w:r>
        <w:t xml:space="preserve">For more information about the public dental program, including program eligibility and fees policy, visit </w:t>
      </w:r>
      <w:hyperlink r:id="rId88">
        <w:r w:rsidRPr="0670E279">
          <w:rPr>
            <w:rStyle w:val="Hyperlink"/>
          </w:rPr>
          <w:t>Dental health</w:t>
        </w:r>
      </w:hyperlink>
      <w:r>
        <w:t xml:space="preserve"> &lt;https://www.health.vic.gov.au/primary-and-community-health/dental-health&gt;.</w:t>
      </w:r>
    </w:p>
    <w:p w14:paraId="026DF5BC" w14:textId="607F5F49" w:rsidR="00817104" w:rsidRDefault="00817104" w:rsidP="00817104">
      <w:pPr>
        <w:pStyle w:val="Heading3"/>
      </w:pPr>
      <w:r>
        <w:lastRenderedPageBreak/>
        <w:t xml:space="preserve">Participation in </w:t>
      </w:r>
      <w:r w:rsidRPr="00DC4A01">
        <w:t>Commonwealth</w:t>
      </w:r>
      <w:r>
        <w:t xml:space="preserve"> initiatives</w:t>
      </w:r>
    </w:p>
    <w:p w14:paraId="4F78D6F5" w14:textId="77777777" w:rsidR="00817104" w:rsidRDefault="00817104" w:rsidP="00817104">
      <w:pPr>
        <w:pStyle w:val="Bodyafterbullets"/>
      </w:pPr>
      <w:r>
        <w:t>The Child Dental Benefits Schedule is a means-tested benefits scheme (Family Tax Benefit A) for children aged up to 17 years, covering preventive and basic dental treatment. Public sector access to the Child Dental Benefits Schedule is currently available until 31 December 2026.</w:t>
      </w:r>
    </w:p>
    <w:p w14:paraId="69DB4E8B" w14:textId="77777777" w:rsidR="00817104" w:rsidRDefault="00817104" w:rsidP="00817104">
      <w:pPr>
        <w:pStyle w:val="Bodyafterbullets"/>
      </w:pPr>
      <w:r>
        <w:t xml:space="preserve">For more information about eligibility and benefit caps, visit </w:t>
      </w:r>
      <w:hyperlink r:id="rId89">
        <w:r w:rsidRPr="00C36C7F">
          <w:rPr>
            <w:rStyle w:val="Hyperlink"/>
          </w:rPr>
          <w:t>Child Dental Benefits Schedule</w:t>
        </w:r>
      </w:hyperlink>
      <w:r>
        <w:t xml:space="preserve"> &lt;https://www.servicesaustralia.gov.au/child-dental-benefits-schedule</w:t>
      </w:r>
      <w:r w:rsidRPr="00F64BCC">
        <w:rPr>
          <w:rStyle w:val="BodyChar"/>
        </w:rPr>
        <w:t>&gt;</w:t>
      </w:r>
      <w:r>
        <w:t>.</w:t>
      </w:r>
    </w:p>
    <w:p w14:paraId="1D611DAA" w14:textId="117758C0" w:rsidR="00817104" w:rsidRPr="0080626C" w:rsidRDefault="00817104" w:rsidP="00817104">
      <w:pPr>
        <w:pStyle w:val="Heading3"/>
      </w:pPr>
      <w:r>
        <w:t xml:space="preserve">School dental program (Smile Squad) </w:t>
      </w:r>
    </w:p>
    <w:p w14:paraId="31BBBD34" w14:textId="77777777" w:rsidR="00817104" w:rsidRPr="00C75DBA" w:rsidRDefault="00817104" w:rsidP="00817104">
      <w:pPr>
        <w:pStyle w:val="Body"/>
      </w:pPr>
      <w:r>
        <w:t xml:space="preserve">The Victorian Government’s Smile Squad offers free dental care for all children attending Victorian government primary and secondary schools, with expansion to select low-fee Catholic and independent schools to commence from 2026. </w:t>
      </w:r>
    </w:p>
    <w:p w14:paraId="0A564172" w14:textId="77777777" w:rsidR="00817104" w:rsidRDefault="00817104" w:rsidP="00817104">
      <w:pPr>
        <w:pStyle w:val="Body"/>
      </w:pPr>
      <w:r>
        <w:t xml:space="preserve">For more information, visit </w:t>
      </w:r>
      <w:hyperlink r:id="rId90" w:history="1">
        <w:r w:rsidRPr="00130AC4">
          <w:rPr>
            <w:rStyle w:val="Hyperlink"/>
          </w:rPr>
          <w:t>Smile Squad</w:t>
        </w:r>
      </w:hyperlink>
      <w:r>
        <w:t xml:space="preserve"> &lt;</w:t>
      </w:r>
      <w:bookmarkStart w:id="2133" w:name="_Hlk196978772"/>
      <w:r w:rsidRPr="00680176">
        <w:t>https://www.health.vic.gov.au/smile-squad</w:t>
      </w:r>
      <w:bookmarkEnd w:id="2133"/>
      <w:r>
        <w:t>&gt;.</w:t>
      </w:r>
      <w:bookmarkStart w:id="2134" w:name="_Toc165964666"/>
      <w:bookmarkStart w:id="2135" w:name="_Toc167174529"/>
      <w:bookmarkStart w:id="2136" w:name="_Toc418694958"/>
      <w:bookmarkStart w:id="2137" w:name="_Toc6215611"/>
      <w:bookmarkStart w:id="2138" w:name="_Toc10199684"/>
      <w:bookmarkStart w:id="2139" w:name="_Toc106868042"/>
      <w:bookmarkStart w:id="2140" w:name="_Toc106869793"/>
      <w:bookmarkStart w:id="2141" w:name="_Toc106870127"/>
      <w:bookmarkStart w:id="2142" w:name="_Toc106870293"/>
      <w:bookmarkStart w:id="2143" w:name="_Toc106870465"/>
    </w:p>
    <w:p w14:paraId="2A1965D1" w14:textId="77777777" w:rsidR="00817104" w:rsidRDefault="00817104" w:rsidP="00817104">
      <w:pPr>
        <w:spacing w:after="0" w:line="240" w:lineRule="auto"/>
        <w:rPr>
          <w:rFonts w:eastAsia="Times"/>
        </w:rPr>
      </w:pPr>
      <w:r>
        <w:br w:type="page"/>
      </w:r>
    </w:p>
    <w:p w14:paraId="2B63CDA2" w14:textId="77777777" w:rsidR="00817104" w:rsidRDefault="00817104" w:rsidP="00E3056A">
      <w:pPr>
        <w:pStyle w:val="Heading1"/>
      </w:pPr>
      <w:bookmarkStart w:id="2144" w:name="_Toc231982278"/>
      <w:r>
        <w:lastRenderedPageBreak/>
        <w:t>Public health</w:t>
      </w:r>
      <w:bookmarkEnd w:id="2134"/>
      <w:bookmarkEnd w:id="2135"/>
      <w:bookmarkEnd w:id="2144"/>
    </w:p>
    <w:p w14:paraId="2ED47700" w14:textId="5F8BB616" w:rsidR="00817104" w:rsidRPr="009B0F16" w:rsidRDefault="00817104" w:rsidP="00817104">
      <w:pPr>
        <w:pStyle w:val="Heading2"/>
      </w:pPr>
      <w:bookmarkStart w:id="2145" w:name="_Toc165964667"/>
      <w:bookmarkStart w:id="2146" w:name="_Toc167174530"/>
      <w:bookmarkStart w:id="2147" w:name="_Toc231982279"/>
      <w:r>
        <w:t xml:space="preserve">Public </w:t>
      </w:r>
      <w:bookmarkStart w:id="2148" w:name="_Toc418694959"/>
      <w:bookmarkStart w:id="2149" w:name="_Toc6215612"/>
      <w:bookmarkStart w:id="2150" w:name="_Toc10199685"/>
      <w:bookmarkStart w:id="2151" w:name="_Toc106868043"/>
      <w:bookmarkStart w:id="2152" w:name="_Toc106869794"/>
      <w:bookmarkStart w:id="2153" w:name="_Toc106870128"/>
      <w:bookmarkStart w:id="2154" w:name="_Toc106870294"/>
      <w:bookmarkStart w:id="2155" w:name="_Toc106870466"/>
      <w:bookmarkEnd w:id="2136"/>
      <w:bookmarkEnd w:id="2137"/>
      <w:bookmarkEnd w:id="2138"/>
      <w:bookmarkEnd w:id="2139"/>
      <w:bookmarkEnd w:id="2140"/>
      <w:bookmarkEnd w:id="2141"/>
      <w:bookmarkEnd w:id="2142"/>
      <w:bookmarkEnd w:id="2143"/>
      <w:r>
        <w:t xml:space="preserve">health and </w:t>
      </w:r>
      <w:bookmarkEnd w:id="2148"/>
      <w:bookmarkEnd w:id="2149"/>
      <w:bookmarkEnd w:id="2150"/>
      <w:bookmarkEnd w:id="2151"/>
      <w:bookmarkEnd w:id="2152"/>
      <w:bookmarkEnd w:id="2153"/>
      <w:bookmarkEnd w:id="2154"/>
      <w:bookmarkEnd w:id="2155"/>
      <w:r>
        <w:t>prevention</w:t>
      </w:r>
      <w:bookmarkEnd w:id="2145"/>
      <w:bookmarkEnd w:id="2146"/>
      <w:bookmarkEnd w:id="2147"/>
    </w:p>
    <w:p w14:paraId="27E608DA" w14:textId="77777777" w:rsidR="00817104" w:rsidRDefault="00817104" w:rsidP="00817104">
      <w:pPr>
        <w:pStyle w:val="Body"/>
        <w:rPr>
          <w:lang w:eastAsia="en-AU"/>
        </w:rPr>
      </w:pPr>
      <w:r w:rsidRPr="0670E279">
        <w:rPr>
          <w:lang w:eastAsia="en-AU"/>
        </w:rPr>
        <w:t xml:space="preserve">The department leads </w:t>
      </w:r>
      <w:r>
        <w:rPr>
          <w:lang w:eastAsia="en-AU"/>
        </w:rPr>
        <w:t>program delivery</w:t>
      </w:r>
      <w:r w:rsidRPr="0670E279">
        <w:rPr>
          <w:lang w:eastAsia="en-AU"/>
        </w:rPr>
        <w:t xml:space="preserve"> in disease prevention and early detection</w:t>
      </w:r>
      <w:r>
        <w:rPr>
          <w:lang w:eastAsia="en-AU"/>
        </w:rPr>
        <w:t>. It</w:t>
      </w:r>
      <w:r w:rsidRPr="0670E279">
        <w:rPr>
          <w:lang w:eastAsia="en-AU"/>
        </w:rPr>
        <w:t xml:space="preserve"> has invested in</w:t>
      </w:r>
      <w:r>
        <w:rPr>
          <w:lang w:eastAsia="en-AU"/>
        </w:rPr>
        <w:t xml:space="preserve"> </w:t>
      </w:r>
      <w:r w:rsidRPr="0670E279">
        <w:rPr>
          <w:lang w:eastAsia="en-AU"/>
        </w:rPr>
        <w:t>a range of prevention initiatives targeting specific areas, including:</w:t>
      </w:r>
    </w:p>
    <w:p w14:paraId="3EEE6278" w14:textId="77777777" w:rsidR="00817104" w:rsidRDefault="00817104" w:rsidP="00817104">
      <w:pPr>
        <w:pStyle w:val="Bullet1"/>
        <w:numPr>
          <w:ilvl w:val="0"/>
          <w:numId w:val="2"/>
        </w:numPr>
        <w:rPr>
          <w:lang w:eastAsia="en-AU"/>
        </w:rPr>
      </w:pPr>
      <w:r w:rsidRPr="0670E279">
        <w:rPr>
          <w:lang w:eastAsia="en-AU"/>
        </w:rPr>
        <w:t>tobacco and e-cigarette reform</w:t>
      </w:r>
    </w:p>
    <w:p w14:paraId="5A44762D" w14:textId="77777777" w:rsidR="00817104" w:rsidRDefault="00817104" w:rsidP="00817104">
      <w:pPr>
        <w:pStyle w:val="Bullet1"/>
        <w:numPr>
          <w:ilvl w:val="0"/>
          <w:numId w:val="2"/>
        </w:numPr>
        <w:rPr>
          <w:lang w:eastAsia="en-AU"/>
        </w:rPr>
      </w:pPr>
      <w:r w:rsidRPr="0670E279">
        <w:rPr>
          <w:lang w:eastAsia="en-AU"/>
        </w:rPr>
        <w:t>obesity</w:t>
      </w:r>
    </w:p>
    <w:p w14:paraId="0F767B5C" w14:textId="77777777" w:rsidR="00817104" w:rsidRDefault="00817104" w:rsidP="00817104">
      <w:pPr>
        <w:pStyle w:val="Bullet1"/>
        <w:numPr>
          <w:ilvl w:val="0"/>
          <w:numId w:val="2"/>
        </w:numPr>
        <w:rPr>
          <w:lang w:eastAsia="en-AU"/>
        </w:rPr>
      </w:pPr>
      <w:r w:rsidRPr="0670E279">
        <w:rPr>
          <w:lang w:eastAsia="en-AU"/>
        </w:rPr>
        <w:t>physical activity</w:t>
      </w:r>
    </w:p>
    <w:p w14:paraId="4F67382F" w14:textId="77777777" w:rsidR="00817104" w:rsidRDefault="00817104" w:rsidP="00817104">
      <w:pPr>
        <w:pStyle w:val="Bullet1"/>
        <w:numPr>
          <w:ilvl w:val="0"/>
          <w:numId w:val="2"/>
        </w:numPr>
      </w:pPr>
      <w:r>
        <w:t>healthy eating</w:t>
      </w:r>
    </w:p>
    <w:p w14:paraId="45E35304" w14:textId="77777777" w:rsidR="00817104" w:rsidRDefault="00817104" w:rsidP="00817104">
      <w:pPr>
        <w:pStyle w:val="Bullet1"/>
        <w:numPr>
          <w:ilvl w:val="0"/>
          <w:numId w:val="2"/>
        </w:numPr>
        <w:rPr>
          <w:lang w:eastAsia="en-AU"/>
        </w:rPr>
      </w:pPr>
      <w:r w:rsidRPr="0670E279">
        <w:rPr>
          <w:lang w:eastAsia="en-AU"/>
        </w:rPr>
        <w:t>sexual health</w:t>
      </w:r>
    </w:p>
    <w:p w14:paraId="3CF4A887" w14:textId="77777777" w:rsidR="00817104" w:rsidRDefault="00817104" w:rsidP="00817104">
      <w:pPr>
        <w:pStyle w:val="Bullet1"/>
        <w:numPr>
          <w:ilvl w:val="0"/>
          <w:numId w:val="2"/>
        </w:numPr>
        <w:rPr>
          <w:lang w:eastAsia="en-AU"/>
        </w:rPr>
      </w:pPr>
      <w:r w:rsidRPr="0670E279">
        <w:rPr>
          <w:lang w:eastAsia="en-AU"/>
        </w:rPr>
        <w:t>heart disease</w:t>
      </w:r>
    </w:p>
    <w:p w14:paraId="10F22859" w14:textId="77777777" w:rsidR="00817104" w:rsidRDefault="00817104" w:rsidP="00817104">
      <w:pPr>
        <w:pStyle w:val="Bullet1"/>
        <w:numPr>
          <w:ilvl w:val="0"/>
          <w:numId w:val="2"/>
        </w:numPr>
        <w:rPr>
          <w:lang w:eastAsia="en-AU"/>
        </w:rPr>
      </w:pPr>
      <w:r>
        <w:rPr>
          <w:lang w:eastAsia="en-AU"/>
        </w:rPr>
        <w:t>s</w:t>
      </w:r>
      <w:r w:rsidRPr="1BDF3453">
        <w:rPr>
          <w:lang w:eastAsia="en-AU"/>
        </w:rPr>
        <w:t>kin cancer prevention</w:t>
      </w:r>
    </w:p>
    <w:p w14:paraId="3502A7FD" w14:textId="77777777" w:rsidR="00817104" w:rsidRDefault="00817104" w:rsidP="00817104">
      <w:pPr>
        <w:pStyle w:val="Bullet1"/>
        <w:numPr>
          <w:ilvl w:val="0"/>
          <w:numId w:val="2"/>
        </w:numPr>
      </w:pPr>
      <w:r w:rsidRPr="0670E279">
        <w:rPr>
          <w:lang w:eastAsia="en-AU"/>
        </w:rPr>
        <w:t>cancer screening</w:t>
      </w:r>
    </w:p>
    <w:p w14:paraId="41F35D97" w14:textId="77777777" w:rsidR="00817104" w:rsidRDefault="00817104" w:rsidP="00817104">
      <w:pPr>
        <w:pStyle w:val="Bodyafterbullets"/>
      </w:pPr>
      <w:r w:rsidRPr="00B876F3">
        <w:t xml:space="preserve">Victoria's </w:t>
      </w:r>
      <w:r w:rsidRPr="000B5E11">
        <w:rPr>
          <w:i/>
          <w:iCs/>
        </w:rPr>
        <w:t>Public Health and Wellbeing Act 2008</w:t>
      </w:r>
      <w:r>
        <w:t xml:space="preserve"> </w:t>
      </w:r>
      <w:r w:rsidRPr="00F72288">
        <w:t>is Victoria’s primary legislation for protecting and improving population health. Its overarching</w:t>
      </w:r>
      <w:r>
        <w:t xml:space="preserve"> </w:t>
      </w:r>
      <w:r w:rsidRPr="00F72288">
        <w:t>objective</w:t>
      </w:r>
      <w:r>
        <w:t xml:space="preserve"> </w:t>
      </w:r>
      <w:r w:rsidRPr="00F72288">
        <w:t>is to achieve the highest attainable standard of public health and wellbeing for all Victorians by preventing disease and injury, promoting conditions that support health and reducing avoidable health inequities across the population.</w:t>
      </w:r>
    </w:p>
    <w:p w14:paraId="305A4B0A" w14:textId="77777777" w:rsidR="00817104" w:rsidRDefault="00817104" w:rsidP="00817104">
      <w:pPr>
        <w:pStyle w:val="Body"/>
      </w:pPr>
      <w:r w:rsidRPr="005601E0">
        <w:t xml:space="preserve">The Act requires a </w:t>
      </w:r>
      <w:r>
        <w:t>s</w:t>
      </w:r>
      <w:r w:rsidRPr="005601E0">
        <w:t>tate public health and wellbeing plan to be prepared every four years.</w:t>
      </w:r>
      <w:r>
        <w:t xml:space="preserve"> The </w:t>
      </w:r>
      <w:r w:rsidRPr="002D6AE5">
        <w:rPr>
          <w:i/>
          <w:iCs/>
        </w:rPr>
        <w:t>Victorian Public Health and Wellbeing Plan 2023–2027</w:t>
      </w:r>
      <w:r>
        <w:t xml:space="preserve"> </w:t>
      </w:r>
      <w:r w:rsidRPr="005672D1">
        <w:t>is Victoria</w:t>
      </w:r>
      <w:r>
        <w:t>’s</w:t>
      </w:r>
      <w:r w:rsidRPr="005672D1">
        <w:t xml:space="preserve"> fourth </w:t>
      </w:r>
      <w:r>
        <w:t xml:space="preserve">legislated </w:t>
      </w:r>
      <w:r w:rsidRPr="005672D1">
        <w:t>plan</w:t>
      </w:r>
      <w:r>
        <w:t xml:space="preserve"> under the Act</w:t>
      </w:r>
      <w:r w:rsidRPr="005672D1">
        <w:t>, and</w:t>
      </w:r>
      <w:r>
        <w:t xml:space="preserve"> guides the collective efforts of the department, other state government departments, health services, local government, NGOs, the private sector and communities. The Plan s</w:t>
      </w:r>
      <w:r w:rsidRPr="005672D1">
        <w:t>ets</w:t>
      </w:r>
      <w:r>
        <w:t xml:space="preserve"> </w:t>
      </w:r>
      <w:r w:rsidRPr="00194377">
        <w:t>10 priorities</w:t>
      </w:r>
      <w:r>
        <w:t xml:space="preserve"> </w:t>
      </w:r>
      <w:r w:rsidRPr="005672D1">
        <w:t>for improving public health and wellbeing</w:t>
      </w:r>
      <w:r>
        <w:t xml:space="preserve"> during 2023–2027. </w:t>
      </w:r>
    </w:p>
    <w:p w14:paraId="12FD88AA" w14:textId="77777777" w:rsidR="00817104" w:rsidRDefault="00817104" w:rsidP="00817104">
      <w:pPr>
        <w:pStyle w:val="Body"/>
      </w:pPr>
      <w:r>
        <w:t xml:space="preserve">The </w:t>
      </w:r>
      <w:r w:rsidRPr="007F3E09">
        <w:rPr>
          <w:i/>
          <w:iCs/>
        </w:rPr>
        <w:t xml:space="preserve">Victorian </w:t>
      </w:r>
      <w:r>
        <w:rPr>
          <w:i/>
          <w:iCs/>
        </w:rPr>
        <w:t>P</w:t>
      </w:r>
      <w:r w:rsidRPr="007F3E09">
        <w:rPr>
          <w:i/>
          <w:iCs/>
        </w:rPr>
        <w:t xml:space="preserve">ublic </w:t>
      </w:r>
      <w:r>
        <w:rPr>
          <w:i/>
          <w:iCs/>
        </w:rPr>
        <w:t>H</w:t>
      </w:r>
      <w:r w:rsidRPr="007F3E09">
        <w:rPr>
          <w:i/>
          <w:iCs/>
        </w:rPr>
        <w:t xml:space="preserve">ealth and </w:t>
      </w:r>
      <w:r>
        <w:rPr>
          <w:i/>
          <w:iCs/>
        </w:rPr>
        <w:t>W</w:t>
      </w:r>
      <w:r w:rsidRPr="007F3E09">
        <w:rPr>
          <w:i/>
          <w:iCs/>
        </w:rPr>
        <w:t xml:space="preserve">ellbeing </w:t>
      </w:r>
      <w:r>
        <w:rPr>
          <w:i/>
          <w:iCs/>
        </w:rPr>
        <w:t>O</w:t>
      </w:r>
      <w:r w:rsidRPr="007F3E09">
        <w:rPr>
          <w:i/>
          <w:iCs/>
        </w:rPr>
        <w:t xml:space="preserve">utcomes </w:t>
      </w:r>
      <w:r>
        <w:rPr>
          <w:i/>
          <w:iCs/>
        </w:rPr>
        <w:t>F</w:t>
      </w:r>
      <w:r w:rsidRPr="007F3E09">
        <w:rPr>
          <w:i/>
          <w:iCs/>
        </w:rPr>
        <w:t>ramework</w:t>
      </w:r>
      <w:r>
        <w:t xml:space="preserve"> </w:t>
      </w:r>
      <w:r w:rsidRPr="00CD2902">
        <w:t>measures</w:t>
      </w:r>
      <w:r>
        <w:t xml:space="preserve"> </w:t>
      </w:r>
      <w:r w:rsidRPr="00CD2902">
        <w:t>progress against</w:t>
      </w:r>
      <w:r>
        <w:t xml:space="preserve"> </w:t>
      </w:r>
      <w:r w:rsidRPr="00CD2902">
        <w:t>consecutive</w:t>
      </w:r>
      <w:r>
        <w:t xml:space="preserve"> </w:t>
      </w:r>
      <w:r w:rsidRPr="00CD2902">
        <w:t>Victorian public health and wellbeing plans</w:t>
      </w:r>
      <w:r>
        <w:t xml:space="preserve"> t</w:t>
      </w:r>
      <w:r w:rsidRPr="00CD2902">
        <w:t>o</w:t>
      </w:r>
      <w:r>
        <w:t xml:space="preserve"> </w:t>
      </w:r>
      <w:r w:rsidRPr="00CD2902">
        <w:t>monitor</w:t>
      </w:r>
      <w:r>
        <w:t xml:space="preserve"> </w:t>
      </w:r>
      <w:r w:rsidRPr="00CD2902">
        <w:t>and report on</w:t>
      </w:r>
      <w:r>
        <w:t xml:space="preserve"> </w:t>
      </w:r>
      <w:r w:rsidRPr="00CD2902">
        <w:t>health and wellbeing</w:t>
      </w:r>
      <w:r>
        <w:t xml:space="preserve">, </w:t>
      </w:r>
      <w:r w:rsidRPr="00CD2902">
        <w:t>provid</w:t>
      </w:r>
      <w:r>
        <w:t>ing</w:t>
      </w:r>
      <w:r w:rsidRPr="00CD2902">
        <w:t xml:space="preserve"> a comprehensive set of health and wellbeing outcomes, indicators, measures and</w:t>
      </w:r>
      <w:r>
        <w:t xml:space="preserve"> </w:t>
      </w:r>
      <w:r w:rsidRPr="00CD2902">
        <w:t>targets</w:t>
      </w:r>
      <w:r>
        <w:t>.</w:t>
      </w:r>
      <w:r w:rsidRPr="00CD2902">
        <w:t xml:space="preserve"> </w:t>
      </w:r>
      <w:r w:rsidRPr="00DF45A5">
        <w:t>The</w:t>
      </w:r>
      <w:r>
        <w:t xml:space="preserve"> </w:t>
      </w:r>
      <w:hyperlink r:id="rId91">
        <w:r w:rsidRPr="00250BB1">
          <w:t>Victorian public health and wellbeing outcomes dashboard</w:t>
        </w:r>
      </w:hyperlink>
      <w:r>
        <w:t xml:space="preserve"> </w:t>
      </w:r>
      <w:r w:rsidRPr="00DF45A5">
        <w:t>provides a single point of access to a wide range of contemporary population health data.</w:t>
      </w:r>
      <w:r>
        <w:t xml:space="preserve"> </w:t>
      </w:r>
    </w:p>
    <w:p w14:paraId="2370A6EB" w14:textId="77777777" w:rsidR="00817104" w:rsidRDefault="00817104" w:rsidP="00817104">
      <w:pPr>
        <w:pStyle w:val="Bodyafterbullets"/>
      </w:pPr>
      <w:r>
        <w:t xml:space="preserve">Community health services and some SRHS are funded to deliver place-based primary prevention (under the activity names ‘Community health – health promotion’ and ‘Small rural – primary health flexible services’). These organisations align their work with the priority areas of the </w:t>
      </w:r>
      <w:r w:rsidRPr="00EF5858">
        <w:t>Victorian public health and wellbeing plan 2023–27</w:t>
      </w:r>
      <w:r w:rsidRPr="0595FA05">
        <w:rPr>
          <w:i/>
          <w:iCs/>
        </w:rPr>
        <w:t xml:space="preserve"> </w:t>
      </w:r>
      <w:r w:rsidRPr="000F01F1">
        <w:t>to prevent chronic disease</w:t>
      </w:r>
      <w:r w:rsidRPr="0670E279">
        <w:rPr>
          <w:i/>
          <w:iCs/>
        </w:rPr>
        <w:t>,</w:t>
      </w:r>
      <w:r>
        <w:t xml:space="preserve"> including increasing healthy eating and active living, reducing harm from tobacco and e-cigarettes, and improving wellbeing.</w:t>
      </w:r>
    </w:p>
    <w:p w14:paraId="33C051F3" w14:textId="77777777" w:rsidR="00817104" w:rsidRPr="00BA6DE9" w:rsidRDefault="00817104" w:rsidP="00817104">
      <w:pPr>
        <w:pStyle w:val="Bodyafterbullets"/>
      </w:pPr>
      <w:r>
        <w:t>To ensure local prevention efforts are</w:t>
      </w:r>
      <w:r w:rsidDel="00BA6DE9">
        <w:t xml:space="preserve"> </w:t>
      </w:r>
      <w:r>
        <w:t xml:space="preserve">aligned with statewide prevention priorities, the </w:t>
      </w:r>
      <w:r w:rsidRPr="00BA6DE9">
        <w:t>Public Health and Wellbeing Act</w:t>
      </w:r>
      <w:r>
        <w:t xml:space="preserve"> </w:t>
      </w:r>
      <w:r w:rsidRPr="00BA6DE9">
        <w:t xml:space="preserve">requires local councils to prepare a municipal public health and wellbeing plan within a period of 12 months after each election of the council, and for councils to have regard to the state public health and wellbeing plan when preparing a municipal public health and wellbeing plan. </w:t>
      </w:r>
    </w:p>
    <w:p w14:paraId="7414A32D" w14:textId="77777777" w:rsidR="00817104" w:rsidRDefault="00817104" w:rsidP="00817104">
      <w:pPr>
        <w:pStyle w:val="Bodyafterbullets"/>
      </w:pPr>
      <w:r>
        <w:t>For more information, visit:</w:t>
      </w:r>
    </w:p>
    <w:p w14:paraId="56C4F5A0" w14:textId="77777777" w:rsidR="00817104" w:rsidRDefault="00817104" w:rsidP="00817104">
      <w:pPr>
        <w:pStyle w:val="Bullet1"/>
        <w:numPr>
          <w:ilvl w:val="0"/>
          <w:numId w:val="2"/>
        </w:numPr>
      </w:pPr>
      <w:hyperlink r:id="rId92" w:tgtFrame="_blank" w:history="1">
        <w:r w:rsidRPr="00F72288">
          <w:rPr>
            <w:rStyle w:val="Hyperlink"/>
          </w:rPr>
          <w:t xml:space="preserve">Victoria's </w:t>
        </w:r>
        <w:r w:rsidRPr="00650CCB">
          <w:rPr>
            <w:rStyle w:val="Hyperlink"/>
            <w:iCs/>
          </w:rPr>
          <w:t>Public Health and Wellbeing Act</w:t>
        </w:r>
      </w:hyperlink>
      <w:r>
        <w:t xml:space="preserve"> &lt;</w:t>
      </w:r>
      <w:r w:rsidRPr="00F86048">
        <w:t xml:space="preserve">https://www.legislation.vic.gov.au/in-force/acts/public-health-and-wellbeing-act-2008/056&gt; </w:t>
      </w:r>
    </w:p>
    <w:p w14:paraId="5D0FD3C4" w14:textId="6C1E6DD8" w:rsidR="00817104" w:rsidRDefault="00817104" w:rsidP="00817104">
      <w:pPr>
        <w:pStyle w:val="Bullet1"/>
        <w:numPr>
          <w:ilvl w:val="0"/>
          <w:numId w:val="2"/>
        </w:numPr>
      </w:pPr>
      <w:hyperlink r:id="rId93" w:history="1">
        <w:r w:rsidRPr="00D46D73">
          <w:rPr>
            <w:rStyle w:val="Hyperlink"/>
          </w:rPr>
          <w:t xml:space="preserve">Victorian Public Health and Wellbeing Plan </w:t>
        </w:r>
      </w:hyperlink>
      <w:r>
        <w:t>&lt;</w:t>
      </w:r>
      <w:r w:rsidRPr="00FA3FE1">
        <w:t>https://www.health.vic.gov.au/victorian-public-health-and-wellbeing-plan-2023-27</w:t>
      </w:r>
      <w:r>
        <w:t>&gt;</w:t>
      </w:r>
    </w:p>
    <w:p w14:paraId="433BDB79" w14:textId="77777777" w:rsidR="00817104" w:rsidRPr="00A45910" w:rsidRDefault="00817104" w:rsidP="00817104">
      <w:pPr>
        <w:pStyle w:val="Bullet1"/>
        <w:numPr>
          <w:ilvl w:val="0"/>
          <w:numId w:val="2"/>
        </w:numPr>
        <w:rPr>
          <w:rFonts w:cs="Calibri"/>
        </w:rPr>
      </w:pPr>
      <w:hyperlink r:id="rId94" w:history="1">
        <w:r w:rsidRPr="00C650CC">
          <w:rPr>
            <w:rStyle w:val="Hyperlink"/>
          </w:rPr>
          <w:t>Victorian public health and wellbeing outcomes dashboard</w:t>
        </w:r>
      </w:hyperlink>
      <w:r>
        <w:t xml:space="preserve"> &lt;</w:t>
      </w:r>
      <w:r w:rsidRPr="007773B3">
        <w:t>https://www.health.vic.gov.au/victorian-public-health-and-wellbeing-outcomes-dashboard</w:t>
      </w:r>
      <w:r>
        <w:t>&gt;.</w:t>
      </w:r>
    </w:p>
    <w:p w14:paraId="6A5F7F8E" w14:textId="0DD55E5C" w:rsidR="00817104" w:rsidRPr="00A45910" w:rsidRDefault="00817104" w:rsidP="00817104">
      <w:pPr>
        <w:pStyle w:val="Heading3"/>
      </w:pPr>
      <w:r>
        <w:lastRenderedPageBreak/>
        <w:t>Healthy choices</w:t>
      </w:r>
    </w:p>
    <w:p w14:paraId="6CAD592D" w14:textId="77777777" w:rsidR="00817104" w:rsidRDefault="00817104" w:rsidP="00817104">
      <w:pPr>
        <w:pStyle w:val="Body"/>
      </w:pPr>
      <w:r>
        <w:t>The Victorian Government funds strategies to reduce risk factors for chronic disease through a place-based approach to prevention, including increasing access to healthy food and drinks in places where people spend their time.</w:t>
      </w:r>
    </w:p>
    <w:p w14:paraId="51431772" w14:textId="77777777" w:rsidR="00817104" w:rsidRDefault="00817104" w:rsidP="00817104">
      <w:pPr>
        <w:pStyle w:val="Body"/>
      </w:pPr>
      <w:r>
        <w:t xml:space="preserve">The </w:t>
      </w:r>
      <w:r w:rsidRPr="00EF5858">
        <w:rPr>
          <w:iCs/>
        </w:rPr>
        <w:t xml:space="preserve">Healthy </w:t>
      </w:r>
      <w:r>
        <w:rPr>
          <w:iCs/>
        </w:rPr>
        <w:t>c</w:t>
      </w:r>
      <w:r w:rsidRPr="00EF5858">
        <w:rPr>
          <w:iCs/>
        </w:rPr>
        <w:t>hoices</w:t>
      </w:r>
      <w:r>
        <w:rPr>
          <w:iCs/>
        </w:rPr>
        <w:t>:</w:t>
      </w:r>
      <w:r w:rsidRPr="00EF5858">
        <w:rPr>
          <w:iCs/>
        </w:rPr>
        <w:t xml:space="preserve"> policy guidelines</w:t>
      </w:r>
      <w:r>
        <w:t xml:space="preserve"> for hospitals and health services provide a framework for improving the provision and promotion of healthier foods and drinks that are available in the community through retail outlets, vending machines and workplace catering.</w:t>
      </w:r>
    </w:p>
    <w:p w14:paraId="15E7533F" w14:textId="77777777" w:rsidR="00817104" w:rsidRDefault="00817104" w:rsidP="00817104">
      <w:pPr>
        <w:pStyle w:val="Body"/>
      </w:pPr>
      <w:r>
        <w:t>These policy guidelines support the implementation of Healthy choices in hospitals, health services, sport and recreation centres, workplaces and parks. There are similar guidelines for schools and early years services.</w:t>
      </w:r>
    </w:p>
    <w:p w14:paraId="667161C4" w14:textId="77777777" w:rsidR="00817104" w:rsidRDefault="00817104" w:rsidP="00817104">
      <w:pPr>
        <w:pStyle w:val="Body"/>
      </w:pPr>
      <w:r>
        <w:t xml:space="preserve">Public health services (hospitals, residential aged care services and integrated community health services) are required to implement the </w:t>
      </w:r>
      <w:r w:rsidRPr="00EF5858">
        <w:t xml:space="preserve">Healthy </w:t>
      </w:r>
      <w:r>
        <w:t>c</w:t>
      </w:r>
      <w:r w:rsidRPr="00EF5858">
        <w:t>hoices: policy directive for Victorian public health services</w:t>
      </w:r>
      <w:r>
        <w:t>, which applies to in-house managed retail food outlets, all vending machines, and all staff and event catering. This includes a requirement for high-sugar (red category) drinks not to be sold or promoted.</w:t>
      </w:r>
    </w:p>
    <w:p w14:paraId="26C079CA" w14:textId="77777777" w:rsidR="00817104" w:rsidRDefault="00817104" w:rsidP="00817104">
      <w:pPr>
        <w:pStyle w:val="Body"/>
      </w:pPr>
      <w:r>
        <w:t xml:space="preserve">The department requires public health services to complete reporting on the Healthy choices policy directive during September each year. With the support of the Healthy Eating Advisory Service (see </w:t>
      </w:r>
      <w:hyperlink w:anchor="_9.1.2_Healthy_Eating" w:history="1">
        <w:r w:rsidRPr="00014ED4">
          <w:rPr>
            <w:rStyle w:val="Hyperlink"/>
          </w:rPr>
          <w:t>section 9.1.2</w:t>
        </w:r>
      </w:hyperlink>
      <w:r>
        <w:t>), as at the end of 2025, 100 per cent of health services met the food and drinks requirements.</w:t>
      </w:r>
    </w:p>
    <w:p w14:paraId="410D0F34" w14:textId="26997F91" w:rsidR="00817104" w:rsidRDefault="00817104" w:rsidP="00817104">
      <w:pPr>
        <w:pStyle w:val="Body"/>
      </w:pPr>
      <w:r>
        <w:t xml:space="preserve">For more information, visit </w:t>
      </w:r>
      <w:hyperlink r:id="rId95" w:history="1">
        <w:r w:rsidRPr="000C0F36">
          <w:rPr>
            <w:rStyle w:val="Hyperlink"/>
          </w:rPr>
          <w:t>Healthy choices</w:t>
        </w:r>
      </w:hyperlink>
      <w:r w:rsidRPr="0670E279">
        <w:rPr>
          <w:rStyle w:val="Hyperlink"/>
        </w:rPr>
        <w:t xml:space="preserve"> </w:t>
      </w:r>
      <w:r>
        <w:t>&lt;https://www.health.vic.gov.au/preventive-health/healthy-choices&gt;.</w:t>
      </w:r>
    </w:p>
    <w:p w14:paraId="2D0D090C" w14:textId="77777777" w:rsidR="00817104" w:rsidRDefault="00817104" w:rsidP="00817104">
      <w:pPr>
        <w:pStyle w:val="Body"/>
      </w:pPr>
      <w:r>
        <w:t>When implementing Healthy Choices, funded organisations and key settings are encouraged to also integrate environmentally sustainable food procurement practices to ensure that food and drinks purchased with government funds not only promote health and wellbeing, but also drive social and environmental outcomes.</w:t>
      </w:r>
    </w:p>
    <w:p w14:paraId="6820CBF4" w14:textId="77777777" w:rsidR="00817104" w:rsidRDefault="00817104" w:rsidP="00817104">
      <w:pPr>
        <w:pStyle w:val="Body"/>
      </w:pPr>
      <w:r>
        <w:t xml:space="preserve">For more information visit </w:t>
      </w:r>
      <w:hyperlink r:id="rId96">
        <w:r w:rsidRPr="0670E279">
          <w:rPr>
            <w:rStyle w:val="Hyperlink"/>
          </w:rPr>
          <w:t>Healthy and more sustainable food procurement</w:t>
        </w:r>
      </w:hyperlink>
      <w:r>
        <w:t xml:space="preserve"> &lt;https://www.health.vic.gov.au/public-health/healthy-and-more-sustainable-food-procurement&gt;.</w:t>
      </w:r>
    </w:p>
    <w:p w14:paraId="4D3D2B21" w14:textId="728187C5" w:rsidR="00817104" w:rsidRPr="00A45910" w:rsidRDefault="00817104" w:rsidP="00817104">
      <w:pPr>
        <w:pStyle w:val="Heading3"/>
      </w:pPr>
      <w:bookmarkStart w:id="2156" w:name="_9.1.2_Healthy_Eating"/>
      <w:bookmarkEnd w:id="2156"/>
      <w:r>
        <w:t>Healthy Eating Advisory Service</w:t>
      </w:r>
    </w:p>
    <w:p w14:paraId="3EAC6283" w14:textId="77777777" w:rsidR="00817104" w:rsidRDefault="00817104" w:rsidP="00817104">
      <w:pPr>
        <w:pStyle w:val="Body"/>
      </w:pPr>
      <w:r>
        <w:t xml:space="preserve">The Healthy Eating Advisory Service offers free support for implementing the </w:t>
      </w:r>
      <w:r w:rsidRPr="00EF5858">
        <w:t xml:space="preserve">Healthy </w:t>
      </w:r>
      <w:r>
        <w:t>c</w:t>
      </w:r>
      <w:r w:rsidRPr="00EF5858">
        <w:t>hoices policy guidelines</w:t>
      </w:r>
      <w:r w:rsidRPr="00D62B37">
        <w:t xml:space="preserve"> and the </w:t>
      </w:r>
      <w:r w:rsidRPr="00EF5858">
        <w:t xml:space="preserve">Healthy </w:t>
      </w:r>
      <w:r>
        <w:t>c</w:t>
      </w:r>
      <w:r w:rsidRPr="00EF5858">
        <w:t>hoices policy directive</w:t>
      </w:r>
      <w:r>
        <w:t>, as well as implementing aligned food and drink policies in schools and early childhood services.</w:t>
      </w:r>
    </w:p>
    <w:p w14:paraId="764C070A" w14:textId="77777777" w:rsidR="00817104" w:rsidRDefault="00817104" w:rsidP="00817104">
      <w:pPr>
        <w:pStyle w:val="Body"/>
      </w:pPr>
      <w:r>
        <w:t>Funded by the Victorian Government and delivered by the National Nutrition Foundation, it supports organisations to develop the skills and knowledge needed to remove sugary drinks and increase healthy food options in their retail food outlets, vending machines and catering. The service is available to health services, as well as early childhood services, schools, workplaces, sport and recreation facilities, parks and universities.</w:t>
      </w:r>
    </w:p>
    <w:p w14:paraId="5DB70776" w14:textId="77777777" w:rsidR="00817104" w:rsidRDefault="00817104" w:rsidP="00817104">
      <w:pPr>
        <w:pStyle w:val="Body"/>
      </w:pPr>
      <w:r>
        <w:t>The service provides:</w:t>
      </w:r>
    </w:p>
    <w:p w14:paraId="51A62B62" w14:textId="77777777" w:rsidR="00817104" w:rsidRPr="007D296D" w:rsidRDefault="00817104" w:rsidP="00817104">
      <w:pPr>
        <w:pStyle w:val="Bullet1"/>
        <w:numPr>
          <w:ilvl w:val="0"/>
          <w:numId w:val="2"/>
        </w:numPr>
      </w:pPr>
      <w:r w:rsidRPr="007D296D">
        <w:t>email and phone implementation advice from qualified dietitians and nutritionists</w:t>
      </w:r>
    </w:p>
    <w:p w14:paraId="6EDB2F8E" w14:textId="77777777" w:rsidR="00817104" w:rsidRPr="007D296D" w:rsidRDefault="00817104" w:rsidP="00817104">
      <w:pPr>
        <w:pStyle w:val="Bullet1"/>
        <w:numPr>
          <w:ilvl w:val="0"/>
          <w:numId w:val="2"/>
        </w:numPr>
      </w:pPr>
      <w:r w:rsidRPr="007D296D">
        <w:t>comprehensive online resources, recipes, tips, factsheets and case studies</w:t>
      </w:r>
    </w:p>
    <w:p w14:paraId="69BC5C6F" w14:textId="77777777" w:rsidR="00817104" w:rsidRPr="007D296D" w:rsidRDefault="00817104" w:rsidP="00817104">
      <w:pPr>
        <w:pStyle w:val="Bullet1"/>
        <w:numPr>
          <w:ilvl w:val="0"/>
          <w:numId w:val="2"/>
        </w:numPr>
      </w:pPr>
      <w:r w:rsidRPr="007D296D">
        <w:t>the FoodChecker tool for assessing products, menus, recipes and vending machines</w:t>
      </w:r>
    </w:p>
    <w:p w14:paraId="7A330648" w14:textId="77777777" w:rsidR="00817104" w:rsidRPr="007D296D" w:rsidRDefault="00817104" w:rsidP="00817104">
      <w:pPr>
        <w:pStyle w:val="Bullet1"/>
        <w:numPr>
          <w:ilvl w:val="0"/>
          <w:numId w:val="2"/>
        </w:numPr>
      </w:pPr>
      <w:r w:rsidRPr="007D296D">
        <w:t>online training</w:t>
      </w:r>
    </w:p>
    <w:p w14:paraId="1284F0F2" w14:textId="77777777" w:rsidR="00817104" w:rsidRPr="007D296D" w:rsidRDefault="00817104" w:rsidP="00817104">
      <w:pPr>
        <w:pStyle w:val="Bullet1"/>
        <w:numPr>
          <w:ilvl w:val="0"/>
          <w:numId w:val="2"/>
        </w:numPr>
      </w:pPr>
      <w:r w:rsidRPr="007D296D">
        <w:t>implementation forums and communities of practice.</w:t>
      </w:r>
    </w:p>
    <w:p w14:paraId="111C1FE6" w14:textId="77777777" w:rsidR="00817104" w:rsidRPr="006E7CE3" w:rsidDel="0B5D14B1" w:rsidRDefault="00817104" w:rsidP="00817104">
      <w:pPr>
        <w:pStyle w:val="Bodyafterbullets"/>
      </w:pPr>
      <w:r>
        <w:lastRenderedPageBreak/>
        <w:t xml:space="preserve">For more information, visit the </w:t>
      </w:r>
      <w:hyperlink r:id="rId97" w:history="1">
        <w:r w:rsidRPr="001B7FDD">
          <w:rPr>
            <w:rStyle w:val="Hyperlink"/>
          </w:rPr>
          <w:t>Health Eating Advisory Service</w:t>
        </w:r>
      </w:hyperlink>
      <w:r>
        <w:t xml:space="preserve"> website &lt;https://heas.health.vic.gov.au&gt;.</w:t>
      </w:r>
    </w:p>
    <w:p w14:paraId="7F0085EE" w14:textId="6E428E85" w:rsidR="00817104" w:rsidRDefault="00817104" w:rsidP="00817104">
      <w:pPr>
        <w:pStyle w:val="Heading3"/>
      </w:pPr>
      <w:r>
        <w:t>The Achievement Program</w:t>
      </w:r>
    </w:p>
    <w:p w14:paraId="521EF153" w14:textId="77777777" w:rsidR="00817104" w:rsidRPr="00F64BCC" w:rsidRDefault="00817104" w:rsidP="00817104">
      <w:pPr>
        <w:pStyle w:val="Body"/>
      </w:pPr>
      <w:r>
        <w:t>The Achievement Program, delivered by Cancer Council Victoria, is a comprehensive health and wellbeing quality framework for schools and early childhood services to support the creation of healthier environments in certain settings. This framework provides best-practice benchmarks to guide settings in determining the policy, cultural and environmental changes needed to improve the health of workers, students, children and the wider community.</w:t>
      </w:r>
    </w:p>
    <w:p w14:paraId="081CCC5B" w14:textId="77777777" w:rsidR="00817104" w:rsidRPr="00F64BCC" w:rsidRDefault="00817104" w:rsidP="00817104">
      <w:pPr>
        <w:pStyle w:val="Body"/>
      </w:pPr>
      <w:r>
        <w:t>The standards cover health priority areas, such as healthy eating, physical activity, and mental health and wellbeing. Once the settings and benchmarks for the health priority areas have been met, the organisations can apply for Victorian Government recognition.</w:t>
      </w:r>
    </w:p>
    <w:p w14:paraId="53D8724F" w14:textId="77777777" w:rsidR="00817104" w:rsidRPr="00F64BCC" w:rsidRDefault="00817104" w:rsidP="00817104">
      <w:pPr>
        <w:pStyle w:val="Body"/>
      </w:pPr>
      <w:r>
        <w:t xml:space="preserve">For more information, visit the </w:t>
      </w:r>
      <w:hyperlink r:id="rId98" w:history="1">
        <w:r w:rsidRPr="5125B2EC">
          <w:rPr>
            <w:rStyle w:val="Hyperlink"/>
          </w:rPr>
          <w:t>Achievement Program</w:t>
        </w:r>
      </w:hyperlink>
      <w:r>
        <w:t xml:space="preserve"> &lt;https://www.achievementprogram.health.vic.gov.au&gt;. </w:t>
      </w:r>
    </w:p>
    <w:p w14:paraId="31A623D5" w14:textId="0A626B32" w:rsidR="00817104" w:rsidRDefault="00817104" w:rsidP="00817104">
      <w:pPr>
        <w:pStyle w:val="Heading3"/>
      </w:pPr>
      <w:r>
        <w:t>Vic Kids Eat Well</w:t>
      </w:r>
    </w:p>
    <w:p w14:paraId="4DB961C5" w14:textId="77777777" w:rsidR="00817104" w:rsidRDefault="00817104" w:rsidP="00817104">
      <w:pPr>
        <w:pStyle w:val="Body"/>
      </w:pPr>
      <w:r>
        <w:t xml:space="preserve">The </w:t>
      </w:r>
      <w:r w:rsidRPr="00EF5858">
        <w:t>Vic Kids Eat Wel</w:t>
      </w:r>
      <w:r>
        <w:t xml:space="preserve">l initiative is jointly delivered by Cancer Council Victoria and the National Nutrition Foundation’s Healthy Eating Advisory Service. It aims to boost uptake of healthy eating across settings where children and families spend their time. It focuses on </w:t>
      </w:r>
      <w:r w:rsidRPr="006E5FE6">
        <w:t>achievable</w:t>
      </w:r>
      <w:r w:rsidRPr="00F64BCC">
        <w:t xml:space="preserve"> actions that settings can take to create healthier places for children.</w:t>
      </w:r>
    </w:p>
    <w:p w14:paraId="5BE88FAB" w14:textId="77777777" w:rsidR="00817104" w:rsidRDefault="00817104" w:rsidP="00817104">
      <w:pPr>
        <w:pStyle w:val="Body"/>
      </w:pPr>
      <w:r>
        <w:t xml:space="preserve">For more information, visit </w:t>
      </w:r>
      <w:hyperlink r:id="rId99" w:history="1">
        <w:r w:rsidRPr="00384772">
          <w:rPr>
            <w:rStyle w:val="Hyperlink"/>
          </w:rPr>
          <w:t>Vic Kids Eat Well</w:t>
        </w:r>
      </w:hyperlink>
      <w:r>
        <w:t xml:space="preserve"> &lt;</w:t>
      </w:r>
      <w:r w:rsidRPr="00384772">
        <w:t>https://www.vickidseatwell.health.vic.gov.au</w:t>
      </w:r>
      <w:r>
        <w:t>&gt;.</w:t>
      </w:r>
    </w:p>
    <w:p w14:paraId="03DC6971" w14:textId="7CB71FC6" w:rsidR="00817104" w:rsidRPr="00C05360" w:rsidRDefault="00817104" w:rsidP="00817104">
      <w:pPr>
        <w:pStyle w:val="Heading3"/>
      </w:pPr>
      <w:r w:rsidRPr="00C05360">
        <w:t>Victorian Eyecare Service</w:t>
      </w:r>
    </w:p>
    <w:p w14:paraId="39C5D11E" w14:textId="77777777" w:rsidR="00817104" w:rsidRDefault="00817104" w:rsidP="00817104">
      <w:pPr>
        <w:pStyle w:val="Body"/>
      </w:pPr>
      <w:r>
        <w:t xml:space="preserve">The Victorian Eyecare Service provides low-cost eye care services and visual aids (glasses and contact lenses) to people experiencing disadvantage or other barriers to accessing eye care services. The service is delivered by the Australian College of Optometry Eye Health through dedicated clinics in metropolitan Melbourne and selected private practice optometrists in regional Victoria. </w:t>
      </w:r>
    </w:p>
    <w:p w14:paraId="74F44728" w14:textId="184A0119" w:rsidR="00817104" w:rsidRDefault="00817104" w:rsidP="00817104">
      <w:pPr>
        <w:pStyle w:val="Body"/>
      </w:pPr>
      <w:r>
        <w:t xml:space="preserve">The Victorian </w:t>
      </w:r>
      <w:r w:rsidRPr="00AE1620">
        <w:t>Aboriginal Spectacles Subsidy Scheme</w:t>
      </w:r>
      <w:r>
        <w:t xml:space="preserve"> is available to</w:t>
      </w:r>
      <w:r w:rsidRPr="00AE1620">
        <w:t xml:space="preserve"> </w:t>
      </w:r>
      <w:r>
        <w:t xml:space="preserve">Aboriginal </w:t>
      </w:r>
      <w:r w:rsidR="00077755">
        <w:t>Victorians and</w:t>
      </w:r>
      <w:r>
        <w:t xml:space="preserve"> provides an added subsidy to the Victorian Eyecare Service, making visual aids available for a client contribution from $10.</w:t>
      </w:r>
    </w:p>
    <w:p w14:paraId="5A5AD2E0" w14:textId="77777777" w:rsidR="00817104" w:rsidRDefault="00817104" w:rsidP="00817104">
      <w:pPr>
        <w:pStyle w:val="Body"/>
      </w:pPr>
      <w:r>
        <w:t xml:space="preserve">For more information, visit </w:t>
      </w:r>
      <w:hyperlink r:id="rId100" w:history="1">
        <w:r w:rsidRPr="00F06D02">
          <w:rPr>
            <w:rStyle w:val="Hyperlink"/>
          </w:rPr>
          <w:t>Victorian Eyecare Service</w:t>
        </w:r>
      </w:hyperlink>
      <w:r>
        <w:t xml:space="preserve"> &lt;</w:t>
      </w:r>
      <w:r w:rsidRPr="00F06D02">
        <w:t>https://www.health.vic.gov.au/primary-care/victorian-eyecare-service</w:t>
      </w:r>
      <w:r>
        <w:t>&gt;.</w:t>
      </w:r>
    </w:p>
    <w:p w14:paraId="6958B344" w14:textId="184ADB21" w:rsidR="00817104" w:rsidRDefault="00817104" w:rsidP="00817104">
      <w:pPr>
        <w:pStyle w:val="Heading3"/>
      </w:pPr>
      <w:r w:rsidRPr="004C3F99">
        <w:t>Regional Population Health Catchment Plans</w:t>
      </w:r>
    </w:p>
    <w:p w14:paraId="0AE21405" w14:textId="77777777" w:rsidR="00817104" w:rsidRPr="00F80445" w:rsidRDefault="00817104" w:rsidP="00817104">
      <w:pPr>
        <w:pStyle w:val="Body"/>
      </w:pPr>
      <w:r w:rsidRPr="00467816">
        <w:t>Local Public Health Unit</w:t>
      </w:r>
      <w:r>
        <w:t>s</w:t>
      </w:r>
      <w:r w:rsidRPr="00467816">
        <w:t xml:space="preserve"> </w:t>
      </w:r>
      <w:r>
        <w:t>(</w:t>
      </w:r>
      <w:r w:rsidRPr="00F80445">
        <w:t>LPHUs</w:t>
      </w:r>
      <w:r>
        <w:t>)</w:t>
      </w:r>
      <w:r w:rsidRPr="00F80445">
        <w:t xml:space="preserve"> </w:t>
      </w:r>
      <w:r>
        <w:t>receive health advancement funding to</w:t>
      </w:r>
      <w:r w:rsidRPr="00F80445">
        <w:t xml:space="preserve"> prepare and implement regional population health catchment plans in line with the priorities of the </w:t>
      </w:r>
      <w:r w:rsidRPr="00D46D73">
        <w:t>Victorian Public Health and Wellbeing Plan 2023–2027</w:t>
      </w:r>
      <w:r w:rsidRPr="00F80445">
        <w:t>, taking into consideration local municipal public health and wellbeing plans and the LPHU population health catchment planning framework.</w:t>
      </w:r>
    </w:p>
    <w:p w14:paraId="1E26AEE7" w14:textId="3515AC7D" w:rsidR="00817104" w:rsidRDefault="00817104" w:rsidP="00817104">
      <w:pPr>
        <w:pStyle w:val="Body"/>
      </w:pPr>
      <w:r w:rsidRPr="00F80445">
        <w:t xml:space="preserve">LPHUs foster a partnership-based approach to the delivery of prevention and health promotion activities tailored to the specific needs, priorities, challenges and resources of their respective catchment. This includes engagement with the community and key stakeholders to understand local health and wellbeing needs, and collaboration with partners, including local councils, </w:t>
      </w:r>
      <w:r w:rsidRPr="000232AF">
        <w:t xml:space="preserve">Aboriginal </w:t>
      </w:r>
      <w:r w:rsidRPr="000232AF">
        <w:lastRenderedPageBreak/>
        <w:t>community</w:t>
      </w:r>
      <w:r w:rsidR="00F315A9">
        <w:t>-</w:t>
      </w:r>
      <w:r w:rsidRPr="000232AF">
        <w:t>controlled organisation</w:t>
      </w:r>
      <w:r>
        <w:t>s</w:t>
      </w:r>
      <w:r w:rsidRPr="00F80445">
        <w:t xml:space="preserve"> </w:t>
      </w:r>
      <w:r>
        <w:t>(</w:t>
      </w:r>
      <w:r w:rsidRPr="00F80445">
        <w:t>ACCOs</w:t>
      </w:r>
      <w:r>
        <w:t>)</w:t>
      </w:r>
      <w:r w:rsidRPr="00F80445">
        <w:t>, community health and NGOs to align priorities and activities, and enhance the effectiveness of health promotion efforts.</w:t>
      </w:r>
    </w:p>
    <w:p w14:paraId="4D109867" w14:textId="0AC53F8F" w:rsidR="00817104" w:rsidRDefault="00817104" w:rsidP="00817104">
      <w:pPr>
        <w:pStyle w:val="Heading3"/>
      </w:pPr>
      <w:r>
        <w:t>VicHealth</w:t>
      </w:r>
    </w:p>
    <w:p w14:paraId="10B38202" w14:textId="77777777" w:rsidR="00817104" w:rsidRPr="00F64BCC" w:rsidRDefault="00817104" w:rsidP="00817104">
      <w:pPr>
        <w:pStyle w:val="Body"/>
      </w:pPr>
      <w:r w:rsidRPr="00F64BCC">
        <w:t xml:space="preserve">The Victorian Health Promotion Foundation (VicHealth) is a key partner in the statewide public health system. </w:t>
      </w:r>
      <w:r>
        <w:t xml:space="preserve">VicHealth plays a key role in driving health promotion and prevention initiatives to improve community wellbeing and reduce the burden of disease. </w:t>
      </w:r>
    </w:p>
    <w:p w14:paraId="518F515B" w14:textId="77777777" w:rsidR="00817104" w:rsidRPr="00F64BCC" w:rsidRDefault="00817104" w:rsidP="00817104">
      <w:pPr>
        <w:pStyle w:val="Body"/>
      </w:pPr>
      <w:r>
        <w:t>As a state-funded statutory authority, VicHealth works collaboratively with government, community organisations, researchers and businesses to create healthier environments and policies that support active living, mental wellbeing, health eating, and reduced harm from alcohol and tobacco.</w:t>
      </w:r>
    </w:p>
    <w:p w14:paraId="0230E69B" w14:textId="77777777" w:rsidR="00817104" w:rsidRPr="00F64BCC" w:rsidRDefault="00817104" w:rsidP="00817104">
      <w:pPr>
        <w:pStyle w:val="Body"/>
      </w:pPr>
      <w:r w:rsidRPr="00F64BCC">
        <w:t>VicHealth’s strategic directions are outlined in the</w:t>
      </w:r>
      <w:r>
        <w:t xml:space="preserve"> </w:t>
      </w:r>
      <w:r w:rsidRPr="002D6AE5">
        <w:rPr>
          <w:i/>
          <w:iCs/>
        </w:rPr>
        <w:t>VicHealth strategy 2023–2033</w:t>
      </w:r>
      <w:r w:rsidRPr="0E44EB97">
        <w:rPr>
          <w:i/>
          <w:iCs/>
        </w:rPr>
        <w:t>.</w:t>
      </w:r>
      <w:r w:rsidRPr="000F01F1">
        <w:t xml:space="preserve"> This strategy focuses on a systems lens across neighbourhood and built systems, commercial and economic systems</w:t>
      </w:r>
      <w:r w:rsidRPr="0E44EB97">
        <w:t>,</w:t>
      </w:r>
      <w:r w:rsidRPr="000F01F1">
        <w:t xml:space="preserve"> and food systems</w:t>
      </w:r>
      <w:r>
        <w:t>,</w:t>
      </w:r>
      <w:r w:rsidRPr="0E44EB97">
        <w:t xml:space="preserve"> as well as being aligned w</w:t>
      </w:r>
      <w:r w:rsidRPr="000F01F1">
        <w:t xml:space="preserve">ith the </w:t>
      </w:r>
      <w:r w:rsidRPr="00EF5858">
        <w:t>Victorian Public Health and Wellbeing Plan</w:t>
      </w:r>
      <w:r w:rsidRPr="000F01F1">
        <w:t xml:space="preserve"> priorities. The strategy reflects</w:t>
      </w:r>
      <w:r w:rsidRPr="00F64BCC">
        <w:t xml:space="preserve"> the vision for a</w:t>
      </w:r>
      <w:r w:rsidRPr="00D1655D">
        <w:t xml:space="preserve"> healthier, fairer Victoria where all Victorians benefit from good health and have the opportunity to thrive.</w:t>
      </w:r>
    </w:p>
    <w:p w14:paraId="290B73EB" w14:textId="4C23F7C3" w:rsidR="00817104" w:rsidRPr="003D1BD1" w:rsidRDefault="00817104" w:rsidP="00817104">
      <w:pPr>
        <w:pStyle w:val="Heading3"/>
      </w:pPr>
      <w:r w:rsidRPr="3CBB6D1D">
        <w:rPr>
          <w:i/>
          <w:iCs/>
        </w:rPr>
        <w:t>Life!</w:t>
      </w:r>
      <w:r>
        <w:t xml:space="preserve"> program</w:t>
      </w:r>
    </w:p>
    <w:p w14:paraId="376ACD46" w14:textId="77777777" w:rsidR="00817104" w:rsidRDefault="00817104" w:rsidP="00817104">
      <w:pPr>
        <w:pStyle w:val="Body"/>
      </w:pPr>
      <w:r>
        <w:t xml:space="preserve">The </w:t>
      </w:r>
      <w:r w:rsidRPr="00BF1AF6">
        <w:rPr>
          <w:i/>
          <w:iCs/>
        </w:rPr>
        <w:t>Life!</w:t>
      </w:r>
      <w:r w:rsidRPr="0670E279">
        <w:rPr>
          <w:i/>
          <w:iCs/>
        </w:rPr>
        <w:t xml:space="preserve"> </w:t>
      </w:r>
      <w:r>
        <w:t xml:space="preserve">program provides healthy lifestyle education and skills through group courses (online and face to face) and telephone health coaching, to adults who are at risk of developing type 2 diabetes or cardiovascular disease. </w:t>
      </w:r>
    </w:p>
    <w:p w14:paraId="1751CB2D" w14:textId="77777777" w:rsidR="00817104" w:rsidRDefault="00817104" w:rsidP="00817104">
      <w:pPr>
        <w:pStyle w:val="Body"/>
      </w:pPr>
      <w:r>
        <w:t xml:space="preserve">The program was launched in 2007, based on research findings from local and international trials demonstrating that lifestyle modification can reduce the incidence of type 2 diabetes. In 2012, it transitioned into a prevention program for type 2 diabetes and cardiovascular disease. </w:t>
      </w:r>
    </w:p>
    <w:p w14:paraId="37EC4189" w14:textId="77777777" w:rsidR="00817104" w:rsidRDefault="00817104" w:rsidP="00817104">
      <w:pPr>
        <w:pStyle w:val="Body"/>
      </w:pPr>
      <w:r>
        <w:t xml:space="preserve">Funding is provided to Diabetes Victoria to deliver the </w:t>
      </w:r>
      <w:r w:rsidRPr="0670E279">
        <w:rPr>
          <w:i/>
          <w:iCs/>
        </w:rPr>
        <w:t>Life!</w:t>
      </w:r>
      <w:r>
        <w:t xml:space="preserve"> program and associated activities, including evaluation and continuous quality improvement of the program. This funding is output-based and results for participation are reported monthly. </w:t>
      </w:r>
    </w:p>
    <w:p w14:paraId="7D9AE37B" w14:textId="1AE4D121" w:rsidR="00817104" w:rsidRDefault="00817104" w:rsidP="00817104">
      <w:pPr>
        <w:pStyle w:val="Heading3"/>
      </w:pPr>
      <w:r>
        <w:t>SunSmart</w:t>
      </w:r>
    </w:p>
    <w:p w14:paraId="3A15E729" w14:textId="77777777" w:rsidR="00817104" w:rsidRDefault="00817104" w:rsidP="00817104">
      <w:pPr>
        <w:pStyle w:val="Body"/>
        <w:rPr>
          <w:lang w:val="en-US"/>
        </w:rPr>
      </w:pPr>
      <w:r w:rsidRPr="009E621E">
        <w:t>SunSmart</w:t>
      </w:r>
      <w:r>
        <w:t xml:space="preserve"> was launched in 1988 as community-wide initiative to</w:t>
      </w:r>
      <w:r w:rsidRPr="009E621E">
        <w:t xml:space="preserve"> reduc</w:t>
      </w:r>
      <w:r>
        <w:t>e</w:t>
      </w:r>
      <w:r w:rsidRPr="009E621E">
        <w:t xml:space="preserve"> skin cancer risk and rates</w:t>
      </w:r>
      <w:r>
        <w:t xml:space="preserve"> </w:t>
      </w:r>
      <w:r w:rsidRPr="009E621E">
        <w:t>by</w:t>
      </w:r>
      <w:r>
        <w:t xml:space="preserve"> </w:t>
      </w:r>
      <w:r w:rsidRPr="009E621E">
        <w:t>influencing</w:t>
      </w:r>
      <w:r>
        <w:t xml:space="preserve"> </w:t>
      </w:r>
      <w:r w:rsidRPr="009E621E">
        <w:t>attitudes,</w:t>
      </w:r>
      <w:r>
        <w:t xml:space="preserve"> </w:t>
      </w:r>
      <w:r w:rsidRPr="009E621E">
        <w:t>knowledge</w:t>
      </w:r>
      <w:r>
        <w:t xml:space="preserve"> </w:t>
      </w:r>
      <w:r w:rsidRPr="009E621E">
        <w:t>and behaviours across the entire community. </w:t>
      </w:r>
    </w:p>
    <w:p w14:paraId="7551E4EF" w14:textId="77777777" w:rsidR="00817104" w:rsidRDefault="00817104" w:rsidP="00817104">
      <w:pPr>
        <w:pStyle w:val="Body"/>
        <w:rPr>
          <w:lang w:val="en-US"/>
        </w:rPr>
      </w:pPr>
      <w:r>
        <w:rPr>
          <w:lang w:val="en-US"/>
        </w:rPr>
        <w:t xml:space="preserve">Funding is provided to Cancer Council Victoria to deliver community awareness campaigns, upskill GPs in dermoscopy to improve early detection of skin cancer, and deliver the SunSmart </w:t>
      </w:r>
      <w:r w:rsidRPr="007B7BB0">
        <w:rPr>
          <w:lang w:val="en-US"/>
        </w:rPr>
        <w:t>Program to prevent and</w:t>
      </w:r>
      <w:r>
        <w:rPr>
          <w:lang w:val="en-US"/>
        </w:rPr>
        <w:t xml:space="preserve"> </w:t>
      </w:r>
      <w:r w:rsidRPr="007B7BB0">
        <w:rPr>
          <w:lang w:val="en-US"/>
        </w:rPr>
        <w:t>minimise</w:t>
      </w:r>
      <w:r>
        <w:rPr>
          <w:lang w:val="en-US"/>
        </w:rPr>
        <w:t xml:space="preserve"> </w:t>
      </w:r>
      <w:r w:rsidRPr="007B7BB0">
        <w:rPr>
          <w:lang w:val="en-US"/>
        </w:rPr>
        <w:t>the adverse effects of UV exposure through schools,</w:t>
      </w:r>
      <w:r>
        <w:rPr>
          <w:lang w:val="en-US"/>
        </w:rPr>
        <w:t xml:space="preserve"> </w:t>
      </w:r>
      <w:r w:rsidRPr="007B7BB0">
        <w:rPr>
          <w:lang w:val="en-US"/>
        </w:rPr>
        <w:t>early childhood services,</w:t>
      </w:r>
      <w:r>
        <w:rPr>
          <w:lang w:val="en-US"/>
        </w:rPr>
        <w:t xml:space="preserve"> </w:t>
      </w:r>
      <w:r w:rsidRPr="007B7BB0">
        <w:rPr>
          <w:lang w:val="en-US"/>
        </w:rPr>
        <w:t>workplaces,</w:t>
      </w:r>
      <w:r>
        <w:rPr>
          <w:lang w:val="en-US"/>
        </w:rPr>
        <w:t xml:space="preserve"> </w:t>
      </w:r>
      <w:r w:rsidRPr="007B7BB0">
        <w:rPr>
          <w:lang w:val="en-US"/>
        </w:rPr>
        <w:t>and</w:t>
      </w:r>
      <w:r>
        <w:rPr>
          <w:lang w:val="en-US"/>
        </w:rPr>
        <w:t xml:space="preserve"> </w:t>
      </w:r>
      <w:r w:rsidRPr="007B7BB0">
        <w:rPr>
          <w:lang w:val="en-US"/>
        </w:rPr>
        <w:t>local government</w:t>
      </w:r>
      <w:r>
        <w:rPr>
          <w:lang w:val="en-US"/>
        </w:rPr>
        <w:t xml:space="preserve"> </w:t>
      </w:r>
      <w:r w:rsidRPr="007B7BB0">
        <w:rPr>
          <w:lang w:val="en-US"/>
        </w:rPr>
        <w:t xml:space="preserve">settings. </w:t>
      </w:r>
    </w:p>
    <w:p w14:paraId="61C8AB3E" w14:textId="573797EF" w:rsidR="00817104" w:rsidRDefault="00817104" w:rsidP="00817104">
      <w:pPr>
        <w:pStyle w:val="Heading3"/>
      </w:pPr>
      <w:r>
        <w:t xml:space="preserve">Cancer screening program </w:t>
      </w:r>
      <w:r w:rsidRPr="00DC4A01">
        <w:t>pathways</w:t>
      </w:r>
    </w:p>
    <w:p w14:paraId="6A5E64A1" w14:textId="77777777" w:rsidR="00817104" w:rsidRPr="00BC2319" w:rsidRDefault="00817104" w:rsidP="00817104">
      <w:pPr>
        <w:pStyle w:val="Heading4"/>
      </w:pPr>
      <w:r>
        <w:t xml:space="preserve">Colonoscopy arising from a </w:t>
      </w:r>
      <w:r w:rsidRPr="00DC4A01">
        <w:t>positive</w:t>
      </w:r>
      <w:r>
        <w:t xml:space="preserve"> National Bowel Cancer Screening Program test</w:t>
      </w:r>
    </w:p>
    <w:p w14:paraId="42475F09" w14:textId="77777777" w:rsidR="00817104" w:rsidRDefault="00817104" w:rsidP="00817104">
      <w:pPr>
        <w:pStyle w:val="Body"/>
      </w:pPr>
      <w:r>
        <w:t>The National Bowel Cancer Screening Program (NBCSP) is an Australian Government population health initiative to improve the early detection and prevention of bowel cancer. The program invites eligible people aged 50–74 years to have a free faecal occult blood test every two years. People aged 45–49 are also able to access the program, but do not receive a direct invitation.</w:t>
      </w:r>
    </w:p>
    <w:p w14:paraId="4715C159" w14:textId="77777777" w:rsidR="00817104" w:rsidRDefault="00817104" w:rsidP="00817104">
      <w:pPr>
        <w:pStyle w:val="Body"/>
      </w:pPr>
      <w:r>
        <w:lastRenderedPageBreak/>
        <w:t xml:space="preserve">People who meet the eligibility requirements to participate in the program receive an invitation through the mail to complete a faecal occult blood test at home, which is returned by mail to a laboratory for analysis. Participants can access the test through their GP as an alternative option. </w:t>
      </w:r>
    </w:p>
    <w:p w14:paraId="28A74E72" w14:textId="77777777" w:rsidR="00817104" w:rsidRPr="006871BE" w:rsidRDefault="00817104" w:rsidP="00817104">
      <w:pPr>
        <w:pStyle w:val="Body"/>
      </w:pPr>
      <w:r w:rsidDel="007D2FA6">
        <w:t>P</w:t>
      </w:r>
      <w:r>
        <w:t xml:space="preserve">articipants with a positive screening test are encouraged to see their GP and are usually referred for a colonoscopy. </w:t>
      </w:r>
      <w:r w:rsidRPr="006871BE">
        <w:t>For participants with a positive screening test and no recorded follow</w:t>
      </w:r>
      <w:r>
        <w:t xml:space="preserve"> </w:t>
      </w:r>
      <w:r w:rsidRPr="006871BE">
        <w:t>up in the N</w:t>
      </w:r>
      <w:r>
        <w:t xml:space="preserve">ational </w:t>
      </w:r>
      <w:r w:rsidRPr="006871BE">
        <w:t>C</w:t>
      </w:r>
      <w:r>
        <w:t xml:space="preserve">ancer </w:t>
      </w:r>
      <w:r w:rsidRPr="006871BE">
        <w:t>S</w:t>
      </w:r>
      <w:r>
        <w:t xml:space="preserve">creening </w:t>
      </w:r>
      <w:r w:rsidRPr="006871BE">
        <w:t>R</w:t>
      </w:r>
      <w:r>
        <w:t>egister</w:t>
      </w:r>
      <w:r w:rsidRPr="006871BE">
        <w:t xml:space="preserve">, the Victorian Participant </w:t>
      </w:r>
      <w:r>
        <w:t>Follow Up</w:t>
      </w:r>
      <w:r w:rsidRPr="006871BE">
        <w:t xml:space="preserve"> Program</w:t>
      </w:r>
      <w:r>
        <w:t>, delivered by the Australian Centre for the Prevention of Cervical Cancer</w:t>
      </w:r>
      <w:r w:rsidRPr="006871BE">
        <w:t xml:space="preserve"> supports </w:t>
      </w:r>
      <w:r>
        <w:t>follow up</w:t>
      </w:r>
      <w:r w:rsidRPr="006871BE">
        <w:t xml:space="preserve"> with their GP and progression to </w:t>
      </w:r>
      <w:r>
        <w:t xml:space="preserve">colonoscopy. </w:t>
      </w:r>
    </w:p>
    <w:p w14:paraId="35794075" w14:textId="77777777" w:rsidR="00817104" w:rsidRDefault="00817104" w:rsidP="00817104">
      <w:pPr>
        <w:pStyle w:val="Body"/>
      </w:pPr>
      <w:r>
        <w:t>In providing colonoscopy services for NBCSP participants, all health services are expected to:</w:t>
      </w:r>
    </w:p>
    <w:p w14:paraId="07AAA891" w14:textId="4AED547E" w:rsidR="00817104" w:rsidRPr="00A45910" w:rsidRDefault="00817104" w:rsidP="00817104">
      <w:pPr>
        <w:pStyle w:val="Bullet1"/>
        <w:numPr>
          <w:ilvl w:val="0"/>
          <w:numId w:val="2"/>
        </w:numPr>
      </w:pPr>
      <w:r>
        <w:t xml:space="preserve">provide services in accordance with relevant </w:t>
      </w:r>
      <w:r w:rsidRPr="00487ADE">
        <w:t xml:space="preserve">Victorian policies, such as the </w:t>
      </w:r>
      <w:hyperlink r:id="rId101" w:history="1">
        <w:r w:rsidR="008B325B" w:rsidRPr="008B325B">
          <w:rPr>
            <w:rStyle w:val="Hyperlink"/>
            <w:i/>
            <w:iCs/>
          </w:rPr>
          <w:t>Planned surgery access policy 2024</w:t>
        </w:r>
      </w:hyperlink>
      <w:r>
        <w:t xml:space="preserve"> &lt;</w:t>
      </w:r>
      <w:r w:rsidRPr="000F5095">
        <w:t>www.health.vic.gov.au/surgical-services/planned-surgery-access-policy-2024</w:t>
      </w:r>
      <w:r>
        <w:t>&gt; and</w:t>
      </w:r>
      <w:r w:rsidRPr="00487ADE">
        <w:t xml:space="preserve"> the </w:t>
      </w:r>
      <w:hyperlink r:id="rId102" w:history="1">
        <w:r w:rsidRPr="00A323F6">
          <w:rPr>
            <w:rStyle w:val="Hyperlink"/>
          </w:rPr>
          <w:t>Colonoscopy categorisation guidelines</w:t>
        </w:r>
      </w:hyperlink>
      <w:r>
        <w:t xml:space="preserve"> &lt;https://</w:t>
      </w:r>
      <w:r w:rsidRPr="00A639D3">
        <w:t>www.health.vic.gov.au/publications/colonoscopy-categorisation-guidelines</w:t>
      </w:r>
      <w:r>
        <w:t xml:space="preserve">&gt;. The </w:t>
      </w:r>
      <w:hyperlink r:id="rId103">
        <w:r w:rsidRPr="00BF0E69">
          <w:rPr>
            <w:rStyle w:val="BodyChar"/>
            <w:color w:val="004C97"/>
            <w:u w:val="dotted"/>
          </w:rPr>
          <w:t>Endoscopy categorisation tool</w:t>
        </w:r>
      </w:hyperlink>
      <w:r w:rsidRPr="00BF0E69">
        <w:rPr>
          <w:rStyle w:val="BodyChar"/>
        </w:rPr>
        <w:t xml:space="preserve"> </w:t>
      </w:r>
      <w:r>
        <w:t>&lt;</w:t>
      </w:r>
      <w:r w:rsidRPr="00BF0E69">
        <w:rPr>
          <w:color w:val="000000" w:themeColor="text1"/>
        </w:rPr>
        <w:t xml:space="preserve">https://endocatvic.net.au/endoscopy-categorisation/&gt; </w:t>
      </w:r>
      <w:r>
        <w:t>supports consistent application of the Colonoscopy categorisation guidelines by providing an automated clinical prioritisation recommendation</w:t>
      </w:r>
    </w:p>
    <w:p w14:paraId="391170E8" w14:textId="77777777" w:rsidR="00817104" w:rsidRDefault="00817104" w:rsidP="00817104">
      <w:pPr>
        <w:pStyle w:val="Bullet1"/>
        <w:numPr>
          <w:ilvl w:val="0"/>
          <w:numId w:val="2"/>
        </w:numPr>
      </w:pPr>
      <w:r>
        <w:t xml:space="preserve">use the statewide referral criteria for a </w:t>
      </w:r>
      <w:hyperlink r:id="rId104" w:history="1">
        <w:r>
          <w:rPr>
            <w:rStyle w:val="Hyperlink"/>
          </w:rPr>
          <w:t>P</w:t>
        </w:r>
        <w:r w:rsidRPr="00DA44D9">
          <w:rPr>
            <w:rStyle w:val="Hyperlink"/>
          </w:rPr>
          <w:t>ositive faecal occult blood test</w:t>
        </w:r>
      </w:hyperlink>
      <w:r>
        <w:t xml:space="preserve"> &lt;</w:t>
      </w:r>
      <w:r w:rsidRPr="00FB6AB4">
        <w:t>https://www.health.vic.gov.au/statewide-referral-criteria/positive-faecal-occult-blood-test-fobt-diagnostic-colonoscopy</w:t>
      </w:r>
      <w:r>
        <w:t>&gt;</w:t>
      </w:r>
    </w:p>
    <w:p w14:paraId="6D2550E4" w14:textId="77777777" w:rsidR="00817104" w:rsidRPr="00B9484E" w:rsidRDefault="00817104" w:rsidP="00817104">
      <w:pPr>
        <w:pStyle w:val="Bullet1"/>
        <w:numPr>
          <w:ilvl w:val="0"/>
          <w:numId w:val="2"/>
        </w:numPr>
      </w:pPr>
      <w:r>
        <w:t>report all NBCSP colonoscopies to the Victorian Admitted Episodes Dataset (VAED) using the NBCSP flag to ensure access to NBCSP funding under Funding arrangement Code 8</w:t>
      </w:r>
    </w:p>
    <w:p w14:paraId="4B9D2826" w14:textId="77777777" w:rsidR="00817104" w:rsidRDefault="00817104" w:rsidP="00817104">
      <w:pPr>
        <w:pStyle w:val="Bullet1"/>
        <w:numPr>
          <w:ilvl w:val="0"/>
          <w:numId w:val="2"/>
        </w:numPr>
      </w:pPr>
      <w:r w:rsidRPr="00543BB0">
        <w:t xml:space="preserve">meet reporting requirements of the NBCSP, including to the </w:t>
      </w:r>
      <w:hyperlink r:id="rId105" w:anchor="hcpportal">
        <w:r w:rsidRPr="0670E279">
          <w:rPr>
            <w:rStyle w:val="Hyperlink"/>
          </w:rPr>
          <w:t>National Cancer Screening Register</w:t>
        </w:r>
      </w:hyperlink>
      <w:r w:rsidRPr="0670E279">
        <w:rPr>
          <w:rStyle w:val="Hyperlink"/>
        </w:rPr>
        <w:t xml:space="preserve"> </w:t>
      </w:r>
      <w:r>
        <w:t>&lt;http://www.ncsr.gov.au/content/ncsr/en/healthcare-providers/RegisterAccess.html#hcpportal&gt;.</w:t>
      </w:r>
    </w:p>
    <w:p w14:paraId="671A143E" w14:textId="77777777" w:rsidR="00817104" w:rsidRPr="0039512A" w:rsidRDefault="00817104" w:rsidP="00817104">
      <w:pPr>
        <w:pStyle w:val="Bodyafterbullets"/>
      </w:pPr>
      <w:r>
        <w:t xml:space="preserve">For more information, visit </w:t>
      </w:r>
      <w:hyperlink r:id="rId106">
        <w:r w:rsidRPr="0670E279">
          <w:rPr>
            <w:rStyle w:val="Hyperlink"/>
          </w:rPr>
          <w:t>NBCSP</w:t>
        </w:r>
      </w:hyperlink>
      <w:r>
        <w:t xml:space="preserve"> &lt;https://www.health.gov.au/initiatives-and-programs/national-bowel-cancer-screening-program&gt;.</w:t>
      </w:r>
    </w:p>
    <w:p w14:paraId="6E877193" w14:textId="77777777" w:rsidR="00817104" w:rsidRPr="00302C0E" w:rsidRDefault="00817104" w:rsidP="00817104">
      <w:pPr>
        <w:pStyle w:val="Heading4"/>
      </w:pPr>
      <w:r>
        <w:t>Colposcopy</w:t>
      </w:r>
      <w:r w:rsidRPr="00302C0E">
        <w:t xml:space="preserve"> arising from a positive National </w:t>
      </w:r>
      <w:r>
        <w:t>C</w:t>
      </w:r>
      <w:r w:rsidRPr="00302C0E">
        <w:t xml:space="preserve">ervical </w:t>
      </w:r>
      <w:r>
        <w:t>S</w:t>
      </w:r>
      <w:r w:rsidRPr="00302C0E">
        <w:t xml:space="preserve">creening </w:t>
      </w:r>
      <w:r>
        <w:t>P</w:t>
      </w:r>
      <w:r w:rsidRPr="00302C0E">
        <w:t xml:space="preserve">rogram test </w:t>
      </w:r>
    </w:p>
    <w:p w14:paraId="5D1D198C" w14:textId="77777777" w:rsidR="00817104" w:rsidRDefault="00817104" w:rsidP="00817104">
      <w:pPr>
        <w:pStyle w:val="Body"/>
      </w:pPr>
      <w:r>
        <w:t xml:space="preserve">The </w:t>
      </w:r>
      <w:r w:rsidRPr="00302C0E">
        <w:t xml:space="preserve">National </w:t>
      </w:r>
      <w:r>
        <w:t>C</w:t>
      </w:r>
      <w:r w:rsidRPr="00302C0E">
        <w:t xml:space="preserve">ervical </w:t>
      </w:r>
      <w:r>
        <w:t>S</w:t>
      </w:r>
      <w:r w:rsidRPr="00302C0E">
        <w:t xml:space="preserve">creening </w:t>
      </w:r>
      <w:r>
        <w:t>P</w:t>
      </w:r>
      <w:r w:rsidRPr="00302C0E">
        <w:t xml:space="preserve">rogram </w:t>
      </w:r>
      <w:r>
        <w:t xml:space="preserve">(NCSP) is an Australian Government population health initiative to improve the early detection and prevention of cervical cancer by screening for human papillomavirus (HPV). The program invites eligible women and people with a cervix aged 25–74 to have a free HPV test, either through a clinician or by self-collection. </w:t>
      </w:r>
    </w:p>
    <w:p w14:paraId="406A0785" w14:textId="77777777" w:rsidR="00817104" w:rsidRPr="000A66BF" w:rsidRDefault="00817104" w:rsidP="00817104">
      <w:pPr>
        <w:pStyle w:val="Body"/>
      </w:pPr>
      <w:r w:rsidRPr="000A66BF">
        <w:t xml:space="preserve">Several health services deliver public colposcopy services for </w:t>
      </w:r>
      <w:r>
        <w:t>women</w:t>
      </w:r>
      <w:r w:rsidRPr="000A66BF">
        <w:t xml:space="preserve"> and people with a cervix who have had a positive</w:t>
      </w:r>
      <w:r>
        <w:t xml:space="preserve"> cervical screening</w:t>
      </w:r>
      <w:r w:rsidRPr="000A66BF">
        <w:t xml:space="preserve"> tes</w:t>
      </w:r>
      <w:r>
        <w:t xml:space="preserve">t. </w:t>
      </w:r>
    </w:p>
    <w:p w14:paraId="3EAF563A" w14:textId="77777777" w:rsidR="00817104" w:rsidRPr="00F64BCC" w:rsidRDefault="00817104" w:rsidP="00817104">
      <w:pPr>
        <w:pStyle w:val="Body"/>
      </w:pPr>
      <w:r>
        <w:t xml:space="preserve">For the statewide referral criteria for dysplasia/abnormal cervical screening test, visit </w:t>
      </w:r>
      <w:hyperlink r:id="rId107" w:history="1">
        <w:r w:rsidRPr="00C22165">
          <w:rPr>
            <w:rStyle w:val="Hyperlink"/>
          </w:rPr>
          <w:t>Dysplasia/abnormal cervical screening test</w:t>
        </w:r>
      </w:hyperlink>
      <w:r w:rsidRPr="00C22165">
        <w:t xml:space="preserve"> </w:t>
      </w:r>
      <w:r>
        <w:t>&lt;</w:t>
      </w:r>
      <w:r w:rsidRPr="00D01895">
        <w:t>https://www.health.vic.gov.au/statewide-referral-criteria/dysplasiaabnormal-cervical-screening-test</w:t>
      </w:r>
      <w:r>
        <w:t>&gt;.</w:t>
      </w:r>
    </w:p>
    <w:p w14:paraId="678BD1E6" w14:textId="77777777" w:rsidR="00817104" w:rsidRDefault="00817104" w:rsidP="00817104">
      <w:pPr>
        <w:pStyle w:val="Bodyafterbullets"/>
      </w:pPr>
      <w:r w:rsidRPr="0670E279">
        <w:t>For more information, visit</w:t>
      </w:r>
      <w:r>
        <w:t xml:space="preserve"> the</w:t>
      </w:r>
      <w:r w:rsidRPr="0670E279">
        <w:t xml:space="preserve"> </w:t>
      </w:r>
      <w:hyperlink r:id="rId108">
        <w:r w:rsidRPr="0670E279">
          <w:rPr>
            <w:rStyle w:val="Hyperlink"/>
            <w:rFonts w:eastAsia="Calibri" w:cs="Calibri"/>
          </w:rPr>
          <w:t>N</w:t>
        </w:r>
        <w:r>
          <w:rPr>
            <w:rStyle w:val="Hyperlink"/>
            <w:rFonts w:eastAsia="Calibri" w:cs="Calibri"/>
          </w:rPr>
          <w:t>CSP</w:t>
        </w:r>
      </w:hyperlink>
      <w:r w:rsidRPr="0670E279">
        <w:t xml:space="preserve"> &lt;https://www.health.gov.au/our-work/national-cervical-screening-program</w:t>
      </w:r>
      <w:r w:rsidRPr="00F64BCC">
        <w:rPr>
          <w:rStyle w:val="BodyChar"/>
        </w:rPr>
        <w:t>&gt;.</w:t>
      </w:r>
    </w:p>
    <w:p w14:paraId="7A0054CB" w14:textId="77777777" w:rsidR="00817104" w:rsidRPr="001162CA" w:rsidRDefault="00817104" w:rsidP="00817104">
      <w:pPr>
        <w:pStyle w:val="Heading4"/>
      </w:pPr>
      <w:r w:rsidRPr="001162CA">
        <w:t>Clinical assessment arising from a high</w:t>
      </w:r>
      <w:r>
        <w:t>-</w:t>
      </w:r>
      <w:r w:rsidRPr="001162CA">
        <w:t>risk National Lung Cancer Screening</w:t>
      </w:r>
    </w:p>
    <w:p w14:paraId="79C1F3B1" w14:textId="77777777" w:rsidR="00817104" w:rsidRDefault="00817104" w:rsidP="00817104">
      <w:pPr>
        <w:pStyle w:val="Body"/>
      </w:pPr>
      <w:r>
        <w:t xml:space="preserve">The </w:t>
      </w:r>
      <w:r w:rsidRPr="00A530D4">
        <w:t>National Lung Cancer Screening</w:t>
      </w:r>
      <w:r w:rsidRPr="00A530D4" w:rsidDel="00A530D4">
        <w:t xml:space="preserve"> </w:t>
      </w:r>
      <w:r>
        <w:t xml:space="preserve">Program (NLCSP) is an Australian Government population health initiative that launched on 1 July 2025 to improve the early detection of lung cancer. </w:t>
      </w:r>
      <w:r w:rsidRPr="003608F8">
        <w:t xml:space="preserve">The </w:t>
      </w:r>
      <w:r>
        <w:t>program is available to people with a significant smoking history aged 50–70.</w:t>
      </w:r>
      <w:r w:rsidRPr="00F444DC">
        <w:rPr>
          <w:rFonts w:eastAsia="Times New Roman" w:cs="Arial"/>
          <w:color w:val="2A2736"/>
        </w:rPr>
        <w:t xml:space="preserve"> </w:t>
      </w:r>
      <w:r w:rsidRPr="00F444DC">
        <w:t xml:space="preserve">Participation requires a referral from an authorised healthcare provider, </w:t>
      </w:r>
      <w:r>
        <w:t xml:space="preserve">such as a GP, nurse practitioner or medical specialist. </w:t>
      </w:r>
    </w:p>
    <w:p w14:paraId="20AEC88F" w14:textId="77777777" w:rsidR="00817104" w:rsidRDefault="00817104" w:rsidP="00817104">
      <w:r>
        <w:lastRenderedPageBreak/>
        <w:t xml:space="preserve">Participants in the program who receive a high-risk scan result are referred for further clinical assessment. Several health services across Victoria provide lung nodule clinics to support these individuals, ensuring they receive timely access to specialist assessment and care. Referral to a public hospital lung nodule clinic is guided by established statewide referral criteria. </w:t>
      </w:r>
    </w:p>
    <w:p w14:paraId="6C50E825" w14:textId="77777777" w:rsidR="00817104" w:rsidRDefault="00817104" w:rsidP="00817104">
      <w:r>
        <w:t>For more information, visit:</w:t>
      </w:r>
    </w:p>
    <w:p w14:paraId="76E6B73E" w14:textId="77777777" w:rsidR="00817104" w:rsidRDefault="00817104" w:rsidP="00817104">
      <w:pPr>
        <w:pStyle w:val="Bullet1"/>
        <w:numPr>
          <w:ilvl w:val="0"/>
          <w:numId w:val="2"/>
        </w:numPr>
      </w:pPr>
      <w:hyperlink r:id="rId109" w:history="1">
        <w:r w:rsidRPr="0003185F">
          <w:rPr>
            <w:rStyle w:val="Hyperlink"/>
          </w:rPr>
          <w:t>National Lung Cancer Screening Program</w:t>
        </w:r>
      </w:hyperlink>
      <w:r>
        <w:t xml:space="preserve"> &lt;</w:t>
      </w:r>
      <w:r w:rsidRPr="00E771A0">
        <w:t>https://www.health.gov.au/our-work/nlcsp</w:t>
      </w:r>
      <w:r>
        <w:t>&gt;</w:t>
      </w:r>
    </w:p>
    <w:p w14:paraId="0C10C3A2" w14:textId="77777777" w:rsidR="00817104" w:rsidRPr="0076124D" w:rsidRDefault="00817104" w:rsidP="00817104">
      <w:pPr>
        <w:pStyle w:val="Bullet1"/>
        <w:numPr>
          <w:ilvl w:val="0"/>
          <w:numId w:val="2"/>
        </w:numPr>
      </w:pPr>
      <w:hyperlink r:id="rId110" w:history="1">
        <w:r w:rsidRPr="006A38AE">
          <w:rPr>
            <w:rStyle w:val="Hyperlink"/>
          </w:rPr>
          <w:t>Victorian Lung Nodule Clinic</w:t>
        </w:r>
      </w:hyperlink>
      <w:r w:rsidRPr="006A38AE">
        <w:rPr>
          <w:rFonts w:eastAsia="Times New Roman" w:cs="Arial"/>
          <w:sz w:val="20"/>
        </w:rPr>
        <w:t xml:space="preserve"> </w:t>
      </w:r>
      <w:r>
        <w:rPr>
          <w:rFonts w:eastAsia="Times New Roman" w:cs="Arial"/>
          <w:sz w:val="20"/>
        </w:rPr>
        <w:t>&lt;</w:t>
      </w:r>
      <w:r w:rsidRPr="00E771A0">
        <w:t>https://www.health.vic.gov.au/population-screening/lung-cancer-screening-lung-nodule-clinics</w:t>
      </w:r>
      <w:r>
        <w:t>&gt;.</w:t>
      </w:r>
    </w:p>
    <w:p w14:paraId="7A2DC5EF" w14:textId="77777777" w:rsidR="00817104" w:rsidRPr="00302C0E" w:rsidRDefault="00817104" w:rsidP="00817104">
      <w:pPr>
        <w:pStyle w:val="Heading4"/>
      </w:pPr>
      <w:r w:rsidRPr="00302C0E">
        <w:t xml:space="preserve">Victorian </w:t>
      </w:r>
      <w:r>
        <w:t>b</w:t>
      </w:r>
      <w:r w:rsidRPr="00302C0E">
        <w:t xml:space="preserve">reast </w:t>
      </w:r>
      <w:r>
        <w:t>s</w:t>
      </w:r>
      <w:r w:rsidRPr="00302C0E">
        <w:t xml:space="preserve">creen </w:t>
      </w:r>
      <w:r>
        <w:t>p</w:t>
      </w:r>
      <w:r w:rsidRPr="00302C0E">
        <w:t xml:space="preserve">rogram </w:t>
      </w:r>
    </w:p>
    <w:p w14:paraId="490F68D8" w14:textId="77777777" w:rsidR="00817104" w:rsidRDefault="00817104" w:rsidP="00817104">
      <w:pPr>
        <w:pStyle w:val="Body"/>
      </w:pPr>
      <w:r>
        <w:t>The BreastScreen Australia Program is jointly funded by the Australian and state and territory governments. BreastScreen Victoria is contracted to deliver the program in Victoria. The program invites eligible people aged 50–74 years to have a free mammogram at a breast screening clinic every two years. People over the age of 40 are also able to access the program, but do not receive a direct invitation.</w:t>
      </w:r>
    </w:p>
    <w:p w14:paraId="6F360C98" w14:textId="77777777" w:rsidR="00817104" w:rsidRDefault="00817104" w:rsidP="00817104">
      <w:pPr>
        <w:pStyle w:val="Body"/>
      </w:pPr>
      <w:r>
        <w:t xml:space="preserve">BreastScreen Victoria provides services through screening clinics and mobile vans. Women who require further tests are referred to the free BreastScreen Victoria </w:t>
      </w:r>
      <w:r w:rsidDel="00277DA8">
        <w:t>r</w:t>
      </w:r>
      <w:r>
        <w:t>eading and assessment services.</w:t>
      </w:r>
    </w:p>
    <w:p w14:paraId="078E132A" w14:textId="77777777" w:rsidR="00817104" w:rsidRDefault="00817104" w:rsidP="00817104">
      <w:pPr>
        <w:pStyle w:val="Body"/>
      </w:pPr>
      <w:r>
        <w:t xml:space="preserve">For more information, visit </w:t>
      </w:r>
      <w:hyperlink r:id="rId111" w:history="1">
        <w:r w:rsidRPr="004E789D">
          <w:rPr>
            <w:rStyle w:val="Hyperlink"/>
            <w:rFonts w:eastAsia="Calibri" w:cs="Calibri"/>
          </w:rPr>
          <w:t>BreastScreen Victoria</w:t>
        </w:r>
      </w:hyperlink>
      <w:r>
        <w:t xml:space="preserve"> &lt;www.breastscreen.org.a</w:t>
      </w:r>
      <w:r w:rsidRPr="00F64BCC">
        <w:t>u&gt;.</w:t>
      </w:r>
    </w:p>
    <w:p w14:paraId="7081F41E" w14:textId="0ACC8777" w:rsidR="00817104" w:rsidRPr="00370987" w:rsidRDefault="00817104" w:rsidP="00817104">
      <w:pPr>
        <w:pStyle w:val="Heading3"/>
      </w:pPr>
      <w:r>
        <w:t>Sexual and reproductive health and viral hepatitis</w:t>
      </w:r>
    </w:p>
    <w:p w14:paraId="447F1623" w14:textId="77777777" w:rsidR="00817104" w:rsidRDefault="00817104" w:rsidP="00817104">
      <w:pPr>
        <w:pStyle w:val="Body"/>
      </w:pPr>
      <w:r>
        <w:t>The department commissions sexual reproductive health and viral hepatitis services and programs to reduce the burden of disease and to improve the wellbeing of communities at risk or affected by high prevalence rates of blood-borne viruses (BBV), such as human immunodeficiency virus (HIV) and viral hepatitis, and sexually transmissible infections (STI).</w:t>
      </w:r>
    </w:p>
    <w:p w14:paraId="5A8124A4" w14:textId="77777777" w:rsidR="00817104" w:rsidRDefault="00817104" w:rsidP="00817104">
      <w:pPr>
        <w:pStyle w:val="Body"/>
      </w:pPr>
      <w:r>
        <w:t>A wide range of agencies are funded to provide peer-based care and support, clinical care, health promotion, research, surveillance and workforce training.</w:t>
      </w:r>
    </w:p>
    <w:p w14:paraId="27677EF2" w14:textId="77777777" w:rsidR="00817104" w:rsidRPr="00F64BCC" w:rsidRDefault="00817104" w:rsidP="00817104">
      <w:pPr>
        <w:pStyle w:val="Body"/>
      </w:pPr>
      <w:r w:rsidRPr="0670E279">
        <w:rPr>
          <w:rFonts w:eastAsia="VIC SemiBold" w:cs="Calibri"/>
        </w:rPr>
        <w:t xml:space="preserve">The </w:t>
      </w:r>
      <w:r>
        <w:rPr>
          <w:rFonts w:eastAsia="VIC SemiBold" w:cs="Calibri"/>
        </w:rPr>
        <w:t>program guidelines</w:t>
      </w:r>
      <w:r w:rsidRPr="0670E279">
        <w:rPr>
          <w:rFonts w:eastAsia="VIC SemiBold" w:cs="Calibri"/>
        </w:rPr>
        <w:t xml:space="preserve"> </w:t>
      </w:r>
      <w:r>
        <w:rPr>
          <w:rFonts w:eastAsia="VIC SemiBold" w:cs="Calibri"/>
        </w:rPr>
        <w:t>for funded agencies, BBV/STI</w:t>
      </w:r>
      <w:r w:rsidRPr="0670E279">
        <w:rPr>
          <w:rFonts w:eastAsia="VIC SemiBold" w:cs="Calibri"/>
        </w:rPr>
        <w:t xml:space="preserve"> </w:t>
      </w:r>
      <w:r>
        <w:t>are updated routinely and issued to funded agencies.</w:t>
      </w:r>
      <w:r w:rsidRPr="0670E279">
        <w:rPr>
          <w:rFonts w:eastAsia="VIC SemiBold" w:cs="Calibri"/>
        </w:rPr>
        <w:t xml:space="preserve"> Al</w:t>
      </w:r>
      <w:r>
        <w:t xml:space="preserve">l agencies funded for BBV/STI activities are required to acquit funding using the guidelines and template </w:t>
      </w:r>
      <w:r w:rsidRPr="00F64BCC">
        <w:t>provided. Standard contract management processes apply, including performance output monitoring</w:t>
      </w:r>
      <w:r>
        <w:t xml:space="preserve"> and</w:t>
      </w:r>
      <w:r w:rsidRPr="00F64BCC">
        <w:t xml:space="preserve"> annual planning </w:t>
      </w:r>
      <w:r>
        <w:t xml:space="preserve">(if required), plus </w:t>
      </w:r>
      <w:r w:rsidRPr="00F64BCC">
        <w:t>reporting and face-to-face meetings as required.</w:t>
      </w:r>
    </w:p>
    <w:p w14:paraId="487DDBCF" w14:textId="77777777" w:rsidR="00817104" w:rsidRPr="00502B01" w:rsidRDefault="00817104" w:rsidP="00817104">
      <w:pPr>
        <w:pStyle w:val="Body"/>
        <w:rPr>
          <w:rFonts w:eastAsia="VIC SemiBold" w:cs="Calibri"/>
        </w:rPr>
      </w:pPr>
      <w:r w:rsidRPr="0670E279">
        <w:rPr>
          <w:rFonts w:eastAsia="VIC SemiBold" w:cs="Calibri"/>
        </w:rPr>
        <w:t xml:space="preserve">In 2022, the department released the </w:t>
      </w:r>
      <w:r w:rsidRPr="0670E279">
        <w:rPr>
          <w:i/>
          <w:iCs/>
        </w:rPr>
        <w:t>Victorian sexual and reproductive health and viral hepatitis strategy 2022</w:t>
      </w:r>
      <w:r w:rsidRPr="0670E279">
        <w:rPr>
          <w:rFonts w:eastAsia="VIC SemiBold" w:cs="Calibri"/>
          <w:i/>
          <w:iCs/>
        </w:rPr>
        <w:t>–</w:t>
      </w:r>
      <w:r w:rsidRPr="0670E279">
        <w:rPr>
          <w:i/>
          <w:iCs/>
        </w:rPr>
        <w:t>30</w:t>
      </w:r>
      <w:r w:rsidRPr="0670E279">
        <w:rPr>
          <w:rFonts w:eastAsia="VIC SemiBold" w:cs="Calibri"/>
        </w:rPr>
        <w:t xml:space="preserve">, which sets the overarching direction for achieving optimal sexual and reproductive health, and viral hepatitis outcomes for Victorians. </w:t>
      </w:r>
    </w:p>
    <w:p w14:paraId="1F66827F" w14:textId="77777777" w:rsidR="00817104" w:rsidRDefault="00817104" w:rsidP="00817104">
      <w:pPr>
        <w:pStyle w:val="Body"/>
        <w:rPr>
          <w:rFonts w:eastAsia="VIC SemiBold" w:cs="Calibri"/>
        </w:rPr>
      </w:pPr>
      <w:r w:rsidRPr="0670E279">
        <w:rPr>
          <w:rFonts w:eastAsia="VIC SemiBold" w:cs="Calibri"/>
        </w:rPr>
        <w:t xml:space="preserve">The strategy </w:t>
      </w:r>
      <w:r>
        <w:rPr>
          <w:rFonts w:eastAsia="VIC SemiBold" w:cs="Calibri"/>
        </w:rPr>
        <w:t>has</w:t>
      </w:r>
      <w:r w:rsidRPr="0670E279">
        <w:rPr>
          <w:rFonts w:eastAsia="VIC SemiBold" w:cs="Calibri"/>
        </w:rPr>
        <w:t xml:space="preserve"> seven plans</w:t>
      </w:r>
      <w:r>
        <w:rPr>
          <w:rFonts w:eastAsia="VIC SemiBold" w:cs="Calibri"/>
        </w:rPr>
        <w:t>.</w:t>
      </w:r>
      <w:r w:rsidRPr="0670E279">
        <w:rPr>
          <w:rFonts w:eastAsia="VIC SemiBold" w:cs="Calibri"/>
        </w:rPr>
        <w:t xml:space="preserve"> </w:t>
      </w:r>
      <w:r>
        <w:rPr>
          <w:rFonts w:eastAsia="VIC SemiBold" w:cs="Calibri"/>
        </w:rPr>
        <w:t>Six are for</w:t>
      </w:r>
      <w:r w:rsidRPr="0670E279">
        <w:rPr>
          <w:rFonts w:eastAsia="VIC SemiBold" w:cs="Calibri"/>
        </w:rPr>
        <w:t xml:space="preserve"> specific diseases and population groups, and one focuses on the system enablers contributing to better outcomes </w:t>
      </w:r>
      <w:r>
        <w:rPr>
          <w:rFonts w:eastAsia="VIC SemiBold" w:cs="Calibri"/>
        </w:rPr>
        <w:t>for Victorians’</w:t>
      </w:r>
      <w:r w:rsidRPr="0670E279">
        <w:rPr>
          <w:rFonts w:eastAsia="VIC SemiBold" w:cs="Calibri"/>
        </w:rPr>
        <w:t xml:space="preserve"> sexual and reproductive health. </w:t>
      </w:r>
      <w:r>
        <w:rPr>
          <w:rFonts w:eastAsia="VIC SemiBold" w:cs="Calibri"/>
        </w:rPr>
        <w:t>T</w:t>
      </w:r>
      <w:r w:rsidRPr="0670E279">
        <w:rPr>
          <w:rFonts w:eastAsia="VIC SemiBold" w:cs="Calibri"/>
        </w:rPr>
        <w:t>he strategy and subplans support Victoria’s contribution to the National BBV and STI plans.</w:t>
      </w:r>
    </w:p>
    <w:p w14:paraId="3AA90400" w14:textId="77777777" w:rsidR="00817104" w:rsidRPr="00EF5858" w:rsidRDefault="00817104" w:rsidP="00817104">
      <w:pPr>
        <w:pStyle w:val="Body"/>
        <w:rPr>
          <w:rFonts w:eastAsia="VIC SemiBold" w:cs="Calibri"/>
        </w:rPr>
      </w:pPr>
      <w:r w:rsidRPr="00747638">
        <w:rPr>
          <w:rFonts w:eastAsia="VIC SemiBold" w:cs="Calibri"/>
        </w:rPr>
        <w:t xml:space="preserve">The </w:t>
      </w:r>
      <w:r w:rsidRPr="00EF5858">
        <w:t>seven plans in the strategy are the</w:t>
      </w:r>
      <w:r w:rsidRPr="00EF5858">
        <w:rPr>
          <w:rFonts w:eastAsia="VIC SemiBold" w:cs="Calibri"/>
        </w:rPr>
        <w:t>:</w:t>
      </w:r>
    </w:p>
    <w:p w14:paraId="010B40E1" w14:textId="77777777" w:rsidR="00817104" w:rsidRPr="00375118" w:rsidRDefault="00817104" w:rsidP="00817104">
      <w:pPr>
        <w:pStyle w:val="Bullet1"/>
        <w:numPr>
          <w:ilvl w:val="0"/>
          <w:numId w:val="2"/>
        </w:numPr>
        <w:rPr>
          <w:i/>
          <w:iCs/>
        </w:rPr>
      </w:pPr>
      <w:r w:rsidRPr="00375118">
        <w:rPr>
          <w:i/>
          <w:iCs/>
        </w:rPr>
        <w:t xml:space="preserve">Strategy overview and system enabler plan 2022–30 </w:t>
      </w:r>
    </w:p>
    <w:p w14:paraId="27C4B927" w14:textId="77777777" w:rsidR="00817104" w:rsidRPr="00375118" w:rsidRDefault="00817104" w:rsidP="00817104">
      <w:pPr>
        <w:pStyle w:val="Bullet1"/>
        <w:numPr>
          <w:ilvl w:val="0"/>
          <w:numId w:val="2"/>
        </w:numPr>
        <w:rPr>
          <w:i/>
          <w:iCs/>
        </w:rPr>
      </w:pPr>
      <w:r w:rsidRPr="00375118">
        <w:rPr>
          <w:i/>
          <w:iCs/>
        </w:rPr>
        <w:t>Victorian Aboriginal sexual and reproductive health plan 2022–30</w:t>
      </w:r>
    </w:p>
    <w:p w14:paraId="40FFD699" w14:textId="77777777" w:rsidR="00817104" w:rsidRPr="00375118" w:rsidRDefault="00817104" w:rsidP="00817104">
      <w:pPr>
        <w:pStyle w:val="Bullet1"/>
        <w:numPr>
          <w:ilvl w:val="0"/>
          <w:numId w:val="2"/>
        </w:numPr>
        <w:rPr>
          <w:i/>
          <w:iCs/>
        </w:rPr>
      </w:pPr>
      <w:r w:rsidRPr="00375118">
        <w:rPr>
          <w:i/>
          <w:iCs/>
        </w:rPr>
        <w:t xml:space="preserve">Victorian hepatitis B plan 2022–30 </w:t>
      </w:r>
    </w:p>
    <w:p w14:paraId="31D89139" w14:textId="77777777" w:rsidR="00817104" w:rsidRPr="00375118" w:rsidRDefault="00817104" w:rsidP="00817104">
      <w:pPr>
        <w:pStyle w:val="Bullet1"/>
        <w:numPr>
          <w:ilvl w:val="0"/>
          <w:numId w:val="2"/>
        </w:numPr>
        <w:rPr>
          <w:i/>
          <w:iCs/>
        </w:rPr>
      </w:pPr>
      <w:r w:rsidRPr="00375118">
        <w:rPr>
          <w:i/>
          <w:iCs/>
        </w:rPr>
        <w:t>Victorian hepatitis C plan 2022–30</w:t>
      </w:r>
    </w:p>
    <w:p w14:paraId="5C480D93" w14:textId="77777777" w:rsidR="00817104" w:rsidRPr="00375118" w:rsidRDefault="00817104" w:rsidP="00817104">
      <w:pPr>
        <w:pStyle w:val="Bullet1"/>
        <w:numPr>
          <w:ilvl w:val="0"/>
          <w:numId w:val="2"/>
        </w:numPr>
        <w:rPr>
          <w:i/>
          <w:iCs/>
        </w:rPr>
      </w:pPr>
      <w:r w:rsidRPr="00375118">
        <w:rPr>
          <w:i/>
          <w:iCs/>
        </w:rPr>
        <w:t>Victorian HIV plan 2022–30</w:t>
      </w:r>
    </w:p>
    <w:p w14:paraId="533DA062" w14:textId="77777777" w:rsidR="00817104" w:rsidRPr="00375118" w:rsidRDefault="00817104" w:rsidP="00817104">
      <w:pPr>
        <w:pStyle w:val="Bullet1"/>
        <w:numPr>
          <w:ilvl w:val="0"/>
          <w:numId w:val="2"/>
        </w:numPr>
        <w:rPr>
          <w:i/>
          <w:iCs/>
        </w:rPr>
      </w:pPr>
      <w:r w:rsidRPr="00375118">
        <w:rPr>
          <w:i/>
          <w:iCs/>
        </w:rPr>
        <w:lastRenderedPageBreak/>
        <w:t>Victorian STI plan 2022–30</w:t>
      </w:r>
    </w:p>
    <w:p w14:paraId="7E3EC396" w14:textId="77777777" w:rsidR="00817104" w:rsidRPr="00375118" w:rsidRDefault="00817104" w:rsidP="00817104">
      <w:pPr>
        <w:pStyle w:val="Bullet1"/>
        <w:numPr>
          <w:ilvl w:val="0"/>
          <w:numId w:val="2"/>
        </w:numPr>
        <w:rPr>
          <w:i/>
          <w:iCs/>
        </w:rPr>
      </w:pPr>
      <w:r w:rsidRPr="00375118">
        <w:rPr>
          <w:i/>
          <w:iCs/>
        </w:rPr>
        <w:t>Victorian women’s sexual and reproductive health plan 2022–30</w:t>
      </w:r>
    </w:p>
    <w:p w14:paraId="48E25896" w14:textId="77777777" w:rsidR="00817104" w:rsidRPr="00502B01" w:rsidRDefault="00817104" w:rsidP="00817104">
      <w:pPr>
        <w:pStyle w:val="Bodyafterbullets"/>
      </w:pPr>
      <w:r>
        <w:t>The plans outline target priority populations, goals and objectives specific to each disease, population or issue to deliver throughout the period of the strategy.</w:t>
      </w:r>
    </w:p>
    <w:p w14:paraId="2E6D5F84" w14:textId="77777777" w:rsidR="00817104" w:rsidRPr="00502B01" w:rsidRDefault="00817104" w:rsidP="00817104">
      <w:pPr>
        <w:pStyle w:val="Bodyafterbullets"/>
      </w:pPr>
      <w:r>
        <w:t>The program guidelines aim to ensure funded agencies align activities to the strategy and associated plans.</w:t>
      </w:r>
    </w:p>
    <w:p w14:paraId="34F60972" w14:textId="63759953" w:rsidR="00817104" w:rsidRDefault="00817104" w:rsidP="00817104">
      <w:pPr>
        <w:pStyle w:val="Heading3"/>
      </w:pPr>
      <w:r>
        <w:t>Tobacco and e-cigarettes</w:t>
      </w:r>
    </w:p>
    <w:p w14:paraId="5DD5209F" w14:textId="77777777" w:rsidR="00817104" w:rsidRDefault="00817104" w:rsidP="00817104">
      <w:pPr>
        <w:pStyle w:val="Body"/>
      </w:pPr>
      <w:bookmarkStart w:id="2157" w:name="_Toc165964668"/>
      <w:bookmarkStart w:id="2158" w:name="_Toc167174531"/>
      <w:r>
        <w:t>To reduce the burden of smoking and vaping on the community, the Victorian Government, in partnership with VicHealth and Cancer Council Victoria, funds Quit Victoria to provide tobacco and vaping cessation services, social marketing campaigns and contributes to research.</w:t>
      </w:r>
    </w:p>
    <w:p w14:paraId="5451552B" w14:textId="77777777" w:rsidR="00817104" w:rsidRPr="00ED4DB0" w:rsidRDefault="00817104" w:rsidP="00817104">
      <w:pPr>
        <w:pStyle w:val="Body"/>
        <w:rPr>
          <w:lang w:eastAsia="en-AU"/>
        </w:rPr>
      </w:pPr>
      <w:r>
        <w:t>Together, these programs provide:</w:t>
      </w:r>
    </w:p>
    <w:p w14:paraId="4F3D318E" w14:textId="77777777" w:rsidR="00817104" w:rsidRDefault="00817104" w:rsidP="00817104">
      <w:pPr>
        <w:pStyle w:val="Bullet1"/>
        <w:numPr>
          <w:ilvl w:val="0"/>
          <w:numId w:val="2"/>
        </w:numPr>
      </w:pPr>
      <w:r>
        <w:t>support services, including the Quitline, to deliver expert advice and personalised counselling to smokers and vapers wanting to quit</w:t>
      </w:r>
    </w:p>
    <w:p w14:paraId="79A2F3BE" w14:textId="77777777" w:rsidR="00817104" w:rsidRDefault="00817104" w:rsidP="00817104">
      <w:pPr>
        <w:pStyle w:val="Bullet1"/>
        <w:numPr>
          <w:ilvl w:val="0"/>
          <w:numId w:val="2"/>
        </w:numPr>
      </w:pPr>
      <w:r>
        <w:t>programs targeted at priority groups with the highest rates of smoking and vaping</w:t>
      </w:r>
    </w:p>
    <w:p w14:paraId="7B6DB416" w14:textId="77777777" w:rsidR="00817104" w:rsidRDefault="00817104" w:rsidP="00817104">
      <w:pPr>
        <w:pStyle w:val="Bullet1"/>
        <w:numPr>
          <w:ilvl w:val="0"/>
          <w:numId w:val="2"/>
        </w:numPr>
      </w:pPr>
      <w:r>
        <w:t>Victorian anti-smoking and anti-vaping social marketing campaigns (integrated across television, radio, print and social media) to reduce smoking and vaping uptake and increase cessation</w:t>
      </w:r>
    </w:p>
    <w:p w14:paraId="3AA297C5" w14:textId="77777777" w:rsidR="00817104" w:rsidRDefault="00817104" w:rsidP="00817104">
      <w:pPr>
        <w:pStyle w:val="Bullet1"/>
        <w:numPr>
          <w:ilvl w:val="0"/>
          <w:numId w:val="2"/>
        </w:numPr>
      </w:pPr>
      <w:r>
        <w:t>research to inform tobacco and e-cigarette policy and regulatory reform, including annual surveys of smoking and vaping prevalence and behaviours.</w:t>
      </w:r>
    </w:p>
    <w:p w14:paraId="0AA52A13" w14:textId="77777777" w:rsidR="00817104" w:rsidRDefault="00817104" w:rsidP="00817104">
      <w:pPr>
        <w:pStyle w:val="Bodyafterbullets"/>
      </w:pPr>
      <w:r>
        <w:t xml:space="preserve">The department also funds the Municipal Association of Victoria to manage the distribution of funds to councils to educate businesses and the community regarding their responsibilities under the </w:t>
      </w:r>
      <w:r w:rsidRPr="0670E279">
        <w:rPr>
          <w:i/>
          <w:iCs/>
        </w:rPr>
        <w:t>Tobacco Act 1987</w:t>
      </w:r>
      <w:r>
        <w:t>, to undertake test purchasing and take enforcement action where necessary.</w:t>
      </w:r>
    </w:p>
    <w:p w14:paraId="7D4BD5A5" w14:textId="3187EEBA" w:rsidR="00817104" w:rsidRPr="009B0F16" w:rsidRDefault="00817104" w:rsidP="00817104">
      <w:pPr>
        <w:pStyle w:val="Heading2"/>
      </w:pPr>
      <w:bookmarkStart w:id="2159" w:name="_Toc231982280"/>
      <w:r>
        <w:t xml:space="preserve">Public health and </w:t>
      </w:r>
      <w:r w:rsidRPr="00554361">
        <w:t>health</w:t>
      </w:r>
      <w:r>
        <w:t xml:space="preserve"> protection</w:t>
      </w:r>
      <w:bookmarkEnd w:id="2157"/>
      <w:bookmarkEnd w:id="2158"/>
      <w:bookmarkEnd w:id="2159"/>
    </w:p>
    <w:p w14:paraId="6150045D" w14:textId="77777777" w:rsidR="00817104" w:rsidRPr="00BB6C31" w:rsidRDefault="00817104" w:rsidP="00817104">
      <w:pPr>
        <w:pStyle w:val="Body"/>
      </w:pPr>
      <w:r>
        <w:t>The department’s health protection responsibilities focus on reducing the incidence of preventable disease in Victoria by protecting the community from hazards arising from, or associated with, communicable disease, food, water or the environment.</w:t>
      </w:r>
    </w:p>
    <w:p w14:paraId="55C45381" w14:textId="77777777" w:rsidR="00817104" w:rsidRPr="00BB6C31" w:rsidRDefault="00817104" w:rsidP="00817104">
      <w:pPr>
        <w:pStyle w:val="Body"/>
      </w:pPr>
      <w:r>
        <w:t>This includes delivering or commissioning programs that protect the health and wellbeing of Victorians and administering statutory and legislative functions under the:</w:t>
      </w:r>
    </w:p>
    <w:p w14:paraId="67C44F08" w14:textId="77777777" w:rsidR="00817104" w:rsidRPr="002D6AE5" w:rsidRDefault="00817104" w:rsidP="00817104">
      <w:pPr>
        <w:pStyle w:val="Bullet1"/>
        <w:numPr>
          <w:ilvl w:val="0"/>
          <w:numId w:val="2"/>
        </w:numPr>
        <w:rPr>
          <w:i/>
          <w:iCs/>
        </w:rPr>
      </w:pPr>
      <w:r w:rsidRPr="002D6AE5">
        <w:rPr>
          <w:i/>
          <w:iCs/>
        </w:rPr>
        <w:t>Public Health and Wellbeing Act 2008</w:t>
      </w:r>
    </w:p>
    <w:p w14:paraId="7118D792" w14:textId="77777777" w:rsidR="00817104" w:rsidRPr="00BB6C31" w:rsidRDefault="00817104" w:rsidP="00817104">
      <w:pPr>
        <w:pStyle w:val="Bullet1"/>
        <w:numPr>
          <w:ilvl w:val="0"/>
          <w:numId w:val="2"/>
        </w:numPr>
        <w:rPr>
          <w:i/>
          <w:iCs/>
        </w:rPr>
      </w:pPr>
      <w:r w:rsidRPr="384C6F71">
        <w:rPr>
          <w:i/>
          <w:iCs/>
        </w:rPr>
        <w:t>Food Act 1984</w:t>
      </w:r>
    </w:p>
    <w:p w14:paraId="6112EAEE" w14:textId="77777777" w:rsidR="00817104" w:rsidRPr="00BB6C31" w:rsidRDefault="00817104" w:rsidP="00817104">
      <w:pPr>
        <w:pStyle w:val="Bullet1"/>
        <w:numPr>
          <w:ilvl w:val="0"/>
          <w:numId w:val="2"/>
        </w:numPr>
        <w:rPr>
          <w:i/>
          <w:iCs/>
        </w:rPr>
      </w:pPr>
      <w:r w:rsidRPr="384C6F71">
        <w:rPr>
          <w:i/>
          <w:iCs/>
        </w:rPr>
        <w:t>Safe Drinking Water Act 2003</w:t>
      </w:r>
    </w:p>
    <w:p w14:paraId="2DCBA612" w14:textId="77777777" w:rsidR="00817104" w:rsidRPr="00BB6C31" w:rsidRDefault="00817104" w:rsidP="00817104">
      <w:pPr>
        <w:pStyle w:val="Bullet1"/>
        <w:numPr>
          <w:ilvl w:val="0"/>
          <w:numId w:val="2"/>
        </w:numPr>
        <w:rPr>
          <w:i/>
          <w:iCs/>
        </w:rPr>
      </w:pPr>
      <w:r w:rsidRPr="384C6F71">
        <w:rPr>
          <w:i/>
          <w:iCs/>
        </w:rPr>
        <w:t>Radiation Act 2005</w:t>
      </w:r>
    </w:p>
    <w:p w14:paraId="78AED2CF" w14:textId="77777777" w:rsidR="00817104" w:rsidRPr="00BB6C31" w:rsidRDefault="00817104" w:rsidP="00817104">
      <w:pPr>
        <w:pStyle w:val="Bullet1"/>
        <w:numPr>
          <w:ilvl w:val="0"/>
          <w:numId w:val="2"/>
        </w:numPr>
      </w:pPr>
      <w:r w:rsidRPr="384C6F71">
        <w:rPr>
          <w:i/>
          <w:iCs/>
        </w:rPr>
        <w:t>Health (Fluoridation) Act 1973</w:t>
      </w:r>
      <w:r>
        <w:t>.</w:t>
      </w:r>
    </w:p>
    <w:p w14:paraId="65DA39F8" w14:textId="0A707729" w:rsidR="00817104" w:rsidRPr="00BB6C31" w:rsidRDefault="00817104" w:rsidP="00817104">
      <w:pPr>
        <w:pStyle w:val="Bodyafterbullets"/>
      </w:pPr>
      <w:r>
        <w:t>Key areas of health protection activity include communicable disease and environmental health. Communicable disease activities are informed by surveillance and risk assessment, and aim to reduce the risk of current and emerging infectious diseases in Victoria by implementing patient and population-focused control strategies (including immunisation).</w:t>
      </w:r>
    </w:p>
    <w:p w14:paraId="7FEED926" w14:textId="77777777" w:rsidR="00817104" w:rsidRPr="005E282A" w:rsidRDefault="00817104" w:rsidP="00817104">
      <w:pPr>
        <w:pStyle w:val="Body"/>
        <w:rPr>
          <w:rFonts w:cs="Calibri"/>
        </w:rPr>
      </w:pPr>
      <w:r w:rsidRPr="384C6F71">
        <w:rPr>
          <w:rFonts w:cs="Calibri"/>
        </w:rPr>
        <w:t xml:space="preserve">Environmental health works to prevent ill health arising from environmental hazards </w:t>
      </w:r>
      <w:r>
        <w:rPr>
          <w:rFonts w:cs="Calibri"/>
        </w:rPr>
        <w:t>other than</w:t>
      </w:r>
      <w:r w:rsidRPr="384C6F71">
        <w:rPr>
          <w:rFonts w:cs="Calibri"/>
        </w:rPr>
        <w:t xml:space="preserve"> waste or pollution. </w:t>
      </w:r>
      <w:r w:rsidRPr="2271C173">
        <w:rPr>
          <w:rFonts w:cs="Calibri"/>
        </w:rPr>
        <w:t>It responds to major threats to public health and regulates hazards</w:t>
      </w:r>
      <w:r>
        <w:rPr>
          <w:rFonts w:cs="Calibri"/>
        </w:rPr>
        <w:t>,</w:t>
      </w:r>
      <w:r w:rsidRPr="2271C173">
        <w:rPr>
          <w:rFonts w:cs="Calibri"/>
        </w:rPr>
        <w:t xml:space="preserve"> such as radiation, pesticides, cooling towers, safe drinking water and food safety</w:t>
      </w:r>
      <w:r w:rsidRPr="384C6F71">
        <w:rPr>
          <w:rFonts w:cs="Calibri"/>
        </w:rPr>
        <w:t xml:space="preserve">. </w:t>
      </w:r>
    </w:p>
    <w:p w14:paraId="090D82E4" w14:textId="77777777" w:rsidR="00817104" w:rsidRPr="00BB6C31" w:rsidRDefault="00817104" w:rsidP="00817104">
      <w:pPr>
        <w:pStyle w:val="Body"/>
      </w:pPr>
      <w:r w:rsidRPr="0670E279">
        <w:rPr>
          <w:rFonts w:cs="Calibri"/>
        </w:rPr>
        <w:lastRenderedPageBreak/>
        <w:t>The Victorian Chief Health Officer is the lead public health advisor to the Minister for Health and the Victorian Government</w:t>
      </w:r>
      <w:r>
        <w:rPr>
          <w:rFonts w:cs="Calibri"/>
        </w:rPr>
        <w:t>,</w:t>
      </w:r>
      <w:r w:rsidRPr="0670E279">
        <w:rPr>
          <w:rFonts w:cs="Calibri"/>
        </w:rPr>
        <w:t xml:space="preserve"> and the state’s spokesperson on public health issues. </w:t>
      </w:r>
      <w:r>
        <w:t xml:space="preserve">The Chief Health Officer also holds statutory powers under the </w:t>
      </w:r>
      <w:r w:rsidRPr="00965CCE">
        <w:rPr>
          <w:iCs/>
        </w:rPr>
        <w:t>Public Health and Wellbeing Act, which are used</w:t>
      </w:r>
      <w:r w:rsidRPr="00667F61">
        <w:rPr>
          <w:iCs/>
        </w:rPr>
        <w:t xml:space="preserve"> to</w:t>
      </w:r>
      <w:r>
        <w:t xml:space="preserve"> protect the health and wellbeing of Victorians.</w:t>
      </w:r>
    </w:p>
    <w:p w14:paraId="66631082" w14:textId="77777777" w:rsidR="00817104" w:rsidRPr="00BB6C31" w:rsidRDefault="00817104" w:rsidP="00817104">
      <w:pPr>
        <w:pStyle w:val="Body"/>
        <w:rPr>
          <w:rFonts w:cs="Calibri"/>
        </w:rPr>
      </w:pPr>
      <w:r w:rsidRPr="384C6F71">
        <w:rPr>
          <w:rFonts w:cs="Calibri"/>
        </w:rPr>
        <w:t xml:space="preserve">The Chief Health Officer </w:t>
      </w:r>
      <w:r>
        <w:rPr>
          <w:rFonts w:cs="Calibri"/>
        </w:rPr>
        <w:t>oversees</w:t>
      </w:r>
      <w:r>
        <w:t xml:space="preserve"> policy, strategy and operations in health protection, coordinates the investigation and management of public health risks, and leads risk communication with stakeholders, including the Victorian public.</w:t>
      </w:r>
      <w:r>
        <w:rPr>
          <w:rFonts w:cs="Calibri"/>
        </w:rPr>
        <w:t xml:space="preserve"> </w:t>
      </w:r>
      <w:r w:rsidRPr="0670E279">
        <w:rPr>
          <w:rFonts w:cs="Calibri"/>
        </w:rPr>
        <w:t xml:space="preserve">The Chief Health Officer </w:t>
      </w:r>
      <w:r>
        <w:rPr>
          <w:rFonts w:cs="Calibri"/>
        </w:rPr>
        <w:t>w</w:t>
      </w:r>
      <w:r w:rsidRPr="6432C584">
        <w:rPr>
          <w:rFonts w:cs="Calibri"/>
        </w:rPr>
        <w:t>orks</w:t>
      </w:r>
      <w:r w:rsidRPr="0670E279">
        <w:rPr>
          <w:rFonts w:cs="Calibri"/>
        </w:rPr>
        <w:t xml:space="preserve"> closely with areas of the department </w:t>
      </w:r>
      <w:r w:rsidRPr="384C6F71">
        <w:rPr>
          <w:rFonts w:cs="Calibri"/>
        </w:rPr>
        <w:t>to deliver on these</w:t>
      </w:r>
      <w:r w:rsidRPr="0670E279">
        <w:rPr>
          <w:rFonts w:cs="Calibri"/>
        </w:rPr>
        <w:t xml:space="preserve"> public health and health protection responsibilities, </w:t>
      </w:r>
      <w:r w:rsidRPr="6DBC2351">
        <w:rPr>
          <w:rFonts w:cs="Calibri"/>
        </w:rPr>
        <w:t xml:space="preserve">and is </w:t>
      </w:r>
      <w:r>
        <w:rPr>
          <w:rFonts w:cs="Calibri"/>
        </w:rPr>
        <w:t>supported by the broader Public Health Network, including</w:t>
      </w:r>
      <w:r w:rsidRPr="0670E279">
        <w:rPr>
          <w:rFonts w:cs="Calibri"/>
        </w:rPr>
        <w:t xml:space="preserve"> </w:t>
      </w:r>
      <w:r>
        <w:rPr>
          <w:rFonts w:cs="Calibri"/>
        </w:rPr>
        <w:t>LPHUs</w:t>
      </w:r>
      <w:r w:rsidRPr="0670E279">
        <w:rPr>
          <w:rFonts w:cs="Calibri"/>
        </w:rPr>
        <w:t>.</w:t>
      </w:r>
    </w:p>
    <w:p w14:paraId="017D4776" w14:textId="77777777" w:rsidR="00817104" w:rsidRPr="00BB6C31" w:rsidRDefault="00817104" w:rsidP="00817104">
      <w:pPr>
        <w:pStyle w:val="Body"/>
      </w:pPr>
      <w:r w:rsidRPr="0670E279">
        <w:t xml:space="preserve">The Chief Health Officer regularly informs Victorians about issues that have the potential to affect their health </w:t>
      </w:r>
      <w:r>
        <w:t>through</w:t>
      </w:r>
      <w:r w:rsidRPr="0670E279">
        <w:t xml:space="preserve"> health alerts and a range of other </w:t>
      </w:r>
      <w:r>
        <w:t>public communications published</w:t>
      </w:r>
      <w:r w:rsidRPr="0670E279">
        <w:t xml:space="preserve"> </w:t>
      </w:r>
      <w:r>
        <w:t>at</w:t>
      </w:r>
      <w:r w:rsidRPr="0670E279">
        <w:t xml:space="preserve"> </w:t>
      </w:r>
      <w:hyperlink r:id="rId112" w:history="1">
        <w:r>
          <w:rPr>
            <w:rStyle w:val="Hyperlink"/>
            <w:rFonts w:cs="Calibri"/>
          </w:rPr>
          <w:t>Chief Health Officer</w:t>
        </w:r>
      </w:hyperlink>
      <w:r w:rsidRPr="0670E279">
        <w:t xml:space="preserve"> &lt;https://www.health.vic.gov.au/public-health/chief-health-officer&gt;.</w:t>
      </w:r>
    </w:p>
    <w:p w14:paraId="3E2B337D" w14:textId="46DE2CC9" w:rsidR="00817104" w:rsidRDefault="00817104" w:rsidP="00817104">
      <w:pPr>
        <w:pStyle w:val="Heading3"/>
      </w:pPr>
      <w:r>
        <w:t xml:space="preserve">Victorian Tuberculosis </w:t>
      </w:r>
      <w:r w:rsidRPr="00554361">
        <w:t>Program</w:t>
      </w:r>
    </w:p>
    <w:p w14:paraId="1A63100A" w14:textId="3F36002D" w:rsidR="00817104" w:rsidRDefault="00817104" w:rsidP="00817104">
      <w:pPr>
        <w:pStyle w:val="Body"/>
      </w:pPr>
      <w:r>
        <w:t xml:space="preserve">The department funds Melbourne Health to deliver the Victorian Tuberculosis Program, a statewide service based at the Peter Doherty Institute for Infection and Immunity. Program staff provide case management to people diagnosed with active tuberculosis for the duration of their </w:t>
      </w:r>
      <w:r w:rsidR="000E16BA">
        <w:t>treatment and</w:t>
      </w:r>
      <w:r>
        <w:t xml:space="preserve"> conduct contact tracing and screening to minimise the public health risk of the spread of infection. </w:t>
      </w:r>
    </w:p>
    <w:p w14:paraId="656B1577" w14:textId="77777777" w:rsidR="00817104" w:rsidRDefault="00817104" w:rsidP="00817104">
      <w:pPr>
        <w:pStyle w:val="Body"/>
      </w:pPr>
      <w:r>
        <w:t>The department has performance measures for Melbourne Health, which are outlined in the Victorian Tuberculosis Program service objectives and scope document.</w:t>
      </w:r>
    </w:p>
    <w:p w14:paraId="58235B28" w14:textId="77777777" w:rsidR="00817104" w:rsidRDefault="00817104" w:rsidP="00817104">
      <w:pPr>
        <w:pStyle w:val="Body"/>
      </w:pPr>
      <w:r>
        <w:t xml:space="preserve">All health services should refer to </w:t>
      </w:r>
      <w:hyperlink w:anchor="_Medicare-ineligible_patients_and" w:history="1">
        <w:r w:rsidRPr="002F2636">
          <w:rPr>
            <w:rStyle w:val="Hyperlink"/>
          </w:rPr>
          <w:t>Section 12.2</w:t>
        </w:r>
      </w:hyperlink>
      <w:r>
        <w:t xml:space="preserve"> in relation to the provision of free tuberculosis treatment at their service. </w:t>
      </w:r>
    </w:p>
    <w:p w14:paraId="5F6D0112" w14:textId="54690558" w:rsidR="00817104" w:rsidRDefault="00817104" w:rsidP="00817104">
      <w:pPr>
        <w:pStyle w:val="Heading3"/>
      </w:pPr>
      <w:r>
        <w:t>Migrant Screening Service (tuberculosis health undertaking)</w:t>
      </w:r>
    </w:p>
    <w:p w14:paraId="73CEECD2" w14:textId="77777777" w:rsidR="00817104" w:rsidRDefault="00817104" w:rsidP="00817104">
      <w:pPr>
        <w:pStyle w:val="Body"/>
      </w:pPr>
      <w:r w:rsidRPr="00960CAC">
        <w:t xml:space="preserve">Western Health </w:t>
      </w:r>
      <w:r>
        <w:t xml:space="preserve">(Footscray Hospital) is funded by the department to deliver </w:t>
      </w:r>
      <w:r w:rsidRPr="00960CAC">
        <w:t xml:space="preserve">the Migrant Screening Service. This service </w:t>
      </w:r>
      <w:r>
        <w:t>reviews</w:t>
      </w:r>
      <w:r w:rsidRPr="00960CAC">
        <w:t xml:space="preserve"> </w:t>
      </w:r>
      <w:r>
        <w:t>t</w:t>
      </w:r>
      <w:r w:rsidRPr="00960CAC">
        <w:t xml:space="preserve">uberculosis </w:t>
      </w:r>
      <w:r>
        <w:t>health u</w:t>
      </w:r>
      <w:r w:rsidRPr="00960CAC">
        <w:t>ndertaking</w:t>
      </w:r>
      <w:r>
        <w:t>s</w:t>
      </w:r>
      <w:r w:rsidRPr="00960CAC">
        <w:t xml:space="preserve"> </w:t>
      </w:r>
      <w:r>
        <w:t>for</w:t>
      </w:r>
      <w:r w:rsidRPr="00960CAC">
        <w:t xml:space="preserve"> Victoria, an assessment of onshore </w:t>
      </w:r>
      <w:r>
        <w:t xml:space="preserve">Australian visa </w:t>
      </w:r>
      <w:r w:rsidRPr="00960CAC">
        <w:t xml:space="preserve">applicants with </w:t>
      </w:r>
      <w:r>
        <w:t>indications of tuberculous disease, who are re</w:t>
      </w:r>
      <w:r w:rsidRPr="00960CAC">
        <w:t xml:space="preserve">ferred by the </w:t>
      </w:r>
      <w:r>
        <w:t xml:space="preserve">Australian Government’s </w:t>
      </w:r>
      <w:r w:rsidRPr="001F4FCA">
        <w:t>Migration</w:t>
      </w:r>
      <w:r w:rsidRPr="00960CAC">
        <w:t xml:space="preserve"> Medical </w:t>
      </w:r>
      <w:r w:rsidRPr="001F4FCA">
        <w:t>Services Provider, Bupa Medical Visa Services</w:t>
      </w:r>
      <w:r w:rsidRPr="00960CAC">
        <w:t>.</w:t>
      </w:r>
    </w:p>
    <w:p w14:paraId="646039F6" w14:textId="77777777" w:rsidR="00817104" w:rsidRDefault="00817104" w:rsidP="00817104">
      <w:pPr>
        <w:pStyle w:val="Body"/>
      </w:pPr>
      <w:r w:rsidRPr="00960CAC">
        <w:t>Th</w:t>
      </w:r>
      <w:r>
        <w:t>e Migrant Screening Service</w:t>
      </w:r>
      <w:r w:rsidRPr="00960CAC">
        <w:t xml:space="preserve"> acts as a triage service, referring those who need further assessment to </w:t>
      </w:r>
      <w:r>
        <w:t xml:space="preserve">hospital </w:t>
      </w:r>
      <w:r w:rsidRPr="00960CAC">
        <w:t xml:space="preserve">health services for clinical management. Migrants aged 16 years and over are seen at the </w:t>
      </w:r>
      <w:r>
        <w:t>M</w:t>
      </w:r>
      <w:r w:rsidRPr="006129BE">
        <w:t>igrant Health Service</w:t>
      </w:r>
      <w:r w:rsidRPr="00960CAC">
        <w:t xml:space="preserve">, </w:t>
      </w:r>
      <w:r>
        <w:t>while individuals under 16 years of age</w:t>
      </w:r>
      <w:r w:rsidRPr="00960CAC">
        <w:t xml:space="preserve"> are referred to </w:t>
      </w:r>
      <w:r>
        <w:t>T</w:t>
      </w:r>
      <w:r w:rsidRPr="00960CAC">
        <w:t xml:space="preserve">he Royal Children’s Hospital </w:t>
      </w:r>
      <w:r>
        <w:t>I</w:t>
      </w:r>
      <w:r w:rsidRPr="006129BE">
        <w:t>mmigrant Health Service</w:t>
      </w:r>
      <w:r w:rsidRPr="00960CAC">
        <w:t>.</w:t>
      </w:r>
      <w:r>
        <w:t xml:space="preserve"> </w:t>
      </w:r>
    </w:p>
    <w:p w14:paraId="5A9C6E01" w14:textId="77777777" w:rsidR="00817104" w:rsidRDefault="00817104" w:rsidP="00817104">
      <w:pPr>
        <w:pStyle w:val="Body"/>
      </w:pPr>
      <w:r w:rsidRPr="00615545">
        <w:t xml:space="preserve">The department has </w:t>
      </w:r>
      <w:r>
        <w:t>a</w:t>
      </w:r>
      <w:r w:rsidRPr="00615545">
        <w:t xml:space="preserve"> service</w:t>
      </w:r>
      <w:r>
        <w:t>-</w:t>
      </w:r>
      <w:r w:rsidRPr="00615545">
        <w:t xml:space="preserve">level agreement with </w:t>
      </w:r>
      <w:r>
        <w:t>Western Health</w:t>
      </w:r>
      <w:r w:rsidRPr="00615545">
        <w:t>, which outline</w:t>
      </w:r>
      <w:r>
        <w:t>s</w:t>
      </w:r>
      <w:r w:rsidRPr="00615545">
        <w:t xml:space="preserve"> the</w:t>
      </w:r>
      <w:r>
        <w:t xml:space="preserve"> service’s</w:t>
      </w:r>
      <w:r w:rsidRPr="00615545">
        <w:t xml:space="preserve"> funding, service delivery and reporting requirements.</w:t>
      </w:r>
    </w:p>
    <w:p w14:paraId="3E34FBD3" w14:textId="77777777" w:rsidR="00817104" w:rsidRDefault="00817104" w:rsidP="00817104">
      <w:pPr>
        <w:pStyle w:val="Body"/>
      </w:pPr>
      <w:r>
        <w:t xml:space="preserve">All health services should refer to </w:t>
      </w:r>
      <w:hyperlink w:anchor="_Medicare-ineligible_patients_and" w:history="1">
        <w:r w:rsidRPr="002F2636">
          <w:rPr>
            <w:rStyle w:val="Hyperlink"/>
          </w:rPr>
          <w:t>Section 12.2</w:t>
        </w:r>
      </w:hyperlink>
      <w:r>
        <w:t xml:space="preserve"> in relation to the provision of free tuberculosis treatment at their service.</w:t>
      </w:r>
    </w:p>
    <w:p w14:paraId="11AD90DE" w14:textId="5BFED124" w:rsidR="00817104" w:rsidRDefault="00817104" w:rsidP="00817104">
      <w:pPr>
        <w:pStyle w:val="Heading3"/>
      </w:pPr>
      <w:r>
        <w:t>Public health laboratories</w:t>
      </w:r>
    </w:p>
    <w:p w14:paraId="4A9B4580" w14:textId="77777777" w:rsidR="00817104" w:rsidRDefault="00817104" w:rsidP="00817104">
      <w:pPr>
        <w:pStyle w:val="Body"/>
      </w:pPr>
      <w:r>
        <w:t>The department funds two microbiology reference and public health laboratories; the Microbiological Diagnostic Unit Public Health Laboratory, operated by the University of Melbourne, and the Victorian Infectious Diseases Reference Laboratory, operated by Melbourne Health. Both</w:t>
      </w:r>
      <w:r w:rsidRPr="00685D1E">
        <w:t xml:space="preserve"> </w:t>
      </w:r>
      <w:r>
        <w:t xml:space="preserve">laboratories are located at </w:t>
      </w:r>
      <w:r w:rsidRPr="00C10B48">
        <w:t>The Peter Doherty Institute for Infection and Immunity</w:t>
      </w:r>
      <w:r>
        <w:t xml:space="preserve"> in Parkville.</w:t>
      </w:r>
    </w:p>
    <w:p w14:paraId="41C629D3" w14:textId="77777777" w:rsidR="00817104" w:rsidRDefault="00817104" w:rsidP="00817104">
      <w:pPr>
        <w:pStyle w:val="Body"/>
      </w:pPr>
      <w:r>
        <w:lastRenderedPageBreak/>
        <w:t xml:space="preserve">Victoria’s public health laboratories have statutory responsibilities as defined in the </w:t>
      </w:r>
      <w:r w:rsidRPr="005D218F">
        <w:rPr>
          <w:i/>
          <w:iCs/>
        </w:rPr>
        <w:t>Public Health and Wellbeing Regulations 2019</w:t>
      </w:r>
      <w:r>
        <w:t xml:space="preserve">. Each laboratory provides specialised services that cover the breadth of communicable diseases, testing for pathogens posing a known and/or emerging public health risk to the Victorian population. </w:t>
      </w:r>
    </w:p>
    <w:p w14:paraId="6A3F53D3" w14:textId="77777777" w:rsidR="00817104" w:rsidRDefault="00817104" w:rsidP="00817104">
      <w:pPr>
        <w:pStyle w:val="Body"/>
      </w:pPr>
      <w:r w:rsidRPr="00905EB5">
        <w:t xml:space="preserve">The department has </w:t>
      </w:r>
      <w:r>
        <w:t xml:space="preserve">a service-level agreement with each laboratory, which outlines their funding, service delivery and reporting requirements. </w:t>
      </w:r>
    </w:p>
    <w:p w14:paraId="1A7FAD22" w14:textId="59AA398E" w:rsidR="00817104" w:rsidRDefault="00817104" w:rsidP="00817104">
      <w:pPr>
        <w:pStyle w:val="Heading3"/>
      </w:pPr>
      <w:r>
        <w:t>Immunisation</w:t>
      </w:r>
    </w:p>
    <w:p w14:paraId="2F219EE9" w14:textId="77777777" w:rsidR="00817104" w:rsidRPr="006038B3" w:rsidRDefault="00817104" w:rsidP="00817104">
      <w:pPr>
        <w:pStyle w:val="Body"/>
      </w:pPr>
      <w:bookmarkStart w:id="2160" w:name="_Toc165964669"/>
      <w:bookmarkStart w:id="2161" w:name="_Toc167174532"/>
      <w:r w:rsidRPr="4EE58963">
        <w:rPr>
          <w:rFonts w:cs="Calibri"/>
        </w:rPr>
        <w:t xml:space="preserve">Funded </w:t>
      </w:r>
      <w:r w:rsidRPr="6AFDEB6C">
        <w:rPr>
          <w:rFonts w:cs="Calibri"/>
        </w:rPr>
        <w:t>agencies</w:t>
      </w:r>
      <w:r w:rsidRPr="4EE58963">
        <w:rPr>
          <w:rFonts w:cs="Calibri"/>
        </w:rPr>
        <w:t xml:space="preserve"> </w:t>
      </w:r>
      <w:r w:rsidRPr="2CA28FC4">
        <w:rPr>
          <w:rFonts w:cs="Calibri"/>
        </w:rPr>
        <w:t>support</w:t>
      </w:r>
      <w:r w:rsidRPr="4EE58963">
        <w:rPr>
          <w:rFonts w:cs="Calibri"/>
        </w:rPr>
        <w:t xml:space="preserve"> </w:t>
      </w:r>
      <w:r w:rsidRPr="11A452AB">
        <w:rPr>
          <w:rFonts w:cs="Calibri"/>
        </w:rPr>
        <w:t xml:space="preserve">delivery of Victoria’s Immunisation Program by providing hospital-based </w:t>
      </w:r>
      <w:r w:rsidRPr="1DF7522B">
        <w:rPr>
          <w:rFonts w:cs="Calibri"/>
        </w:rPr>
        <w:t xml:space="preserve">specialist immunisation services that complement vaccination </w:t>
      </w:r>
      <w:r w:rsidRPr="664473E8">
        <w:rPr>
          <w:rFonts w:cs="Calibri"/>
        </w:rPr>
        <w:t xml:space="preserve">delivery in community and primary </w:t>
      </w:r>
      <w:r w:rsidRPr="432080D7">
        <w:rPr>
          <w:rFonts w:cs="Calibri"/>
        </w:rPr>
        <w:t xml:space="preserve">settings. </w:t>
      </w:r>
      <w:r w:rsidRPr="16F9DCDA">
        <w:rPr>
          <w:rFonts w:cs="Calibri"/>
        </w:rPr>
        <w:t xml:space="preserve">These </w:t>
      </w:r>
      <w:r w:rsidRPr="6EE75330">
        <w:rPr>
          <w:rFonts w:cs="Calibri"/>
        </w:rPr>
        <w:t>specialist</w:t>
      </w:r>
      <w:r w:rsidRPr="432080D7">
        <w:rPr>
          <w:rFonts w:cs="Calibri"/>
        </w:rPr>
        <w:t xml:space="preserve"> services </w:t>
      </w:r>
      <w:r w:rsidRPr="01B56949">
        <w:rPr>
          <w:rFonts w:eastAsia="Arial" w:cs="Arial"/>
          <w:color w:val="000000" w:themeColor="text1"/>
          <w:szCs w:val="21"/>
        </w:rPr>
        <w:t>are</w:t>
      </w:r>
      <w:r w:rsidRPr="5D583A34">
        <w:rPr>
          <w:rFonts w:eastAsia="Arial" w:cs="Arial"/>
          <w:color w:val="000000" w:themeColor="text1"/>
          <w:szCs w:val="21"/>
        </w:rPr>
        <w:t xml:space="preserve"> funded through the hospital funding framework, which specifies what hospitals are funded to deliver. Specialist immunisation services are delivered through public hospitals at </w:t>
      </w:r>
      <w:r>
        <w:rPr>
          <w:rFonts w:eastAsia="Arial" w:cs="Arial"/>
          <w:color w:val="000000" w:themeColor="text1"/>
          <w:szCs w:val="21"/>
        </w:rPr>
        <w:t>T</w:t>
      </w:r>
      <w:r w:rsidRPr="5D583A34">
        <w:rPr>
          <w:rFonts w:eastAsia="Arial" w:cs="Arial"/>
          <w:color w:val="000000" w:themeColor="text1"/>
          <w:szCs w:val="21"/>
        </w:rPr>
        <w:t>he Royal Children’s Hospital and Monash Health.</w:t>
      </w:r>
    </w:p>
    <w:p w14:paraId="37DA14E8" w14:textId="77777777" w:rsidR="00817104" w:rsidRPr="006038B3" w:rsidRDefault="00817104" w:rsidP="00817104">
      <w:pPr>
        <w:pStyle w:val="Body"/>
        <w:rPr>
          <w:rFonts w:cs="Calibri"/>
        </w:rPr>
      </w:pPr>
      <w:r>
        <w:rPr>
          <w:rFonts w:cs="Calibri"/>
        </w:rPr>
        <w:t>These services</w:t>
      </w:r>
      <w:r w:rsidRPr="30AA3AE8" w:rsidDel="00E36D25">
        <w:rPr>
          <w:rFonts w:cs="Calibri"/>
        </w:rPr>
        <w:t xml:space="preserve"> </w:t>
      </w:r>
      <w:r>
        <w:rPr>
          <w:rFonts w:cs="Calibri"/>
        </w:rPr>
        <w:t xml:space="preserve">play an important role in maintaining high immunisation coverage and community confidence by providing </w:t>
      </w:r>
      <w:r w:rsidRPr="0670E279">
        <w:rPr>
          <w:rFonts w:cs="Calibri"/>
        </w:rPr>
        <w:t xml:space="preserve">specialist </w:t>
      </w:r>
      <w:r>
        <w:rPr>
          <w:rFonts w:cs="Calibri"/>
        </w:rPr>
        <w:t>assessment and vaccination for individuals</w:t>
      </w:r>
      <w:r w:rsidRPr="0670E279">
        <w:rPr>
          <w:rFonts w:cs="Calibri"/>
        </w:rPr>
        <w:t xml:space="preserve"> </w:t>
      </w:r>
      <w:r>
        <w:rPr>
          <w:rFonts w:cs="Calibri"/>
        </w:rPr>
        <w:t xml:space="preserve">whose immunisation needs cannot be met in community </w:t>
      </w:r>
      <w:r w:rsidRPr="30AA3AE8">
        <w:rPr>
          <w:rFonts w:cs="Calibri"/>
        </w:rPr>
        <w:t>setting</w:t>
      </w:r>
      <w:r>
        <w:rPr>
          <w:rFonts w:cs="Calibri"/>
        </w:rPr>
        <w:t>s</w:t>
      </w:r>
      <w:r w:rsidRPr="0670E279">
        <w:rPr>
          <w:rFonts w:cs="Calibri"/>
        </w:rPr>
        <w:t xml:space="preserve">. </w:t>
      </w:r>
    </w:p>
    <w:p w14:paraId="4460CDF7" w14:textId="77777777" w:rsidR="00817104" w:rsidRPr="006038B3" w:rsidRDefault="00817104" w:rsidP="00817104">
      <w:pPr>
        <w:pStyle w:val="Body"/>
      </w:pPr>
      <w:r>
        <w:t>Services</w:t>
      </w:r>
      <w:r w:rsidRPr="0670E279">
        <w:t xml:space="preserve"> include specialist assessment and immunisation of high</w:t>
      </w:r>
      <w:r>
        <w:t>-</w:t>
      </w:r>
      <w:r w:rsidRPr="0670E279">
        <w:t xml:space="preserve">risk populations, immunisation under sedation, drop-in outpatient clinics for opportunistic immunisations and Bacillus Calmette–Guérin vaccine clinics for children </w:t>
      </w:r>
      <w:r>
        <w:t xml:space="preserve">aged </w:t>
      </w:r>
      <w:r w:rsidRPr="0670E279">
        <w:t xml:space="preserve">under five years. </w:t>
      </w:r>
    </w:p>
    <w:p w14:paraId="50CA53B9" w14:textId="77777777" w:rsidR="00817104" w:rsidRPr="00DF2AA5" w:rsidRDefault="00817104" w:rsidP="00817104">
      <w:pPr>
        <w:pStyle w:val="Body"/>
      </w:pPr>
      <w:r w:rsidRPr="0670E279">
        <w:t xml:space="preserve">Supporting specialist immunisation services aligns with the department’s commitment to </w:t>
      </w:r>
      <w:r>
        <w:t xml:space="preserve">improving immunisation coverage. It also supports implementation of the National Immunisation Program and the </w:t>
      </w:r>
      <w:r w:rsidRPr="002D6AE5">
        <w:rPr>
          <w:i/>
          <w:iCs/>
        </w:rPr>
        <w:t>National Immunisation Strategy (2025–2030)</w:t>
      </w:r>
      <w:r>
        <w:t xml:space="preserve">, which form part of the </w:t>
      </w:r>
      <w:r w:rsidRPr="0670E279">
        <w:t>Essential Vaccines</w:t>
      </w:r>
      <w:r>
        <w:t xml:space="preserve"> Federation Funding Agreement</w:t>
      </w:r>
      <w:r w:rsidRPr="0670E279">
        <w:t xml:space="preserve"> </w:t>
      </w:r>
      <w:r>
        <w:t>(2025–2028) with the Commonwealth.</w:t>
      </w:r>
    </w:p>
    <w:p w14:paraId="7CFAB59F" w14:textId="726ED081" w:rsidR="00817104" w:rsidRPr="009B0F16" w:rsidRDefault="00817104" w:rsidP="00817104">
      <w:pPr>
        <w:pStyle w:val="Heading2"/>
      </w:pPr>
      <w:bookmarkStart w:id="2162" w:name="_Toc231982281"/>
      <w:bookmarkEnd w:id="2160"/>
      <w:bookmarkEnd w:id="2161"/>
      <w:r>
        <w:t>Early Parenting Centres</w:t>
      </w:r>
      <w:bookmarkEnd w:id="2162"/>
    </w:p>
    <w:p w14:paraId="391697AA" w14:textId="77777777" w:rsidR="00817104" w:rsidRDefault="00817104" w:rsidP="00817104">
      <w:pPr>
        <w:pStyle w:val="Body"/>
      </w:pPr>
      <w:r>
        <w:t>Early Parenting Centres are operated by Victorian public health services. They provide specialist support for Victorian families with children aged up to 4 years. Through flexible, targeted approaches, parents and carers are supported with strategies in areas such as sleep and settling, child behaviour, and parent and child health and wellbeing</w:t>
      </w:r>
      <w:r w:rsidRPr="003E3D48">
        <w:t>.</w:t>
      </w:r>
      <w:r w:rsidRPr="00F64BCC">
        <w:t xml:space="preserve"> </w:t>
      </w:r>
    </w:p>
    <w:p w14:paraId="32C514D3" w14:textId="77777777" w:rsidR="00817104" w:rsidRPr="003E3D48" w:rsidRDefault="00817104" w:rsidP="00817104">
      <w:pPr>
        <w:pStyle w:val="Body"/>
      </w:pPr>
      <w:r w:rsidRPr="00F64BCC">
        <w:t xml:space="preserve">Families do not require a Medicare </w:t>
      </w:r>
      <w:r>
        <w:t>c</w:t>
      </w:r>
      <w:r w:rsidRPr="00F64BCC">
        <w:t xml:space="preserve">ard to access an </w:t>
      </w:r>
      <w:r>
        <w:t>Early Parenting Centre</w:t>
      </w:r>
      <w:r w:rsidRPr="00F64BCC">
        <w:t>.</w:t>
      </w:r>
    </w:p>
    <w:p w14:paraId="4DBCA1BE" w14:textId="1B9494B6" w:rsidR="00817104" w:rsidRDefault="00817104" w:rsidP="00817104">
      <w:pPr>
        <w:pStyle w:val="Body"/>
      </w:pPr>
      <w:r>
        <w:t xml:space="preserve">Operating public health services are funded to deliver day-stay programs, multiple overnight-stay programs, group-based programs, telehealth and/or outreach support. Funding is allocated through a blended funding model comprising block funding and </w:t>
      </w:r>
      <w:r w:rsidR="006607B0">
        <w:t>ABF</w:t>
      </w:r>
      <w:r>
        <w:t>, with annual targets (clients) specified.</w:t>
      </w:r>
    </w:p>
    <w:p w14:paraId="5895CD9D" w14:textId="77777777" w:rsidR="00817104" w:rsidRDefault="00817104" w:rsidP="00817104">
      <w:pPr>
        <w:pStyle w:val="Body"/>
      </w:pPr>
      <w:r>
        <w:t xml:space="preserve">The </w:t>
      </w:r>
      <w:r w:rsidRPr="007C5056">
        <w:t>Baluk Balert Barring</w:t>
      </w:r>
      <w:r>
        <w:t xml:space="preserve"> Early Parenting Centre for Aboriginal children and families is block funded to deliver day-stay programs, group-based programs, and telehealth and/or outreach support. </w:t>
      </w:r>
    </w:p>
    <w:p w14:paraId="05FDE6D7" w14:textId="77777777" w:rsidR="00817104" w:rsidRDefault="00817104" w:rsidP="00817104">
      <w:pPr>
        <w:pStyle w:val="Body"/>
      </w:pPr>
      <w:r>
        <w:t xml:space="preserve">For more information, visit </w:t>
      </w:r>
      <w:hyperlink r:id="rId113">
        <w:r w:rsidRPr="0670E279">
          <w:rPr>
            <w:rStyle w:val="Hyperlink"/>
          </w:rPr>
          <w:t xml:space="preserve">Early </w:t>
        </w:r>
        <w:r>
          <w:rPr>
            <w:rStyle w:val="Hyperlink"/>
          </w:rPr>
          <w:t>P</w:t>
        </w:r>
        <w:r w:rsidRPr="0670E279">
          <w:rPr>
            <w:rStyle w:val="Hyperlink"/>
          </w:rPr>
          <w:t xml:space="preserve">arenting </w:t>
        </w:r>
        <w:r>
          <w:rPr>
            <w:rStyle w:val="Hyperlink"/>
          </w:rPr>
          <w:t>C</w:t>
        </w:r>
        <w:r w:rsidRPr="0670E279">
          <w:rPr>
            <w:rStyle w:val="Hyperlink"/>
          </w:rPr>
          <w:t>entres</w:t>
        </w:r>
      </w:hyperlink>
      <w:r>
        <w:t xml:space="preserve"> &lt;https://www.health.vic.gov.au/maternal-child-health/early-parenting-centres&gt;.</w:t>
      </w:r>
    </w:p>
    <w:p w14:paraId="788D81AC" w14:textId="2041CF7D" w:rsidR="00817104" w:rsidRPr="009B0F16" w:rsidRDefault="00817104" w:rsidP="00817104">
      <w:pPr>
        <w:pStyle w:val="Heading2"/>
      </w:pPr>
      <w:bookmarkStart w:id="2163" w:name="_Toc231982282"/>
      <w:r>
        <w:t>LPHUs</w:t>
      </w:r>
      <w:bookmarkEnd w:id="2163"/>
    </w:p>
    <w:p w14:paraId="67B48CD5" w14:textId="77777777" w:rsidR="00817104" w:rsidRDefault="00817104" w:rsidP="00817104">
      <w:pPr>
        <w:pStyle w:val="Body"/>
      </w:pPr>
      <w:bookmarkStart w:id="2164" w:name="_Toc418694961"/>
      <w:bookmarkStart w:id="2165" w:name="_Toc6215614"/>
      <w:bookmarkStart w:id="2166" w:name="_Toc10199687"/>
      <w:bookmarkStart w:id="2167" w:name="_Toc106868046"/>
      <w:bookmarkStart w:id="2168" w:name="_Toc106869797"/>
      <w:bookmarkStart w:id="2169" w:name="_Toc106870131"/>
      <w:bookmarkStart w:id="2170" w:name="_Toc106870297"/>
      <w:bookmarkStart w:id="2171" w:name="_Toc106870469"/>
      <w:bookmarkStart w:id="2172" w:name="_Toc165964670"/>
      <w:bookmarkStart w:id="2173" w:name="_Toc167174533"/>
      <w:r>
        <w:t>The department funds nine health services (</w:t>
      </w:r>
      <w:r w:rsidRPr="00B5218A">
        <w:t xml:space="preserve">Albury </w:t>
      </w:r>
      <w:r>
        <w:t xml:space="preserve">Wodonga </w:t>
      </w:r>
      <w:r w:rsidRPr="00B5218A">
        <w:t>Health</w:t>
      </w:r>
      <w:r>
        <w:t xml:space="preserve">, </w:t>
      </w:r>
      <w:r w:rsidRPr="00B5218A">
        <w:t xml:space="preserve">Austin Health, Barwon Health, </w:t>
      </w:r>
      <w:r>
        <w:t>Bendigo</w:t>
      </w:r>
      <w:r w:rsidRPr="00B5218A">
        <w:t xml:space="preserve"> Health, Grampians Health, </w:t>
      </w:r>
      <w:r>
        <w:t>Goulburn Valley Health,</w:t>
      </w:r>
      <w:r w:rsidRPr="00B5218A">
        <w:t xml:space="preserve"> L</w:t>
      </w:r>
      <w:r>
        <w:t>at</w:t>
      </w:r>
      <w:r w:rsidRPr="00B5218A">
        <w:t>robe Regional Health</w:t>
      </w:r>
      <w:r>
        <w:t>,</w:t>
      </w:r>
      <w:r w:rsidRPr="00B5218A">
        <w:t xml:space="preserve"> Monash Health</w:t>
      </w:r>
      <w:r>
        <w:t xml:space="preserve"> and </w:t>
      </w:r>
      <w:r w:rsidRPr="00B5218A">
        <w:t>Western Health</w:t>
      </w:r>
      <w:r>
        <w:t xml:space="preserve">) to operate an LPHU. </w:t>
      </w:r>
    </w:p>
    <w:p w14:paraId="148BB035" w14:textId="77777777" w:rsidR="00817104" w:rsidRDefault="00817104" w:rsidP="00817104">
      <w:pPr>
        <w:pStyle w:val="Body"/>
      </w:pPr>
      <w:r>
        <w:lastRenderedPageBreak/>
        <w:t xml:space="preserve">LPHUs work with the department to help </w:t>
      </w:r>
      <w:r w:rsidRPr="00574022">
        <w:t>keep their local communities healthy, safe and well. They use local knowledge, community-based relationships and direct engagement to effectively tailor and deliver public health initiatives and respond to</w:t>
      </w:r>
      <w:r>
        <w:t xml:space="preserve"> notifiable diseases,</w:t>
      </w:r>
      <w:r w:rsidRPr="00574022">
        <w:t xml:space="preserve"> incidents and issues within their local area</w:t>
      </w:r>
      <w:r>
        <w:t xml:space="preserve">. </w:t>
      </w:r>
    </w:p>
    <w:p w14:paraId="4DF39926" w14:textId="77777777" w:rsidR="00817104" w:rsidRDefault="00817104" w:rsidP="00817104">
      <w:pPr>
        <w:pStyle w:val="Body"/>
      </w:pPr>
      <w:r>
        <w:t xml:space="preserve">Each health service that operates an LPHU has responsibilities for public health activities and outcomes within their catchment. More information on those responsibilities and accountabilities, including policy guide supplements for LPHUs, is available at the </w:t>
      </w:r>
      <w:hyperlink r:id="rId114" w:history="1">
        <w:r>
          <w:rPr>
            <w:rStyle w:val="Hyperlink"/>
          </w:rPr>
          <w:t>Local Public Health Units</w:t>
        </w:r>
      </w:hyperlink>
      <w:r>
        <w:t xml:space="preserve"> &lt;</w:t>
      </w:r>
      <w:r w:rsidRPr="00E251AF">
        <w:t>https://www.health.vic.gov.au/local-public-health-units</w:t>
      </w:r>
      <w:r>
        <w:t>&gt;.</w:t>
      </w:r>
    </w:p>
    <w:p w14:paraId="154733FA" w14:textId="77777777" w:rsidR="00817104" w:rsidRDefault="00817104" w:rsidP="00817104">
      <w:pPr>
        <w:pStyle w:val="Body"/>
      </w:pPr>
      <w:r>
        <w:br w:type="page"/>
      </w:r>
    </w:p>
    <w:p w14:paraId="67A1CA3F" w14:textId="77777777" w:rsidR="00817104" w:rsidRDefault="00817104" w:rsidP="00787FA7">
      <w:pPr>
        <w:pStyle w:val="Heading1"/>
      </w:pPr>
      <w:bookmarkStart w:id="2174" w:name="_Toc231982283"/>
      <w:r>
        <w:lastRenderedPageBreak/>
        <w:t xml:space="preserve">Health </w:t>
      </w:r>
      <w:r w:rsidRPr="006D5D3C">
        <w:t>workforce</w:t>
      </w:r>
      <w:r>
        <w:t xml:space="preserve"> training</w:t>
      </w:r>
      <w:bookmarkEnd w:id="2164"/>
      <w:bookmarkEnd w:id="2165"/>
      <w:bookmarkEnd w:id="2166"/>
      <w:r>
        <w:t xml:space="preserve"> and development</w:t>
      </w:r>
      <w:bookmarkEnd w:id="2167"/>
      <w:bookmarkEnd w:id="2168"/>
      <w:bookmarkEnd w:id="2169"/>
      <w:bookmarkEnd w:id="2170"/>
      <w:bookmarkEnd w:id="2171"/>
      <w:bookmarkEnd w:id="2172"/>
      <w:bookmarkEnd w:id="2173"/>
      <w:bookmarkEnd w:id="2174"/>
    </w:p>
    <w:p w14:paraId="44D8B737" w14:textId="1808F117" w:rsidR="00817104" w:rsidRPr="009B0F16" w:rsidRDefault="00817104" w:rsidP="00817104">
      <w:pPr>
        <w:pStyle w:val="Heading2"/>
      </w:pPr>
      <w:bookmarkStart w:id="2175" w:name="_Toc106868047"/>
      <w:bookmarkStart w:id="2176" w:name="_Toc106869798"/>
      <w:bookmarkStart w:id="2177" w:name="_Toc106870132"/>
      <w:bookmarkStart w:id="2178" w:name="_Toc106870298"/>
      <w:bookmarkStart w:id="2179" w:name="_Toc106870470"/>
      <w:bookmarkStart w:id="2180" w:name="_Toc418694962"/>
      <w:bookmarkStart w:id="2181" w:name="_Toc6215615"/>
      <w:bookmarkStart w:id="2182" w:name="_Toc10199688"/>
      <w:bookmarkStart w:id="2183" w:name="_Toc165964671"/>
      <w:bookmarkStart w:id="2184" w:name="_Toc167174534"/>
      <w:bookmarkStart w:id="2185" w:name="_Toc231982284"/>
      <w:r>
        <w:t xml:space="preserve">Training and </w:t>
      </w:r>
      <w:bookmarkEnd w:id="2175"/>
      <w:bookmarkEnd w:id="2176"/>
      <w:bookmarkEnd w:id="2177"/>
      <w:bookmarkEnd w:id="2178"/>
      <w:bookmarkEnd w:id="2179"/>
      <w:bookmarkEnd w:id="2180"/>
      <w:bookmarkEnd w:id="2181"/>
      <w:bookmarkEnd w:id="2182"/>
      <w:r>
        <w:t>development funding</w:t>
      </w:r>
      <w:bookmarkEnd w:id="2183"/>
      <w:bookmarkEnd w:id="2184"/>
      <w:bookmarkEnd w:id="2185"/>
    </w:p>
    <w:p w14:paraId="48F99B23" w14:textId="77777777" w:rsidR="00817104" w:rsidRPr="001B214E" w:rsidRDefault="00817104" w:rsidP="00817104">
      <w:pPr>
        <w:pStyle w:val="Body"/>
      </w:pPr>
      <w:r>
        <w:t xml:space="preserve">The department provides training and development funding to Victorian public health services </w:t>
      </w:r>
      <w:r w:rsidRPr="34D99C38">
        <w:rPr>
          <w:rFonts w:cs="Arial"/>
        </w:rPr>
        <w:t xml:space="preserve">to </w:t>
      </w:r>
      <w:r w:rsidRPr="00C628A3">
        <w:t>contribute to the teaching and training costs associated with the</w:t>
      </w:r>
      <w:r w:rsidRPr="34D99C38">
        <w:rPr>
          <w:rFonts w:cs="Arial"/>
        </w:rPr>
        <w:t xml:space="preserve"> development of a high-quality health workforce for Victoria. </w:t>
      </w:r>
      <w:r>
        <w:t xml:space="preserve">This funding is in addition to training and development support provided through activity payments. </w:t>
      </w:r>
    </w:p>
    <w:p w14:paraId="2AC1659B" w14:textId="77777777" w:rsidR="00817104" w:rsidRDefault="00817104" w:rsidP="00817104">
      <w:pPr>
        <w:pStyle w:val="Body"/>
      </w:pPr>
      <w:r>
        <w:t xml:space="preserve">The </w:t>
      </w:r>
      <w:r w:rsidRPr="009E218C">
        <w:rPr>
          <w:i/>
          <w:iCs/>
        </w:rPr>
        <w:t>Training and Development Funding – Program Guidelines 2025–26</w:t>
      </w:r>
      <w:r>
        <w:rPr>
          <w:rFonts w:cs="Arial"/>
        </w:rPr>
        <w:t xml:space="preserve"> </w:t>
      </w:r>
      <w:r>
        <w:t>have been updated to reflect a broader scope and now covers all workforce-funded initiatives. A</w:t>
      </w:r>
      <w:r w:rsidRPr="00D7293D">
        <w:t>ll funded programs are grouped into two main sections</w:t>
      </w:r>
      <w:r>
        <w:t xml:space="preserve">: </w:t>
      </w:r>
      <w:r w:rsidRPr="00D7293D">
        <w:t>general health programs</w:t>
      </w:r>
      <w:r>
        <w:t xml:space="preserve"> and </w:t>
      </w:r>
      <w:r w:rsidRPr="00D7293D">
        <w:t>mental health programs</w:t>
      </w:r>
      <w:r>
        <w:t>.</w:t>
      </w:r>
    </w:p>
    <w:p w14:paraId="5863C79E" w14:textId="77777777" w:rsidR="00817104" w:rsidRPr="002E7A08" w:rsidRDefault="00817104" w:rsidP="00817104">
      <w:pPr>
        <w:pStyle w:val="Bullet1"/>
        <w:numPr>
          <w:ilvl w:val="0"/>
          <w:numId w:val="0"/>
        </w:numPr>
        <w:ind w:left="284" w:hanging="284"/>
      </w:pPr>
      <w:r w:rsidRPr="002E7A08">
        <w:t xml:space="preserve">There are </w:t>
      </w:r>
      <w:r>
        <w:t>several targeted streams of</w:t>
      </w:r>
      <w:r w:rsidRPr="002E7A08">
        <w:t xml:space="preserve"> funding for teaching and training, including:</w:t>
      </w:r>
    </w:p>
    <w:p w14:paraId="06EDF036" w14:textId="77777777" w:rsidR="00817104" w:rsidRPr="001B214E" w:rsidRDefault="00817104" w:rsidP="00817104">
      <w:pPr>
        <w:pStyle w:val="Bullet1"/>
        <w:numPr>
          <w:ilvl w:val="0"/>
          <w:numId w:val="2"/>
        </w:numPr>
        <w:rPr>
          <w:lang w:eastAsia="en-AU"/>
        </w:rPr>
      </w:pPr>
      <w:r w:rsidRPr="0670E279">
        <w:rPr>
          <w:lang w:eastAsia="en-AU"/>
        </w:rPr>
        <w:t xml:space="preserve">professional-entry </w:t>
      </w:r>
      <w:r>
        <w:rPr>
          <w:lang w:eastAsia="en-AU"/>
        </w:rPr>
        <w:t>programs</w:t>
      </w:r>
    </w:p>
    <w:p w14:paraId="71250C19" w14:textId="77777777" w:rsidR="00817104" w:rsidRPr="002E7A08" w:rsidRDefault="00817104" w:rsidP="00817104">
      <w:pPr>
        <w:pStyle w:val="Bullet1"/>
        <w:numPr>
          <w:ilvl w:val="0"/>
          <w:numId w:val="2"/>
        </w:numPr>
      </w:pPr>
      <w:r w:rsidRPr="002E7A08">
        <w:t>graduate (transition to practice) programs</w:t>
      </w:r>
    </w:p>
    <w:p w14:paraId="354E1C09" w14:textId="77777777" w:rsidR="00817104" w:rsidRPr="002E7A08" w:rsidRDefault="00817104" w:rsidP="00817104">
      <w:pPr>
        <w:pStyle w:val="Bullet1"/>
        <w:numPr>
          <w:ilvl w:val="0"/>
          <w:numId w:val="2"/>
        </w:numPr>
      </w:pPr>
      <w:r w:rsidRPr="002E7A08">
        <w:t>postgraduate programs</w:t>
      </w:r>
    </w:p>
    <w:p w14:paraId="10964FFA" w14:textId="77777777" w:rsidR="00817104" w:rsidRDefault="00817104" w:rsidP="00817104">
      <w:pPr>
        <w:pStyle w:val="Bullet1"/>
        <w:numPr>
          <w:ilvl w:val="0"/>
          <w:numId w:val="2"/>
        </w:numPr>
      </w:pPr>
      <w:r w:rsidRPr="002E7A08">
        <w:t>scholarships</w:t>
      </w:r>
    </w:p>
    <w:p w14:paraId="7186E0F7" w14:textId="77777777" w:rsidR="00817104" w:rsidRPr="001B214E" w:rsidRDefault="00817104" w:rsidP="00817104">
      <w:pPr>
        <w:pStyle w:val="Bullet1"/>
        <w:numPr>
          <w:ilvl w:val="0"/>
          <w:numId w:val="2"/>
        </w:numPr>
        <w:spacing w:after="120"/>
      </w:pPr>
      <w:r w:rsidRPr="002E7A08">
        <w:t>continuing education initiatives</w:t>
      </w:r>
      <w:r>
        <w:t>.</w:t>
      </w:r>
      <w:r w:rsidRPr="142E9E6B" w:rsidDel="00452666">
        <w:rPr>
          <w:lang w:eastAsia="en-AU"/>
        </w:rPr>
        <w:t xml:space="preserve"> </w:t>
      </w:r>
    </w:p>
    <w:p w14:paraId="5E7157F1" w14:textId="77777777" w:rsidR="00817104" w:rsidRDefault="00817104" w:rsidP="00817104">
      <w:pPr>
        <w:pStyle w:val="Bodyafterbullets"/>
      </w:pPr>
      <w:r w:rsidRPr="00477056">
        <w:t xml:space="preserve">The guidelines provide details on </w:t>
      </w:r>
      <w:r>
        <w:t>program-specific</w:t>
      </w:r>
      <w:r w:rsidRPr="00477056">
        <w:t xml:space="preserve"> eligibility criteria, </w:t>
      </w:r>
      <w:r>
        <w:t xml:space="preserve">funding access and </w:t>
      </w:r>
      <w:r w:rsidRPr="00477056">
        <w:t>allocation approach, and reporting requirements to assist health services in meeting the relevant funding conditions.</w:t>
      </w:r>
    </w:p>
    <w:p w14:paraId="3D47AE43" w14:textId="77777777" w:rsidR="00817104" w:rsidRDefault="00817104" w:rsidP="00817104">
      <w:r>
        <w:rPr>
          <w:rFonts w:cs="Arial"/>
        </w:rPr>
        <w:t xml:space="preserve">Modelled allocations to Victorian public health services in 2026–27 across each training and development program are </w:t>
      </w:r>
      <w:r>
        <w:t>in line with the reporting requirements and funding calculation provisions in the current guidelines.</w:t>
      </w:r>
    </w:p>
    <w:p w14:paraId="01F527E5" w14:textId="77777777" w:rsidR="00817104" w:rsidRPr="00DF6854" w:rsidRDefault="00817104" w:rsidP="00817104">
      <w:pPr>
        <w:rPr>
          <w:rFonts w:eastAsia="Times"/>
        </w:rPr>
      </w:pPr>
      <w:r>
        <w:t xml:space="preserve">For a detailed overview of the department’s training and development funding, visit </w:t>
      </w:r>
      <w:hyperlink r:id="rId115">
        <w:r>
          <w:rPr>
            <w:rStyle w:val="Hyperlink"/>
          </w:rPr>
          <w:t>Training and Development Funding – Program Guidelines</w:t>
        </w:r>
      </w:hyperlink>
      <w:r w:rsidRPr="00C632D4">
        <w:t xml:space="preserve"> &lt;www.health.vic.gov.au/education-and-training/training-and-development-funding&gt;</w:t>
      </w:r>
      <w:r>
        <w:t>.</w:t>
      </w:r>
    </w:p>
    <w:p w14:paraId="350830B8" w14:textId="2A15C8A3" w:rsidR="00817104" w:rsidRPr="00302C0E" w:rsidRDefault="00817104" w:rsidP="00817104">
      <w:pPr>
        <w:pStyle w:val="Heading3"/>
      </w:pPr>
      <w:bookmarkStart w:id="2186" w:name="_Other_targeted_workforce"/>
      <w:bookmarkEnd w:id="2186"/>
      <w:r w:rsidRPr="00302C0E">
        <w:t xml:space="preserve">Funding </w:t>
      </w:r>
      <w:r w:rsidRPr="00C45961">
        <w:t>conditions</w:t>
      </w:r>
      <w:r w:rsidRPr="00302C0E">
        <w:t xml:space="preserve"> and allocation</w:t>
      </w:r>
    </w:p>
    <w:p w14:paraId="1641C2FD" w14:textId="77777777" w:rsidR="00817104" w:rsidRDefault="00817104" w:rsidP="00817104">
      <w:pPr>
        <w:pStyle w:val="Body"/>
      </w:pPr>
      <w:bookmarkStart w:id="2187" w:name="_Toc165964672"/>
      <w:bookmarkStart w:id="2188" w:name="_Toc167174535"/>
      <w:r w:rsidRPr="00C632D4">
        <w:t xml:space="preserve">Health services that receive training and development grant funding should ensure they meet eligibility and reporting requirements, as detailed in the </w:t>
      </w:r>
      <w:r w:rsidRPr="008D46BE">
        <w:t>Training and Development Funding – Program Guidelines</w:t>
      </w:r>
      <w:r>
        <w:t>.</w:t>
      </w:r>
      <w:r w:rsidRPr="00C632D4">
        <w:t xml:space="preserve"> Nursing and midwifery program areas must comply with the </w:t>
      </w:r>
      <w:r w:rsidRPr="009E218C">
        <w:rPr>
          <w:i/>
          <w:iCs/>
        </w:rPr>
        <w:t>Safe Patient Care (Nurse to Patient and Midwife to Patient Ratios) Act 2015</w:t>
      </w:r>
      <w:r>
        <w:t xml:space="preserve">. </w:t>
      </w:r>
    </w:p>
    <w:p w14:paraId="73E21A9B" w14:textId="77777777" w:rsidR="00817104" w:rsidRDefault="00817104" w:rsidP="00817104">
      <w:pPr>
        <w:pStyle w:val="Body"/>
      </w:pPr>
      <w:r w:rsidRPr="00C632D4">
        <w:t>Where the department is made aware of non</w:t>
      </w:r>
      <w:r>
        <w:t>-</w:t>
      </w:r>
      <w:r w:rsidRPr="00C632D4">
        <w:t>compliance with this Act, training and development grant funding may be withheld or recovered.</w:t>
      </w:r>
    </w:p>
    <w:p w14:paraId="44239D13" w14:textId="77777777" w:rsidR="00817104" w:rsidRDefault="00817104" w:rsidP="00817104">
      <w:pPr>
        <w:pStyle w:val="Body"/>
      </w:pPr>
      <w:r w:rsidRPr="00D1655D">
        <w:t xml:space="preserve">All </w:t>
      </w:r>
      <w:r w:rsidRPr="00C632D4">
        <w:t>programs supported through training and development funding must conform to the most recent versions of guidelines</w:t>
      </w:r>
      <w:r>
        <w:t>. This includes</w:t>
      </w:r>
      <w:r w:rsidRPr="00C632D4">
        <w:t xml:space="preserve"> the guidelines and standards set by the </w:t>
      </w:r>
      <w:r w:rsidRPr="007C5056">
        <w:t>Australian Health Practitioner Regulation Agency (A</w:t>
      </w:r>
      <w:r w:rsidRPr="007C5056" w:rsidDel="00A60F18">
        <w:t>hpra</w:t>
      </w:r>
      <w:r w:rsidRPr="007C5056">
        <w:t>)</w:t>
      </w:r>
      <w:r>
        <w:t xml:space="preserve"> </w:t>
      </w:r>
      <w:r w:rsidRPr="00C632D4">
        <w:t xml:space="preserve">and </w:t>
      </w:r>
      <w:r>
        <w:t>t</w:t>
      </w:r>
      <w:r w:rsidRPr="00446A37">
        <w:t>he National Registration and Accreditation Scheme</w:t>
      </w:r>
      <w:r>
        <w:t>.</w:t>
      </w:r>
    </w:p>
    <w:p w14:paraId="254DC9FB" w14:textId="77777777" w:rsidR="00817104" w:rsidRPr="00C632D4" w:rsidRDefault="00817104" w:rsidP="00817104">
      <w:pPr>
        <w:pStyle w:val="Body"/>
      </w:pPr>
      <w:r w:rsidRPr="00D1655D">
        <w:t xml:space="preserve">The total grant pool limits the amount of funding allocated to individual health services. Reporting of eligible activity by health services to the department is </w:t>
      </w:r>
      <w:r>
        <w:t>a condition of funding and allows for</w:t>
      </w:r>
      <w:r w:rsidRPr="00D1655D">
        <w:t xml:space="preserve"> timely and appropriate allocations of funding. </w:t>
      </w:r>
    </w:p>
    <w:p w14:paraId="344A6120" w14:textId="77777777" w:rsidR="00817104" w:rsidRPr="00C632D4" w:rsidRDefault="00817104" w:rsidP="00817104">
      <w:pPr>
        <w:pStyle w:val="Body"/>
      </w:pPr>
      <w:r w:rsidRPr="00D1655D">
        <w:t>If programs or training positions include a period of rotating placements, lead organisations are required to ensure th</w:t>
      </w:r>
      <w:r>
        <w:t>at</w:t>
      </w:r>
      <w:r w:rsidRPr="00D1655D">
        <w:t xml:space="preserve"> other host organisations receive a pro</w:t>
      </w:r>
      <w:r>
        <w:t>-</w:t>
      </w:r>
      <w:r w:rsidRPr="00D1655D">
        <w:t>rata portion of the grant that is equal to the length of the rotation. </w:t>
      </w:r>
    </w:p>
    <w:p w14:paraId="247CD248" w14:textId="77777777" w:rsidR="00817104" w:rsidRDefault="00817104" w:rsidP="00817104">
      <w:pPr>
        <w:pStyle w:val="Body"/>
      </w:pPr>
      <w:r w:rsidRPr="00D1655D">
        <w:lastRenderedPageBreak/>
        <w:t>For more information</w:t>
      </w:r>
      <w:r>
        <w:t xml:space="preserve"> and resources</w:t>
      </w:r>
      <w:r w:rsidRPr="00D1655D">
        <w:t>, visit</w:t>
      </w:r>
      <w:r>
        <w:t>:</w:t>
      </w:r>
    </w:p>
    <w:p w14:paraId="639BDCD6" w14:textId="77777777" w:rsidR="00817104" w:rsidRDefault="00817104" w:rsidP="00817104">
      <w:pPr>
        <w:pStyle w:val="Bullet1"/>
        <w:numPr>
          <w:ilvl w:val="0"/>
          <w:numId w:val="2"/>
        </w:numPr>
      </w:pPr>
      <w:hyperlink r:id="rId116">
        <w:r>
          <w:rPr>
            <w:rStyle w:val="Hyperlink"/>
          </w:rPr>
          <w:t>Training and Development Funding – Program Guidelines</w:t>
        </w:r>
      </w:hyperlink>
      <w:r w:rsidRPr="00C632D4">
        <w:t xml:space="preserve"> &lt;www.health.vic.gov.au/education-and-training/training-and-development-funding&gt;</w:t>
      </w:r>
    </w:p>
    <w:p w14:paraId="6D73DEEC" w14:textId="77777777" w:rsidR="00817104" w:rsidRDefault="00817104" w:rsidP="00817104">
      <w:pPr>
        <w:pStyle w:val="Bullet1"/>
        <w:numPr>
          <w:ilvl w:val="0"/>
          <w:numId w:val="2"/>
        </w:numPr>
      </w:pPr>
      <w:hyperlink r:id="rId117" w:history="1">
        <w:r w:rsidRPr="00715A14">
          <w:rPr>
            <w:rStyle w:val="Hyperlink"/>
            <w:i/>
            <w:iCs/>
          </w:rPr>
          <w:t>Safe Patient Care (Nurse to Patient and Midwife to Patient Ratios) Act 2015</w:t>
        </w:r>
      </w:hyperlink>
      <w:r w:rsidRPr="006A5F6C" w:rsidDel="006A5F6C">
        <w:t xml:space="preserve"> </w:t>
      </w:r>
      <w:r>
        <w:t>&lt;</w:t>
      </w:r>
      <w:r w:rsidRPr="00E43496">
        <w:t>www.legislation.vic.gov.au/in-force/acts/safe-patient-care-nurse-patient-and-midwife-patient-ratios-act-2015/011</w:t>
      </w:r>
      <w:r>
        <w:t>&gt;</w:t>
      </w:r>
    </w:p>
    <w:p w14:paraId="113BF421" w14:textId="77777777" w:rsidR="00817104" w:rsidRDefault="00817104" w:rsidP="00817104">
      <w:pPr>
        <w:pStyle w:val="Bullet1"/>
        <w:numPr>
          <w:ilvl w:val="0"/>
          <w:numId w:val="2"/>
        </w:numPr>
      </w:pPr>
      <w:hyperlink r:id="rId118" w:history="1">
        <w:r>
          <w:rPr>
            <w:rStyle w:val="Hyperlink"/>
          </w:rPr>
          <w:t>Australian Health Practitioner Regulation Agency (Ahpra)</w:t>
        </w:r>
      </w:hyperlink>
      <w:r>
        <w:t xml:space="preserve"> &lt;</w:t>
      </w:r>
      <w:r w:rsidRPr="004F0FEA">
        <w:t>www.ahpra.gov.au</w:t>
      </w:r>
      <w:r>
        <w:t>&gt;</w:t>
      </w:r>
    </w:p>
    <w:p w14:paraId="44115B26" w14:textId="77777777" w:rsidR="00817104" w:rsidRDefault="00817104" w:rsidP="00817104">
      <w:pPr>
        <w:pStyle w:val="Bullet1"/>
        <w:numPr>
          <w:ilvl w:val="0"/>
          <w:numId w:val="2"/>
        </w:numPr>
      </w:pPr>
      <w:hyperlink r:id="rId119" w:history="1">
        <w:r w:rsidRPr="00754ABE">
          <w:rPr>
            <w:rStyle w:val="Hyperlink"/>
          </w:rPr>
          <w:t>The National Registration and Accreditation Scheme</w:t>
        </w:r>
      </w:hyperlink>
      <w:r>
        <w:t xml:space="preserve"> &lt;</w:t>
      </w:r>
      <w:r w:rsidRPr="00F64C5B">
        <w:t>www.ahpra.gov.au/About-Ahpra/What-We-Do/The-National-Registration-and-Accreditation-Scheme.aspx</w:t>
      </w:r>
      <w:r>
        <w:t>&gt;</w:t>
      </w:r>
    </w:p>
    <w:p w14:paraId="68E28D61" w14:textId="77777777" w:rsidR="00817104" w:rsidRDefault="00817104" w:rsidP="00817104">
      <w:pPr>
        <w:pStyle w:val="Bullet1"/>
        <w:numPr>
          <w:ilvl w:val="0"/>
          <w:numId w:val="2"/>
        </w:numPr>
      </w:pPr>
      <w:hyperlink r:id="rId120" w:history="1">
        <w:r>
          <w:rPr>
            <w:rStyle w:val="Hyperlink"/>
          </w:rPr>
          <w:t>Education and training for the health workforce</w:t>
        </w:r>
      </w:hyperlink>
      <w:r>
        <w:t>. &lt;</w:t>
      </w:r>
      <w:r w:rsidRPr="00B11BC6">
        <w:t>https://www.health.vic.gov.au/health-workforce/education-and-training</w:t>
      </w:r>
      <w:r>
        <w:t>&gt;.</w:t>
      </w:r>
    </w:p>
    <w:p w14:paraId="5656B481" w14:textId="77777777" w:rsidR="00817104" w:rsidRPr="004A0C27" w:rsidRDefault="00817104" w:rsidP="00787FA7">
      <w:pPr>
        <w:pStyle w:val="Heading1"/>
      </w:pPr>
      <w:bookmarkStart w:id="2189" w:name="_Capital_funding_programs"/>
      <w:bookmarkStart w:id="2190" w:name="_Toc231982285"/>
      <w:bookmarkEnd w:id="2189"/>
      <w:r>
        <w:lastRenderedPageBreak/>
        <w:t xml:space="preserve">Capital funding </w:t>
      </w:r>
      <w:r w:rsidRPr="005B7C26">
        <w:t>programs</w:t>
      </w:r>
      <w:bookmarkStart w:id="2191" w:name="Bookmark1"/>
      <w:bookmarkEnd w:id="2187"/>
      <w:bookmarkEnd w:id="2188"/>
      <w:bookmarkEnd w:id="2190"/>
      <w:bookmarkEnd w:id="2191"/>
    </w:p>
    <w:p w14:paraId="575792C7" w14:textId="77777777" w:rsidR="00817104" w:rsidRDefault="00817104" w:rsidP="00817104">
      <w:pPr>
        <w:pStyle w:val="Body"/>
      </w:pPr>
      <w:bookmarkStart w:id="2192" w:name="_Toc165964673"/>
      <w:bookmarkStart w:id="2193" w:name="_Toc167174536"/>
      <w:r>
        <w:t>The department oversees multiple minor capital programs to support health services with the cost of medical equipment and engineering infrastructure renewal and upgrades, and hospital infrastructure replacement needs.</w:t>
      </w:r>
    </w:p>
    <w:p w14:paraId="55A6B4EF" w14:textId="77777777" w:rsidR="00817104" w:rsidRDefault="00817104" w:rsidP="00817104">
      <w:pPr>
        <w:pStyle w:val="Body"/>
      </w:pPr>
      <w:r>
        <w:t>These include the:</w:t>
      </w:r>
    </w:p>
    <w:p w14:paraId="77780A17" w14:textId="77777777" w:rsidR="00817104" w:rsidRPr="00DF4173" w:rsidRDefault="00817104" w:rsidP="00817104">
      <w:pPr>
        <w:pStyle w:val="Bullet1"/>
        <w:numPr>
          <w:ilvl w:val="0"/>
          <w:numId w:val="2"/>
        </w:numPr>
      </w:pPr>
      <w:r w:rsidRPr="00DF4173">
        <w:t>Infrastructure Renewal Contribution Grant (IRCG)</w:t>
      </w:r>
    </w:p>
    <w:p w14:paraId="53280951" w14:textId="77777777" w:rsidR="00817104" w:rsidRPr="00DF4173" w:rsidRDefault="00817104" w:rsidP="00817104">
      <w:pPr>
        <w:pStyle w:val="Bullet1"/>
        <w:numPr>
          <w:ilvl w:val="0"/>
          <w:numId w:val="2"/>
        </w:numPr>
      </w:pPr>
      <w:r w:rsidRPr="0009277A">
        <w:t>Regional Health Infrastructure Fund (RHIF) and Metropolitan Health Infrastructure Fund (MHIF)</w:t>
      </w:r>
      <w:r w:rsidRPr="00DF4173">
        <w:t xml:space="preserve"> </w:t>
      </w:r>
    </w:p>
    <w:p w14:paraId="41FA5718" w14:textId="77777777" w:rsidR="00817104" w:rsidRPr="00DF4173" w:rsidRDefault="00817104" w:rsidP="00817104">
      <w:pPr>
        <w:pStyle w:val="Bullet1"/>
        <w:numPr>
          <w:ilvl w:val="0"/>
          <w:numId w:val="2"/>
        </w:numPr>
      </w:pPr>
      <w:r w:rsidRPr="00DF4173">
        <w:t>Minor Capital Renewal: Medical Equipment Replacement Program and Engineering Infrastructure Replacement Program</w:t>
      </w:r>
    </w:p>
    <w:p w14:paraId="3BEC186C" w14:textId="093A98CF" w:rsidR="00817104" w:rsidRDefault="00817104" w:rsidP="00817104">
      <w:pPr>
        <w:pStyle w:val="Bullet1"/>
        <w:numPr>
          <w:ilvl w:val="0"/>
          <w:numId w:val="2"/>
        </w:numPr>
      </w:pPr>
      <w:r w:rsidRPr="009D07A1">
        <w:t xml:space="preserve">Minor Capital Renewal Program: </w:t>
      </w:r>
      <w:r w:rsidRPr="00DF4173">
        <w:t>Public Sector Residential Age Care Services (PSRAC</w:t>
      </w:r>
      <w:r w:rsidR="002D6830">
        <w:t>S</w:t>
      </w:r>
      <w:r>
        <w:t xml:space="preserve">) </w:t>
      </w:r>
    </w:p>
    <w:p w14:paraId="6B71C5DE" w14:textId="77777777" w:rsidR="00817104" w:rsidRPr="00DF4173" w:rsidRDefault="00817104" w:rsidP="00817104">
      <w:pPr>
        <w:pStyle w:val="Bullet1"/>
        <w:numPr>
          <w:ilvl w:val="0"/>
          <w:numId w:val="2"/>
        </w:numPr>
      </w:pPr>
      <w:r w:rsidRPr="00DF4173">
        <w:t>Mental Health Capital Renewal Fund</w:t>
      </w:r>
      <w:r>
        <w:t>.</w:t>
      </w:r>
      <w:r w:rsidRPr="00DF4173">
        <w:t xml:space="preserve"> </w:t>
      </w:r>
    </w:p>
    <w:p w14:paraId="06C0BF4D" w14:textId="77777777" w:rsidR="00817104" w:rsidRPr="00DF4173" w:rsidRDefault="00817104" w:rsidP="00817104">
      <w:pPr>
        <w:pStyle w:val="Bodyafterbullets"/>
      </w:pPr>
      <w:r w:rsidRPr="00DF4173">
        <w:t>These programs support health services to manage asset risk and maintain patient safety, occupational health and safety, service availability and continuity. They improve the asset base and allow health services to maintain and replace assets in a planned way.</w:t>
      </w:r>
    </w:p>
    <w:p w14:paraId="2B77A4F2" w14:textId="77777777" w:rsidR="00817104" w:rsidRPr="00DF4173" w:rsidRDefault="00817104" w:rsidP="00817104">
      <w:pPr>
        <w:pStyle w:val="Body"/>
      </w:pPr>
      <w:r w:rsidRPr="00DF4173">
        <w:t>The department is responsible for ensuring the program scope and outputs align with system needs and priorities. The department is adopting a structured approach to plan, allocate and manage funds to address critical asset risks across the system</w:t>
      </w:r>
      <w:r>
        <w:t>,</w:t>
      </w:r>
      <w:r w:rsidRPr="00DF4173">
        <w:t xml:space="preserve"> using health services asset management plans, in line with the </w:t>
      </w:r>
      <w:r w:rsidRPr="00B15D77">
        <w:rPr>
          <w:i/>
          <w:iCs/>
        </w:rPr>
        <w:t>Asset Management Accountability Framework</w:t>
      </w:r>
      <w:r w:rsidRPr="00DF4173">
        <w:t xml:space="preserve"> (AMAF) requirements. </w:t>
      </w:r>
    </w:p>
    <w:p w14:paraId="27FFA5B1" w14:textId="77777777" w:rsidR="00817104" w:rsidRPr="00A55EC1" w:rsidRDefault="00817104" w:rsidP="00817104">
      <w:pPr>
        <w:pStyle w:val="Body"/>
      </w:pPr>
      <w:r w:rsidRPr="00DF4173">
        <w:t xml:space="preserve">Where investments are unable to be completed and acquitted within a two-year period, allocations may be recalled and reappropriated to other priority </w:t>
      </w:r>
      <w:r w:rsidRPr="00381030">
        <w:t>investments.</w:t>
      </w:r>
    </w:p>
    <w:p w14:paraId="15843F9C" w14:textId="7865B9C8" w:rsidR="00817104" w:rsidRPr="00CC5754" w:rsidRDefault="002D6830" w:rsidP="00817104">
      <w:pPr>
        <w:pStyle w:val="Heading2"/>
      </w:pPr>
      <w:bookmarkStart w:id="2194" w:name="_Infrastructure_Renewal_Contribution"/>
      <w:bookmarkStart w:id="2195" w:name="_Toc231982286"/>
      <w:bookmarkEnd w:id="2194"/>
      <w:r w:rsidRPr="00DF4173">
        <w:t xml:space="preserve">Infrastructure Renewal Contribution Grant </w:t>
      </w:r>
      <w:r>
        <w:t>(</w:t>
      </w:r>
      <w:r w:rsidR="00817104" w:rsidRPr="00CC5754">
        <w:t>IRCG</w:t>
      </w:r>
      <w:r>
        <w:t>)</w:t>
      </w:r>
      <w:bookmarkEnd w:id="2195"/>
    </w:p>
    <w:p w14:paraId="0D890204" w14:textId="77777777" w:rsidR="00817104" w:rsidRDefault="00817104" w:rsidP="00817104">
      <w:pPr>
        <w:pStyle w:val="Body"/>
      </w:pPr>
      <w:r w:rsidRPr="006F58BA">
        <w:t xml:space="preserve">In </w:t>
      </w:r>
      <w:r>
        <w:t>2026–27</w:t>
      </w:r>
      <w:r w:rsidRPr="006F58BA">
        <w:t>, $4</w:t>
      </w:r>
      <w:r w:rsidRPr="0063371E">
        <w:t>0</w:t>
      </w:r>
      <w:r w:rsidRPr="006F58BA">
        <w:t xml:space="preserve"> million will be distributed to public hospitals, including rural and SRHS, to assist health services with the costs of replacing hospital ageing infrastructure and addressing critical risks in a prioritised manner.</w:t>
      </w:r>
    </w:p>
    <w:p w14:paraId="5C1F0BB9" w14:textId="77777777" w:rsidR="00817104" w:rsidRDefault="00817104" w:rsidP="00817104">
      <w:pPr>
        <w:pStyle w:val="Body"/>
      </w:pPr>
      <w:r w:rsidRPr="006F58BA">
        <w:t>The IRCG should be used to address urgent and critical infrastructure risk and asset replacement needs outlined in the annual asset management plan. The $4</w:t>
      </w:r>
      <w:r w:rsidRPr="0063371E">
        <w:t>0</w:t>
      </w:r>
      <w:r w:rsidRPr="006F58BA">
        <w:t xml:space="preserve"> million will be appropriated at 50</w:t>
      </w:r>
      <w:r>
        <w:t xml:space="preserve"> per cent</w:t>
      </w:r>
      <w:r w:rsidRPr="006F58BA">
        <w:t xml:space="preserve"> in July 202</w:t>
      </w:r>
      <w:r>
        <w:t>6</w:t>
      </w:r>
      <w:r w:rsidRPr="006F58BA">
        <w:t>. The remaining funds will be distributed in February 202</w:t>
      </w:r>
      <w:r>
        <w:t>7</w:t>
      </w:r>
      <w:r w:rsidRPr="006F58BA">
        <w:t xml:space="preserve"> to health services that submit their updated asset management plan.</w:t>
      </w:r>
    </w:p>
    <w:p w14:paraId="2E11A1DB" w14:textId="77777777" w:rsidR="00817104" w:rsidRDefault="00817104" w:rsidP="00817104">
      <w:pPr>
        <w:pStyle w:val="Body"/>
      </w:pPr>
      <w:r w:rsidRPr="006F58BA">
        <w:t>The asset management plans must include an appendix outlining the planned allocation for the current financial year of the IRCG. The plan will also need to outline the IRCG expenditure of the previous financial year.</w:t>
      </w:r>
    </w:p>
    <w:p w14:paraId="757B2CBE" w14:textId="77777777" w:rsidR="00817104" w:rsidRPr="00A55EC1" w:rsidRDefault="00817104" w:rsidP="00817104">
      <w:pPr>
        <w:pStyle w:val="Body"/>
      </w:pPr>
      <w:r w:rsidRPr="006F58BA">
        <w:t>Asset management plans must be received by 31 December 202</w:t>
      </w:r>
      <w:r>
        <w:t>6</w:t>
      </w:r>
      <w:r w:rsidRPr="006F58BA">
        <w:t xml:space="preserve"> by emailing the</w:t>
      </w:r>
      <w:r>
        <w:t xml:space="preserve"> department’s</w:t>
      </w:r>
      <w:r w:rsidRPr="006F58BA">
        <w:t xml:space="preserve"> </w:t>
      </w:r>
      <w:hyperlink r:id="rId121" w:history="1">
        <w:r w:rsidRPr="0082601B">
          <w:rPr>
            <w:rStyle w:val="Hyperlink"/>
          </w:rPr>
          <w:t xml:space="preserve">Asset Planning </w:t>
        </w:r>
        <w:r>
          <w:rPr>
            <w:rStyle w:val="Hyperlink"/>
          </w:rPr>
          <w:t>Unit</w:t>
        </w:r>
        <w:r w:rsidRPr="0082601B">
          <w:rPr>
            <w:rStyle w:val="Hyperlink"/>
          </w:rPr>
          <w:t xml:space="preserve"> </w:t>
        </w:r>
      </w:hyperlink>
      <w:r>
        <w:t xml:space="preserve"> &lt;assetmanagement@health.vic.gov.au&gt;. </w:t>
      </w:r>
    </w:p>
    <w:p w14:paraId="05961651" w14:textId="77777777" w:rsidR="002D6830" w:rsidRPr="002D6830" w:rsidRDefault="002D6830" w:rsidP="002D6830">
      <w:pPr>
        <w:pStyle w:val="Heading2"/>
      </w:pPr>
      <w:bookmarkStart w:id="2196" w:name="_Toc231982287"/>
      <w:r w:rsidRPr="002D6830">
        <w:t>Regional Health Infrastructure Fund (RHIF) and Metropolitan Health Infrastructure Fund (MHIF)</w:t>
      </w:r>
      <w:bookmarkEnd w:id="2196"/>
      <w:r w:rsidRPr="002D6830">
        <w:t xml:space="preserve"> </w:t>
      </w:r>
    </w:p>
    <w:p w14:paraId="1E68909F" w14:textId="77777777" w:rsidR="00817104" w:rsidRDefault="00817104" w:rsidP="00817104">
      <w:pPr>
        <w:pStyle w:val="Body"/>
        <w:rPr>
          <w:lang w:eastAsia="en-AU"/>
        </w:rPr>
      </w:pPr>
      <w:r>
        <w:rPr>
          <w:lang w:eastAsia="en-AU"/>
        </w:rPr>
        <w:t xml:space="preserve">In 2026–27, the RHIF and MHIF provide capital </w:t>
      </w:r>
      <w:r w:rsidRPr="00210E26">
        <w:rPr>
          <w:lang w:eastAsia="en-AU"/>
        </w:rPr>
        <w:t xml:space="preserve">funding </w:t>
      </w:r>
      <w:r w:rsidRPr="00EE24DA">
        <w:rPr>
          <w:lang w:eastAsia="en-AU"/>
        </w:rPr>
        <w:t>($75 million and $</w:t>
      </w:r>
      <w:r w:rsidRPr="003F4A1C">
        <w:rPr>
          <w:lang w:eastAsia="en-AU"/>
        </w:rPr>
        <w:t>15 million</w:t>
      </w:r>
      <w:r w:rsidRPr="00210E26">
        <w:rPr>
          <w:lang w:eastAsia="en-AU"/>
        </w:rPr>
        <w:t xml:space="preserve"> respectively</w:t>
      </w:r>
      <w:r>
        <w:rPr>
          <w:lang w:eastAsia="en-AU"/>
        </w:rPr>
        <w:t>) to public health services to address critical infrastructure risks, statutory non-compliance and service delivery constraints arising from ageing assets, asset condition deterioration and increasing demand.</w:t>
      </w:r>
    </w:p>
    <w:p w14:paraId="2C80E15B" w14:textId="77777777" w:rsidR="00817104" w:rsidRDefault="00817104" w:rsidP="00817104">
      <w:pPr>
        <w:pStyle w:val="Body"/>
        <w:rPr>
          <w:lang w:eastAsia="en-AU"/>
        </w:rPr>
      </w:pPr>
      <w:r>
        <w:rPr>
          <w:lang w:eastAsia="en-AU"/>
        </w:rPr>
        <w:lastRenderedPageBreak/>
        <w:t xml:space="preserve">Together, the RHIF and MHIF support targeted small to medium scale capital works that improve the safety, resilience and functionality of public health facilities and capacity issues for high-risk assets. </w:t>
      </w:r>
    </w:p>
    <w:p w14:paraId="67521F5F" w14:textId="77777777" w:rsidR="00817104" w:rsidRDefault="00817104" w:rsidP="00817104">
      <w:pPr>
        <w:pStyle w:val="Body"/>
        <w:rPr>
          <w:lang w:eastAsia="en-AU"/>
        </w:rPr>
      </w:pPr>
      <w:r>
        <w:rPr>
          <w:lang w:eastAsia="en-AU"/>
        </w:rPr>
        <w:t>The key objectives of this fund are to assist rural and regional health services to:</w:t>
      </w:r>
    </w:p>
    <w:p w14:paraId="548A6C02" w14:textId="77777777" w:rsidR="00817104" w:rsidRDefault="00817104" w:rsidP="00817104">
      <w:pPr>
        <w:pStyle w:val="Bullet1"/>
        <w:numPr>
          <w:ilvl w:val="0"/>
          <w:numId w:val="2"/>
        </w:numPr>
        <w:rPr>
          <w:lang w:eastAsia="en-AU"/>
        </w:rPr>
      </w:pPr>
      <w:r>
        <w:rPr>
          <w:lang w:eastAsia="en-AU"/>
        </w:rPr>
        <w:t>mitigate infrastructure risk and to maintain patient safety, healthcare worker safety, service availability and business continuity</w:t>
      </w:r>
    </w:p>
    <w:p w14:paraId="5D5E632A" w14:textId="77777777" w:rsidR="00817104" w:rsidRDefault="00817104" w:rsidP="00817104">
      <w:pPr>
        <w:pStyle w:val="Bullet1"/>
        <w:numPr>
          <w:ilvl w:val="0"/>
          <w:numId w:val="2"/>
        </w:numPr>
        <w:rPr>
          <w:lang w:eastAsia="en-AU"/>
        </w:rPr>
      </w:pPr>
      <w:r>
        <w:rPr>
          <w:lang w:eastAsia="en-AU"/>
        </w:rPr>
        <w:t>enhance service capacity, support contemporary models of care, and improve patient and staff amenity</w:t>
      </w:r>
    </w:p>
    <w:p w14:paraId="090F2551" w14:textId="77777777" w:rsidR="00817104" w:rsidRDefault="00817104" w:rsidP="00817104">
      <w:pPr>
        <w:pStyle w:val="Bullet1"/>
        <w:numPr>
          <w:ilvl w:val="0"/>
          <w:numId w:val="2"/>
        </w:numPr>
        <w:rPr>
          <w:lang w:eastAsia="en-AU"/>
        </w:rPr>
      </w:pPr>
      <w:r>
        <w:rPr>
          <w:lang w:eastAsia="en-AU"/>
        </w:rPr>
        <w:t>sustain and improve infrastructure assets that provide essential capacity for delivering responsive and appropriate clinical services across rural and regional public health facilities</w:t>
      </w:r>
    </w:p>
    <w:p w14:paraId="25174CD9" w14:textId="77777777" w:rsidR="00817104" w:rsidRDefault="00817104" w:rsidP="00817104">
      <w:pPr>
        <w:pStyle w:val="Bullet1"/>
        <w:numPr>
          <w:ilvl w:val="0"/>
          <w:numId w:val="2"/>
        </w:numPr>
        <w:rPr>
          <w:lang w:eastAsia="en-AU"/>
        </w:rPr>
      </w:pPr>
      <w:r>
        <w:rPr>
          <w:lang w:eastAsia="en-AU"/>
        </w:rPr>
        <w:t>provide a stronger role for outer regional services that will allow care to be safely provided closer to where people live</w:t>
      </w:r>
    </w:p>
    <w:p w14:paraId="09EBF20F" w14:textId="77777777" w:rsidR="00817104" w:rsidRDefault="00817104" w:rsidP="00817104">
      <w:pPr>
        <w:pStyle w:val="Bullet1"/>
        <w:numPr>
          <w:ilvl w:val="0"/>
          <w:numId w:val="2"/>
        </w:numPr>
        <w:rPr>
          <w:lang w:eastAsia="en-AU"/>
        </w:rPr>
      </w:pPr>
      <w:r>
        <w:rPr>
          <w:lang w:eastAsia="en-AU"/>
        </w:rPr>
        <w:t>further incentivise health services and agencies to implement effective asset management that aligns with existing government frameworks and policies.</w:t>
      </w:r>
    </w:p>
    <w:p w14:paraId="3BB1D907" w14:textId="0FFE9E30" w:rsidR="00817104" w:rsidRDefault="00817104" w:rsidP="00817104">
      <w:pPr>
        <w:pStyle w:val="Bodyafterbullets"/>
        <w:rPr>
          <w:lang w:eastAsia="en-AU"/>
        </w:rPr>
      </w:pPr>
      <w:r>
        <w:rPr>
          <w:lang w:eastAsia="en-AU"/>
        </w:rPr>
        <w:t xml:space="preserve">The capital funding will result in delivery of renewal, reconfiguration and refurbishments across a range of projects and service delivery </w:t>
      </w:r>
      <w:r w:rsidR="00827DA2">
        <w:rPr>
          <w:lang w:eastAsia="en-AU"/>
        </w:rPr>
        <w:t>streams and</w:t>
      </w:r>
      <w:r>
        <w:rPr>
          <w:lang w:eastAsia="en-AU"/>
        </w:rPr>
        <w:t xml:space="preserve"> deliver the key Victorian Government policy objective of ensuring all Victorians can access high-quality healthcare, no matter where they live.</w:t>
      </w:r>
    </w:p>
    <w:p w14:paraId="30DFC87F" w14:textId="77777777" w:rsidR="00817104" w:rsidRDefault="00817104" w:rsidP="00817104">
      <w:pPr>
        <w:pStyle w:val="Body"/>
        <w:rPr>
          <w:lang w:eastAsia="en-AU"/>
        </w:rPr>
      </w:pPr>
      <w:r>
        <w:rPr>
          <w:lang w:eastAsia="en-AU"/>
        </w:rPr>
        <w:t xml:space="preserve">Funds are available for: </w:t>
      </w:r>
    </w:p>
    <w:p w14:paraId="141B79A5" w14:textId="77777777" w:rsidR="00817104" w:rsidRDefault="00817104" w:rsidP="00817104">
      <w:pPr>
        <w:pStyle w:val="Bullet1"/>
        <w:numPr>
          <w:ilvl w:val="0"/>
          <w:numId w:val="2"/>
        </w:numPr>
        <w:rPr>
          <w:lang w:eastAsia="en-AU"/>
        </w:rPr>
      </w:pPr>
      <w:r>
        <w:rPr>
          <w:lang w:eastAsia="en-AU"/>
        </w:rPr>
        <w:t>construction – minor infrastructure, including replacement, reconfiguration, remodelling and refurbishment projects to address aged building fabric, compliance and demand issues</w:t>
      </w:r>
    </w:p>
    <w:p w14:paraId="7D1669AF" w14:textId="77777777" w:rsidR="00817104" w:rsidRDefault="00817104" w:rsidP="00817104">
      <w:pPr>
        <w:pStyle w:val="Bullet1"/>
        <w:numPr>
          <w:ilvl w:val="0"/>
          <w:numId w:val="2"/>
        </w:numPr>
        <w:rPr>
          <w:lang w:eastAsia="en-AU"/>
        </w:rPr>
      </w:pPr>
      <w:r>
        <w:rPr>
          <w:lang w:eastAsia="en-AU"/>
        </w:rPr>
        <w:t>medical equipment</w:t>
      </w:r>
    </w:p>
    <w:p w14:paraId="5FE147FF" w14:textId="77777777" w:rsidR="00817104" w:rsidRDefault="00817104" w:rsidP="00817104">
      <w:pPr>
        <w:pStyle w:val="Bullet1"/>
        <w:numPr>
          <w:ilvl w:val="0"/>
          <w:numId w:val="2"/>
        </w:numPr>
        <w:rPr>
          <w:lang w:eastAsia="en-AU"/>
        </w:rPr>
      </w:pPr>
      <w:r>
        <w:rPr>
          <w:lang w:eastAsia="en-AU"/>
        </w:rPr>
        <w:t>engineering infrastructure and plant</w:t>
      </w:r>
    </w:p>
    <w:p w14:paraId="6093F15A" w14:textId="77777777" w:rsidR="00817104" w:rsidRDefault="00817104" w:rsidP="00817104">
      <w:pPr>
        <w:pStyle w:val="Bullet1"/>
        <w:numPr>
          <w:ilvl w:val="0"/>
          <w:numId w:val="2"/>
        </w:numPr>
        <w:rPr>
          <w:lang w:eastAsia="en-AU"/>
        </w:rPr>
      </w:pPr>
      <w:r>
        <w:rPr>
          <w:lang w:eastAsia="en-AU"/>
        </w:rPr>
        <w:t>information and communications technology (ICT)</w:t>
      </w:r>
    </w:p>
    <w:p w14:paraId="269F033B" w14:textId="77777777" w:rsidR="00817104" w:rsidRDefault="00817104" w:rsidP="00817104">
      <w:pPr>
        <w:pStyle w:val="Bullet1"/>
        <w:numPr>
          <w:ilvl w:val="0"/>
          <w:numId w:val="2"/>
        </w:numPr>
        <w:rPr>
          <w:lang w:eastAsia="en-AU"/>
        </w:rPr>
      </w:pPr>
      <w:r>
        <w:rPr>
          <w:lang w:eastAsia="en-AU"/>
        </w:rPr>
        <w:t>new technologies, including systems to reduce usage and increase efficiencies of power and water</w:t>
      </w:r>
    </w:p>
    <w:p w14:paraId="3D4BB9BD" w14:textId="77777777" w:rsidR="00817104" w:rsidRDefault="00817104" w:rsidP="00817104">
      <w:pPr>
        <w:pStyle w:val="Bullet1"/>
        <w:numPr>
          <w:ilvl w:val="0"/>
          <w:numId w:val="2"/>
        </w:numPr>
        <w:rPr>
          <w:lang w:eastAsia="en-AU"/>
        </w:rPr>
      </w:pPr>
      <w:r>
        <w:rPr>
          <w:lang w:eastAsia="en-AU"/>
        </w:rPr>
        <w:t>compliance-related capital and/or upgrade works (for example, AS4187, including pandemic improvement and readiness, fire and life-safety works)</w:t>
      </w:r>
    </w:p>
    <w:p w14:paraId="1D215031" w14:textId="77777777" w:rsidR="00817104" w:rsidRDefault="00817104" w:rsidP="00817104">
      <w:pPr>
        <w:pStyle w:val="Bullet1"/>
        <w:numPr>
          <w:ilvl w:val="0"/>
          <w:numId w:val="2"/>
        </w:numPr>
        <w:rPr>
          <w:lang w:eastAsia="en-AU"/>
        </w:rPr>
      </w:pPr>
      <w:r>
        <w:rPr>
          <w:lang w:eastAsia="en-AU"/>
        </w:rPr>
        <w:t>motor vehicles – eligibility is restricted to bush nursing centres only.</w:t>
      </w:r>
    </w:p>
    <w:p w14:paraId="220E3B0C" w14:textId="77777777" w:rsidR="00817104" w:rsidRDefault="00817104" w:rsidP="00817104">
      <w:pPr>
        <w:pStyle w:val="Bodyafterbullets"/>
        <w:rPr>
          <w:lang w:eastAsia="en-AU"/>
        </w:rPr>
      </w:pPr>
      <w:r>
        <w:rPr>
          <w:lang w:eastAsia="en-AU"/>
        </w:rPr>
        <w:t>The program approach will include direct allocations and submission-based process. The direct allocation projects will be identified by the department in accordance with system needs and priorities.</w:t>
      </w:r>
    </w:p>
    <w:p w14:paraId="16FC0DA2" w14:textId="77777777" w:rsidR="00817104" w:rsidRDefault="00817104" w:rsidP="00817104">
      <w:pPr>
        <w:pStyle w:val="Bodyafterbullets"/>
        <w:rPr>
          <w:lang w:eastAsia="en-AU"/>
        </w:rPr>
      </w:pPr>
      <w:r>
        <w:rPr>
          <w:lang w:eastAsia="en-AU"/>
        </w:rPr>
        <w:t xml:space="preserve">Submissions will be assessed by an evaluation panel using a defined set of assessment criteria. Submissions should reflect agreed policy objectives and how the proposed works will meet the objectives of better health for people in rural and regional Victoria. </w:t>
      </w:r>
      <w:bookmarkStart w:id="2197" w:name="_Toc167174538"/>
      <w:bookmarkStart w:id="2198" w:name="_Toc165964675"/>
      <w:bookmarkEnd w:id="2192"/>
      <w:bookmarkEnd w:id="2193"/>
    </w:p>
    <w:p w14:paraId="5EA3C442" w14:textId="086D9A65" w:rsidR="00817104" w:rsidRPr="00302C0E" w:rsidRDefault="00817104" w:rsidP="00817104">
      <w:pPr>
        <w:pStyle w:val="Heading2"/>
      </w:pPr>
      <w:bookmarkStart w:id="2199" w:name="_Toc231982288"/>
      <w:r>
        <w:t xml:space="preserve">Minor Capital Renewal Program: </w:t>
      </w:r>
      <w:r w:rsidRPr="00302C0E">
        <w:t>Medical Equipment Replacement Program</w:t>
      </w:r>
      <w:bookmarkEnd w:id="2197"/>
      <w:r w:rsidRPr="00302C0E">
        <w:t xml:space="preserve"> </w:t>
      </w:r>
      <w:bookmarkEnd w:id="2198"/>
      <w:r>
        <w:t>and Engineering Infrastructure Replacement Program</w:t>
      </w:r>
      <w:bookmarkEnd w:id="2199"/>
    </w:p>
    <w:p w14:paraId="4BAD11F6" w14:textId="77777777" w:rsidR="00817104" w:rsidRDefault="00817104" w:rsidP="00817104">
      <w:pPr>
        <w:pStyle w:val="Body"/>
      </w:pPr>
      <w:bookmarkStart w:id="2200" w:name="_Toc167174539"/>
      <w:bookmarkStart w:id="2201" w:name="_Toc165964676"/>
      <w:r>
        <w:t xml:space="preserve">The 2026–27 </w:t>
      </w:r>
      <w:r w:rsidRPr="004D250D">
        <w:t>$</w:t>
      </w:r>
      <w:r>
        <w:t>55 million Minor Capital Renewal Program provides funding for critical high-risk medical equipment and systems (</w:t>
      </w:r>
      <w:r w:rsidRPr="004D250D">
        <w:t>$</w:t>
      </w:r>
      <w:r>
        <w:t>35 million) and engineering infrastructure ($20 million) that support acute and sub-acute clinical service delivery.</w:t>
      </w:r>
    </w:p>
    <w:p w14:paraId="4996D91E" w14:textId="77777777" w:rsidR="00817104" w:rsidRDefault="00817104" w:rsidP="00817104">
      <w:pPr>
        <w:pStyle w:val="Body"/>
      </w:pPr>
      <w:r>
        <w:t xml:space="preserve">In line with the department’s commitment to applying the AMAF requirements for strategic asset planning, the Minor Capital Renewal Program is continuing to transition from submission-based to </w:t>
      </w:r>
      <w:r>
        <w:lastRenderedPageBreak/>
        <w:t>direct allocation. Direct allocations will be provided for prioritised assets and systems identified by the department as at critical risk of failure. Critical risks are identified through analysis of health service asset management plans, asset registers and the department’s asset information management system.</w:t>
      </w:r>
    </w:p>
    <w:p w14:paraId="3B142A11" w14:textId="77777777" w:rsidR="00817104" w:rsidRDefault="00817104" w:rsidP="00817104">
      <w:pPr>
        <w:pStyle w:val="Body"/>
      </w:pPr>
      <w:r>
        <w:t>In 2026–27, health services with eligible investments identified by the department will be contacted via letter to their chief executive officer (CEO) by 30 October 2026. Health services must confirm in writing that they wish to accept the funding and that they agree with the allocation amount, consistent with the submission-based process.</w:t>
      </w:r>
    </w:p>
    <w:p w14:paraId="0F9EA3AC" w14:textId="77777777" w:rsidR="00817104" w:rsidRDefault="00817104" w:rsidP="00817104">
      <w:pPr>
        <w:pStyle w:val="Body"/>
      </w:pPr>
      <w:r>
        <w:t>In-scope assets that are considered critical-risk priorities, and not identified for direct allocation, will remain eligible for the submission-based program and specific purpose capital grant.</w:t>
      </w:r>
    </w:p>
    <w:p w14:paraId="53F9BAA0" w14:textId="77777777" w:rsidR="00817104" w:rsidRDefault="00817104" w:rsidP="00817104">
      <w:pPr>
        <w:pStyle w:val="Body"/>
      </w:pPr>
      <w:r w:rsidRPr="006F58BA">
        <w:t xml:space="preserve">Health services are strongly encouraged to continuously improve their asset planning capabilities and </w:t>
      </w:r>
      <w:r>
        <w:t xml:space="preserve">to </w:t>
      </w:r>
      <w:r w:rsidRPr="006F58BA">
        <w:t>develop comprehensive asset management plans that clearly identify investment needs, prioritise projects, an</w:t>
      </w:r>
      <w:r w:rsidRPr="0063371E">
        <w:t>d</w:t>
      </w:r>
      <w:r w:rsidRPr="006F58BA">
        <w:t xml:space="preserve"> outline risk mitigation and maintenance strategies.</w:t>
      </w:r>
    </w:p>
    <w:p w14:paraId="2E796E5B" w14:textId="6FC8BDE6" w:rsidR="00817104" w:rsidRDefault="00817104" w:rsidP="00817104">
      <w:pPr>
        <w:pStyle w:val="Heading2"/>
      </w:pPr>
      <w:bookmarkStart w:id="2202" w:name="_Toc231982289"/>
      <w:r w:rsidRPr="009D07A1">
        <w:t>Minor Capital Renewal Program: PSRACS</w:t>
      </w:r>
      <w:bookmarkEnd w:id="2202"/>
    </w:p>
    <w:p w14:paraId="038B77EC" w14:textId="77777777" w:rsidR="00817104" w:rsidRDefault="00817104" w:rsidP="00817104">
      <w:pPr>
        <w:pStyle w:val="Body"/>
      </w:pPr>
      <w:r>
        <w:t>The PSRACS minor capital program provides capital funding to address critical safety, accessibility and regulatory compliance risks across public sector residential aged care facilities. The 2026–27 State Budget includes a $7.5 million investment that responds to the ageing and highly variable condition of PSRACS infrastructure, where deficiencies in the built environment are contributing to increasing falls risk, restrictive practices, reduction in resident independence and exposure to aged care regulatory non-compliance.</w:t>
      </w:r>
    </w:p>
    <w:p w14:paraId="18844A90" w14:textId="77777777" w:rsidR="00817104" w:rsidRDefault="00817104" w:rsidP="00817104">
      <w:pPr>
        <w:pStyle w:val="Body"/>
      </w:pPr>
      <w:r>
        <w:t>The program supports targeted, deliverable capital upgrades that improve resident safety and wellbeing, support dementia-inclusive models of care, and enable staff to deliver safe and effective services. Investment is prioritised to reduce the risk of service disruptions or closure, and to support the continued operation and sustainability of PSRACS facilities within the broader health and aged care system.</w:t>
      </w:r>
    </w:p>
    <w:p w14:paraId="262D4823" w14:textId="032A1D04" w:rsidR="00817104" w:rsidRPr="001827CA" w:rsidRDefault="00817104" w:rsidP="00817104">
      <w:pPr>
        <w:pStyle w:val="Heading2"/>
      </w:pPr>
      <w:bookmarkStart w:id="2203" w:name="_Toc231982290"/>
      <w:r w:rsidRPr="001827CA">
        <w:t>The Mental Health Capital Renewal Fund</w:t>
      </w:r>
      <w:bookmarkEnd w:id="2203"/>
      <w:r w:rsidRPr="001827CA">
        <w:t xml:space="preserve"> </w:t>
      </w:r>
    </w:p>
    <w:p w14:paraId="323527AE" w14:textId="77777777" w:rsidR="00817104" w:rsidRPr="001827CA" w:rsidRDefault="00817104" w:rsidP="00817104">
      <w:pPr>
        <w:pStyle w:val="Body"/>
      </w:pPr>
      <w:r w:rsidRPr="001827CA">
        <w:t>Th</w:t>
      </w:r>
      <w:r>
        <w:t>is</w:t>
      </w:r>
      <w:r w:rsidRPr="001827CA">
        <w:t xml:space="preserve"> </w:t>
      </w:r>
      <w:r>
        <w:t>f</w:t>
      </w:r>
      <w:r w:rsidRPr="001827CA">
        <w:t xml:space="preserve">und responds directly to recommendations from the </w:t>
      </w:r>
      <w:r w:rsidRPr="006F36D1">
        <w:t>Royal Commission into Victoria's Mental Health System</w:t>
      </w:r>
      <w:r w:rsidRPr="001827CA">
        <w:t>. It aims to address physical safety and wellbeing risks in Victoria’s mental health facilities. The 202</w:t>
      </w:r>
      <w:r>
        <w:t>6–</w:t>
      </w:r>
      <w:r w:rsidRPr="001827CA">
        <w:t>2</w:t>
      </w:r>
      <w:r>
        <w:t>7</w:t>
      </w:r>
      <w:r w:rsidRPr="001827CA">
        <w:t xml:space="preserve"> State Budget included a further $10 million investment to improve mental health infrastructure across the state, building on </w:t>
      </w:r>
      <w:r>
        <w:t>previous state budget investments</w:t>
      </w:r>
      <w:r w:rsidRPr="001827CA">
        <w:t>.  </w:t>
      </w:r>
    </w:p>
    <w:p w14:paraId="3C400432" w14:textId="77777777" w:rsidR="00817104" w:rsidRDefault="00817104" w:rsidP="00817104">
      <w:pPr>
        <w:pStyle w:val="Body"/>
      </w:pPr>
      <w:r w:rsidRPr="001827CA">
        <w:t>The funding will deliver minor infrastructure works</w:t>
      </w:r>
      <w:r>
        <w:t>.</w:t>
      </w:r>
      <w:r w:rsidRPr="001827CA">
        <w:t xml:space="preserve"> Individual grants of up to $1 million will be available for renewal, reconfigurations and refurbishments to health facilities. </w:t>
      </w:r>
    </w:p>
    <w:p w14:paraId="7EEDBEAA" w14:textId="77777777" w:rsidR="00817104" w:rsidRDefault="00817104" w:rsidP="00787FA7">
      <w:pPr>
        <w:pStyle w:val="Heading1"/>
      </w:pPr>
      <w:bookmarkStart w:id="2204" w:name="_Toc165964677"/>
      <w:bookmarkStart w:id="2205" w:name="_Toc167174540"/>
      <w:bookmarkStart w:id="2206" w:name="_Toc231982291"/>
      <w:bookmarkEnd w:id="2200"/>
      <w:bookmarkEnd w:id="2201"/>
      <w:r>
        <w:lastRenderedPageBreak/>
        <w:t>Health service compensable and ineligible patients</w:t>
      </w:r>
      <w:bookmarkEnd w:id="2204"/>
      <w:bookmarkEnd w:id="2205"/>
      <w:bookmarkEnd w:id="2206"/>
    </w:p>
    <w:p w14:paraId="01B86B0F" w14:textId="29845F0B" w:rsidR="00817104" w:rsidRDefault="00817104" w:rsidP="00817104">
      <w:pPr>
        <w:pStyle w:val="Heading2"/>
      </w:pPr>
      <w:bookmarkStart w:id="2207" w:name="_Toc165964678"/>
      <w:bookmarkStart w:id="2208" w:name="_Toc167174541"/>
      <w:bookmarkStart w:id="2209" w:name="_Toc231982292"/>
      <w:r>
        <w:t>Interstate patients</w:t>
      </w:r>
      <w:bookmarkEnd w:id="2207"/>
      <w:bookmarkEnd w:id="2208"/>
      <w:bookmarkEnd w:id="2209"/>
    </w:p>
    <w:p w14:paraId="1AEFD620" w14:textId="77777777" w:rsidR="00817104" w:rsidRDefault="00817104" w:rsidP="00817104">
      <w:pPr>
        <w:pStyle w:val="Body"/>
      </w:pPr>
      <w:r>
        <w:t>The NHRA requires jurisdictions with significant cross-border patient flows to enter into agreements to reconcile costs incurred for patient services provided to Medicare-eligible residents of other Australian states or territories.</w:t>
      </w:r>
    </w:p>
    <w:p w14:paraId="7DF63B87" w14:textId="77777777" w:rsidR="00817104" w:rsidRDefault="00817104" w:rsidP="00817104">
      <w:pPr>
        <w:pStyle w:val="Body"/>
      </w:pPr>
      <w:r>
        <w:t>In Victoria, health services provide admitted acute, mental health, emergency, subacute and non-admitted services to residents of other states and territories, consistent with the NHRA and the Medicare principles, which are</w:t>
      </w:r>
      <w:r w:rsidRPr="0670E279">
        <w:rPr>
          <w:rFonts w:cs="Calibri"/>
        </w:rPr>
        <w:t>:</w:t>
      </w:r>
    </w:p>
    <w:p w14:paraId="6A5699D5" w14:textId="77777777" w:rsidR="00817104" w:rsidRPr="00044188" w:rsidRDefault="00817104" w:rsidP="00817104">
      <w:pPr>
        <w:pStyle w:val="Bullet1"/>
        <w:numPr>
          <w:ilvl w:val="0"/>
          <w:numId w:val="2"/>
        </w:numPr>
      </w:pPr>
      <w:r>
        <w:t>choice of services – Medicare-eligible persons must be given the choice to receive public hospital services free of charge as public patients, and can elect to be treated as private patients to be admitted and treated, subject to the normal private patient admission requirements</w:t>
      </w:r>
    </w:p>
    <w:p w14:paraId="175880E2" w14:textId="77777777" w:rsidR="00817104" w:rsidRPr="00044188" w:rsidRDefault="00817104" w:rsidP="00817104">
      <w:pPr>
        <w:pStyle w:val="Bullet1"/>
        <w:numPr>
          <w:ilvl w:val="0"/>
          <w:numId w:val="2"/>
        </w:numPr>
      </w:pPr>
      <w:r>
        <w:t>universality of services – access to public hospital services is to be based on clinical need</w:t>
      </w:r>
    </w:p>
    <w:p w14:paraId="39552549" w14:textId="77777777" w:rsidR="00817104" w:rsidRPr="00044188" w:rsidRDefault="00817104" w:rsidP="00817104">
      <w:pPr>
        <w:pStyle w:val="Bullet1"/>
        <w:numPr>
          <w:ilvl w:val="0"/>
          <w:numId w:val="2"/>
        </w:numPr>
      </w:pPr>
      <w:r>
        <w:t>equity in service provision – to the maximum practicable extent, Victoria will provide public hospital services equitably to all eligible persons, regardless of their geographical location.</w:t>
      </w:r>
    </w:p>
    <w:p w14:paraId="12842A6E" w14:textId="77777777" w:rsidR="00817104" w:rsidRDefault="00817104" w:rsidP="00817104">
      <w:pPr>
        <w:pStyle w:val="Bodyafterbullets"/>
      </w:pPr>
      <w:r>
        <w:t>The services provided by Victorian health services to residents of other states and territories are part of a health service’s normal throughput targets. They are not counted as additional activity or funded separately.</w:t>
      </w:r>
    </w:p>
    <w:p w14:paraId="735C6752" w14:textId="563EE024" w:rsidR="00817104" w:rsidRPr="00413BD6" w:rsidRDefault="00817104" w:rsidP="00817104">
      <w:pPr>
        <w:pStyle w:val="Heading2"/>
      </w:pPr>
      <w:bookmarkStart w:id="2210" w:name="_Medicare-ineligible_patients_and"/>
      <w:bookmarkStart w:id="2211" w:name="_Toc165964679"/>
      <w:bookmarkStart w:id="2212" w:name="_Toc167174542"/>
      <w:bookmarkStart w:id="2213" w:name="_Toc231982293"/>
      <w:bookmarkEnd w:id="2210"/>
      <w:r w:rsidRPr="001B686C">
        <w:t>Medicare</w:t>
      </w:r>
      <w:r>
        <w:t xml:space="preserve">-ineligible </w:t>
      </w:r>
      <w:r w:rsidRPr="0026522A">
        <w:t>patients</w:t>
      </w:r>
      <w:r>
        <w:t xml:space="preserve"> and international patients</w:t>
      </w:r>
      <w:bookmarkEnd w:id="2211"/>
      <w:bookmarkEnd w:id="2212"/>
      <w:bookmarkEnd w:id="2213"/>
    </w:p>
    <w:p w14:paraId="3AF498D2" w14:textId="77777777" w:rsidR="00817104" w:rsidRDefault="00817104" w:rsidP="00817104">
      <w:pPr>
        <w:pStyle w:val="Body"/>
      </w:pPr>
      <w:r>
        <w:t>Health services should charge Medicare-ineligible patients for the full cost of their treatment. While individual health services may determine the level of fees chargeable, they should, at a minimum, be set to achieve full cost recovery. All health services should ensure that appropriate verification, billing and debt collection processes are in place to minimise bad debts.</w:t>
      </w:r>
    </w:p>
    <w:p w14:paraId="549776A5" w14:textId="77777777" w:rsidR="00817104" w:rsidRDefault="00817104" w:rsidP="00817104">
      <w:pPr>
        <w:pStyle w:val="Body"/>
      </w:pPr>
      <w:r>
        <w:t>Exemptions from charging fees include that:</w:t>
      </w:r>
    </w:p>
    <w:p w14:paraId="51AF8749" w14:textId="77777777" w:rsidR="00817104" w:rsidRPr="004F6F77" w:rsidRDefault="00817104" w:rsidP="00817104">
      <w:pPr>
        <w:pStyle w:val="Bullet1"/>
        <w:numPr>
          <w:ilvl w:val="0"/>
          <w:numId w:val="2"/>
        </w:numPr>
      </w:pPr>
      <w:r>
        <w:t xml:space="preserve">health services are required to provide Medicare-ineligible asylum seekers with full medical care, under the same arrangements that apply to all Victorian residents. Patients in this category are not to be billed. Funding for these patients is provided by the department as part of normal public patient throughout. For more information, visit </w:t>
      </w:r>
      <w:hyperlink r:id="rId122">
        <w:r w:rsidRPr="0670E279">
          <w:rPr>
            <w:rStyle w:val="Hyperlink"/>
          </w:rPr>
          <w:t>Hospital access for people seeking asylum</w:t>
        </w:r>
      </w:hyperlink>
      <w:r>
        <w:t xml:space="preserve"> &lt;https://www.health.vic.gov.au/publications/hospital-access-for-people-seeking-asylum&gt;</w:t>
      </w:r>
    </w:p>
    <w:p w14:paraId="55E5D236" w14:textId="77777777" w:rsidR="00817104" w:rsidRPr="004F6F77" w:rsidRDefault="00817104" w:rsidP="00817104">
      <w:pPr>
        <w:pStyle w:val="Bullet1"/>
        <w:numPr>
          <w:ilvl w:val="0"/>
          <w:numId w:val="2"/>
        </w:numPr>
      </w:pPr>
      <w:r>
        <w:t xml:space="preserve">all tuberculosis and leprosy patients are eligible to receive publicly funded services for tuberculosis-related treatment, regardless of Medicare </w:t>
      </w:r>
      <w:r w:rsidRPr="00DA0279">
        <w:t xml:space="preserve">eligibility or residency </w:t>
      </w:r>
      <w:r>
        <w:t xml:space="preserve">status. For more information, visit </w:t>
      </w:r>
      <w:hyperlink r:id="rId123">
        <w:r w:rsidRPr="0670E279">
          <w:rPr>
            <w:rStyle w:val="Hyperlink"/>
          </w:rPr>
          <w:t>Hospital provision of tuberculosis and leprosy services</w:t>
        </w:r>
      </w:hyperlink>
      <w:r>
        <w:t xml:space="preserve"> &lt;https://www.health.vic.gov.au/public-health/hospital-provision-of-tuberculosis-and-leprosy-services&gt;</w:t>
      </w:r>
    </w:p>
    <w:p w14:paraId="6CBE4186" w14:textId="77777777" w:rsidR="00817104" w:rsidRPr="004F6F77" w:rsidRDefault="00817104" w:rsidP="00817104">
      <w:pPr>
        <w:pStyle w:val="Bullet1"/>
        <w:numPr>
          <w:ilvl w:val="0"/>
          <w:numId w:val="2"/>
        </w:numPr>
      </w:pPr>
      <w:r>
        <w:t>v</w:t>
      </w:r>
      <w:r w:rsidRPr="004F6F77">
        <w:t>isitors</w:t>
      </w:r>
      <w:r>
        <w:t xml:space="preserve"> </w:t>
      </w:r>
      <w:r w:rsidRPr="004F6F77">
        <w:t>from</w:t>
      </w:r>
      <w:r>
        <w:t xml:space="preserve"> </w:t>
      </w:r>
      <w:r w:rsidRPr="004F6F77">
        <w:t>a</w:t>
      </w:r>
      <w:r>
        <w:t xml:space="preserve"> </w:t>
      </w:r>
      <w:r w:rsidRPr="004F6F77">
        <w:t>country</w:t>
      </w:r>
      <w:r>
        <w:t xml:space="preserve"> </w:t>
      </w:r>
      <w:r w:rsidRPr="004F6F77">
        <w:t>that</w:t>
      </w:r>
      <w:r>
        <w:t xml:space="preserve"> </w:t>
      </w:r>
      <w:r w:rsidRPr="004F6F77">
        <w:t>has</w:t>
      </w:r>
      <w:r>
        <w:t xml:space="preserve"> </w:t>
      </w:r>
      <w:r w:rsidRPr="004F6F77">
        <w:t>a</w:t>
      </w:r>
      <w:r>
        <w:t xml:space="preserve"> </w:t>
      </w:r>
      <w:r w:rsidRPr="004F6F77">
        <w:t>Reciprocal</w:t>
      </w:r>
      <w:r>
        <w:t xml:space="preserve"> </w:t>
      </w:r>
      <w:r w:rsidRPr="004F6F77">
        <w:t>Health</w:t>
      </w:r>
      <w:r>
        <w:t xml:space="preserve"> </w:t>
      </w:r>
      <w:r w:rsidRPr="004F6F77">
        <w:t>Care</w:t>
      </w:r>
      <w:r>
        <w:t xml:space="preserve"> </w:t>
      </w:r>
      <w:r w:rsidRPr="004F6F77">
        <w:t>Agreement</w:t>
      </w:r>
      <w:r>
        <w:t xml:space="preserve"> </w:t>
      </w:r>
      <w:r w:rsidRPr="004F6F77">
        <w:t>with</w:t>
      </w:r>
      <w:r>
        <w:t xml:space="preserve"> </w:t>
      </w:r>
      <w:r w:rsidRPr="004F6F77">
        <w:t>Australia</w:t>
      </w:r>
      <w:r>
        <w:t xml:space="preserve"> </w:t>
      </w:r>
      <w:r w:rsidRPr="004F6F77">
        <w:t>are</w:t>
      </w:r>
      <w:r>
        <w:t xml:space="preserve"> </w:t>
      </w:r>
      <w:r w:rsidRPr="004F6F77">
        <w:t>eligible</w:t>
      </w:r>
      <w:r>
        <w:t xml:space="preserve"> </w:t>
      </w:r>
      <w:r w:rsidRPr="004F6F77">
        <w:t>for</w:t>
      </w:r>
      <w:r>
        <w:t xml:space="preserve"> </w:t>
      </w:r>
      <w:r w:rsidRPr="004F6F77">
        <w:t>medically</w:t>
      </w:r>
      <w:r>
        <w:t xml:space="preserve"> </w:t>
      </w:r>
      <w:r w:rsidRPr="004F6F77">
        <w:t>necessary</w:t>
      </w:r>
      <w:r>
        <w:t xml:space="preserve"> </w:t>
      </w:r>
      <w:r w:rsidRPr="004F6F77">
        <w:t>treatment.</w:t>
      </w:r>
      <w:r>
        <w:t xml:space="preserve"> </w:t>
      </w:r>
      <w:r w:rsidRPr="004F6F77">
        <w:t>Refer</w:t>
      </w:r>
      <w:r>
        <w:t xml:space="preserve"> </w:t>
      </w:r>
      <w:r w:rsidRPr="004F6F77">
        <w:t>to</w:t>
      </w:r>
      <w:r>
        <w:t xml:space="preserve"> </w:t>
      </w:r>
      <w:r w:rsidRPr="004F6F77">
        <w:t>Hospital</w:t>
      </w:r>
      <w:r>
        <w:t xml:space="preserve"> </w:t>
      </w:r>
      <w:r w:rsidRPr="004F6F77">
        <w:t>Circular</w:t>
      </w:r>
      <w:r>
        <w:t xml:space="preserve"> </w:t>
      </w:r>
      <w:r w:rsidRPr="004F6F77">
        <w:t>23/2009</w:t>
      </w:r>
      <w:r w:rsidRPr="00715A14">
        <w:rPr>
          <w:vertAlign w:val="superscript"/>
        </w:rPr>
        <w:footnoteReference w:id="7"/>
      </w:r>
      <w:r>
        <w:t xml:space="preserve"> </w:t>
      </w:r>
      <w:r w:rsidRPr="004F6F77">
        <w:t>for</w:t>
      </w:r>
      <w:r>
        <w:t xml:space="preserve"> </w:t>
      </w:r>
      <w:r w:rsidRPr="004F6F77">
        <w:t>more</w:t>
      </w:r>
      <w:r>
        <w:t xml:space="preserve"> </w:t>
      </w:r>
      <w:r w:rsidRPr="004F6F77">
        <w:t>information.</w:t>
      </w:r>
    </w:p>
    <w:p w14:paraId="59E49EB3" w14:textId="4529B94B" w:rsidR="00817104" w:rsidRDefault="00817104" w:rsidP="00817104">
      <w:pPr>
        <w:pStyle w:val="Heading3"/>
      </w:pPr>
      <w:r>
        <w:lastRenderedPageBreak/>
        <w:t>Medicare-</w:t>
      </w:r>
      <w:r w:rsidRPr="001B686C">
        <w:t>ineligible</w:t>
      </w:r>
      <w:r>
        <w:t xml:space="preserve"> patients</w:t>
      </w:r>
    </w:p>
    <w:p w14:paraId="32A91DF5" w14:textId="77777777" w:rsidR="00817104" w:rsidRDefault="00817104" w:rsidP="00817104">
      <w:pPr>
        <w:pStyle w:val="Body"/>
      </w:pPr>
      <w:r>
        <w:t>Noting the exemptions listed above in section 12.2, there are principles that provide a guide to making decisions regarding the treatment of Medicare-ineligible patients. They apply to all Medicare-ineligible patients treated in Victorian public hospitals.</w:t>
      </w:r>
    </w:p>
    <w:p w14:paraId="1CEF0D2F" w14:textId="77777777" w:rsidR="00817104" w:rsidRDefault="00817104" w:rsidP="00817104">
      <w:pPr>
        <w:pStyle w:val="Body"/>
      </w:pPr>
      <w:r>
        <w:t>They include that:</w:t>
      </w:r>
    </w:p>
    <w:p w14:paraId="19D97B00" w14:textId="77777777" w:rsidR="00817104" w:rsidRDefault="00817104" w:rsidP="00817104">
      <w:pPr>
        <w:pStyle w:val="Bullet1"/>
        <w:numPr>
          <w:ilvl w:val="0"/>
          <w:numId w:val="2"/>
        </w:numPr>
      </w:pPr>
      <w:r>
        <w:t>health services have a duty of care to treat emergency patients. All patients are able to access care in an ED, regardless of their eligibility status. Medicare-ineligible patients are expected to pay for these services</w:t>
      </w:r>
    </w:p>
    <w:p w14:paraId="475067F2" w14:textId="77777777" w:rsidR="00817104" w:rsidRDefault="00817104" w:rsidP="00817104">
      <w:pPr>
        <w:pStyle w:val="Bullet1"/>
        <w:numPr>
          <w:ilvl w:val="0"/>
          <w:numId w:val="2"/>
        </w:numPr>
      </w:pPr>
      <w:r>
        <w:t>he</w:t>
      </w:r>
      <w:r w:rsidRPr="00DB4A4B">
        <w:t xml:space="preserve">alth services are required to treat consumers subject to a compulsory treatment order made by an authorised psychiatrist, irrespective of </w:t>
      </w:r>
      <w:r>
        <w:t xml:space="preserve">their eligibility status.  Health services must align charging practices with their obligations under the </w:t>
      </w:r>
      <w:r w:rsidRPr="002D6AE5">
        <w:rPr>
          <w:i/>
          <w:iCs/>
        </w:rPr>
        <w:t>Charter of Human Rights and Responsibilities Act</w:t>
      </w:r>
      <w:r>
        <w:rPr>
          <w:i/>
          <w:iCs/>
        </w:rPr>
        <w:t xml:space="preserve"> 2006 </w:t>
      </w:r>
      <w:r>
        <w:t>for Medicare ineligible consumers receiving compulsory treatment</w:t>
      </w:r>
    </w:p>
    <w:p w14:paraId="72B08A8C" w14:textId="77777777" w:rsidR="00817104" w:rsidRDefault="00817104" w:rsidP="00817104">
      <w:pPr>
        <w:pStyle w:val="Bullet1"/>
        <w:numPr>
          <w:ilvl w:val="0"/>
          <w:numId w:val="2"/>
        </w:numPr>
      </w:pPr>
      <w:r>
        <w:t>fees charged to Medicare-ineligible patients are at the discretion of individual health services. Fees should be set at a minimum to achieve full cost recovery</w:t>
      </w:r>
    </w:p>
    <w:p w14:paraId="79C022AE" w14:textId="77777777" w:rsidR="00817104" w:rsidRDefault="00817104" w:rsidP="00817104">
      <w:pPr>
        <w:pStyle w:val="Bullet1"/>
        <w:numPr>
          <w:ilvl w:val="0"/>
          <w:numId w:val="2"/>
        </w:numPr>
      </w:pPr>
      <w:r>
        <w:t>health services obtain an assurance of payment from all Medicare-ineligible patients before treatment</w:t>
      </w:r>
    </w:p>
    <w:p w14:paraId="5AFF56EF" w14:textId="77777777" w:rsidR="00817104" w:rsidRDefault="00817104" w:rsidP="00817104">
      <w:pPr>
        <w:pStyle w:val="Bullet1"/>
        <w:numPr>
          <w:ilvl w:val="0"/>
          <w:numId w:val="2"/>
        </w:numPr>
      </w:pPr>
      <w:r>
        <w:t>Medicare-ineligible patients should be provided with an indicative cost of treatment, including advice that they may incur out-of-pocket expenses for their treatment, if costs are not fully met by their private health insurance fund</w:t>
      </w:r>
    </w:p>
    <w:p w14:paraId="10B6F40E" w14:textId="77777777" w:rsidR="00817104" w:rsidRDefault="00817104" w:rsidP="00817104">
      <w:pPr>
        <w:pStyle w:val="Bullet1"/>
        <w:numPr>
          <w:ilvl w:val="0"/>
          <w:numId w:val="2"/>
        </w:numPr>
      </w:pPr>
      <w:r>
        <w:t>health services are encouraged to have collaborative arrangements in place to enable an appropriate referral to another public or private health service if treatment is not available at the patient’s first choice of health service</w:t>
      </w:r>
    </w:p>
    <w:p w14:paraId="55BD7FC5" w14:textId="77777777" w:rsidR="00817104" w:rsidRDefault="00817104" w:rsidP="00817104">
      <w:pPr>
        <w:pStyle w:val="Bullet1"/>
        <w:numPr>
          <w:ilvl w:val="0"/>
          <w:numId w:val="2"/>
        </w:numPr>
      </w:pPr>
      <w:r>
        <w:t>health services may provide advice to Medicare-ineligible patients about alternative options for treatment if a patient has been triaged within an ED as requiring non-urgent emergency care</w:t>
      </w:r>
    </w:p>
    <w:p w14:paraId="61DB9BBB" w14:textId="77777777" w:rsidR="00817104" w:rsidRDefault="00817104" w:rsidP="00817104">
      <w:pPr>
        <w:pStyle w:val="Bullet1"/>
        <w:numPr>
          <w:ilvl w:val="0"/>
          <w:numId w:val="2"/>
        </w:numPr>
      </w:pPr>
      <w:r>
        <w:t>Medicare-ineligible patients may access planned services within a public health service, subject to:</w:t>
      </w:r>
    </w:p>
    <w:p w14:paraId="40F235BE" w14:textId="77777777" w:rsidR="00817104" w:rsidRPr="001B686C" w:rsidRDefault="00817104" w:rsidP="00817104">
      <w:pPr>
        <w:pStyle w:val="Bullet2"/>
        <w:numPr>
          <w:ilvl w:val="1"/>
          <w:numId w:val="2"/>
        </w:numPr>
      </w:pPr>
      <w:r w:rsidRPr="001B686C">
        <w:t>the health service’s capacity to provide treatment within the context of overall demand for services</w:t>
      </w:r>
    </w:p>
    <w:p w14:paraId="27048793" w14:textId="77777777" w:rsidR="00817104" w:rsidRPr="001B686C" w:rsidRDefault="00817104" w:rsidP="00817104">
      <w:pPr>
        <w:pStyle w:val="Bullet2"/>
        <w:numPr>
          <w:ilvl w:val="1"/>
          <w:numId w:val="2"/>
        </w:numPr>
      </w:pPr>
      <w:r w:rsidRPr="001B686C">
        <w:t>an assessment of the patient’s clinical need for treatment during their stay in Australia</w:t>
      </w:r>
    </w:p>
    <w:p w14:paraId="73D1EC2A" w14:textId="77777777" w:rsidR="00817104" w:rsidRPr="001B686C" w:rsidRDefault="00817104" w:rsidP="00817104">
      <w:pPr>
        <w:pStyle w:val="Bullet2"/>
        <w:numPr>
          <w:ilvl w:val="1"/>
          <w:numId w:val="2"/>
        </w:numPr>
      </w:pPr>
      <w:r w:rsidRPr="001B686C">
        <w:t>the patient’s ability to provide an assurance of payment for services provided</w:t>
      </w:r>
    </w:p>
    <w:p w14:paraId="575DF853" w14:textId="77777777" w:rsidR="00817104" w:rsidRDefault="00817104" w:rsidP="00817104">
      <w:pPr>
        <w:pStyle w:val="Bullet1"/>
        <w:numPr>
          <w:ilvl w:val="0"/>
          <w:numId w:val="2"/>
        </w:numPr>
      </w:pPr>
      <w:r>
        <w:t>when the patient is unable to pay for the treatment provided, some form of regular financial contribution should be encouraged. When the patient demonstrates an inability to give the required assurances for treatment already provided, a schedule of periodic payments should be negotiated.</w:t>
      </w:r>
    </w:p>
    <w:p w14:paraId="4B0C65BD" w14:textId="3BFF7FC8" w:rsidR="00817104" w:rsidRPr="00A827C2" w:rsidRDefault="00817104" w:rsidP="00817104">
      <w:pPr>
        <w:pStyle w:val="Heading3"/>
      </w:pPr>
      <w:r>
        <w:t xml:space="preserve">International patients </w:t>
      </w:r>
      <w:r w:rsidRPr="001B686C">
        <w:t>seeking</w:t>
      </w:r>
      <w:r>
        <w:t xml:space="preserve"> health services</w:t>
      </w:r>
    </w:p>
    <w:p w14:paraId="35A7D87B" w14:textId="77777777" w:rsidR="00817104" w:rsidRDefault="00817104" w:rsidP="00817104">
      <w:pPr>
        <w:pStyle w:val="Body"/>
      </w:pPr>
      <w:r>
        <w:t>Principles have been developed to guide health services that wish to treat people visiting Victoria, where health treatment is their primary focus.</w:t>
      </w:r>
    </w:p>
    <w:p w14:paraId="0328B1D7" w14:textId="77777777" w:rsidR="00817104" w:rsidRPr="0001602A" w:rsidRDefault="00817104" w:rsidP="00817104">
      <w:pPr>
        <w:pStyle w:val="Body"/>
      </w:pPr>
      <w:r>
        <w:t>Health services that wish to bring international patients to Victoria for the specific purpose of medical treatment must seek their board’s endorsement of this activity. They should also develop appropriate policies and guidelines to ensure any international patient activity protects the primacy of Victorian patients.</w:t>
      </w:r>
    </w:p>
    <w:p w14:paraId="4B3B3FB3" w14:textId="77777777" w:rsidR="00817104" w:rsidRDefault="00817104" w:rsidP="00817104">
      <w:pPr>
        <w:pStyle w:val="Body"/>
      </w:pPr>
      <w:r>
        <w:t>Board endorsement is not required for treatment provided to an international patient on a pro bono basis or for charitable purposes, or treatment provided to interstate or international patients under a government agreement.</w:t>
      </w:r>
    </w:p>
    <w:p w14:paraId="3B079185" w14:textId="77777777" w:rsidR="00817104" w:rsidRDefault="00817104" w:rsidP="00817104">
      <w:pPr>
        <w:pStyle w:val="Body"/>
      </w:pPr>
      <w:r>
        <w:lastRenderedPageBreak/>
        <w:t>Where a health service delivers care in collaboration with a private provider, board endorsement is only required where the public health service is the primary care provider.</w:t>
      </w:r>
    </w:p>
    <w:p w14:paraId="2C665D7B" w14:textId="77777777" w:rsidR="00817104" w:rsidRPr="00D94F0C" w:rsidRDefault="00817104" w:rsidP="00817104">
      <w:pPr>
        <w:pStyle w:val="Body"/>
      </w:pPr>
      <w:r>
        <w:t>In endorsing policies and guidelines, board members must assure themselves that certain principles will be met, including that:</w:t>
      </w:r>
    </w:p>
    <w:p w14:paraId="6E1CFA11" w14:textId="77777777" w:rsidR="00817104" w:rsidRPr="00323815" w:rsidRDefault="00817104" w:rsidP="00817104">
      <w:pPr>
        <w:pStyle w:val="Bullet1"/>
        <w:numPr>
          <w:ilvl w:val="0"/>
          <w:numId w:val="2"/>
        </w:numPr>
      </w:pPr>
      <w:r>
        <w:t>preferential treatment should not be given to full-fee-paying international patients over Victorian patients. Delivery of services and treatment within a public health service should only be provided to international patients, where capacity to provide treatment exists without disadvantaging Victorian patients</w:t>
      </w:r>
    </w:p>
    <w:p w14:paraId="68B25BD4" w14:textId="77777777" w:rsidR="00817104" w:rsidRPr="00323815" w:rsidRDefault="00817104" w:rsidP="00817104">
      <w:pPr>
        <w:pStyle w:val="Bullet1"/>
        <w:numPr>
          <w:ilvl w:val="0"/>
          <w:numId w:val="2"/>
        </w:numPr>
      </w:pPr>
      <w:r>
        <w:t>health services need to assess the risks of the patient undergoing treatment in Victoria, to ensure the risk of complications is low, and they can respond to any potential complications that may arise, including access to emergency treatment and care</w:t>
      </w:r>
    </w:p>
    <w:p w14:paraId="1D79C562" w14:textId="77777777" w:rsidR="00817104" w:rsidRPr="00323815" w:rsidRDefault="00817104" w:rsidP="00817104">
      <w:pPr>
        <w:pStyle w:val="Bullet1"/>
        <w:numPr>
          <w:ilvl w:val="0"/>
          <w:numId w:val="2"/>
        </w:numPr>
      </w:pPr>
      <w:r>
        <w:t>prior to accepting a patient for treatment, health services should ensure any required aftercare management and follow up is available within the patient’s home country. This should include appropriate processes to transfer care back to a health service or clinician in the patient’s home country</w:t>
      </w:r>
    </w:p>
    <w:p w14:paraId="6396139F" w14:textId="77777777" w:rsidR="00817104" w:rsidRPr="00323815" w:rsidRDefault="00817104" w:rsidP="00817104">
      <w:pPr>
        <w:pStyle w:val="Bullet1"/>
        <w:numPr>
          <w:ilvl w:val="0"/>
          <w:numId w:val="2"/>
        </w:numPr>
      </w:pPr>
      <w:r>
        <w:t>health services need to ensure the patient can pay the full cost of treatment or service, and that details are recorded in a contract outlining the services provided, costs and related timelines, before treatment begins</w:t>
      </w:r>
    </w:p>
    <w:p w14:paraId="0F7B9E7F" w14:textId="77777777" w:rsidR="00817104" w:rsidRPr="00323815" w:rsidRDefault="00817104" w:rsidP="00817104">
      <w:pPr>
        <w:pStyle w:val="Bullet1"/>
        <w:numPr>
          <w:ilvl w:val="0"/>
          <w:numId w:val="2"/>
        </w:numPr>
      </w:pPr>
      <w:r>
        <w:t>patients should be provided with an indicative cost of treatment, including advice on additional treatment that may be required in the future</w:t>
      </w:r>
    </w:p>
    <w:p w14:paraId="147C188D" w14:textId="77777777" w:rsidR="00817104" w:rsidRPr="00323815" w:rsidRDefault="00817104" w:rsidP="00817104">
      <w:pPr>
        <w:pStyle w:val="Bullet1"/>
        <w:numPr>
          <w:ilvl w:val="0"/>
          <w:numId w:val="2"/>
        </w:numPr>
      </w:pPr>
      <w:r>
        <w:t>contracts and fees for treatment should consider any unexpected complications that may arise and how any additional costs will be managed</w:t>
      </w:r>
    </w:p>
    <w:p w14:paraId="77C6855A" w14:textId="77777777" w:rsidR="00817104" w:rsidRPr="00323815" w:rsidRDefault="00817104" w:rsidP="00817104">
      <w:pPr>
        <w:pStyle w:val="Bullet1"/>
        <w:numPr>
          <w:ilvl w:val="0"/>
          <w:numId w:val="2"/>
        </w:numPr>
      </w:pPr>
      <w:r>
        <w:t>fees charged to international patients are at the discretion of individual health services.</w:t>
      </w:r>
    </w:p>
    <w:p w14:paraId="15F6CD60" w14:textId="77777777" w:rsidR="00817104" w:rsidRPr="003F7E7C" w:rsidRDefault="00817104" w:rsidP="00817104">
      <w:pPr>
        <w:pStyle w:val="Bodyafterbullets"/>
      </w:pPr>
      <w:r>
        <w:t>These principles apply to all types of treatment or care provided to international patients. Health services must not provide treatment to international patients outside the scope of what is currently provided at the relevant public hospital site.</w:t>
      </w:r>
    </w:p>
    <w:p w14:paraId="3831A322" w14:textId="77777777" w:rsidR="00817104" w:rsidRPr="003F7E7C" w:rsidRDefault="00817104" w:rsidP="00817104">
      <w:pPr>
        <w:pStyle w:val="Body"/>
      </w:pPr>
      <w:r>
        <w:t>Health services should note the unclear international legal frameworks and regulatory environment for international patients seeking legal redress, following unsatisfactory outcomes from medical treatment in Victoria. Before accepting international patients, health services should assess these legal risks and the potential impact on medical indemnity insurance. Complaints from international patients should be handled as part of a health service’s normal complaints process.</w:t>
      </w:r>
    </w:p>
    <w:p w14:paraId="634C1F39" w14:textId="77777777" w:rsidR="00817104" w:rsidRDefault="00817104" w:rsidP="00817104">
      <w:pPr>
        <w:pStyle w:val="Body"/>
      </w:pPr>
      <w:r>
        <w:t xml:space="preserve">Health services should advise the department if they are delivering services to full-fee-paying international patients. </w:t>
      </w:r>
    </w:p>
    <w:p w14:paraId="7A56BFAB" w14:textId="77777777" w:rsidR="00817104" w:rsidRDefault="00817104" w:rsidP="00817104">
      <w:pPr>
        <w:pStyle w:val="Body"/>
      </w:pPr>
      <w:r>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817104" w14:paraId="4F95A697" w14:textId="77777777">
        <w:trPr>
          <w:trHeight w:val="7371"/>
        </w:trPr>
        <w:tc>
          <w:tcPr>
            <w:tcW w:w="7598" w:type="dxa"/>
            <w:vAlign w:val="center"/>
          </w:tcPr>
          <w:p w14:paraId="6D040DE3" w14:textId="77777777" w:rsidR="00817104" w:rsidRDefault="00817104">
            <w:pPr>
              <w:pStyle w:val="Documentsubtitle"/>
            </w:pPr>
            <w:bookmarkStart w:id="2214" w:name="_Toc165964680"/>
            <w:bookmarkStart w:id="2215" w:name="_Toc167174543"/>
            <w:bookmarkStart w:id="2216" w:name="_Toc198386711"/>
            <w:bookmarkStart w:id="2217" w:name="_Toc165964681"/>
            <w:bookmarkStart w:id="2218" w:name="_Toc167174544"/>
            <w:bookmarkStart w:id="2219" w:name="_Toc229127683"/>
            <w:r w:rsidRPr="00BF266F">
              <w:rPr>
                <w:rFonts w:eastAsia="MS Gothic" w:cs="Arial"/>
                <w:bCs/>
                <w:color w:val="201547"/>
                <w:kern w:val="32"/>
                <w:sz w:val="44"/>
                <w:szCs w:val="44"/>
              </w:rPr>
              <w:lastRenderedPageBreak/>
              <w:t>Part 2: Obligations, standards and requirements</w:t>
            </w:r>
          </w:p>
        </w:tc>
      </w:tr>
      <w:tr w:rsidR="00817104" w14:paraId="0C4E30AF" w14:textId="77777777">
        <w:tc>
          <w:tcPr>
            <w:tcW w:w="7598" w:type="dxa"/>
          </w:tcPr>
          <w:p w14:paraId="3B24C2B3" w14:textId="77777777" w:rsidR="00817104" w:rsidRDefault="00817104">
            <w:pPr>
              <w:pStyle w:val="Body"/>
            </w:pPr>
          </w:p>
        </w:tc>
      </w:tr>
      <w:bookmarkEnd w:id="2214"/>
      <w:bookmarkEnd w:id="2215"/>
      <w:bookmarkEnd w:id="2216"/>
    </w:tbl>
    <w:p w14:paraId="2EAE7361" w14:textId="77777777" w:rsidR="00817104" w:rsidRDefault="00817104" w:rsidP="00817104">
      <w:pPr>
        <w:spacing w:after="0" w:line="240" w:lineRule="auto"/>
        <w:rPr>
          <w:rFonts w:eastAsia="MS Gothic" w:cs="Arial"/>
          <w:bCs/>
          <w:color w:val="201547"/>
          <w:kern w:val="32"/>
          <w:sz w:val="44"/>
          <w:szCs w:val="44"/>
        </w:rPr>
      </w:pPr>
      <w:r>
        <w:br w:type="page"/>
      </w:r>
    </w:p>
    <w:p w14:paraId="758D26DA" w14:textId="77777777" w:rsidR="00817104" w:rsidRDefault="00817104" w:rsidP="00787FA7">
      <w:pPr>
        <w:pStyle w:val="Heading1"/>
      </w:pPr>
      <w:bookmarkStart w:id="2220" w:name="_Toc231982294"/>
      <w:r>
        <w:lastRenderedPageBreak/>
        <w:t xml:space="preserve">Notification </w:t>
      </w:r>
      <w:r w:rsidRPr="001B686C">
        <w:t>obligations</w:t>
      </w:r>
      <w:bookmarkEnd w:id="2217"/>
      <w:bookmarkEnd w:id="2218"/>
      <w:bookmarkEnd w:id="2219"/>
      <w:bookmarkEnd w:id="2220"/>
    </w:p>
    <w:p w14:paraId="43187880" w14:textId="1249E36A" w:rsidR="00817104" w:rsidRPr="00CF1247" w:rsidRDefault="00817104" w:rsidP="00817104">
      <w:pPr>
        <w:pStyle w:val="Heading2"/>
      </w:pPr>
      <w:bookmarkStart w:id="2221" w:name="_Toc165964682"/>
      <w:bookmarkStart w:id="2222" w:name="_Toc167174545"/>
      <w:bookmarkStart w:id="2223" w:name="_Toc229127684"/>
      <w:bookmarkStart w:id="2224" w:name="_Toc231982295"/>
      <w:r>
        <w:t>Issues of public concern</w:t>
      </w:r>
      <w:bookmarkEnd w:id="2221"/>
      <w:bookmarkEnd w:id="2222"/>
      <w:bookmarkEnd w:id="2223"/>
      <w:bookmarkEnd w:id="2224"/>
    </w:p>
    <w:p w14:paraId="1CD3915B" w14:textId="77777777" w:rsidR="00817104" w:rsidRDefault="00817104" w:rsidP="00817104">
      <w:pPr>
        <w:pStyle w:val="Body"/>
      </w:pPr>
      <w:r>
        <w:t xml:space="preserve">The </w:t>
      </w:r>
      <w:r w:rsidRPr="00A65FAF">
        <w:rPr>
          <w:i/>
          <w:iCs/>
        </w:rPr>
        <w:t>Health Services Act 1988</w:t>
      </w:r>
      <w:r>
        <w:t xml:space="preserve">, </w:t>
      </w:r>
      <w:r w:rsidRPr="00A65FAF">
        <w:rPr>
          <w:i/>
          <w:iCs/>
        </w:rPr>
        <w:t>Ambulance Services Act 1986</w:t>
      </w:r>
      <w:r>
        <w:t xml:space="preserve"> and </w:t>
      </w:r>
      <w:r w:rsidRPr="001122E0">
        <w:rPr>
          <w:i/>
          <w:iCs/>
        </w:rPr>
        <w:t xml:space="preserve">Mental Health and Wellbeing Act 2022 </w:t>
      </w:r>
      <w:r>
        <w:t>specify the functions of health service boards and CEOs.</w:t>
      </w:r>
    </w:p>
    <w:p w14:paraId="7B7C1524" w14:textId="77777777" w:rsidR="00817104" w:rsidRDefault="00817104" w:rsidP="00817104">
      <w:pPr>
        <w:pStyle w:val="Heading3"/>
      </w:pPr>
      <w:r>
        <w:t>Board obligations</w:t>
      </w:r>
    </w:p>
    <w:p w14:paraId="6243F20C" w14:textId="77777777" w:rsidR="00817104" w:rsidRDefault="00817104" w:rsidP="00817104">
      <w:pPr>
        <w:pStyle w:val="Body"/>
      </w:pPr>
      <w:r>
        <w:t>Included in the health service board functions is the requirement for boards to ensure the relevant portfolio minister (health, ambulance services or mental health) and secretary are advised about significant board decisions, and promptly informed about any issues of public concern or risks that affect or may affect the health service.</w:t>
      </w:r>
    </w:p>
    <w:p w14:paraId="63A9ACD2" w14:textId="77777777" w:rsidR="00817104" w:rsidRDefault="00817104" w:rsidP="00817104">
      <w:pPr>
        <w:pStyle w:val="Body"/>
      </w:pPr>
      <w:r>
        <w:t>The</w:t>
      </w:r>
      <w:r w:rsidRPr="00617A50">
        <w:t xml:space="preserve"> </w:t>
      </w:r>
      <w:r>
        <w:t>Health Services Act sets out:</w:t>
      </w:r>
    </w:p>
    <w:p w14:paraId="7F57D4CB" w14:textId="77777777" w:rsidR="00817104" w:rsidRPr="00964E25" w:rsidRDefault="00817104" w:rsidP="00817104">
      <w:pPr>
        <w:pStyle w:val="Bullet1"/>
        <w:numPr>
          <w:ilvl w:val="0"/>
          <w:numId w:val="2"/>
        </w:numPr>
      </w:pPr>
      <w:r w:rsidRPr="00964E25">
        <w:t>responsibilities of public health service boards</w:t>
      </w:r>
      <w:r>
        <w:t xml:space="preserve"> – </w:t>
      </w:r>
      <w:r w:rsidRPr="00964E25">
        <w:t>s 65S(2)(i)</w:t>
      </w:r>
    </w:p>
    <w:p w14:paraId="678B6E26" w14:textId="77777777" w:rsidR="00817104" w:rsidRPr="00964E25" w:rsidRDefault="00817104" w:rsidP="00817104">
      <w:pPr>
        <w:pStyle w:val="Bullet1"/>
        <w:numPr>
          <w:ilvl w:val="0"/>
          <w:numId w:val="2"/>
        </w:numPr>
        <w:rPr>
          <w:rFonts w:eastAsia="MS Gothic"/>
          <w:bCs/>
        </w:rPr>
      </w:pPr>
      <w:r w:rsidRPr="00964E25">
        <w:t>public hospital board duties</w:t>
      </w:r>
      <w:r>
        <w:rPr>
          <w:color w:val="000000"/>
        </w:rPr>
        <w:t xml:space="preserve"> – </w:t>
      </w:r>
      <w:r w:rsidRPr="00964E25">
        <w:rPr>
          <w:color w:val="000000"/>
        </w:rPr>
        <w:t>s 33(2)(i)</w:t>
      </w:r>
    </w:p>
    <w:p w14:paraId="6B0D9220" w14:textId="77777777" w:rsidR="00817104" w:rsidRDefault="00817104" w:rsidP="00817104">
      <w:pPr>
        <w:pStyle w:val="Bullet1"/>
        <w:numPr>
          <w:ilvl w:val="0"/>
          <w:numId w:val="2"/>
        </w:numPr>
      </w:pPr>
      <w:r w:rsidRPr="00BE5B59">
        <w:t>functions of multi</w:t>
      </w:r>
      <w:r w:rsidRPr="00BE5B59">
        <w:noBreakHyphen/>
        <w:t>purpose service boards</w:t>
      </w:r>
      <w:r>
        <w:t xml:space="preserve"> – </w:t>
      </w:r>
      <w:r w:rsidRPr="00BE5B59">
        <w:rPr>
          <w:rFonts w:eastAsia="MS Gothic"/>
          <w:bCs/>
        </w:rPr>
        <w:t xml:space="preserve">s </w:t>
      </w:r>
      <w:r w:rsidRPr="00BE5B59">
        <w:rPr>
          <w:rFonts w:eastAsia="MS Gothic"/>
        </w:rPr>
        <w:t>115E(2)(l</w:t>
      </w:r>
      <w:r w:rsidRPr="00BE5B59">
        <w:rPr>
          <w:rFonts w:eastAsia="MS Gothic"/>
          <w:bCs/>
        </w:rPr>
        <w:t>)</w:t>
      </w:r>
    </w:p>
    <w:p w14:paraId="02ABCC2A" w14:textId="6EF3DD92" w:rsidR="00817104" w:rsidRDefault="00817104" w:rsidP="00817104">
      <w:pPr>
        <w:pStyle w:val="Bodyafterbullets"/>
      </w:pPr>
      <w:r>
        <w:t>Also note the Ambulance Services Act – s. 18</w:t>
      </w:r>
      <w:r w:rsidR="00DE08CA">
        <w:t xml:space="preserve"> </w:t>
      </w:r>
      <w:r>
        <w:t xml:space="preserve">(1)(j) and Mental Health and Wellbeing Act – </w:t>
      </w:r>
      <w:r w:rsidRPr="00307A06">
        <w:rPr>
          <w:rFonts w:cs="Arial"/>
          <w:szCs w:val="21"/>
        </w:rPr>
        <w:t>s 701.</w:t>
      </w:r>
    </w:p>
    <w:p w14:paraId="13C42886" w14:textId="77777777" w:rsidR="00817104" w:rsidRDefault="00817104" w:rsidP="00817104">
      <w:pPr>
        <w:pStyle w:val="Heading3"/>
      </w:pPr>
      <w:r>
        <w:t>CEO obligations</w:t>
      </w:r>
    </w:p>
    <w:p w14:paraId="6753582C" w14:textId="77777777" w:rsidR="00817104" w:rsidRDefault="00817104" w:rsidP="00817104">
      <w:pPr>
        <w:pStyle w:val="Body"/>
      </w:pPr>
      <w:r>
        <w:t>CEOs must also inform the board, secretary or delegate, and relevant minister, without delay, of any significant issues of public concern or significant risks affecting the health service.</w:t>
      </w:r>
    </w:p>
    <w:p w14:paraId="036A895F" w14:textId="77777777" w:rsidR="00817104" w:rsidRDefault="00817104" w:rsidP="00817104">
      <w:pPr>
        <w:pStyle w:val="Body"/>
      </w:pPr>
      <w:r>
        <w:t>The Health Services Act sets this out for the:</w:t>
      </w:r>
    </w:p>
    <w:p w14:paraId="2924BEE1" w14:textId="77777777" w:rsidR="00817104" w:rsidRDefault="00817104" w:rsidP="00817104">
      <w:pPr>
        <w:pStyle w:val="Bullet1"/>
        <w:numPr>
          <w:ilvl w:val="0"/>
          <w:numId w:val="2"/>
        </w:numPr>
      </w:pPr>
      <w:r>
        <w:t>CEO of a public hospital – s 40I(1)(h)</w:t>
      </w:r>
    </w:p>
    <w:p w14:paraId="01BB8E84" w14:textId="77777777" w:rsidR="00817104" w:rsidRDefault="00817104" w:rsidP="00817104">
      <w:pPr>
        <w:pStyle w:val="Bullet1"/>
        <w:numPr>
          <w:ilvl w:val="0"/>
          <w:numId w:val="2"/>
        </w:numPr>
      </w:pPr>
      <w:r>
        <w:t>CEO of a public health service – s 65XB(1)(h)</w:t>
      </w:r>
    </w:p>
    <w:p w14:paraId="13570A17" w14:textId="77777777" w:rsidR="00817104" w:rsidRDefault="00817104" w:rsidP="00817104">
      <w:pPr>
        <w:pStyle w:val="Bullet1"/>
        <w:numPr>
          <w:ilvl w:val="0"/>
          <w:numId w:val="2"/>
        </w:numPr>
      </w:pPr>
      <w:r>
        <w:t>CEO of a multi</w:t>
      </w:r>
      <w:r>
        <w:rPr>
          <w:rFonts w:ascii="Cambria Math" w:hAnsi="Cambria Math" w:cs="Cambria Math"/>
        </w:rPr>
        <w:t>‑</w:t>
      </w:r>
      <w:r>
        <w:t>purpose service – s 115JC(1)(h).</w:t>
      </w:r>
    </w:p>
    <w:p w14:paraId="0D2AC750" w14:textId="77777777" w:rsidR="00817104" w:rsidRDefault="00817104" w:rsidP="00817104">
      <w:pPr>
        <w:pStyle w:val="Bodyafterbullets"/>
      </w:pPr>
      <w:r>
        <w:t>The Ambulance Services Act sets out requirements to:</w:t>
      </w:r>
    </w:p>
    <w:p w14:paraId="3D2CFFF6" w14:textId="77777777" w:rsidR="00817104" w:rsidRDefault="00817104" w:rsidP="00817104">
      <w:pPr>
        <w:pStyle w:val="Bullet1"/>
        <w:numPr>
          <w:ilvl w:val="0"/>
          <w:numId w:val="2"/>
        </w:numPr>
      </w:pPr>
      <w:r>
        <w:t>inform the board of issues of public concern – s 21(3)(g)</w:t>
      </w:r>
    </w:p>
    <w:p w14:paraId="0264472E" w14:textId="77777777" w:rsidR="00817104" w:rsidRDefault="00817104" w:rsidP="00817104">
      <w:pPr>
        <w:pStyle w:val="Bullet1"/>
        <w:numPr>
          <w:ilvl w:val="0"/>
          <w:numId w:val="2"/>
        </w:numPr>
      </w:pPr>
      <w:r>
        <w:t>inform the board, Secretary and Minister without delay of significant issues or risks – s 21(3)(h).</w:t>
      </w:r>
    </w:p>
    <w:p w14:paraId="5C0B55C6" w14:textId="77777777" w:rsidR="00817104" w:rsidRPr="00BC2C72" w:rsidRDefault="00817104" w:rsidP="00817104">
      <w:pPr>
        <w:pStyle w:val="Bodyafterbullets"/>
      </w:pPr>
      <w:r>
        <w:t>Also note the Mental Health and Wellbeing Act –</w:t>
      </w:r>
      <w:r w:rsidRPr="001738E7">
        <w:t xml:space="preserve"> s 701. </w:t>
      </w:r>
    </w:p>
    <w:p w14:paraId="39E67143" w14:textId="37A60771" w:rsidR="00817104" w:rsidRDefault="00817104" w:rsidP="00817104">
      <w:pPr>
        <w:pStyle w:val="Heading2"/>
      </w:pPr>
      <w:bookmarkStart w:id="2225" w:name="_Toc165964683"/>
      <w:bookmarkStart w:id="2226" w:name="_Toc167174546"/>
      <w:bookmarkStart w:id="2227" w:name="_Toc229127685"/>
      <w:bookmarkStart w:id="2228" w:name="_Toc231982296"/>
      <w:r>
        <w:t>Changes to range or scope of activities</w:t>
      </w:r>
      <w:bookmarkEnd w:id="2225"/>
      <w:bookmarkEnd w:id="2226"/>
      <w:bookmarkEnd w:id="2227"/>
      <w:bookmarkEnd w:id="2228"/>
    </w:p>
    <w:p w14:paraId="5893EA22" w14:textId="77777777" w:rsidR="00817104" w:rsidRDefault="00817104" w:rsidP="00817104">
      <w:pPr>
        <w:pStyle w:val="Body"/>
      </w:pPr>
      <w:r>
        <w:t>Before health services undertake a significant change in the range or scope of services, the planning implications of such a move must be discussed with the department. All health services should contact their departmental liaison. The department must provide explicit approval before a health service can significantly alter its services.</w:t>
      </w:r>
    </w:p>
    <w:p w14:paraId="3D8A0F8A" w14:textId="77783AC9" w:rsidR="00817104" w:rsidRDefault="00817104" w:rsidP="00817104">
      <w:pPr>
        <w:pStyle w:val="Heading2"/>
      </w:pPr>
      <w:bookmarkStart w:id="2229" w:name="_Toc165461676"/>
      <w:bookmarkStart w:id="2230" w:name="_Toc165964684"/>
      <w:bookmarkStart w:id="2231" w:name="_Toc167174547"/>
      <w:bookmarkStart w:id="2232" w:name="_Toc229127686"/>
      <w:bookmarkStart w:id="2233" w:name="_Toc231982297"/>
      <w:bookmarkEnd w:id="2229"/>
      <w:r>
        <w:t>Exceptional events</w:t>
      </w:r>
      <w:bookmarkEnd w:id="2230"/>
      <w:bookmarkEnd w:id="2231"/>
      <w:bookmarkEnd w:id="2232"/>
      <w:bookmarkEnd w:id="2233"/>
    </w:p>
    <w:p w14:paraId="7482FE44" w14:textId="77777777" w:rsidR="00817104" w:rsidRDefault="00817104" w:rsidP="00817104">
      <w:pPr>
        <w:pStyle w:val="Body"/>
      </w:pPr>
      <w:r>
        <w:t>There may be circumstances (including industrial action and natural disasters) beyond the reasonable control of health service management that may prevent the health service reaching its targeted throughput.</w:t>
      </w:r>
    </w:p>
    <w:p w14:paraId="60616E70" w14:textId="77777777" w:rsidR="00817104" w:rsidRDefault="00817104" w:rsidP="00817104">
      <w:pPr>
        <w:pStyle w:val="Body"/>
      </w:pPr>
      <w:r>
        <w:lastRenderedPageBreak/>
        <w:t>At its discretion, and on a case-by-case basis, the department will consider submissions to adjust funding to health services, irrespective of throughput, for as long as such events continue.</w:t>
      </w:r>
    </w:p>
    <w:p w14:paraId="14D6A2B8" w14:textId="77777777" w:rsidR="00817104" w:rsidRDefault="00817104" w:rsidP="00817104">
      <w:pPr>
        <w:pStyle w:val="Body"/>
      </w:pPr>
      <w:r>
        <w:t>Health services are expected to actively mitigate their financial exposure and any decline in throughput, during and following such events.</w:t>
      </w:r>
    </w:p>
    <w:p w14:paraId="092D3321" w14:textId="2CF911C2" w:rsidR="00817104" w:rsidRDefault="00817104" w:rsidP="00817104">
      <w:pPr>
        <w:pStyle w:val="Heading2"/>
      </w:pPr>
      <w:bookmarkStart w:id="2234" w:name="_Toc165964685"/>
      <w:bookmarkStart w:id="2235" w:name="_Toc231982298"/>
      <w:bookmarkStart w:id="2236" w:name="_Toc167174548"/>
      <w:bookmarkStart w:id="2237" w:name="_Toc229127687"/>
      <w:r>
        <w:t xml:space="preserve">Public health </w:t>
      </w:r>
      <w:bookmarkEnd w:id="2234"/>
      <w:r>
        <w:t>events</w:t>
      </w:r>
      <w:bookmarkEnd w:id="2235"/>
      <w:r>
        <w:t xml:space="preserve"> </w:t>
      </w:r>
      <w:bookmarkEnd w:id="2236"/>
      <w:bookmarkEnd w:id="2237"/>
    </w:p>
    <w:p w14:paraId="260F3B01" w14:textId="77777777" w:rsidR="00817104" w:rsidRDefault="00817104" w:rsidP="00817104">
      <w:pPr>
        <w:pStyle w:val="Bodyafterbullets"/>
      </w:pPr>
      <w:r>
        <w:t>Certain public health risks and events require health services that operate an LPHU</w:t>
      </w:r>
      <w:r w:rsidRPr="009444CB">
        <w:t xml:space="preserve"> </w:t>
      </w:r>
      <w:r>
        <w:t xml:space="preserve">or the Victorian Tuberculosis Program to notify the Chief Health Officer. Risks and events that require a public health escalation are available at </w:t>
      </w:r>
      <w:hyperlink r:id="rId124" w:history="1">
        <w:r w:rsidRPr="001D01F7">
          <w:rPr>
            <w:rStyle w:val="Hyperlink"/>
          </w:rPr>
          <w:t>LPHUs</w:t>
        </w:r>
      </w:hyperlink>
      <w:r>
        <w:t xml:space="preserve"> &lt;https://www.health.vic.gov.au/local-public-health-units&gt;.</w:t>
      </w:r>
    </w:p>
    <w:p w14:paraId="315749D0" w14:textId="77777777" w:rsidR="00817104" w:rsidRDefault="00817104" w:rsidP="00817104">
      <w:pPr>
        <w:pStyle w:val="Body"/>
        <w:rPr>
          <w:rFonts w:eastAsia="MS Gothic" w:cs="Arial"/>
          <w:color w:val="53565A"/>
          <w:kern w:val="32"/>
        </w:rPr>
      </w:pPr>
      <w:r>
        <w:rPr>
          <w:rFonts w:eastAsia="MS Gothic" w:cs="Arial"/>
          <w:color w:val="53565A"/>
          <w:kern w:val="32"/>
        </w:rPr>
        <w:br w:type="page"/>
      </w:r>
    </w:p>
    <w:p w14:paraId="7CB79018" w14:textId="77777777" w:rsidR="00817104" w:rsidRPr="00376579" w:rsidRDefault="00817104" w:rsidP="00C44545">
      <w:pPr>
        <w:pStyle w:val="Heading1"/>
      </w:pPr>
      <w:bookmarkStart w:id="2238" w:name="_Toc229127688"/>
      <w:bookmarkStart w:id="2239" w:name="_Toc231982299"/>
      <w:r>
        <w:lastRenderedPageBreak/>
        <w:t>Standards</w:t>
      </w:r>
      <w:bookmarkEnd w:id="2238"/>
      <w:bookmarkEnd w:id="2239"/>
    </w:p>
    <w:p w14:paraId="291FD943" w14:textId="6E4D9431" w:rsidR="00817104" w:rsidRDefault="00817104" w:rsidP="00817104">
      <w:pPr>
        <w:pStyle w:val="Heading2"/>
      </w:pPr>
      <w:bookmarkStart w:id="2240" w:name="_Toc165964687"/>
      <w:bookmarkStart w:id="2241" w:name="_Toc229127689"/>
      <w:bookmarkStart w:id="2242" w:name="_Toc231982300"/>
      <w:r>
        <w:t xml:space="preserve">Public sector values and </w:t>
      </w:r>
      <w:r w:rsidRPr="00CE5343">
        <w:t>employment</w:t>
      </w:r>
      <w:r>
        <w:t xml:space="preserve"> principles</w:t>
      </w:r>
      <w:bookmarkEnd w:id="2240"/>
      <w:bookmarkEnd w:id="2241"/>
      <w:bookmarkEnd w:id="2242"/>
    </w:p>
    <w:p w14:paraId="45DEB296" w14:textId="77777777" w:rsidR="00817104" w:rsidRDefault="00817104" w:rsidP="00817104">
      <w:pPr>
        <w:pStyle w:val="Body"/>
      </w:pPr>
      <w:r>
        <w:t xml:space="preserve">The </w:t>
      </w:r>
      <w:r w:rsidRPr="006C6FBC">
        <w:rPr>
          <w:i/>
          <w:iCs/>
        </w:rPr>
        <w:t>Public Administration Act 2004</w:t>
      </w:r>
      <w:r>
        <w:t xml:space="preserve"> establishes values to guide conduct and performance in the Victorian public sector.</w:t>
      </w:r>
    </w:p>
    <w:p w14:paraId="0B75F6C4" w14:textId="77777777" w:rsidR="00817104" w:rsidRDefault="00817104" w:rsidP="00817104">
      <w:pPr>
        <w:pStyle w:val="Body"/>
      </w:pPr>
      <w:r>
        <w:t>There are seven core public sector values of:</w:t>
      </w:r>
    </w:p>
    <w:p w14:paraId="4788819D" w14:textId="77777777" w:rsidR="00817104" w:rsidRDefault="00817104" w:rsidP="00817104">
      <w:pPr>
        <w:pStyle w:val="Bullet1"/>
        <w:numPr>
          <w:ilvl w:val="0"/>
          <w:numId w:val="2"/>
        </w:numPr>
      </w:pPr>
      <w:r>
        <w:t>responsiveness</w:t>
      </w:r>
    </w:p>
    <w:p w14:paraId="5AE137A7" w14:textId="77777777" w:rsidR="00817104" w:rsidRDefault="00817104" w:rsidP="00817104">
      <w:pPr>
        <w:pStyle w:val="Bullet1"/>
        <w:numPr>
          <w:ilvl w:val="0"/>
          <w:numId w:val="2"/>
        </w:numPr>
      </w:pPr>
      <w:r>
        <w:t>integrity</w:t>
      </w:r>
    </w:p>
    <w:p w14:paraId="0D20F6C9" w14:textId="77777777" w:rsidR="00817104" w:rsidRDefault="00817104" w:rsidP="00817104">
      <w:pPr>
        <w:pStyle w:val="Bullet1"/>
        <w:numPr>
          <w:ilvl w:val="0"/>
          <w:numId w:val="2"/>
        </w:numPr>
      </w:pPr>
      <w:r>
        <w:t>impartiality</w:t>
      </w:r>
    </w:p>
    <w:p w14:paraId="44A82CD3" w14:textId="77777777" w:rsidR="00817104" w:rsidRDefault="00817104" w:rsidP="00817104">
      <w:pPr>
        <w:pStyle w:val="Bullet1"/>
        <w:numPr>
          <w:ilvl w:val="0"/>
          <w:numId w:val="2"/>
        </w:numPr>
      </w:pPr>
      <w:r>
        <w:t>accountability</w:t>
      </w:r>
    </w:p>
    <w:p w14:paraId="02CC7026" w14:textId="77777777" w:rsidR="00817104" w:rsidRDefault="00817104" w:rsidP="00817104">
      <w:pPr>
        <w:pStyle w:val="Bullet1"/>
        <w:numPr>
          <w:ilvl w:val="0"/>
          <w:numId w:val="2"/>
        </w:numPr>
      </w:pPr>
      <w:r>
        <w:t>respect</w:t>
      </w:r>
    </w:p>
    <w:p w14:paraId="77F71EF1" w14:textId="77777777" w:rsidR="00817104" w:rsidRDefault="00817104" w:rsidP="00817104">
      <w:pPr>
        <w:pStyle w:val="Bullet1"/>
        <w:numPr>
          <w:ilvl w:val="0"/>
          <w:numId w:val="2"/>
        </w:numPr>
      </w:pPr>
      <w:r>
        <w:t>leadership</w:t>
      </w:r>
    </w:p>
    <w:p w14:paraId="5E6B0C25" w14:textId="77777777" w:rsidR="00817104" w:rsidRDefault="00817104" w:rsidP="00817104">
      <w:pPr>
        <w:pStyle w:val="Bullet1"/>
        <w:numPr>
          <w:ilvl w:val="0"/>
          <w:numId w:val="2"/>
        </w:numPr>
      </w:pPr>
      <w:r>
        <w:t>human rights.</w:t>
      </w:r>
    </w:p>
    <w:p w14:paraId="4BBDDD4E" w14:textId="6402CFEE" w:rsidR="00817104" w:rsidRDefault="00817104" w:rsidP="00817104">
      <w:pPr>
        <w:pStyle w:val="Bodyafterbullets"/>
      </w:pPr>
      <w:r>
        <w:t xml:space="preserve">These values, and how they can be demonstrated, are outlined in </w:t>
      </w:r>
      <w:r w:rsidR="00F35FBF">
        <w:t>section</w:t>
      </w:r>
      <w:r>
        <w:t xml:space="preserve"> 7 of the Public Administration Act.</w:t>
      </w:r>
      <w:r w:rsidRPr="0670E279">
        <w:rPr>
          <w:b/>
          <w:bCs/>
        </w:rPr>
        <w:t xml:space="preserve"> </w:t>
      </w:r>
      <w:r>
        <w:t xml:space="preserve">Section 8 of the Public Administration Act outlines the principles of public sector employment and articulates what employers must do </w:t>
      </w:r>
      <w:r w:rsidRPr="00CE5343">
        <w:t>to</w:t>
      </w:r>
      <w:r>
        <w:t xml:space="preserve"> comply.</w:t>
      </w:r>
    </w:p>
    <w:p w14:paraId="4DDFC876" w14:textId="77777777" w:rsidR="00817104" w:rsidRPr="00B61A4E" w:rsidRDefault="00817104" w:rsidP="00817104">
      <w:pPr>
        <w:pStyle w:val="Bodyafterbullets"/>
      </w:pPr>
      <w:r>
        <w:t>This includes establishing employment processes to ensure:</w:t>
      </w:r>
    </w:p>
    <w:p w14:paraId="1D1A2984" w14:textId="77777777" w:rsidR="00817104" w:rsidRPr="00B61A4E" w:rsidRDefault="00817104" w:rsidP="00817104">
      <w:pPr>
        <w:pStyle w:val="Bullet1"/>
        <w:numPr>
          <w:ilvl w:val="0"/>
          <w:numId w:val="2"/>
        </w:numPr>
      </w:pPr>
      <w:r>
        <w:t>employment decisions are based on merit</w:t>
      </w:r>
    </w:p>
    <w:p w14:paraId="0FB76DD8" w14:textId="77777777" w:rsidR="00817104" w:rsidRPr="00B61A4E" w:rsidRDefault="00817104" w:rsidP="00817104">
      <w:pPr>
        <w:pStyle w:val="Bullet1"/>
        <w:numPr>
          <w:ilvl w:val="0"/>
          <w:numId w:val="2"/>
        </w:numPr>
      </w:pPr>
      <w:r>
        <w:t>employees are treated fairly and reasonably</w:t>
      </w:r>
    </w:p>
    <w:p w14:paraId="0AFDB67D" w14:textId="77777777" w:rsidR="00817104" w:rsidRPr="00B61A4E" w:rsidRDefault="00817104" w:rsidP="00817104">
      <w:pPr>
        <w:pStyle w:val="Bullet1"/>
        <w:numPr>
          <w:ilvl w:val="0"/>
          <w:numId w:val="2"/>
        </w:numPr>
      </w:pPr>
      <w:r>
        <w:t>equal employment opportunity is provided</w:t>
      </w:r>
    </w:p>
    <w:p w14:paraId="424E83AB" w14:textId="77777777" w:rsidR="00817104" w:rsidRPr="00B61A4E" w:rsidRDefault="00817104" w:rsidP="00817104">
      <w:pPr>
        <w:pStyle w:val="Bullet1"/>
        <w:numPr>
          <w:ilvl w:val="0"/>
          <w:numId w:val="2"/>
        </w:numPr>
      </w:pPr>
      <w:r>
        <w:t>human rights, as set out in the Charter of Human Rights and Responsibilities, are upheld</w:t>
      </w:r>
    </w:p>
    <w:p w14:paraId="591E220B" w14:textId="77777777" w:rsidR="00817104" w:rsidRPr="00B61A4E" w:rsidRDefault="00817104" w:rsidP="00817104">
      <w:pPr>
        <w:pStyle w:val="Bullet1"/>
        <w:numPr>
          <w:ilvl w:val="0"/>
          <w:numId w:val="2"/>
        </w:numPr>
      </w:pPr>
      <w:r>
        <w:t>public sector employees have a reasonable avenue of redress against unfair or unreasonable treatment</w:t>
      </w:r>
    </w:p>
    <w:p w14:paraId="740CE18D" w14:textId="77777777" w:rsidR="00817104" w:rsidRPr="00B61A4E" w:rsidRDefault="00817104" w:rsidP="00817104">
      <w:pPr>
        <w:pStyle w:val="Bullet1"/>
        <w:numPr>
          <w:ilvl w:val="0"/>
          <w:numId w:val="2"/>
        </w:numPr>
      </w:pPr>
      <w:r>
        <w:t>a career in the public service is fostered (in the case of public service bodies).</w:t>
      </w:r>
    </w:p>
    <w:p w14:paraId="2D35CB18" w14:textId="77777777" w:rsidR="00817104" w:rsidRPr="00B61A4E" w:rsidRDefault="00817104" w:rsidP="00817104">
      <w:pPr>
        <w:pStyle w:val="Bodyafterbullets"/>
      </w:pPr>
      <w:r>
        <w:t>The Victorian Public Sector Commission issues codes of conduct to reinforce the public sector values and standards on how to apply the employment principles. The codes and standards are binding, but not detailed, enabling employers to introduce policies and practices that suit their organisation, while also complying with the codes and standards. Employees should consider the codes, standards and any organisational policies when deciding what action to take.</w:t>
      </w:r>
    </w:p>
    <w:p w14:paraId="03BD2EB7" w14:textId="77777777" w:rsidR="00817104" w:rsidRDefault="00817104" w:rsidP="00817104">
      <w:pPr>
        <w:pStyle w:val="Body"/>
      </w:pPr>
      <w:r>
        <w:t>For more information, visit:</w:t>
      </w:r>
    </w:p>
    <w:p w14:paraId="0BB5D18A" w14:textId="77777777" w:rsidR="00817104" w:rsidRDefault="00817104" w:rsidP="00817104">
      <w:pPr>
        <w:pStyle w:val="Bullet1"/>
        <w:numPr>
          <w:ilvl w:val="0"/>
          <w:numId w:val="2"/>
        </w:numPr>
      </w:pPr>
      <w:hyperlink r:id="rId125">
        <w:r w:rsidRPr="00A4130D">
          <w:rPr>
            <w:rStyle w:val="Hyperlink"/>
          </w:rPr>
          <w:t>Public Administration Act</w:t>
        </w:r>
      </w:hyperlink>
      <w:r>
        <w:t xml:space="preserve"> &lt;https://www.legislation.vic.gov.au/in-force/acts/public-administration-act-2004/079&gt;</w:t>
      </w:r>
    </w:p>
    <w:p w14:paraId="5934514E" w14:textId="77777777" w:rsidR="00817104" w:rsidRDefault="00817104" w:rsidP="00817104">
      <w:pPr>
        <w:pStyle w:val="Bullet1"/>
        <w:numPr>
          <w:ilvl w:val="0"/>
          <w:numId w:val="2"/>
        </w:numPr>
        <w:rPr>
          <w:rFonts w:eastAsia="MS Gothic" w:cs="Arial"/>
          <w:color w:val="53565A"/>
          <w:kern w:val="32"/>
        </w:rPr>
      </w:pPr>
      <w:hyperlink r:id="rId126">
        <w:r w:rsidRPr="0670E279">
          <w:rPr>
            <w:rStyle w:val="Hyperlink"/>
          </w:rPr>
          <w:t>Public sector values</w:t>
        </w:r>
      </w:hyperlink>
      <w:r>
        <w:t xml:space="preserve"> &lt;http://vpsc.vic.gov.au/ethics-behaviours-culture/public-sector-values&gt;.</w:t>
      </w:r>
    </w:p>
    <w:p w14:paraId="472003B0" w14:textId="77777777" w:rsidR="00817104" w:rsidRDefault="00817104" w:rsidP="00817104">
      <w:pPr>
        <w:pStyle w:val="Body"/>
        <w:rPr>
          <w:rFonts w:eastAsia="MS Gothic" w:cs="Arial"/>
          <w:color w:val="53565A"/>
          <w:kern w:val="32"/>
        </w:rPr>
      </w:pPr>
      <w:r>
        <w:rPr>
          <w:rFonts w:eastAsia="MS Gothic" w:cs="Arial"/>
          <w:color w:val="53565A"/>
          <w:kern w:val="32"/>
        </w:rPr>
        <w:br w:type="page"/>
      </w:r>
    </w:p>
    <w:p w14:paraId="323A556C" w14:textId="77777777" w:rsidR="00817104" w:rsidRDefault="00817104" w:rsidP="00C44545">
      <w:pPr>
        <w:pStyle w:val="Heading1"/>
      </w:pPr>
      <w:bookmarkStart w:id="2243" w:name="_Toc165964688"/>
      <w:bookmarkStart w:id="2244" w:name="_Toc167174550"/>
      <w:bookmarkStart w:id="2245" w:name="_Toc229127690"/>
      <w:bookmarkStart w:id="2246" w:name="_Toc231982301"/>
      <w:r>
        <w:lastRenderedPageBreak/>
        <w:t>Safety</w:t>
      </w:r>
      <w:bookmarkEnd w:id="2243"/>
      <w:bookmarkEnd w:id="2244"/>
      <w:bookmarkEnd w:id="2245"/>
      <w:bookmarkEnd w:id="2246"/>
    </w:p>
    <w:p w14:paraId="02EBEBF3" w14:textId="1228B060" w:rsidR="00817104" w:rsidRDefault="00817104" w:rsidP="00817104">
      <w:pPr>
        <w:pStyle w:val="Heading2"/>
      </w:pPr>
      <w:bookmarkStart w:id="2247" w:name="_Toc165964689"/>
      <w:bookmarkStart w:id="2248" w:name="_Toc167174551"/>
      <w:bookmarkStart w:id="2249" w:name="_Toc229127691"/>
      <w:bookmarkStart w:id="2250" w:name="_Toc231982302"/>
      <w:r>
        <w:t>Pre-employment safety screening</w:t>
      </w:r>
      <w:bookmarkEnd w:id="2247"/>
      <w:bookmarkEnd w:id="2248"/>
      <w:bookmarkEnd w:id="2249"/>
      <w:bookmarkEnd w:id="2250"/>
    </w:p>
    <w:p w14:paraId="2FC78958" w14:textId="77777777" w:rsidR="00817104" w:rsidRDefault="00817104" w:rsidP="00817104">
      <w:pPr>
        <w:pStyle w:val="Body"/>
      </w:pPr>
      <w:r>
        <w:t xml:space="preserve">All health practitioners registered with Ahpra must meet pre-employment safety screening requirements. Clinicians, both those registered with Ahpra and self-regulated, need to adhere to credentialling and scope of practice processes according to local clinical governance frameworks. </w:t>
      </w:r>
    </w:p>
    <w:p w14:paraId="14ECB410" w14:textId="77777777" w:rsidR="00817104" w:rsidRDefault="00817104" w:rsidP="00817104">
      <w:pPr>
        <w:pStyle w:val="Body"/>
      </w:pPr>
      <w:r>
        <w:t xml:space="preserve">Pre-employment safety screening of medical practitioners with independent responsibility for patient care is subject to the requirements of the </w:t>
      </w:r>
      <w:r w:rsidRPr="00351629">
        <w:rPr>
          <w:i/>
          <w:iCs/>
        </w:rPr>
        <w:t>Credentialing and scope of clinical practice for senior medical practitioners policy</w:t>
      </w:r>
      <w:r>
        <w:t xml:space="preserve">. </w:t>
      </w:r>
    </w:p>
    <w:p w14:paraId="57C4920B" w14:textId="77777777" w:rsidR="00817104" w:rsidRPr="00B9416E" w:rsidRDefault="00817104" w:rsidP="00817104">
      <w:pPr>
        <w:pStyle w:val="Body"/>
      </w:pPr>
      <w:r>
        <w:t>Pre-employment safety screening checks are a mandatory requirement of the department’s selection process. While pre-employment safety screening does not eliminate the risk of employing unsuitable people, it does minimise that risk.</w:t>
      </w:r>
    </w:p>
    <w:p w14:paraId="2B238DBC" w14:textId="77777777" w:rsidR="00817104" w:rsidRPr="00C95E51" w:rsidRDefault="00817104" w:rsidP="00817104">
      <w:pPr>
        <w:pStyle w:val="Body"/>
      </w:pPr>
      <w:r>
        <w:t>Pre-employment safety screening checks may also include a Working with Children Check, which assesses people who work with or care for children in Victoria. Referee checks should also be undertaken by direct contact with nominated referees.</w:t>
      </w:r>
    </w:p>
    <w:p w14:paraId="0E0121B1" w14:textId="77777777" w:rsidR="00817104" w:rsidRDefault="00817104" w:rsidP="00817104">
      <w:pPr>
        <w:pStyle w:val="Body"/>
      </w:pPr>
      <w:r>
        <w:t>Health services must have a vaccination policy for all workers. Each worker and their role should be individually assessed for specific vaccine requirements, before or at the start of employment. This is determined by the likelihood of contact with patients and/or blood or body substances, taking possible contraindications into account.</w:t>
      </w:r>
    </w:p>
    <w:p w14:paraId="5C764636" w14:textId="77777777" w:rsidR="00817104" w:rsidRDefault="00817104" w:rsidP="00817104">
      <w:pPr>
        <w:pStyle w:val="Body"/>
      </w:pPr>
      <w:r>
        <w:t>Healthcare workers must provide a vaccination record and/or documented evidence of natural immunity to vaccine-preventable diseases recommended for healthcare workers to their health service employer. The employer is required to keep the information on file in the event the healthcare worker is in contact with a vaccine-preventable disease.</w:t>
      </w:r>
    </w:p>
    <w:p w14:paraId="40706753" w14:textId="77777777" w:rsidR="00817104" w:rsidRDefault="00817104" w:rsidP="00817104">
      <w:pPr>
        <w:pStyle w:val="Body"/>
      </w:pPr>
      <w:r>
        <w:t>For more information, visit:</w:t>
      </w:r>
    </w:p>
    <w:p w14:paraId="3338AF99" w14:textId="77777777" w:rsidR="00817104" w:rsidRDefault="00817104" w:rsidP="00817104">
      <w:pPr>
        <w:pStyle w:val="Body"/>
      </w:pPr>
      <w:hyperlink r:id="rId127">
        <w:r w:rsidRPr="0670E279">
          <w:rPr>
            <w:rStyle w:val="Hyperlink"/>
          </w:rPr>
          <w:t>Credentialing and scope of clinical practice for senior medical practitioners policy</w:t>
        </w:r>
      </w:hyperlink>
      <w:r>
        <w:t xml:space="preserve"> &lt;https://www.safercare.vic.gov.au/best-practice-improvement/publications/credentialing-and-scope-of-clinical-practice-for-senior-medical-practitioners-policy&gt;</w:t>
      </w:r>
    </w:p>
    <w:p w14:paraId="20B54F42" w14:textId="77777777" w:rsidR="00817104" w:rsidRPr="001953A7" w:rsidRDefault="00817104" w:rsidP="00817104">
      <w:pPr>
        <w:pStyle w:val="Body"/>
      </w:pPr>
      <w:hyperlink r:id="rId128">
        <w:r w:rsidRPr="0670E279">
          <w:rPr>
            <w:rStyle w:val="Hyperlink"/>
          </w:rPr>
          <w:t>Vaccination for healthcare workers</w:t>
        </w:r>
      </w:hyperlink>
      <w:r>
        <w:t xml:space="preserve"> &lt;https://www.health.vic.gov.au/immunisation/vaccination-for-healthcare-workers&gt;. </w:t>
      </w:r>
    </w:p>
    <w:p w14:paraId="66AE662C" w14:textId="3E031E7A" w:rsidR="00817104" w:rsidRDefault="00817104" w:rsidP="00817104">
      <w:pPr>
        <w:pStyle w:val="Heading2"/>
      </w:pPr>
      <w:bookmarkStart w:id="2251" w:name="_Toc165964690"/>
      <w:bookmarkStart w:id="2252" w:name="_Toc167174552"/>
      <w:bookmarkStart w:id="2253" w:name="_Toc229127692"/>
      <w:bookmarkStart w:id="2254" w:name="_Toc231982303"/>
      <w:r>
        <w:t xml:space="preserve">Staff </w:t>
      </w:r>
      <w:r w:rsidRPr="002E2406">
        <w:t>safety</w:t>
      </w:r>
      <w:r>
        <w:t xml:space="preserve"> and wellbeing in Victorian health services</w:t>
      </w:r>
      <w:bookmarkEnd w:id="2251"/>
      <w:bookmarkEnd w:id="2252"/>
      <w:bookmarkEnd w:id="2253"/>
      <w:bookmarkEnd w:id="2254"/>
    </w:p>
    <w:p w14:paraId="4B92A5F6" w14:textId="77777777" w:rsidR="00817104" w:rsidRPr="00AE2602" w:rsidRDefault="00817104" w:rsidP="00817104">
      <w:pPr>
        <w:pStyle w:val="Body"/>
      </w:pPr>
      <w:bookmarkStart w:id="2255" w:name="_Toc165964691"/>
      <w:bookmarkStart w:id="2256" w:name="_Toc167174553"/>
      <w:r>
        <w:t xml:space="preserve">All funded organisations are responsible for the safety of their staff, patients and visitors. Funded organisations must have systems and processes in place to enable them to identify, assess and control occupational health and safety risks. This is in accordance with their obligations pursuant to the </w:t>
      </w:r>
      <w:r w:rsidRPr="00943B6D">
        <w:rPr>
          <w:i/>
          <w:iCs/>
        </w:rPr>
        <w:t>Occupational Health and Safety Act 2004</w:t>
      </w:r>
      <w:r>
        <w:t>.</w:t>
      </w:r>
    </w:p>
    <w:p w14:paraId="53F5B17F" w14:textId="77777777" w:rsidR="00817104" w:rsidRDefault="00817104" w:rsidP="00817104">
      <w:pPr>
        <w:pStyle w:val="Body"/>
      </w:pPr>
      <w:r w:rsidRPr="00AE2602">
        <w:t xml:space="preserve">The department and Safer Care Victoria </w:t>
      </w:r>
      <w:r>
        <w:t xml:space="preserve">(SCV) </w:t>
      </w:r>
      <w:r w:rsidRPr="00AE2602">
        <w:t xml:space="preserve">are committed to working collaboratively with health and community services to enhance </w:t>
      </w:r>
      <w:r w:rsidRPr="00D1655D">
        <w:t>the</w:t>
      </w:r>
      <w:r w:rsidRPr="00AE2602">
        <w:t xml:space="preserve"> health, safety and wellbeing of staff. Fundamental to this work will be an emphasis on building a positive and respectful workplace culture, including actions </w:t>
      </w:r>
      <w:r>
        <w:t>to address</w:t>
      </w:r>
      <w:r w:rsidRPr="00AE2602">
        <w:t xml:space="preserve"> systemic issues that </w:t>
      </w:r>
      <w:r>
        <w:t>affect</w:t>
      </w:r>
      <w:r w:rsidRPr="00AE2602">
        <w:t xml:space="preserve"> safety and wellbeing.</w:t>
      </w:r>
    </w:p>
    <w:p w14:paraId="13A73AE4" w14:textId="77777777" w:rsidR="00817104" w:rsidRPr="002E2406" w:rsidRDefault="00817104" w:rsidP="00817104">
      <w:pPr>
        <w:pStyle w:val="Body"/>
      </w:pPr>
      <w:r>
        <w:t xml:space="preserve">For more information on safety and wellbeing obligations, visit the </w:t>
      </w:r>
      <w:hyperlink r:id="rId129" w:history="1">
        <w:r w:rsidRPr="00BF0A8D">
          <w:rPr>
            <w:rStyle w:val="Hyperlink"/>
          </w:rPr>
          <w:t xml:space="preserve">Occupational Health and Safety Act </w:t>
        </w:r>
      </w:hyperlink>
      <w:r>
        <w:t xml:space="preserve"> &lt;https://www.legislation.vic.gov.au/in-force/acts/occupational-health-and-safety-act-2004/044&gt;.</w:t>
      </w:r>
    </w:p>
    <w:p w14:paraId="118B09EF" w14:textId="18B512BA" w:rsidR="00817104" w:rsidRPr="005F7F6D" w:rsidRDefault="00817104" w:rsidP="00817104">
      <w:pPr>
        <w:pStyle w:val="Heading2"/>
      </w:pPr>
      <w:bookmarkStart w:id="2257" w:name="_Toc229127693"/>
      <w:bookmarkStart w:id="2258" w:name="_Toc231982304"/>
      <w:r>
        <w:lastRenderedPageBreak/>
        <w:t>Child safety</w:t>
      </w:r>
      <w:bookmarkEnd w:id="2255"/>
      <w:bookmarkEnd w:id="2256"/>
      <w:bookmarkEnd w:id="2257"/>
      <w:bookmarkEnd w:id="2258"/>
    </w:p>
    <w:p w14:paraId="1E08C5C8" w14:textId="77777777" w:rsidR="00817104" w:rsidRPr="0098481C" w:rsidRDefault="00817104" w:rsidP="00817104">
      <w:pPr>
        <w:pStyle w:val="Body"/>
      </w:pPr>
      <w:r>
        <w:t xml:space="preserve">Responsibility for child safety is shared across a range of legislative, regulatory and service systems in Victoria. </w:t>
      </w:r>
    </w:p>
    <w:p w14:paraId="519846B9" w14:textId="77777777" w:rsidR="00817104" w:rsidRDefault="00817104" w:rsidP="00817104">
      <w:pPr>
        <w:pStyle w:val="Body"/>
      </w:pPr>
      <w:r>
        <w:t xml:space="preserve">The Commission for Children and Young People is an independent statutory authority established under the </w:t>
      </w:r>
      <w:r w:rsidRPr="00715A14">
        <w:rPr>
          <w:i/>
          <w:iCs/>
        </w:rPr>
        <w:t>Commission for Children and Young People Act 2012</w:t>
      </w:r>
      <w:r>
        <w:t xml:space="preserve"> and has functions that include monitoring, advocacy and inquiry in relation to the safety and wellbeing of children and young people. </w:t>
      </w:r>
    </w:p>
    <w:p w14:paraId="59DE0278" w14:textId="77777777" w:rsidR="00817104" w:rsidRDefault="00817104" w:rsidP="00817104">
      <w:pPr>
        <w:pStyle w:val="Body"/>
      </w:pPr>
      <w:r>
        <w:t xml:space="preserve">The Reportable Conduct Scheme (RCS), which </w:t>
      </w:r>
      <w:r w:rsidRPr="0670E279">
        <w:rPr>
          <w:lang w:eastAsia="en-AU"/>
        </w:rPr>
        <w:t xml:space="preserve">is set out under Part 5A of the </w:t>
      </w:r>
      <w:r w:rsidRPr="006270D1">
        <w:rPr>
          <w:i/>
        </w:rPr>
        <w:t>Child Wellbeing and Safety Act</w:t>
      </w:r>
      <w:r>
        <w:t xml:space="preserve"> </w:t>
      </w:r>
      <w:r w:rsidRPr="006270D1">
        <w:rPr>
          <w:i/>
        </w:rPr>
        <w:t>2005</w:t>
      </w:r>
      <w:r w:rsidRPr="008F2880">
        <w:t xml:space="preserve"> </w:t>
      </w:r>
      <w:r>
        <w:t xml:space="preserve">is administered by the </w:t>
      </w:r>
      <w:r w:rsidRPr="003E6A69">
        <w:t>Social Services Regulator</w:t>
      </w:r>
      <w:r w:rsidRPr="00A1176C">
        <w:t>.</w:t>
      </w:r>
    </w:p>
    <w:p w14:paraId="35119893" w14:textId="77777777" w:rsidR="00817104" w:rsidRPr="00DD449D" w:rsidRDefault="00817104" w:rsidP="00817104">
      <w:pPr>
        <w:pStyle w:val="Body"/>
      </w:pPr>
      <w:r>
        <w:t>Child Protection within t</w:t>
      </w:r>
      <w:hyperlink r:id="rId130">
        <w:r w:rsidRPr="003E6A69">
          <w:t xml:space="preserve">he Department of Families, Fairness and Housing </w:t>
        </w:r>
      </w:hyperlink>
      <w:r>
        <w:t xml:space="preserve">administers the </w:t>
      </w:r>
      <w:r w:rsidRPr="0670E279">
        <w:rPr>
          <w:i/>
          <w:iCs/>
        </w:rPr>
        <w:t>Children, Youth and Families Act 2005</w:t>
      </w:r>
      <w:r>
        <w:t xml:space="preserve">, which </w:t>
      </w:r>
      <w:r w:rsidRPr="0670E279">
        <w:rPr>
          <w:lang w:eastAsia="en-AU"/>
        </w:rPr>
        <w:t>creates a shared responsibility for family services, the child protection program, out-of-home care services and the Children’s Court, to act in the best interests of the child.</w:t>
      </w:r>
    </w:p>
    <w:p w14:paraId="7F171737" w14:textId="77777777" w:rsidR="00817104" w:rsidRDefault="00817104" w:rsidP="00817104">
      <w:pPr>
        <w:pStyle w:val="Body"/>
      </w:pPr>
      <w:r>
        <w:t xml:space="preserve">The </w:t>
      </w:r>
      <w:r w:rsidRPr="00BB336B">
        <w:t>Child Information Sharing Scheme (CISS)</w:t>
      </w:r>
      <w:r>
        <w:t xml:space="preserve"> and aligned </w:t>
      </w:r>
      <w:r w:rsidRPr="00BB336B">
        <w:t>Family Violence Information Sharing Scheme (FVISS)</w:t>
      </w:r>
      <w:r>
        <w:t xml:space="preserve"> commenced in 2018. </w:t>
      </w:r>
      <w:r w:rsidRPr="00BB336B">
        <w:t>Child Link</w:t>
      </w:r>
      <w:r>
        <w:t xml:space="preserve"> became operational by December 2021, with authorised users progressively onboarded from 2022 onward.</w:t>
      </w:r>
    </w:p>
    <w:p w14:paraId="33E294B0" w14:textId="77777777" w:rsidR="00817104" w:rsidRDefault="00817104" w:rsidP="00817104">
      <w:pPr>
        <w:pStyle w:val="Body"/>
      </w:pPr>
      <w:r>
        <w:t>For more information, visit the:</w:t>
      </w:r>
    </w:p>
    <w:p w14:paraId="166EF995" w14:textId="77777777" w:rsidR="00817104" w:rsidRDefault="00817104" w:rsidP="00817104">
      <w:pPr>
        <w:pStyle w:val="Bullet1"/>
        <w:numPr>
          <w:ilvl w:val="0"/>
          <w:numId w:val="2"/>
        </w:numPr>
      </w:pPr>
      <w:hyperlink r:id="rId131" w:history="1">
        <w:r w:rsidRPr="00A1176C">
          <w:rPr>
            <w:rStyle w:val="Hyperlink"/>
          </w:rPr>
          <w:t>Social Services Regulator</w:t>
        </w:r>
      </w:hyperlink>
      <w:r>
        <w:t xml:space="preserve"> </w:t>
      </w:r>
      <w:r w:rsidRPr="00A1176C">
        <w:t>&lt;https://www.vic.gov.au/social-services-regulator&gt;</w:t>
      </w:r>
    </w:p>
    <w:p w14:paraId="3A699435" w14:textId="77777777" w:rsidR="00817104" w:rsidRDefault="00817104" w:rsidP="00817104">
      <w:pPr>
        <w:pStyle w:val="Bullet1"/>
        <w:numPr>
          <w:ilvl w:val="0"/>
          <w:numId w:val="2"/>
        </w:numPr>
      </w:pPr>
      <w:hyperlink r:id="rId132">
        <w:r w:rsidRPr="0670E279">
          <w:rPr>
            <w:rStyle w:val="Hyperlink"/>
          </w:rPr>
          <w:t>Department of Families, Fairness and Housing</w:t>
        </w:r>
        <w:r>
          <w:rPr>
            <w:rStyle w:val="Hyperlink"/>
          </w:rPr>
          <w:t>:</w:t>
        </w:r>
        <w:r w:rsidRPr="0670E279">
          <w:rPr>
            <w:rStyle w:val="Hyperlink"/>
          </w:rPr>
          <w:t xml:space="preserve"> Child protection</w:t>
        </w:r>
      </w:hyperlink>
      <w:r>
        <w:t xml:space="preserve"> &lt;https://services.dffh.vic.gov.au/child-protection&gt;</w:t>
      </w:r>
    </w:p>
    <w:p w14:paraId="7F678F3D" w14:textId="77777777" w:rsidR="00817104" w:rsidRDefault="00817104" w:rsidP="00817104">
      <w:pPr>
        <w:pStyle w:val="Bullet1"/>
        <w:numPr>
          <w:ilvl w:val="0"/>
          <w:numId w:val="2"/>
        </w:numPr>
      </w:pPr>
      <w:hyperlink r:id="rId133">
        <w:r w:rsidRPr="0670E279">
          <w:rPr>
            <w:rStyle w:val="Hyperlink"/>
          </w:rPr>
          <w:t>Child Information Sharing Schem</w:t>
        </w:r>
        <w:r>
          <w:rPr>
            <w:rStyle w:val="Hyperlink"/>
          </w:rPr>
          <w:t>e (CISS)</w:t>
        </w:r>
      </w:hyperlink>
      <w:r>
        <w:t xml:space="preserve"> &lt;https://www.vic.gov.au/child-information-sharing-scheme&gt;</w:t>
      </w:r>
    </w:p>
    <w:p w14:paraId="42EF1D22" w14:textId="77777777" w:rsidR="00817104" w:rsidRDefault="00817104" w:rsidP="00817104">
      <w:pPr>
        <w:pStyle w:val="Bullet1"/>
        <w:numPr>
          <w:ilvl w:val="0"/>
          <w:numId w:val="2"/>
        </w:numPr>
      </w:pPr>
      <w:hyperlink r:id="rId134">
        <w:r w:rsidRPr="0670E279">
          <w:rPr>
            <w:rStyle w:val="Hyperlink"/>
          </w:rPr>
          <w:t>Family Violence Information Sharing Schem</w:t>
        </w:r>
        <w:r>
          <w:rPr>
            <w:rStyle w:val="Hyperlink"/>
          </w:rPr>
          <w:t>e (FVISS)</w:t>
        </w:r>
      </w:hyperlink>
      <w:r>
        <w:t xml:space="preserve"> &lt;</w:t>
      </w:r>
      <w:r w:rsidRPr="00975C4E">
        <w:t>https://www.vic.gov.au/family-violence-information-sharing-scheme</w:t>
      </w:r>
      <w:r>
        <w:t>&gt;</w:t>
      </w:r>
    </w:p>
    <w:p w14:paraId="6A3D727F" w14:textId="77777777" w:rsidR="00817104" w:rsidRDefault="00817104" w:rsidP="00817104">
      <w:pPr>
        <w:pStyle w:val="Bullet1"/>
        <w:numPr>
          <w:ilvl w:val="0"/>
          <w:numId w:val="2"/>
        </w:numPr>
      </w:pPr>
      <w:hyperlink r:id="rId135" w:history="1">
        <w:r w:rsidRPr="00D15A37">
          <w:rPr>
            <w:rStyle w:val="Hyperlink"/>
          </w:rPr>
          <w:t>Child Link</w:t>
        </w:r>
      </w:hyperlink>
      <w:r>
        <w:t xml:space="preserve"> &lt;https://www.vic.gov.au/child-link&gt;.</w:t>
      </w:r>
    </w:p>
    <w:p w14:paraId="525E6779" w14:textId="77777777" w:rsidR="00817104" w:rsidRPr="001E5883" w:rsidRDefault="00817104" w:rsidP="00817104">
      <w:pPr>
        <w:pStyle w:val="Heading3"/>
        <w:numPr>
          <w:ilvl w:val="2"/>
          <w:numId w:val="0"/>
        </w:numPr>
        <w:tabs>
          <w:tab w:val="num" w:pos="794"/>
        </w:tabs>
        <w:ind w:left="1134" w:hanging="1134"/>
      </w:pPr>
      <w:r>
        <w:t>15.3.1</w:t>
      </w:r>
      <w:r>
        <w:tab/>
        <w:t>Child Safe Standards</w:t>
      </w:r>
    </w:p>
    <w:p w14:paraId="0AB47808" w14:textId="77777777" w:rsidR="00817104" w:rsidRDefault="00817104" w:rsidP="00817104">
      <w:pPr>
        <w:pStyle w:val="Body"/>
      </w:pPr>
      <w:r>
        <w:t xml:space="preserve">Under the </w:t>
      </w:r>
      <w:r w:rsidRPr="006270D1">
        <w:rPr>
          <w:i/>
        </w:rPr>
        <w:t>Child Wellbeing and Safety Act</w:t>
      </w:r>
      <w:r>
        <w:t xml:space="preserve"> </w:t>
      </w:r>
      <w:r w:rsidRPr="006270D1">
        <w:rPr>
          <w:i/>
        </w:rPr>
        <w:t>2005</w:t>
      </w:r>
      <w:r>
        <w:t>, organisations that provide services or facilities for children are required to comply with the Child Safe Standards to protect children from harm and abuse. The Child Safe Standards exist to promote the safety of children, prevent child abuse, and ensure organisations have effective processes in place to respond to and report all allegations of abuse.</w:t>
      </w:r>
    </w:p>
    <w:p w14:paraId="486D9409" w14:textId="77777777" w:rsidR="00817104" w:rsidRDefault="00817104" w:rsidP="00817104">
      <w:pPr>
        <w:pStyle w:val="Body"/>
      </w:pPr>
      <w:r>
        <w:t xml:space="preserve">The Child Safe Standards establish minimum requirements for organisations to create and maintain child-safe environments, including embedding child safety in organisational leadership, governance and culture. They were updated on 1 July 2022 to better align with the </w:t>
      </w:r>
      <w:hyperlink r:id="rId136">
        <w:r w:rsidRPr="002D6AE5">
          <w:rPr>
            <w:i/>
            <w:iCs/>
          </w:rPr>
          <w:t>National Principles for Child Safe Organisations</w:t>
        </w:r>
      </w:hyperlink>
      <w:r>
        <w:t>.</w:t>
      </w:r>
    </w:p>
    <w:p w14:paraId="2ED501E6" w14:textId="3EBE64DD" w:rsidR="00817104" w:rsidRDefault="00817104" w:rsidP="00817104">
      <w:pPr>
        <w:pStyle w:val="Body"/>
      </w:pPr>
      <w:r>
        <w:t>The Child Safe Standards include a distinct Standard requiring organisations to establish a culturally safe environment for Aboriginal children and young people (Child Safe Standard 1).</w:t>
      </w:r>
    </w:p>
    <w:p w14:paraId="3CB6AC39" w14:textId="77777777" w:rsidR="00817104" w:rsidRDefault="00817104" w:rsidP="00817104">
      <w:pPr>
        <w:pStyle w:val="Body"/>
      </w:pPr>
      <w:r>
        <w:t xml:space="preserve">Amendments to the </w:t>
      </w:r>
      <w:r w:rsidRPr="000C38AB">
        <w:rPr>
          <w:iCs/>
        </w:rPr>
        <w:t>Child Wellbeing and Safety Act</w:t>
      </w:r>
      <w:r>
        <w:t xml:space="preserve"> commenced on 1 January 2023 introduced a broad suite of compliance and enforcement powers for regulators and established the current co-regulatory framework for the Child Safe Standards.</w:t>
      </w:r>
    </w:p>
    <w:p w14:paraId="46F9CE1D" w14:textId="77777777" w:rsidR="00817104" w:rsidRDefault="00817104" w:rsidP="00817104">
      <w:pPr>
        <w:pStyle w:val="Body"/>
      </w:pPr>
      <w:r>
        <w:t xml:space="preserve">Subsequent amendments further clarified system-level functions that are now undertaken by the Social Services Regulator, including guidance, coordination and reporting. Sector and integrated </w:t>
      </w:r>
      <w:r>
        <w:lastRenderedPageBreak/>
        <w:t xml:space="preserve">sector regulators are responsible for educating, monitoring and enforcing compliance within their respective sectors, as set out in the </w:t>
      </w:r>
      <w:r w:rsidRPr="00496646">
        <w:rPr>
          <w:iCs/>
        </w:rPr>
        <w:t>Child Wellbeing and Safety Act</w:t>
      </w:r>
      <w:r>
        <w:t xml:space="preserve">. </w:t>
      </w:r>
    </w:p>
    <w:p w14:paraId="78650C58" w14:textId="77777777" w:rsidR="00817104" w:rsidRDefault="00817104" w:rsidP="00817104">
      <w:pPr>
        <w:pStyle w:val="Body"/>
      </w:pPr>
      <w:r>
        <w:t xml:space="preserve">For more information about the Child Safe Standards, visit </w:t>
      </w:r>
      <w:hyperlink r:id="rId137" w:history="1">
        <w:r w:rsidRPr="00A20192">
          <w:rPr>
            <w:rStyle w:val="Hyperlink"/>
          </w:rPr>
          <w:t>Child Safe Standards</w:t>
        </w:r>
      </w:hyperlink>
      <w:r>
        <w:t xml:space="preserve"> &lt;https://www.health.vic.gov.au/childsafestandards&gt;.</w:t>
      </w:r>
    </w:p>
    <w:p w14:paraId="579775B1" w14:textId="1BAA98A3" w:rsidR="00817104" w:rsidRDefault="00817104" w:rsidP="00817104">
      <w:pPr>
        <w:pStyle w:val="Body"/>
      </w:pPr>
      <w:r>
        <w:t xml:space="preserve">Table </w:t>
      </w:r>
      <w:r w:rsidR="00FD4084">
        <w:t>5</w:t>
      </w:r>
      <w:r>
        <w:t xml:space="preserve"> outlines the current Child Safe Standards regulatory framework, including responsible regulators and applicable entity types, as set out in Schedule 1 of the </w:t>
      </w:r>
      <w:r w:rsidRPr="00060339">
        <w:rPr>
          <w:iCs/>
        </w:rPr>
        <w:t>Child Wellbeing and Safety Act.</w:t>
      </w:r>
      <w:r>
        <w:t xml:space="preserve"> </w:t>
      </w:r>
    </w:p>
    <w:p w14:paraId="688AEC87" w14:textId="77777777" w:rsidR="00817104" w:rsidRDefault="00817104" w:rsidP="00817104">
      <w:pPr>
        <w:pStyle w:val="Tablecaption"/>
      </w:pPr>
      <w:bookmarkStart w:id="2259" w:name="_Toc230537126"/>
      <w:r>
        <w:t xml:space="preserve">Table </w:t>
      </w:r>
      <w:r>
        <w:fldChar w:fldCharType="begin"/>
      </w:r>
      <w:r>
        <w:instrText>SEQ Table \* ARABIC</w:instrText>
      </w:r>
      <w:r>
        <w:fldChar w:fldCharType="separate"/>
      </w:r>
      <w:r>
        <w:rPr>
          <w:noProof/>
        </w:rPr>
        <w:t>5</w:t>
      </w:r>
      <w:r>
        <w:fldChar w:fldCharType="end"/>
      </w:r>
      <w:r>
        <w:t>. Child Safe Standards regulatory framework</w:t>
      </w:r>
      <w:r w:rsidRPr="009F6A1A">
        <w:t xml:space="preserve"> – sector regulators and regulated entities</w:t>
      </w:r>
      <w:bookmarkEnd w:id="2259"/>
    </w:p>
    <w:tbl>
      <w:tblPr>
        <w:tblStyle w:val="GridTable4-Accent1"/>
        <w:tblW w:w="0" w:type="auto"/>
        <w:tblLook w:val="04A0" w:firstRow="1" w:lastRow="0" w:firstColumn="1" w:lastColumn="0" w:noHBand="0" w:noVBand="1"/>
      </w:tblPr>
      <w:tblGrid>
        <w:gridCol w:w="2689"/>
        <w:gridCol w:w="6599"/>
      </w:tblGrid>
      <w:tr w:rsidR="00817104" w:rsidRPr="00F82CF7" w14:paraId="16C36020" w14:textId="77777777" w:rsidTr="00C048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tcPr>
          <w:p w14:paraId="34A0E018" w14:textId="77777777" w:rsidR="00817104" w:rsidRPr="00471CCB" w:rsidRDefault="00817104" w:rsidP="00785A21">
            <w:pPr>
              <w:pStyle w:val="Tablecolhead"/>
              <w:rPr>
                <w:b/>
                <w:color w:val="FFFFFF" w:themeColor="background1"/>
              </w:rPr>
            </w:pPr>
            <w:r w:rsidRPr="00471CCB">
              <w:rPr>
                <w:b/>
                <w:color w:val="FFFFFF" w:themeColor="background1"/>
              </w:rPr>
              <w:t xml:space="preserve">Responsible regulator </w:t>
            </w:r>
          </w:p>
        </w:tc>
        <w:tc>
          <w:tcPr>
            <w:tcW w:w="6599" w:type="dxa"/>
          </w:tcPr>
          <w:p w14:paraId="1AC1C586" w14:textId="77777777" w:rsidR="00817104" w:rsidRPr="00471CCB"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471CCB">
              <w:rPr>
                <w:b/>
                <w:color w:val="FFFFFF" w:themeColor="background1"/>
              </w:rPr>
              <w:t>Applicable entity type</w:t>
            </w:r>
          </w:p>
        </w:tc>
      </w:tr>
      <w:tr w:rsidR="00817104" w:rsidRPr="00F82CF7" w14:paraId="74565C3C" w14:textId="77777777" w:rsidTr="00C04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tcPr>
          <w:p w14:paraId="604B792D" w14:textId="77777777" w:rsidR="00817104" w:rsidRPr="00E0567E" w:rsidRDefault="00817104">
            <w:pPr>
              <w:pStyle w:val="Tabletext"/>
              <w:rPr>
                <w:b w:val="0"/>
                <w:bCs w:val="0"/>
                <w:szCs w:val="18"/>
              </w:rPr>
            </w:pPr>
            <w:r w:rsidRPr="00E0567E">
              <w:rPr>
                <w:szCs w:val="18"/>
              </w:rPr>
              <w:t>Department of Health</w:t>
            </w:r>
          </w:p>
        </w:tc>
        <w:tc>
          <w:tcPr>
            <w:tcW w:w="6599" w:type="dxa"/>
          </w:tcPr>
          <w:p w14:paraId="4A748D1D" w14:textId="77777777" w:rsidR="00817104" w:rsidRPr="00E0567E"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E0567E">
              <w:rPr>
                <w:szCs w:val="18"/>
              </w:rPr>
              <w:t>Multipurpose services, day procedure centres, private, public and denominational hospitals, public health services, registered community health centres, mental health and wellbeing service providers, state-funded drug or alcohol treatment service providers, and maternal and child health centres</w:t>
            </w:r>
          </w:p>
        </w:tc>
      </w:tr>
      <w:tr w:rsidR="00817104" w:rsidRPr="00F82CF7" w14:paraId="05A90B85" w14:textId="77777777" w:rsidTr="00C048AB">
        <w:trPr>
          <w:trHeight w:val="300"/>
        </w:trPr>
        <w:tc>
          <w:tcPr>
            <w:cnfStyle w:val="001000000000" w:firstRow="0" w:lastRow="0" w:firstColumn="1" w:lastColumn="0" w:oddVBand="0" w:evenVBand="0" w:oddHBand="0" w:evenHBand="0" w:firstRowFirstColumn="0" w:firstRowLastColumn="0" w:lastRowFirstColumn="0" w:lastRowLastColumn="0"/>
            <w:tcW w:w="2689" w:type="dxa"/>
          </w:tcPr>
          <w:p w14:paraId="301D6DAC" w14:textId="77777777" w:rsidR="00817104" w:rsidRPr="00E0567E" w:rsidRDefault="00817104">
            <w:pPr>
              <w:pStyle w:val="Tabletext"/>
              <w:rPr>
                <w:b w:val="0"/>
                <w:bCs w:val="0"/>
                <w:szCs w:val="18"/>
              </w:rPr>
            </w:pPr>
            <w:r w:rsidRPr="00E0567E">
              <w:rPr>
                <w:szCs w:val="18"/>
              </w:rPr>
              <w:t>Victorian Registration and Qualifications Authority</w:t>
            </w:r>
          </w:p>
        </w:tc>
        <w:tc>
          <w:tcPr>
            <w:tcW w:w="6599" w:type="dxa"/>
          </w:tcPr>
          <w:p w14:paraId="74052D55" w14:textId="77777777" w:rsidR="00817104" w:rsidRPr="00E0567E"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E0567E">
              <w:rPr>
                <w:szCs w:val="18"/>
              </w:rPr>
              <w:t>Registered schools, school boarding premises, school sector organisations providing courses to overseas students, student exchange organisations, non-school secondary providers and some registered training organisations</w:t>
            </w:r>
          </w:p>
        </w:tc>
      </w:tr>
      <w:tr w:rsidR="00817104" w:rsidRPr="00F82CF7" w14:paraId="468EB934" w14:textId="77777777" w:rsidTr="00C04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tcPr>
          <w:p w14:paraId="412BA7B0" w14:textId="77777777" w:rsidR="00817104" w:rsidRPr="00E0567E" w:rsidRDefault="00817104">
            <w:pPr>
              <w:pStyle w:val="Tabletext"/>
              <w:rPr>
                <w:b w:val="0"/>
                <w:bCs w:val="0"/>
                <w:szCs w:val="18"/>
              </w:rPr>
            </w:pPr>
            <w:r w:rsidRPr="00E0567E">
              <w:rPr>
                <w:szCs w:val="18"/>
              </w:rPr>
              <w:t>Victorian Early Childhood Regulation Authority</w:t>
            </w:r>
          </w:p>
        </w:tc>
        <w:tc>
          <w:tcPr>
            <w:tcW w:w="6599" w:type="dxa"/>
          </w:tcPr>
          <w:p w14:paraId="42CCD185" w14:textId="77777777" w:rsidR="00817104" w:rsidRPr="00E0567E"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E0567E">
              <w:rPr>
                <w:szCs w:val="18"/>
              </w:rPr>
              <w:t>Early childhood services, including long and family day care, outside hours and vacation care services, limited hours and occasional care services</w:t>
            </w:r>
          </w:p>
        </w:tc>
      </w:tr>
      <w:tr w:rsidR="00817104" w:rsidRPr="00F82CF7" w14:paraId="168EF069" w14:textId="77777777" w:rsidTr="00C048AB">
        <w:trPr>
          <w:trHeight w:val="300"/>
        </w:trPr>
        <w:tc>
          <w:tcPr>
            <w:cnfStyle w:val="001000000000" w:firstRow="0" w:lastRow="0" w:firstColumn="1" w:lastColumn="0" w:oddVBand="0" w:evenVBand="0" w:oddHBand="0" w:evenHBand="0" w:firstRowFirstColumn="0" w:firstRowLastColumn="0" w:lastRowFirstColumn="0" w:lastRowLastColumn="0"/>
            <w:tcW w:w="2689" w:type="dxa"/>
          </w:tcPr>
          <w:p w14:paraId="6C63CA38" w14:textId="77777777" w:rsidR="00817104" w:rsidRPr="00E0567E" w:rsidRDefault="00817104">
            <w:pPr>
              <w:pStyle w:val="Tabletext"/>
              <w:rPr>
                <w:b w:val="0"/>
                <w:bCs w:val="0"/>
                <w:szCs w:val="18"/>
              </w:rPr>
            </w:pPr>
            <w:r w:rsidRPr="00E0567E">
              <w:rPr>
                <w:szCs w:val="18"/>
              </w:rPr>
              <w:t>Workforce Inspectorate Victoria</w:t>
            </w:r>
          </w:p>
        </w:tc>
        <w:tc>
          <w:tcPr>
            <w:tcW w:w="6599" w:type="dxa"/>
          </w:tcPr>
          <w:p w14:paraId="4B51A760" w14:textId="77777777" w:rsidR="00817104" w:rsidRPr="00E0567E"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E0567E">
              <w:rPr>
                <w:szCs w:val="18"/>
              </w:rPr>
              <w:t xml:space="preserve">Organisations that employ children, and hold a permit under the </w:t>
            </w:r>
            <w:r w:rsidRPr="00E0567E">
              <w:rPr>
                <w:i/>
                <w:iCs/>
                <w:szCs w:val="18"/>
              </w:rPr>
              <w:t>Child Employment Act 2003</w:t>
            </w:r>
            <w:r w:rsidRPr="00E0567E">
              <w:rPr>
                <w:szCs w:val="18"/>
              </w:rPr>
              <w:t xml:space="preserve"> (Vic)</w:t>
            </w:r>
          </w:p>
        </w:tc>
      </w:tr>
      <w:tr w:rsidR="00817104" w:rsidRPr="00F82CF7" w14:paraId="7A6811B1" w14:textId="77777777" w:rsidTr="00C04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tcPr>
          <w:p w14:paraId="04A99A28" w14:textId="77777777" w:rsidR="00817104" w:rsidRPr="00E0567E" w:rsidRDefault="00817104">
            <w:pPr>
              <w:pStyle w:val="Tabletext"/>
              <w:rPr>
                <w:b w:val="0"/>
                <w:bCs w:val="0"/>
                <w:szCs w:val="18"/>
              </w:rPr>
            </w:pPr>
            <w:r w:rsidRPr="00E0567E">
              <w:rPr>
                <w:szCs w:val="18"/>
              </w:rPr>
              <w:t>Social Services Regulator</w:t>
            </w:r>
          </w:p>
        </w:tc>
        <w:tc>
          <w:tcPr>
            <w:tcW w:w="6599" w:type="dxa"/>
          </w:tcPr>
          <w:p w14:paraId="798B91DF" w14:textId="77777777" w:rsidR="00817104" w:rsidRPr="00E0567E"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E0567E">
              <w:rPr>
                <w:szCs w:val="18"/>
              </w:rPr>
              <w:t>All other types of organisations required to comply with the Victorian Child Safe Standards, including social services like disability services, housing services, family violence and sexual assault services, support services for parents and families, and out-of-home care services</w:t>
            </w:r>
          </w:p>
        </w:tc>
      </w:tr>
    </w:tbl>
    <w:p w14:paraId="057BB2E8" w14:textId="5880623F" w:rsidR="00817104" w:rsidRPr="005F7F6D" w:rsidRDefault="00817104" w:rsidP="00817104">
      <w:pPr>
        <w:pStyle w:val="Heading2"/>
      </w:pPr>
      <w:bookmarkStart w:id="2260" w:name="_Toc165964692"/>
      <w:bookmarkStart w:id="2261" w:name="_Toc167174554"/>
      <w:bookmarkStart w:id="2262" w:name="_Toc229127694"/>
      <w:bookmarkStart w:id="2263" w:name="_Toc231982305"/>
      <w:r>
        <w:t>Patient and client safety</w:t>
      </w:r>
      <w:bookmarkEnd w:id="2260"/>
      <w:bookmarkEnd w:id="2261"/>
      <w:bookmarkEnd w:id="2262"/>
      <w:bookmarkEnd w:id="2263"/>
    </w:p>
    <w:p w14:paraId="758B2EA4" w14:textId="77777777" w:rsidR="00817104" w:rsidRPr="00A45910" w:rsidRDefault="00817104" w:rsidP="00817104">
      <w:pPr>
        <w:pStyle w:val="Body"/>
      </w:pPr>
      <w:r>
        <w:t>All funded organisations are responsible for the safety of their patients and clients. Funded organisations should have systems and processes in place to enable them to identify, manage and respond to adverse events, reducing the risk of such events recurring in future.</w:t>
      </w:r>
    </w:p>
    <w:p w14:paraId="77894AE7" w14:textId="77777777" w:rsidR="00817104" w:rsidRPr="001C6F0F" w:rsidRDefault="00817104" w:rsidP="00817104">
      <w:pPr>
        <w:pStyle w:val="Body"/>
      </w:pPr>
      <w:r>
        <w:t xml:space="preserve">Victorian public health services and all services under their governance structures that report patient, resident or client safety incidents through the Victorian Health Incident Management System Minimum Dataset (VHIMS MDS), are subject to the overarching </w:t>
      </w:r>
      <w:r w:rsidRPr="006A1031">
        <w:t xml:space="preserve">Policy and guideline for </w:t>
      </w:r>
      <w:r>
        <w:t>A</w:t>
      </w:r>
      <w:r w:rsidRPr="006A1031">
        <w:t>dverse patient safety events</w:t>
      </w:r>
      <w:r>
        <w:t>.</w:t>
      </w:r>
    </w:p>
    <w:p w14:paraId="690B6D89" w14:textId="77777777" w:rsidR="00817104" w:rsidRDefault="00817104" w:rsidP="00817104">
      <w:pPr>
        <w:pStyle w:val="Body"/>
      </w:pPr>
      <w:r>
        <w:t xml:space="preserve">Organisations that provide services on behalf of the department </w:t>
      </w:r>
      <w:r w:rsidRPr="006970EE">
        <w:t>may be subject to alternative incident reporting requirements. Funded organisations should refer to the relevant Activity Description or program guidelines to confirm incident reporting requirements for specific funded activities and programs.</w:t>
      </w:r>
    </w:p>
    <w:p w14:paraId="76761714" w14:textId="77777777" w:rsidR="00817104" w:rsidRPr="001C6F0F" w:rsidRDefault="00817104" w:rsidP="00817104">
      <w:pPr>
        <w:pStyle w:val="Body"/>
      </w:pPr>
      <w:r w:rsidRPr="006970EE">
        <w:t xml:space="preserve">In some instances, </w:t>
      </w:r>
      <w:r>
        <w:t>d</w:t>
      </w:r>
      <w:r w:rsidRPr="006970EE">
        <w:t>epartment</w:t>
      </w:r>
      <w:r>
        <w:t>-</w:t>
      </w:r>
      <w:r w:rsidRPr="006970EE">
        <w:t xml:space="preserve">funded organisations will be required to report incidents through the Client Incident Management System administered by the Department of Families Fairness and Housing. </w:t>
      </w:r>
    </w:p>
    <w:p w14:paraId="2B605334" w14:textId="77777777" w:rsidR="00817104" w:rsidRDefault="00817104" w:rsidP="00817104">
      <w:pPr>
        <w:pStyle w:val="Body"/>
      </w:pPr>
      <w:r>
        <w:t xml:space="preserve">The SCV </w:t>
      </w:r>
      <w:r w:rsidRPr="00327DBD">
        <w:t>Policy and guideline for adverse patient safety events</w:t>
      </w:r>
      <w:r>
        <w:t xml:space="preserve"> provides guidance for reporting incidents or alleged incidents that involved or impacted patients or clients during service delivery. It does not replace an organisation’s own incident management systems and processes, which may be reviewed as part of the department’s routine contract and performance management arrangements.</w:t>
      </w:r>
    </w:p>
    <w:p w14:paraId="2964ABF6" w14:textId="77777777" w:rsidR="00817104" w:rsidRDefault="00817104" w:rsidP="00817104">
      <w:pPr>
        <w:pStyle w:val="Body"/>
      </w:pPr>
      <w:r>
        <w:lastRenderedPageBreak/>
        <w:t>For more information, visit:</w:t>
      </w:r>
    </w:p>
    <w:p w14:paraId="1625CD71" w14:textId="77777777" w:rsidR="00817104" w:rsidRDefault="00817104" w:rsidP="00817104">
      <w:pPr>
        <w:pStyle w:val="Bullet1"/>
        <w:numPr>
          <w:ilvl w:val="0"/>
          <w:numId w:val="2"/>
        </w:numPr>
      </w:pPr>
      <w:hyperlink r:id="rId138">
        <w:r>
          <w:rPr>
            <w:rStyle w:val="Hyperlink"/>
          </w:rPr>
          <w:t>P</w:t>
        </w:r>
        <w:r w:rsidRPr="0670E279">
          <w:rPr>
            <w:rStyle w:val="Hyperlink"/>
          </w:rPr>
          <w:t>olicy</w:t>
        </w:r>
        <w:r>
          <w:rPr>
            <w:rStyle w:val="Hyperlink"/>
          </w:rPr>
          <w:t xml:space="preserve"> and guideline for</w:t>
        </w:r>
        <w:r w:rsidRPr="0670E279">
          <w:rPr>
            <w:rStyle w:val="Hyperlink"/>
          </w:rPr>
          <w:t xml:space="preserve"> </w:t>
        </w:r>
        <w:r>
          <w:rPr>
            <w:rStyle w:val="Hyperlink"/>
          </w:rPr>
          <w:t>a</w:t>
        </w:r>
        <w:r w:rsidRPr="0670E279">
          <w:rPr>
            <w:rStyle w:val="Hyperlink"/>
          </w:rPr>
          <w:t>dverse patient safety events</w:t>
        </w:r>
      </w:hyperlink>
      <w:r>
        <w:t xml:space="preserve"> &lt;</w:t>
      </w:r>
      <w:r w:rsidRPr="00F27E29">
        <w:t>https://www.safercare.vic.gov.au/report-manage-issues/adverse-events/policy</w:t>
      </w:r>
      <w:r>
        <w:t>&gt;</w:t>
      </w:r>
    </w:p>
    <w:p w14:paraId="4347300F" w14:textId="77777777" w:rsidR="00817104" w:rsidRDefault="00817104" w:rsidP="00817104">
      <w:pPr>
        <w:pStyle w:val="Bullet1"/>
        <w:numPr>
          <w:ilvl w:val="0"/>
          <w:numId w:val="2"/>
        </w:numPr>
      </w:pPr>
      <w:hyperlink r:id="rId139">
        <w:r w:rsidRPr="7147E16A">
          <w:rPr>
            <w:rStyle w:val="Hyperlink"/>
          </w:rPr>
          <w:t>Client incident management system</w:t>
        </w:r>
      </w:hyperlink>
      <w:r w:rsidRPr="006970EE">
        <w:t xml:space="preserve"> &lt;</w:t>
      </w:r>
      <w:r w:rsidRPr="00C32A96">
        <w:t>https://providers.dffh.vic.gov.au/cims</w:t>
      </w:r>
      <w:r w:rsidRPr="006970EE">
        <w:t>&gt;</w:t>
      </w:r>
      <w:r>
        <w:t>.</w:t>
      </w:r>
    </w:p>
    <w:p w14:paraId="1D0B7848" w14:textId="77777777" w:rsidR="00817104" w:rsidRDefault="00817104" w:rsidP="00C44545">
      <w:pPr>
        <w:pStyle w:val="Heading1"/>
      </w:pPr>
      <w:bookmarkStart w:id="2264" w:name="_Toc230537623"/>
      <w:bookmarkStart w:id="2265" w:name="_Toc230537799"/>
      <w:bookmarkStart w:id="2266" w:name="_Toc230620740"/>
      <w:bookmarkStart w:id="2267" w:name="_Toc230620918"/>
      <w:bookmarkStart w:id="2268" w:name="_Toc230684703"/>
      <w:bookmarkStart w:id="2269" w:name="_Toc230684881"/>
      <w:bookmarkStart w:id="2270" w:name="_Toc229127695"/>
      <w:bookmarkStart w:id="2271" w:name="_Toc231982306"/>
      <w:bookmarkEnd w:id="2264"/>
      <w:bookmarkEnd w:id="2265"/>
      <w:bookmarkEnd w:id="2266"/>
      <w:bookmarkEnd w:id="2267"/>
      <w:bookmarkEnd w:id="2268"/>
      <w:bookmarkEnd w:id="2269"/>
      <w:r w:rsidRPr="002E2406">
        <w:lastRenderedPageBreak/>
        <w:t>Meeting</w:t>
      </w:r>
      <w:r>
        <w:t xml:space="preserve"> the needs of all Victorians</w:t>
      </w:r>
      <w:bookmarkEnd w:id="2270"/>
      <w:bookmarkEnd w:id="2271"/>
    </w:p>
    <w:p w14:paraId="5C122AE9" w14:textId="77777777" w:rsidR="00817104" w:rsidRDefault="00817104" w:rsidP="00817104">
      <w:pPr>
        <w:pStyle w:val="Body"/>
      </w:pPr>
      <w:bookmarkStart w:id="2272" w:name="_Toc165964694"/>
      <w:bookmarkStart w:id="2273" w:name="_Toc167174556"/>
      <w:r>
        <w:t xml:space="preserve">The department aims to improve the lives of all Victorians, especially people and communities at risk of health disparities or with increased health and wellbeing needs. </w:t>
      </w:r>
    </w:p>
    <w:p w14:paraId="400514CC" w14:textId="77777777" w:rsidR="00817104" w:rsidRDefault="00817104" w:rsidP="00817104">
      <w:pPr>
        <w:pStyle w:val="Body"/>
      </w:pPr>
      <w:r>
        <w:t xml:space="preserve">This means health services must understand and respond to diverse and intersectional needs, experiences and identities. This includes those related to cultures, languages, faiths, abilities, ages, genders, sexualities, attributes, experiences and ways in which people identify. An intersectional approach also recognises that communities are not homogenous, and that structural barriers and discrimination negatively impact access and inclusion. </w:t>
      </w:r>
    </w:p>
    <w:p w14:paraId="1DFB9C05" w14:textId="77777777" w:rsidR="00817104" w:rsidRDefault="00817104" w:rsidP="00817104">
      <w:pPr>
        <w:pStyle w:val="Body"/>
      </w:pPr>
      <w:r>
        <w:t>Health services are required to ensure that whole-of-government and department strategy and policy documents guide local policy, service development and practice.</w:t>
      </w:r>
    </w:p>
    <w:p w14:paraId="589D3159" w14:textId="77777777" w:rsidR="00817104" w:rsidRPr="0028277E" w:rsidRDefault="00817104" w:rsidP="00817104">
      <w:pPr>
        <w:pStyle w:val="Body"/>
      </w:pPr>
      <w:r>
        <w:t>These include:</w:t>
      </w:r>
    </w:p>
    <w:p w14:paraId="217B12C1" w14:textId="77777777" w:rsidR="00817104" w:rsidRPr="00AE2602" w:rsidRDefault="00817104" w:rsidP="00817104">
      <w:pPr>
        <w:pStyle w:val="Bullet1"/>
        <w:numPr>
          <w:ilvl w:val="0"/>
          <w:numId w:val="2"/>
        </w:numPr>
      </w:pPr>
      <w:hyperlink r:id="rId140">
        <w:r w:rsidRPr="002D6AE5">
          <w:rPr>
            <w:rStyle w:val="Hyperlink"/>
            <w:i/>
            <w:iCs/>
          </w:rPr>
          <w:t>Safe and strong: a Victorian gender equality strategy</w:t>
        </w:r>
      </w:hyperlink>
      <w:r w:rsidRPr="0670E279">
        <w:rPr>
          <w:rStyle w:val="Hyperlink"/>
        </w:rPr>
        <w:t xml:space="preserve"> </w:t>
      </w:r>
      <w:r w:rsidRPr="00AE2602">
        <w:t>&lt;https://www.vic.gov.au/safe-and-strong-victorian-gender-equality&gt;</w:t>
      </w:r>
    </w:p>
    <w:p w14:paraId="098B2D6A" w14:textId="77777777" w:rsidR="00817104" w:rsidRDefault="00817104" w:rsidP="00817104">
      <w:pPr>
        <w:pStyle w:val="Bullet1"/>
        <w:numPr>
          <w:ilvl w:val="0"/>
          <w:numId w:val="2"/>
        </w:numPr>
      </w:pPr>
      <w:hyperlink r:id="rId141" w:history="1">
        <w:r w:rsidRPr="002D6AE5">
          <w:rPr>
            <w:rStyle w:val="Hyperlink"/>
            <w:i/>
            <w:iCs/>
          </w:rPr>
          <w:t>Victoria’s anti-racism strategy 2024–2029</w:t>
        </w:r>
      </w:hyperlink>
      <w:r>
        <w:t xml:space="preserve"> &lt;</w:t>
      </w:r>
      <w:r w:rsidRPr="00505D9B">
        <w:t>https://www.vic.gov.au/victorias-anti-racism-strategy-2024-2029</w:t>
      </w:r>
      <w:r>
        <w:t>&gt;</w:t>
      </w:r>
    </w:p>
    <w:p w14:paraId="3B59F0EF" w14:textId="77777777" w:rsidR="00817104" w:rsidRDefault="00817104" w:rsidP="00817104">
      <w:pPr>
        <w:pStyle w:val="Bullet1"/>
        <w:numPr>
          <w:ilvl w:val="0"/>
          <w:numId w:val="2"/>
        </w:numPr>
      </w:pPr>
      <w:hyperlink r:id="rId142" w:history="1">
        <w:r w:rsidRPr="002D6AE5">
          <w:rPr>
            <w:rStyle w:val="Hyperlink"/>
            <w:i/>
            <w:iCs/>
          </w:rPr>
          <w:t>Multicultural health action plan 2023–27</w:t>
        </w:r>
      </w:hyperlink>
      <w:r w:rsidRPr="002D6AE5">
        <w:rPr>
          <w:i/>
          <w:iCs/>
        </w:rPr>
        <w:t xml:space="preserve"> &lt;</w:t>
      </w:r>
      <w:r w:rsidRPr="009F79F6">
        <w:t>https://www.health.vic.gov.au/multicultural-health-action-plan-2023-27</w:t>
      </w:r>
      <w:r>
        <w:t>&gt;</w:t>
      </w:r>
    </w:p>
    <w:p w14:paraId="047CC7DC" w14:textId="77777777" w:rsidR="00817104" w:rsidRPr="00AE2602" w:rsidRDefault="00817104" w:rsidP="00817104">
      <w:pPr>
        <w:pStyle w:val="Bullet1"/>
        <w:numPr>
          <w:ilvl w:val="0"/>
          <w:numId w:val="2"/>
        </w:numPr>
      </w:pPr>
      <w:hyperlink r:id="rId143" w:history="1">
        <w:r w:rsidRPr="002D6AE5">
          <w:rPr>
            <w:rStyle w:val="Hyperlink"/>
            <w:i/>
            <w:iCs/>
          </w:rPr>
          <w:t>Multicultural policy statement</w:t>
        </w:r>
      </w:hyperlink>
      <w:r w:rsidRPr="00AE2602">
        <w:t xml:space="preserve"> </w:t>
      </w:r>
      <w:r>
        <w:t>&lt;</w:t>
      </w:r>
      <w:r w:rsidRPr="0028067F">
        <w:t>https://www.vic.gov.au/multicultural-policy-statement</w:t>
      </w:r>
      <w:r>
        <w:t>&gt;</w:t>
      </w:r>
    </w:p>
    <w:p w14:paraId="420BFDE4" w14:textId="77777777" w:rsidR="00817104" w:rsidRPr="00AE2602" w:rsidRDefault="00817104" w:rsidP="00817104">
      <w:pPr>
        <w:pStyle w:val="Bullet1"/>
        <w:numPr>
          <w:ilvl w:val="0"/>
          <w:numId w:val="2"/>
        </w:numPr>
      </w:pPr>
      <w:hyperlink r:id="rId144">
        <w:r w:rsidRPr="002D6AE5">
          <w:rPr>
            <w:rStyle w:val="Hyperlink"/>
            <w:i/>
            <w:iCs/>
          </w:rPr>
          <w:t>Inclusive Victoria: state disability plan (2022–2026)</w:t>
        </w:r>
      </w:hyperlink>
      <w:r w:rsidRPr="00AE2602">
        <w:t xml:space="preserve"> &lt;https://www.vic.gov.au/state-disability-plan&gt;</w:t>
      </w:r>
    </w:p>
    <w:p w14:paraId="6117EBCB" w14:textId="77777777" w:rsidR="00817104" w:rsidRPr="00AE2602" w:rsidRDefault="00817104" w:rsidP="00817104">
      <w:pPr>
        <w:pStyle w:val="Bullet1"/>
        <w:numPr>
          <w:ilvl w:val="0"/>
          <w:numId w:val="2"/>
        </w:numPr>
      </w:pPr>
      <w:hyperlink r:id="rId145" w:history="1">
        <w:r w:rsidRPr="002D6AE5">
          <w:rPr>
            <w:rStyle w:val="Hyperlink"/>
            <w:i/>
            <w:iCs/>
          </w:rPr>
          <w:t>Victorian Autism Plan</w:t>
        </w:r>
      </w:hyperlink>
      <w:r w:rsidRPr="00AE2602">
        <w:t xml:space="preserve"> &lt;</w:t>
      </w:r>
      <w:r w:rsidRPr="00EB6E4C">
        <w:t xml:space="preserve"> https://www.vic.gov.au/victorian-autism-plan</w:t>
      </w:r>
      <w:r>
        <w:t>&gt;</w:t>
      </w:r>
    </w:p>
    <w:p w14:paraId="6DBDAE06" w14:textId="77777777" w:rsidR="00817104" w:rsidRPr="00AE2602" w:rsidRDefault="00817104" w:rsidP="00817104">
      <w:pPr>
        <w:pStyle w:val="Bullet1"/>
        <w:numPr>
          <w:ilvl w:val="0"/>
          <w:numId w:val="2"/>
        </w:numPr>
      </w:pPr>
      <w:hyperlink r:id="rId146">
        <w:r w:rsidRPr="002D6AE5">
          <w:rPr>
            <w:rStyle w:val="Hyperlink"/>
            <w:i/>
            <w:iCs/>
          </w:rPr>
          <w:t>Pride in our future: Victoria’s LGBTIQA+ strategy 2022–32</w:t>
        </w:r>
      </w:hyperlink>
      <w:r w:rsidRPr="00AE2602">
        <w:t xml:space="preserve"> &lt;https://www.vic.gov.au/victorian-lgbtiq-strategy&gt;</w:t>
      </w:r>
    </w:p>
    <w:p w14:paraId="20CA0FDF" w14:textId="77777777" w:rsidR="00817104" w:rsidRPr="002E2406" w:rsidRDefault="00817104" w:rsidP="00817104">
      <w:pPr>
        <w:pStyle w:val="Bullet1"/>
        <w:numPr>
          <w:ilvl w:val="0"/>
          <w:numId w:val="2"/>
        </w:numPr>
      </w:pPr>
      <w:hyperlink r:id="rId147">
        <w:r w:rsidRPr="002D6AE5">
          <w:rPr>
            <w:rStyle w:val="Hyperlink"/>
            <w:i/>
            <w:iCs/>
          </w:rPr>
          <w:t>Our promise, your future: Victoria’s youth strategy 2022–2027</w:t>
        </w:r>
      </w:hyperlink>
      <w:r>
        <w:t xml:space="preserve"> </w:t>
      </w:r>
      <w:r w:rsidRPr="002E2406">
        <w:t>&lt;</w:t>
      </w:r>
      <w:hyperlink r:id="rId148">
        <w:r w:rsidRPr="00AE2602">
          <w:t>https://www.vic.gov.au/victorias-youth-strategy-2022-2027</w:t>
        </w:r>
      </w:hyperlink>
      <w:r w:rsidRPr="002E2406">
        <w:t>&gt;</w:t>
      </w:r>
    </w:p>
    <w:p w14:paraId="02CFA2E0" w14:textId="77777777" w:rsidR="00817104" w:rsidRDefault="00817104" w:rsidP="00817104">
      <w:pPr>
        <w:pStyle w:val="Bullet1"/>
        <w:numPr>
          <w:ilvl w:val="0"/>
          <w:numId w:val="2"/>
        </w:numPr>
      </w:pPr>
      <w:hyperlink r:id="rId149" w:history="1">
        <w:r w:rsidRPr="002D6AE5">
          <w:rPr>
            <w:rStyle w:val="Hyperlink"/>
            <w:i/>
            <w:iCs/>
          </w:rPr>
          <w:t>Ageing Well Action Plan</w:t>
        </w:r>
      </w:hyperlink>
      <w:r>
        <w:t xml:space="preserve"> &lt;</w:t>
      </w:r>
      <w:r w:rsidRPr="00817E2A">
        <w:t>https://www.vic.gov.au/ageing-well-action-plan</w:t>
      </w:r>
      <w:r>
        <w:t>&gt;</w:t>
      </w:r>
    </w:p>
    <w:p w14:paraId="364A07A8" w14:textId="113397CA" w:rsidR="00817104" w:rsidRPr="00AE2602" w:rsidRDefault="00817104" w:rsidP="00032EC1">
      <w:pPr>
        <w:pStyle w:val="Bullet1"/>
        <w:numPr>
          <w:ilvl w:val="0"/>
          <w:numId w:val="2"/>
        </w:numPr>
      </w:pPr>
      <w:hyperlink r:id="rId150" w:history="1">
        <w:r w:rsidRPr="002D6AE5">
          <w:rPr>
            <w:rStyle w:val="Hyperlink"/>
            <w:i/>
            <w:iCs/>
          </w:rPr>
          <w:t>Victorian Aboriginal health and wellbeing partnership agreement 2023–2033</w:t>
        </w:r>
      </w:hyperlink>
      <w:r w:rsidR="00032EC1">
        <w:t xml:space="preserve"> and </w:t>
      </w:r>
      <w:hyperlink r:id="rId151">
        <w:r w:rsidRPr="00032EC1">
          <w:rPr>
            <w:rStyle w:val="Hyperlink"/>
            <w:i/>
            <w:iCs/>
          </w:rPr>
          <w:t>Victorian Aboriginal health and wellbeing partnership action plan 2023–25</w:t>
        </w:r>
      </w:hyperlink>
      <w:r>
        <w:t xml:space="preserve"> </w:t>
      </w:r>
      <w:r w:rsidRPr="00AE2602">
        <w:t>&lt;</w:t>
      </w:r>
      <w:r w:rsidRPr="00645373">
        <w:t>https://www.vaccho.org.au/ahwpf/</w:t>
      </w:r>
      <w:r w:rsidRPr="00AE2602">
        <w:t>&gt;</w:t>
      </w:r>
    </w:p>
    <w:p w14:paraId="51148116" w14:textId="77777777" w:rsidR="00817104" w:rsidRDefault="00817104" w:rsidP="00817104">
      <w:pPr>
        <w:pStyle w:val="Bullet1"/>
        <w:numPr>
          <w:ilvl w:val="0"/>
          <w:numId w:val="2"/>
        </w:numPr>
      </w:pPr>
      <w:hyperlink r:id="rId152">
        <w:r w:rsidRPr="00BD29A5">
          <w:rPr>
            <w:rStyle w:val="Hyperlink"/>
            <w:i/>
            <w:iCs/>
          </w:rPr>
          <w:t>Aboriginal and Torres Strait Islander cultural safety framework</w:t>
        </w:r>
      </w:hyperlink>
      <w:r>
        <w:t xml:space="preserve"> </w:t>
      </w:r>
      <w:r w:rsidRPr="002E2406">
        <w:t>&lt;</w:t>
      </w:r>
      <w:hyperlink r:id="rId153">
        <w:r w:rsidRPr="00AE2602">
          <w:t>https://www.health.vic.gov.au/health-strategies/aboriginal-and-torres-strait-islander-cultural-safety</w:t>
        </w:r>
      </w:hyperlink>
      <w:r w:rsidRPr="00AE2602">
        <w:t>&gt;</w:t>
      </w:r>
    </w:p>
    <w:p w14:paraId="1AA906A8" w14:textId="77777777" w:rsidR="00817104" w:rsidRPr="00D9248A" w:rsidRDefault="00817104" w:rsidP="00817104">
      <w:pPr>
        <w:pStyle w:val="Bullet1"/>
        <w:numPr>
          <w:ilvl w:val="0"/>
          <w:numId w:val="2"/>
        </w:numPr>
      </w:pPr>
      <w:hyperlink r:id="rId154" w:history="1">
        <w:r w:rsidRPr="00BD29A5">
          <w:rPr>
            <w:rStyle w:val="Hyperlink"/>
            <w:i/>
            <w:iCs/>
          </w:rPr>
          <w:t>Healthcare that counts: a framework for improving care for vulnerable children in Victorian health services</w:t>
        </w:r>
      </w:hyperlink>
      <w:r>
        <w:t xml:space="preserve"> </w:t>
      </w:r>
      <w:r w:rsidRPr="00AE2602">
        <w:t>&lt;https://www.health.vic.gov.au/publications/healthcare-that-counts&gt;</w:t>
      </w:r>
    </w:p>
    <w:p w14:paraId="61711074" w14:textId="77777777" w:rsidR="00817104" w:rsidRPr="00D9248A" w:rsidRDefault="00817104" w:rsidP="00817104">
      <w:pPr>
        <w:pStyle w:val="Bullet1"/>
        <w:numPr>
          <w:ilvl w:val="0"/>
          <w:numId w:val="2"/>
        </w:numPr>
      </w:pPr>
      <w:hyperlink r:id="rId155">
        <w:r w:rsidRPr="00BD29A5">
          <w:rPr>
            <w:rStyle w:val="Hyperlink"/>
            <w:i/>
            <w:iCs/>
          </w:rPr>
          <w:t>Diversity on Victorian Government Boards Guidelines</w:t>
        </w:r>
        <w:r w:rsidRPr="00AE2602">
          <w:t xml:space="preserve"> </w:t>
        </w:r>
      </w:hyperlink>
      <w:r>
        <w:t>&lt;https://www.vic.gov.au/diversity-victorian-government-board-guidelines&gt;.</w:t>
      </w:r>
    </w:p>
    <w:p w14:paraId="49911F89" w14:textId="77777777" w:rsidR="00817104" w:rsidRDefault="00817104" w:rsidP="00817104">
      <w:pPr>
        <w:pStyle w:val="Bodyafterbullets"/>
      </w:pPr>
      <w:r>
        <w:t xml:space="preserve">Guidance on the needs of diverse communities is outlined in more detail in the following sections. </w:t>
      </w:r>
    </w:p>
    <w:p w14:paraId="5F73AC1A" w14:textId="77777777" w:rsidR="00817104" w:rsidRPr="009738BE" w:rsidRDefault="00817104" w:rsidP="00817104">
      <w:pPr>
        <w:pStyle w:val="Body"/>
      </w:pPr>
      <w:r>
        <w:t xml:space="preserve">Other documents that provide </w:t>
      </w:r>
      <w:r w:rsidRPr="00E30B50">
        <w:t>guidance</w:t>
      </w:r>
      <w:r>
        <w:t xml:space="preserve"> for using an intersectional, person-centred approach include:</w:t>
      </w:r>
    </w:p>
    <w:p w14:paraId="739E3969" w14:textId="77777777" w:rsidR="00817104" w:rsidRPr="00A45910" w:rsidRDefault="00817104" w:rsidP="00817104">
      <w:pPr>
        <w:pStyle w:val="Bullet1"/>
        <w:numPr>
          <w:ilvl w:val="0"/>
          <w:numId w:val="2"/>
        </w:numPr>
      </w:pPr>
      <w:hyperlink r:id="rId156" w:history="1">
        <w:r w:rsidRPr="00C0650F">
          <w:rPr>
            <w:rStyle w:val="Hyperlink"/>
          </w:rPr>
          <w:t>Designing for Diversity</w:t>
        </w:r>
      </w:hyperlink>
      <w:r>
        <w:t xml:space="preserve"> &lt;https://www.health.vic.gov.au/populations/designing-for-diversity&gt;</w:t>
      </w:r>
    </w:p>
    <w:p w14:paraId="180D546D" w14:textId="77777777" w:rsidR="00817104" w:rsidRPr="00A45910" w:rsidRDefault="00817104" w:rsidP="00817104">
      <w:pPr>
        <w:pStyle w:val="Bullet1"/>
        <w:numPr>
          <w:ilvl w:val="0"/>
          <w:numId w:val="2"/>
        </w:numPr>
      </w:pPr>
      <w:hyperlink r:id="rId157">
        <w:r w:rsidRPr="00351629">
          <w:rPr>
            <w:rStyle w:val="Hyperlink"/>
            <w:i/>
            <w:iCs/>
          </w:rPr>
          <w:t>Partnering in healthcare framework</w:t>
        </w:r>
        <w:r w:rsidRPr="00BD29A5">
          <w:rPr>
            <w:rStyle w:val="Hyperlink"/>
            <w:i/>
            <w:iCs/>
          </w:rPr>
          <w:t xml:space="preserve"> </w:t>
        </w:r>
      </w:hyperlink>
      <w:r>
        <w:t xml:space="preserve">&lt;https://www.bettersafercare.vic.gov.au/support-and-training/partnering-with-consumers/pih&gt;. </w:t>
      </w:r>
    </w:p>
    <w:p w14:paraId="526CA6FF" w14:textId="0BDA1350" w:rsidR="00817104" w:rsidRPr="0081750C" w:rsidRDefault="00817104" w:rsidP="00817104">
      <w:pPr>
        <w:pStyle w:val="Bodyafterbullets"/>
      </w:pPr>
      <w:r>
        <w:t xml:space="preserve">Services should consider the effectiveness of the ways in which they respond to the diversity of the Victorian community. They should seek to engage broadly with the communities they serve in </w:t>
      </w:r>
      <w:r>
        <w:lastRenderedPageBreak/>
        <w:t>service planning and constantly monitor how well they are delivering for all, ensuring no group is underserved, excluded or subject to discrimination.</w:t>
      </w:r>
    </w:p>
    <w:p w14:paraId="2D4F76D4" w14:textId="63F6461E" w:rsidR="00817104" w:rsidRPr="0081750C" w:rsidRDefault="00817104" w:rsidP="00817104">
      <w:pPr>
        <w:pStyle w:val="Heading2"/>
      </w:pPr>
      <w:bookmarkStart w:id="2274" w:name="_Toc229127696"/>
      <w:bookmarkStart w:id="2275" w:name="_Toc231982307"/>
      <w:r>
        <w:t>Improving health and wellbeing outcomes of Aboriginal people living in Victoria</w:t>
      </w:r>
      <w:bookmarkEnd w:id="2272"/>
      <w:bookmarkEnd w:id="2273"/>
      <w:bookmarkEnd w:id="2274"/>
      <w:bookmarkEnd w:id="2275"/>
    </w:p>
    <w:p w14:paraId="5C8E75F6" w14:textId="77777777" w:rsidR="00817104" w:rsidRPr="009214E0" w:rsidRDefault="00817104" w:rsidP="00817104">
      <w:pPr>
        <w:rPr>
          <w:sz w:val="24"/>
          <w:szCs w:val="24"/>
        </w:rPr>
      </w:pPr>
      <w:bookmarkStart w:id="2276" w:name="_Toc165964695"/>
      <w:bookmarkStart w:id="2277" w:name="_Toc167174557"/>
      <w:r w:rsidRPr="009214E0">
        <w:t xml:space="preserve">The </w:t>
      </w:r>
      <w:r w:rsidRPr="002D6AE5">
        <w:rPr>
          <w:i/>
          <w:iCs/>
        </w:rPr>
        <w:t>Aboriginal Health and Wellbeing Partnership</w:t>
      </w:r>
      <w:r w:rsidRPr="009214E0">
        <w:t xml:space="preserve"> </w:t>
      </w:r>
      <w:r w:rsidRPr="005D2ED4">
        <w:t>(AHWP)</w:t>
      </w:r>
      <w:r>
        <w:t xml:space="preserve"> </w:t>
      </w:r>
      <w:r w:rsidRPr="002D6AE5">
        <w:rPr>
          <w:i/>
          <w:iCs/>
        </w:rPr>
        <w:t>Agreement (2023–2033)</w:t>
      </w:r>
      <w:r w:rsidRPr="009214E0">
        <w:t xml:space="preserve"> provides the overarching framework for collaboration between the Aboriginal community-controlled health sector, the mainstream health sector and the </w:t>
      </w:r>
      <w:r>
        <w:t>d</w:t>
      </w:r>
      <w:r w:rsidRPr="009214E0">
        <w:t xml:space="preserve">epartment. The </w:t>
      </w:r>
      <w:r>
        <w:t>AHWP</w:t>
      </w:r>
      <w:r w:rsidRPr="009214E0">
        <w:t xml:space="preserve"> Agreement Action Plan sets priorities for 2026–2028, against which progress will be monitored and partners held to account.</w:t>
      </w:r>
    </w:p>
    <w:p w14:paraId="60503B20" w14:textId="77777777" w:rsidR="00817104" w:rsidRPr="00C0235D" w:rsidRDefault="00817104" w:rsidP="00817104">
      <w:pPr>
        <w:rPr>
          <w:sz w:val="24"/>
          <w:szCs w:val="24"/>
        </w:rPr>
      </w:pPr>
      <w:r w:rsidRPr="009214E0">
        <w:t xml:space="preserve">The principles </w:t>
      </w:r>
      <w:r w:rsidRPr="00C0235D">
        <w:t>of the Agreement are self-determination, transparency, accountability and cultural safety. Improving cultural safety for First Peoples across the health sector, and strengthening access to culturally appropriate care, will remain a priority.</w:t>
      </w:r>
    </w:p>
    <w:p w14:paraId="00F935E3" w14:textId="77777777" w:rsidR="00817104" w:rsidRPr="00C0235D" w:rsidRDefault="00817104" w:rsidP="00817104">
      <w:r w:rsidRPr="00C0235D">
        <w:t xml:space="preserve">The Statewide Treaty legislation (2025) will influence how the Victorian Government engages and works with Victoria’s Aboriginal communities on matters that directly affect Aboriginal people. Work is underway to support the health sector to respond to this process. The </w:t>
      </w:r>
      <w:r>
        <w:t>d</w:t>
      </w:r>
      <w:r w:rsidRPr="00C0235D">
        <w:t xml:space="preserve">epartment will also progress implementation of the Victorian Government’s response to the Yoorrook Justice Commission’s final recommendations. </w:t>
      </w:r>
    </w:p>
    <w:p w14:paraId="7394F138" w14:textId="77777777" w:rsidR="00817104" w:rsidRPr="00C0235D" w:rsidRDefault="00817104" w:rsidP="00817104">
      <w:r w:rsidRPr="00C0235D">
        <w:t xml:space="preserve">Schedule B of the </w:t>
      </w:r>
      <w:r w:rsidRPr="00C47EA3">
        <w:t>NHRA</w:t>
      </w:r>
      <w:r w:rsidRPr="00C0235D">
        <w:t xml:space="preserve"> (2026–2031) is dedicated to improving the health outcomes for Aboriginal and Torres Strait Islander peoples by embedding the </w:t>
      </w:r>
      <w:r w:rsidRPr="00C47EA3">
        <w:rPr>
          <w:i/>
          <w:iCs/>
        </w:rPr>
        <w:t>National Agreement on Closing the Gap</w:t>
      </w:r>
      <w:r w:rsidRPr="00C0235D">
        <w:t xml:space="preserve"> commitments into the core national hospital funding and reform agreement. It focuses on cultural safety, equity and accountability in the mainstream health system through partnering with the First Nations sector to implement reforms and system improvements</w:t>
      </w:r>
      <w:r>
        <w:t>,</w:t>
      </w:r>
      <w:r w:rsidRPr="00C0235D">
        <w:t xml:space="preserve"> such as better discharge pathways and strengthening First Nations data governance.</w:t>
      </w:r>
      <w:r>
        <w:t xml:space="preserve"> </w:t>
      </w:r>
    </w:p>
    <w:p w14:paraId="33F6F48C" w14:textId="77777777" w:rsidR="00817104" w:rsidRPr="00C0235D" w:rsidRDefault="00817104" w:rsidP="00817104">
      <w:pPr>
        <w:pStyle w:val="Heading3"/>
        <w:numPr>
          <w:ilvl w:val="2"/>
          <w:numId w:val="0"/>
        </w:numPr>
        <w:tabs>
          <w:tab w:val="num" w:pos="794"/>
        </w:tabs>
        <w:ind w:left="1134" w:hanging="1134"/>
      </w:pPr>
      <w:r>
        <w:t>16.1.1</w:t>
      </w:r>
      <w:r>
        <w:tab/>
      </w:r>
      <w:r w:rsidRPr="00C0235D">
        <w:t>Governance and priority setting</w:t>
      </w:r>
    </w:p>
    <w:p w14:paraId="24105FF9" w14:textId="77777777" w:rsidR="00817104" w:rsidRDefault="00817104" w:rsidP="00817104">
      <w:pPr>
        <w:pStyle w:val="Bodyafterbullets"/>
      </w:pPr>
      <w:r w:rsidRPr="005D2ED4">
        <w:t xml:space="preserve">Delivering the priorities of the </w:t>
      </w:r>
      <w:r>
        <w:t>AHWP</w:t>
      </w:r>
      <w:r w:rsidRPr="009214E0">
        <w:t xml:space="preserve"> </w:t>
      </w:r>
      <w:r w:rsidRPr="005D2ED4">
        <w:t>Agreement therefore requires alignment with broader Aboriginal governance arrangements across portfolios, including those relating to children and families, family violence, justice and whole</w:t>
      </w:r>
      <w:r w:rsidRPr="005D2ED4">
        <w:rPr>
          <w:rFonts w:ascii="Cambria Math" w:hAnsi="Cambria Math" w:cs="Cambria Math"/>
        </w:rPr>
        <w:t>‑</w:t>
      </w:r>
      <w:r w:rsidRPr="005D2ED4">
        <w:t>of</w:t>
      </w:r>
      <w:r w:rsidRPr="005D2ED4">
        <w:rPr>
          <w:rFonts w:ascii="Cambria Math" w:hAnsi="Cambria Math" w:cs="Cambria Math"/>
        </w:rPr>
        <w:t>‑</w:t>
      </w:r>
      <w:r w:rsidRPr="005D2ED4">
        <w:t>government Aboriginal outcomes.</w:t>
      </w:r>
      <w:r>
        <w:t xml:space="preserve"> </w:t>
      </w:r>
      <w:r w:rsidRPr="005D2ED4">
        <w:t>The AHWP Agreement operates within both vertical and horizontal governance frameworks.</w:t>
      </w:r>
    </w:p>
    <w:p w14:paraId="233EA761" w14:textId="77777777" w:rsidR="00817104" w:rsidRDefault="00817104" w:rsidP="00817104">
      <w:pPr>
        <w:pStyle w:val="Bodyafterbullets"/>
      </w:pPr>
      <w:r w:rsidRPr="005D2ED4">
        <w:t>Vertically, it connects local and regional partnership and governance arrangements with statewide decision</w:t>
      </w:r>
      <w:r w:rsidRPr="005D2ED4">
        <w:rPr>
          <w:rFonts w:ascii="Cambria Math" w:hAnsi="Cambria Math" w:cs="Cambria Math"/>
        </w:rPr>
        <w:t>‑</w:t>
      </w:r>
      <w:r w:rsidRPr="005D2ED4">
        <w:t>making and the Commonwealth</w:t>
      </w:r>
      <w:r>
        <w:rPr>
          <w:rFonts w:cs="Arial"/>
        </w:rPr>
        <w:t>-</w:t>
      </w:r>
      <w:r w:rsidRPr="005D2ED4">
        <w:t>state Closing the Gap Partnership.</w:t>
      </w:r>
    </w:p>
    <w:p w14:paraId="35A7F880" w14:textId="77777777" w:rsidR="00817104" w:rsidRPr="005D2ED4" w:rsidRDefault="00817104" w:rsidP="00817104">
      <w:pPr>
        <w:pStyle w:val="Bodyafterbullets"/>
      </w:pPr>
      <w:r w:rsidRPr="005D2ED4">
        <w:t>Horizontally, it aligns health priorities with other portfolios</w:t>
      </w:r>
      <w:r>
        <w:t>,</w:t>
      </w:r>
      <w:r w:rsidRPr="005D2ED4">
        <w:t xml:space="preserve"> such as education, justice, housing and community services. This approach is consistent with the National Agreement on Closing the Gap Priority Reforms, particularly Priority Reform 2 (building the community</w:t>
      </w:r>
      <w:r w:rsidRPr="005D2ED4">
        <w:rPr>
          <w:rFonts w:ascii="Cambria Math" w:hAnsi="Cambria Math" w:cs="Cambria Math"/>
        </w:rPr>
        <w:t>‑</w:t>
      </w:r>
      <w:r w:rsidRPr="005D2ED4">
        <w:t>controlled sector) and Priority Reform 4 (shared access to data and information).</w:t>
      </w:r>
    </w:p>
    <w:p w14:paraId="07F50C30" w14:textId="77777777" w:rsidR="00817104" w:rsidRPr="00C0235D" w:rsidRDefault="00817104" w:rsidP="00817104">
      <w:pPr>
        <w:pStyle w:val="Body"/>
      </w:pPr>
      <w:r w:rsidRPr="005D2ED4">
        <w:t xml:space="preserve">Many related strategies and implementation plans are in different stages of development or update. </w:t>
      </w:r>
      <w:r>
        <w:t>The department</w:t>
      </w:r>
      <w:r w:rsidRPr="005D2ED4">
        <w:t xml:space="preserve"> and funded health services are accountable for delivering commitments under the AHWP Agreement and Action Plan, and for working in collaboration where these commitments intersect with other portfolio governance arrangements, while remaining focused on health system roles and responsibilities</w:t>
      </w:r>
      <w:r w:rsidRPr="00C0235D">
        <w:t xml:space="preserve">. </w:t>
      </w:r>
    </w:p>
    <w:p w14:paraId="5EE13E10" w14:textId="77777777" w:rsidR="00817104" w:rsidRPr="00C0235D" w:rsidRDefault="00817104" w:rsidP="00817104">
      <w:pPr>
        <w:pStyle w:val="Bodyafterbullets"/>
      </w:pPr>
      <w:r w:rsidRPr="00C0235D">
        <w:t xml:space="preserve">For more information and to download the signed agreement, visit </w:t>
      </w:r>
      <w:hyperlink r:id="rId158" w:history="1">
        <w:r w:rsidRPr="00E54A35">
          <w:rPr>
            <w:rStyle w:val="Hyperlink"/>
          </w:rPr>
          <w:t>AHWP Agreement and Action Plan</w:t>
        </w:r>
      </w:hyperlink>
      <w:r w:rsidRPr="00C0235D">
        <w:t xml:space="preserve"> &lt;https://www.vaccho.org.au/ahwpf/&gt;.</w:t>
      </w:r>
    </w:p>
    <w:p w14:paraId="0216E799" w14:textId="77777777" w:rsidR="00817104" w:rsidRPr="00C0235D" w:rsidRDefault="00817104" w:rsidP="00817104">
      <w:pPr>
        <w:pStyle w:val="Body"/>
      </w:pPr>
      <w:r w:rsidRPr="00C0235D">
        <w:t xml:space="preserve">The government is committed to ensuring the </w:t>
      </w:r>
      <w:r w:rsidRPr="005D2ED4">
        <w:t>AHWP</w:t>
      </w:r>
      <w:r w:rsidRPr="00C0235D">
        <w:t xml:space="preserve"> </w:t>
      </w:r>
      <w:r>
        <w:t>A</w:t>
      </w:r>
      <w:r w:rsidRPr="00C0235D">
        <w:t xml:space="preserve">ction </w:t>
      </w:r>
      <w:r>
        <w:t>P</w:t>
      </w:r>
      <w:r w:rsidRPr="00C0235D">
        <w:t xml:space="preserve">lans are fully implemented within two-year cycles. These actions are important steps along the journey towards a shared vision of </w:t>
      </w:r>
      <w:r w:rsidRPr="00C0235D">
        <w:lastRenderedPageBreak/>
        <w:t xml:space="preserve">Aboriginal people having access to a health system that is holistic, culturally safe, accessible and empowering. </w:t>
      </w:r>
    </w:p>
    <w:p w14:paraId="43BF8EC1" w14:textId="77777777" w:rsidR="00817104" w:rsidRPr="00C0235D" w:rsidRDefault="00817104" w:rsidP="00817104">
      <w:pPr>
        <w:pStyle w:val="Body"/>
      </w:pPr>
      <w:r w:rsidRPr="00C0235D">
        <w:t xml:space="preserve">Implementing </w:t>
      </w:r>
      <w:r w:rsidRPr="005D2ED4">
        <w:t>AHWP</w:t>
      </w:r>
      <w:r w:rsidRPr="00C0235D">
        <w:t xml:space="preserve"> actions is everyone’s responsibility. The entire health sector must work together in a way that is guided by self-determination, cultural safety, accountability and transparency. All parts of Victoria’s health system are accountable to the AHWP</w:t>
      </w:r>
      <w:r>
        <w:t xml:space="preserve"> </w:t>
      </w:r>
      <w:r w:rsidRPr="00C0235D">
        <w:t>F</w:t>
      </w:r>
      <w:r>
        <w:t>orum</w:t>
      </w:r>
      <w:r w:rsidRPr="00C0235D">
        <w:t xml:space="preserve"> for improving Aboriginal health and wellbeing outcomes.</w:t>
      </w:r>
    </w:p>
    <w:p w14:paraId="26D46878" w14:textId="79ECD173" w:rsidR="00817104" w:rsidRPr="00C0235D" w:rsidRDefault="00817104" w:rsidP="00817104">
      <w:pPr>
        <w:pStyle w:val="Heading2"/>
      </w:pPr>
      <w:bookmarkStart w:id="2278" w:name="_Toc229127697"/>
      <w:bookmarkStart w:id="2279" w:name="_Toc231982308"/>
      <w:r w:rsidRPr="00C0235D">
        <w:t>Culturally safe services for Aboriginal people living in Victoria</w:t>
      </w:r>
      <w:bookmarkEnd w:id="2276"/>
      <w:bookmarkEnd w:id="2277"/>
      <w:bookmarkEnd w:id="2278"/>
      <w:bookmarkEnd w:id="2279"/>
    </w:p>
    <w:p w14:paraId="3DB892B8" w14:textId="77777777" w:rsidR="00817104" w:rsidRPr="00C0235D" w:rsidRDefault="00817104" w:rsidP="00817104">
      <w:pPr>
        <w:pStyle w:val="Body"/>
      </w:pPr>
      <w:r w:rsidRPr="00C0235D">
        <w:t>All Victorian public health services are required to deliver culturally safe care to Aboriginal patients and families, and to provide culturally safe workplaces for Aboriginal employees, as articulated in the S</w:t>
      </w:r>
      <w:r>
        <w:t>o</w:t>
      </w:r>
      <w:r w:rsidRPr="00C0235D">
        <w:t>P</w:t>
      </w:r>
      <w:r>
        <w:t>.</w:t>
      </w:r>
    </w:p>
    <w:p w14:paraId="6CE16F7D" w14:textId="77777777" w:rsidR="00817104" w:rsidRPr="00C0235D" w:rsidRDefault="00817104" w:rsidP="00817104">
      <w:pPr>
        <w:pStyle w:val="Body"/>
      </w:pPr>
      <w:r w:rsidRPr="00C0235D">
        <w:t>For more information, visit</w:t>
      </w:r>
      <w:r>
        <w:t xml:space="preserve"> </w:t>
      </w:r>
      <w:hyperlink r:id="rId159" w:history="1">
        <w:r w:rsidRPr="00000681">
          <w:rPr>
            <w:rStyle w:val="Hyperlink"/>
          </w:rPr>
          <w:t>Statement of Priorities</w:t>
        </w:r>
      </w:hyperlink>
      <w:r w:rsidRPr="00C0235D">
        <w:rPr>
          <w:rFonts w:eastAsia="Times New Roman"/>
        </w:rPr>
        <w:t xml:space="preserve"> &lt;https://www.health.vic.gov.au/funding-performance-accountability/statements-of-priorities&gt;</w:t>
      </w:r>
      <w:r>
        <w:rPr>
          <w:rFonts w:eastAsia="Times New Roman"/>
        </w:rPr>
        <w:t>.</w:t>
      </w:r>
    </w:p>
    <w:p w14:paraId="1F7EF5AA" w14:textId="77777777" w:rsidR="00817104" w:rsidRPr="00C0235D" w:rsidRDefault="00817104" w:rsidP="00817104">
      <w:pPr>
        <w:pStyle w:val="Body"/>
      </w:pPr>
      <w:r w:rsidRPr="00C0235D">
        <w:t>Cultural safety, as a protective factor in Aboriginal health, is the key to improving access to health services and delivering better health outcomes for Aboriginal Victorians. It is also an important enabler for strengthening the quality of prevention, early intervention and tertiary care, and Closing the Gap in health and wellbeing outcomes.</w:t>
      </w:r>
    </w:p>
    <w:p w14:paraId="64A339EC" w14:textId="77777777" w:rsidR="00817104" w:rsidRPr="00C0235D" w:rsidRDefault="00817104" w:rsidP="00817104">
      <w:pPr>
        <w:pStyle w:val="Heading3"/>
        <w:numPr>
          <w:ilvl w:val="2"/>
          <w:numId w:val="0"/>
        </w:numPr>
        <w:tabs>
          <w:tab w:val="num" w:pos="794"/>
        </w:tabs>
        <w:ind w:left="1134" w:hanging="1134"/>
      </w:pPr>
      <w:r>
        <w:t>16.2.2</w:t>
      </w:r>
      <w:r>
        <w:tab/>
      </w:r>
      <w:r w:rsidRPr="00C0235D">
        <w:t>Aboriginal Cultural Safety fixed grant funding</w:t>
      </w:r>
    </w:p>
    <w:p w14:paraId="64F1F14B" w14:textId="77777777" w:rsidR="00817104" w:rsidRDefault="00817104" w:rsidP="00817104">
      <w:pPr>
        <w:pStyle w:val="Body"/>
      </w:pPr>
      <w:r w:rsidRPr="0025080A">
        <w:t>Following review of the 30 per cent Weighted Inlier Equivalent Separations (WIES) loading for Aboriginal and Torres Strait Islander patients (</w:t>
      </w:r>
      <w:r>
        <w:t xml:space="preserve">introduced in 2004 </w:t>
      </w:r>
      <w:r w:rsidRPr="0025080A">
        <w:t xml:space="preserve">which included patient care, </w:t>
      </w:r>
      <w:r w:rsidRPr="0023049A">
        <w:t>Aboriginal Health Liaison Officer</w:t>
      </w:r>
      <w:r w:rsidRPr="0025080A">
        <w:t xml:space="preserve"> support, patient identification strategies and </w:t>
      </w:r>
      <w:r w:rsidRPr="0023049A">
        <w:t>Improving Care for Aboriginal Patients</w:t>
      </w:r>
      <w:r w:rsidRPr="0023049A" w:rsidDel="0023049A">
        <w:t xml:space="preserve"> </w:t>
      </w:r>
      <w:r w:rsidRPr="0025080A">
        <w:t>initiatives), the 30 per cent Aboriginal WIES loading was</w:t>
      </w:r>
      <w:r>
        <w:t xml:space="preserve"> revised in July 2020 and</w:t>
      </w:r>
      <w:r w:rsidRPr="0025080A">
        <w:t xml:space="preserve"> divided into two discrete funding streams for hospitals </w:t>
      </w:r>
      <w:r>
        <w:t>i</w:t>
      </w:r>
      <w:r w:rsidRPr="0025080A">
        <w:t>n July 2020</w:t>
      </w:r>
      <w:r>
        <w:t>:</w:t>
      </w:r>
    </w:p>
    <w:p w14:paraId="30C2ACEE" w14:textId="77777777" w:rsidR="00817104" w:rsidRDefault="00817104">
      <w:pPr>
        <w:pStyle w:val="Body"/>
        <w:numPr>
          <w:ilvl w:val="0"/>
          <w:numId w:val="16"/>
        </w:numPr>
      </w:pPr>
      <w:r w:rsidRPr="0025080A">
        <w:t>clinical costs of care (</w:t>
      </w:r>
      <w:r>
        <w:t>four per cent</w:t>
      </w:r>
      <w:r w:rsidRPr="0025080A">
        <w:t xml:space="preserve"> Aboriginal WIES loading) </w:t>
      </w:r>
    </w:p>
    <w:p w14:paraId="3770E268" w14:textId="77777777" w:rsidR="00817104" w:rsidRPr="0025080A" w:rsidRDefault="00817104">
      <w:pPr>
        <w:pStyle w:val="Body"/>
        <w:numPr>
          <w:ilvl w:val="0"/>
          <w:numId w:val="16"/>
        </w:numPr>
      </w:pPr>
      <w:r w:rsidRPr="0025080A">
        <w:t>Aboriginal cultural safety fixed grant.</w:t>
      </w:r>
    </w:p>
    <w:p w14:paraId="00AA6F40" w14:textId="77777777" w:rsidR="00817104" w:rsidRPr="0025080A" w:rsidRDefault="00817104" w:rsidP="00817104">
      <w:pPr>
        <w:pStyle w:val="Body"/>
      </w:pPr>
      <w:r w:rsidRPr="0025080A">
        <w:t>In July 2021, the department transitioned to the National Funding Model</w:t>
      </w:r>
      <w:r>
        <w:t>,</w:t>
      </w:r>
      <w:r w:rsidRPr="0025080A">
        <w:t xml:space="preserve"> with health services funding moving to NWAU</w:t>
      </w:r>
      <w:r>
        <w:t>s</w:t>
      </w:r>
      <w:r w:rsidRPr="0025080A">
        <w:t xml:space="preserve">. The Aboriginal </w:t>
      </w:r>
      <w:r>
        <w:t>WIES</w:t>
      </w:r>
      <w:r w:rsidRPr="0025080A">
        <w:t xml:space="preserve"> loading of </w:t>
      </w:r>
      <w:r>
        <w:t>four per cent</w:t>
      </w:r>
      <w:r w:rsidRPr="0025080A">
        <w:t xml:space="preserve"> using NWAU</w:t>
      </w:r>
      <w:r>
        <w:t>s</w:t>
      </w:r>
      <w:r w:rsidRPr="0025080A">
        <w:t xml:space="preserve"> continued until </w:t>
      </w:r>
      <w:r>
        <w:t xml:space="preserve">the </w:t>
      </w:r>
      <w:r w:rsidRPr="0025080A">
        <w:t xml:space="preserve">end of </w:t>
      </w:r>
      <w:r>
        <w:t xml:space="preserve">the </w:t>
      </w:r>
      <w:r w:rsidRPr="0025080A">
        <w:t>2023</w:t>
      </w:r>
      <w:r>
        <w:t>–</w:t>
      </w:r>
      <w:r w:rsidRPr="0025080A">
        <w:t xml:space="preserve">24 </w:t>
      </w:r>
      <w:r>
        <w:t>financial year</w:t>
      </w:r>
      <w:r w:rsidRPr="0025080A">
        <w:t xml:space="preserve">, where it was reduced to </w:t>
      </w:r>
      <w:r>
        <w:t>three per cent</w:t>
      </w:r>
      <w:r w:rsidRPr="0025080A">
        <w:t xml:space="preserve"> for the 2024</w:t>
      </w:r>
      <w:r>
        <w:t>–</w:t>
      </w:r>
      <w:r w:rsidRPr="0025080A">
        <w:t xml:space="preserve">25 </w:t>
      </w:r>
      <w:r>
        <w:t xml:space="preserve">financial year </w:t>
      </w:r>
      <w:r w:rsidRPr="0025080A">
        <w:t>onwards.</w:t>
      </w:r>
    </w:p>
    <w:p w14:paraId="257A97F5" w14:textId="77777777" w:rsidR="00817104" w:rsidRPr="0025080A" w:rsidRDefault="00817104" w:rsidP="00817104">
      <w:pPr>
        <w:pStyle w:val="Body"/>
      </w:pPr>
      <w:r w:rsidRPr="0025080A">
        <w:t>The separate Aboriginal cultural safety fixed grant introduced in 2020</w:t>
      </w:r>
      <w:r>
        <w:t>–</w:t>
      </w:r>
      <w:r w:rsidRPr="0025080A">
        <w:t>21 continues to be provided. This Aboriginal cultural safety funding is targeted towards system changes to health services to strengthen cultural safety, improve health outcomes for Aboriginal people attending Victorian public hospitals and increase transparency of funding.</w:t>
      </w:r>
    </w:p>
    <w:p w14:paraId="6B246433" w14:textId="77777777" w:rsidR="00817104" w:rsidRPr="00C0235D" w:rsidRDefault="00817104" w:rsidP="00817104">
      <w:pPr>
        <w:pStyle w:val="Body"/>
        <w:rPr>
          <w:lang w:eastAsia="en-AU"/>
        </w:rPr>
      </w:pPr>
      <w:r w:rsidRPr="0025080A">
        <w:t xml:space="preserve">For more information, visit </w:t>
      </w:r>
      <w:hyperlink r:id="rId160" w:history="1">
        <w:r w:rsidRPr="0025080A">
          <w:rPr>
            <w:rStyle w:val="Hyperlink"/>
          </w:rPr>
          <w:t>Aboriginal cultural safety fixed grant requirements</w:t>
        </w:r>
      </w:hyperlink>
      <w:r w:rsidRPr="0025080A">
        <w:t xml:space="preserve"> &lt;https://www.health.vic.gov.au/publications/aboriginal-cultural-safety-fixed-grant-guidelines-cultural-safety-planning-and&gt;.</w:t>
      </w:r>
    </w:p>
    <w:p w14:paraId="6E24E7D5" w14:textId="77777777" w:rsidR="00817104" w:rsidRPr="005D2ED4" w:rsidRDefault="00817104" w:rsidP="00817104">
      <w:pPr>
        <w:pStyle w:val="Body"/>
        <w:rPr>
          <w:lang w:eastAsia="en-AU"/>
        </w:rPr>
      </w:pPr>
      <w:r w:rsidRPr="00C0235D">
        <w:t xml:space="preserve">Aboriginal cultural safety occurs when Aboriginal people and communities feel respected and safe – and the cultural richness, diversity, histories, strength and knowledge held by Victoria’s Aboriginal </w:t>
      </w:r>
      <w:r w:rsidRPr="00C0235D">
        <w:rPr>
          <w:rFonts w:cs="Calibri"/>
        </w:rPr>
        <w:t xml:space="preserve">communities is recognised, understood and valued. </w:t>
      </w:r>
      <w:r w:rsidRPr="00C0235D">
        <w:rPr>
          <w:rFonts w:cs="Calibri"/>
          <w:lang w:eastAsia="en-AU"/>
        </w:rPr>
        <w:t xml:space="preserve">Cultural safety is underpinned by Aboriginal self-determination, where Aboriginal voices contribute to the design and delivery of services, as </w:t>
      </w:r>
      <w:r w:rsidRPr="00C0235D">
        <w:rPr>
          <w:rFonts w:cs="Calibri"/>
          <w:lang w:eastAsia="en-AU"/>
        </w:rPr>
        <w:lastRenderedPageBreak/>
        <w:t>articulated in the Victorian Government'</w:t>
      </w:r>
      <w:r w:rsidRPr="00C0235D">
        <w:rPr>
          <w:rFonts w:cs="Calibri"/>
        </w:rPr>
        <w:t xml:space="preserve">s </w:t>
      </w:r>
      <w:hyperlink r:id="rId161">
        <w:r w:rsidRPr="00C0235D">
          <w:rPr>
            <w:rStyle w:val="Hyperlink"/>
            <w:rFonts w:cs="Calibri"/>
            <w:i/>
            <w:iCs/>
            <w:lang w:eastAsia="en-AU"/>
          </w:rPr>
          <w:t>Self-</w:t>
        </w:r>
        <w:r>
          <w:rPr>
            <w:rStyle w:val="Hyperlink"/>
            <w:rFonts w:cs="Calibri"/>
            <w:i/>
            <w:iCs/>
            <w:lang w:eastAsia="en-AU"/>
          </w:rPr>
          <w:t>D</w:t>
        </w:r>
        <w:r w:rsidRPr="00C0235D">
          <w:rPr>
            <w:rStyle w:val="Hyperlink"/>
            <w:rFonts w:cs="Calibri"/>
            <w:i/>
            <w:iCs/>
            <w:lang w:eastAsia="en-AU"/>
          </w:rPr>
          <w:t xml:space="preserve">etermination </w:t>
        </w:r>
        <w:r>
          <w:rPr>
            <w:rStyle w:val="Hyperlink"/>
            <w:rFonts w:cs="Calibri"/>
            <w:i/>
            <w:iCs/>
            <w:lang w:eastAsia="en-AU"/>
          </w:rPr>
          <w:t>R</w:t>
        </w:r>
        <w:r w:rsidRPr="00C0235D">
          <w:rPr>
            <w:rStyle w:val="Hyperlink"/>
            <w:rFonts w:cs="Calibri"/>
            <w:i/>
            <w:iCs/>
            <w:lang w:eastAsia="en-AU"/>
          </w:rPr>
          <w:t xml:space="preserve">eform </w:t>
        </w:r>
        <w:r>
          <w:rPr>
            <w:rStyle w:val="Hyperlink"/>
            <w:rFonts w:cs="Calibri"/>
            <w:i/>
            <w:iCs/>
            <w:lang w:eastAsia="en-AU"/>
          </w:rPr>
          <w:t>F</w:t>
        </w:r>
        <w:r w:rsidRPr="00C0235D">
          <w:rPr>
            <w:rStyle w:val="Hyperlink"/>
            <w:rFonts w:cs="Calibri"/>
            <w:i/>
            <w:iCs/>
            <w:lang w:eastAsia="en-AU"/>
          </w:rPr>
          <w:t>ramework</w:t>
        </w:r>
      </w:hyperlink>
      <w:r w:rsidRPr="00C0235D">
        <w:rPr>
          <w:rFonts w:cs="Calibri"/>
          <w:lang w:eastAsia="en-AU"/>
        </w:rPr>
        <w:t xml:space="preserve"> &lt;https://www.firstpeoplesrelations</w:t>
      </w:r>
      <w:r w:rsidRPr="00C0235D">
        <w:rPr>
          <w:lang w:eastAsia="en-AU"/>
        </w:rPr>
        <w:t xml:space="preserve">.vic.gov.au/self-determination-reform-framework&gt;. </w:t>
      </w:r>
    </w:p>
    <w:p w14:paraId="18DEBCCF" w14:textId="77777777" w:rsidR="00817104" w:rsidRPr="00B67CF9" w:rsidRDefault="00817104" w:rsidP="00817104">
      <w:pPr>
        <w:pStyle w:val="Body"/>
        <w:rPr>
          <w:szCs w:val="21"/>
        </w:rPr>
      </w:pPr>
      <w:r w:rsidRPr="00C0235D">
        <w:t xml:space="preserve">At the Yoorrook Justice Commission, the Minister for Health acknowledged serious failures in cultural safety in mainstream health services. The Minister acknowledged that delivery of the AHWP </w:t>
      </w:r>
      <w:r>
        <w:t>Agreement and Action P</w:t>
      </w:r>
      <w:r w:rsidRPr="00C0235D">
        <w:t xml:space="preserve">lan is not enough to address this, and that government has a broader responsibility to lead, act and to improve the healthcare experience and healthcare outcomes for First Peoples. Reflecting this, expectations and accountabilities for health services have been </w:t>
      </w:r>
      <w:r w:rsidRPr="00B67CF9">
        <w:rPr>
          <w:szCs w:val="21"/>
        </w:rPr>
        <w:t xml:space="preserve">strengthened, as set out below. </w:t>
      </w:r>
    </w:p>
    <w:p w14:paraId="610B07B5" w14:textId="3F41F45F" w:rsidR="00817104" w:rsidRPr="00B67CF9" w:rsidRDefault="00B67CF9" w:rsidP="00047F28">
      <w:pPr>
        <w:pStyle w:val="Heading4"/>
      </w:pPr>
      <w:r>
        <w:t>Mandatory c</w:t>
      </w:r>
      <w:r w:rsidR="62300E77" w:rsidRPr="00047F28">
        <w:t xml:space="preserve">ultural safety training </w:t>
      </w:r>
    </w:p>
    <w:p w14:paraId="55FD9017" w14:textId="478AAD03" w:rsidR="660E411A" w:rsidRPr="00B67CF9" w:rsidRDefault="660E411A" w:rsidP="00047F28">
      <w:pPr>
        <w:pStyle w:val="Body"/>
        <w:rPr>
          <w:rFonts w:cs="Arial"/>
          <w:szCs w:val="21"/>
        </w:rPr>
      </w:pPr>
      <w:hyperlink r:id="rId162" w:history="1">
        <w:r>
          <w:rPr>
            <w:rStyle w:val="Hyperlink"/>
          </w:rPr>
          <w:t>https://www.health.vic.gov.au/publications/aboriginal-and-torres-strait-islander-cultural-safety-framework-part-1</w:t>
        </w:r>
      </w:hyperlink>
      <w:r w:rsidR="00D81945">
        <w:rPr>
          <w:rFonts w:cs="Arial"/>
          <w:szCs w:val="21"/>
        </w:rPr>
        <w:t>From</w:t>
      </w:r>
      <w:r w:rsidRPr="00047F28">
        <w:rPr>
          <w:rFonts w:eastAsia="Aptos" w:cs="Arial"/>
          <w:szCs w:val="21"/>
        </w:rPr>
        <w:t xml:space="preserve"> 2024</w:t>
      </w:r>
      <w:r w:rsidR="00B72361">
        <w:rPr>
          <w:rFonts w:eastAsia="Aptos" w:cs="Arial"/>
          <w:szCs w:val="21"/>
        </w:rPr>
        <w:t>,</w:t>
      </w:r>
      <w:r w:rsidRPr="00047F28">
        <w:rPr>
          <w:rFonts w:eastAsia="Aptos" w:cs="Arial"/>
          <w:szCs w:val="21"/>
        </w:rPr>
        <w:t xml:space="preserve"> SoPs were updated to require all health services and hospitals to deliver cultural safety training </w:t>
      </w:r>
      <w:r w:rsidR="00514378">
        <w:rPr>
          <w:rFonts w:eastAsia="Aptos" w:cs="Arial"/>
          <w:szCs w:val="21"/>
        </w:rPr>
        <w:t>to all</w:t>
      </w:r>
      <w:r w:rsidRPr="00047F28">
        <w:rPr>
          <w:rFonts w:eastAsia="Aptos" w:cs="Arial"/>
          <w:szCs w:val="21"/>
        </w:rPr>
        <w:t xml:space="preserve"> staff</w:t>
      </w:r>
      <w:r w:rsidR="00D81945">
        <w:rPr>
          <w:rFonts w:eastAsia="Aptos" w:cs="Arial"/>
          <w:szCs w:val="21"/>
        </w:rPr>
        <w:t xml:space="preserve">, following </w:t>
      </w:r>
      <w:r w:rsidR="00D81945" w:rsidRPr="00902EE3">
        <w:rPr>
          <w:rFonts w:eastAsia="Aptos" w:cs="Arial"/>
          <w:szCs w:val="21"/>
        </w:rPr>
        <w:t>recommendations of the Yoorrook Justice Commissi</w:t>
      </w:r>
      <w:r w:rsidR="00D81945">
        <w:rPr>
          <w:rFonts w:eastAsia="Aptos" w:cs="Arial"/>
          <w:szCs w:val="21"/>
        </w:rPr>
        <w:t>on</w:t>
      </w:r>
      <w:r w:rsidRPr="00047F28">
        <w:rPr>
          <w:rFonts w:eastAsia="Aptos" w:cs="Arial"/>
          <w:szCs w:val="21"/>
        </w:rPr>
        <w:t>.</w:t>
      </w:r>
    </w:p>
    <w:p w14:paraId="136ABF26" w14:textId="1C248A0B" w:rsidR="660E411A" w:rsidRPr="00B67CF9" w:rsidRDefault="00BB2E27" w:rsidP="00B67CF9">
      <w:pPr>
        <w:rPr>
          <w:rFonts w:cs="Arial"/>
          <w:szCs w:val="21"/>
        </w:rPr>
      </w:pPr>
      <w:r>
        <w:rPr>
          <w:rFonts w:eastAsia="Aptos" w:cs="Arial"/>
          <w:szCs w:val="21"/>
        </w:rPr>
        <w:t xml:space="preserve">To support this, </w:t>
      </w:r>
      <w:r w:rsidR="660E411A" w:rsidRPr="00047F28">
        <w:rPr>
          <w:rFonts w:eastAsia="Aptos" w:cs="Arial"/>
          <w:szCs w:val="21"/>
        </w:rPr>
        <w:t xml:space="preserve">VACCHO </w:t>
      </w:r>
      <w:r w:rsidR="00B72361">
        <w:rPr>
          <w:rFonts w:eastAsia="Aptos" w:cs="Arial"/>
          <w:szCs w:val="21"/>
        </w:rPr>
        <w:t xml:space="preserve">has been </w:t>
      </w:r>
      <w:r w:rsidR="660E411A" w:rsidRPr="00047F28">
        <w:rPr>
          <w:rFonts w:eastAsia="Aptos" w:cs="Arial"/>
          <w:szCs w:val="21"/>
        </w:rPr>
        <w:t>contract</w:t>
      </w:r>
      <w:r w:rsidR="00B72361">
        <w:rPr>
          <w:rFonts w:eastAsia="Aptos" w:cs="Arial"/>
          <w:szCs w:val="21"/>
        </w:rPr>
        <w:t>ed</w:t>
      </w:r>
      <w:r w:rsidR="660E411A" w:rsidRPr="00047F28">
        <w:rPr>
          <w:rFonts w:eastAsia="Aptos" w:cs="Arial"/>
          <w:szCs w:val="21"/>
        </w:rPr>
        <w:t xml:space="preserve"> to design and develop a statewide cultural safety eLearning package.</w:t>
      </w:r>
    </w:p>
    <w:p w14:paraId="265B5455" w14:textId="28A227FD" w:rsidR="660E411A" w:rsidRPr="00B67CF9" w:rsidRDefault="660E411A" w:rsidP="00B67CF9">
      <w:pPr>
        <w:rPr>
          <w:rFonts w:cs="Arial"/>
          <w:szCs w:val="21"/>
        </w:rPr>
      </w:pPr>
      <w:r w:rsidRPr="00047F28">
        <w:rPr>
          <w:rFonts w:eastAsia="Aptos" w:cs="Arial"/>
          <w:szCs w:val="21"/>
        </w:rPr>
        <w:t>Health services and hospitals are invited to submit their existing cultural safety eLearning packages for assessment. The statewide package will be available from November 2026 for implementation across Victoria.</w:t>
      </w:r>
    </w:p>
    <w:p w14:paraId="70069322" w14:textId="524DAD20" w:rsidR="38287820" w:rsidRDefault="660E411A" w:rsidP="00047F28">
      <w:r w:rsidRPr="00047F28">
        <w:rPr>
          <w:rFonts w:eastAsia="Aptos" w:cs="Arial"/>
          <w:szCs w:val="21"/>
        </w:rPr>
        <w:t xml:space="preserve">For more information, please </w:t>
      </w:r>
      <w:r w:rsidR="00782705">
        <w:rPr>
          <w:rFonts w:eastAsia="Aptos" w:cs="Arial"/>
          <w:szCs w:val="21"/>
        </w:rPr>
        <w:t xml:space="preserve">email </w:t>
      </w:r>
      <w:hyperlink r:id="rId163" w:history="1">
        <w:r w:rsidR="00782705" w:rsidRPr="00D831DA">
          <w:rPr>
            <w:rStyle w:val="Hyperlink"/>
            <w:rFonts w:eastAsia="Aptos" w:cs="Arial"/>
            <w:szCs w:val="21"/>
          </w:rPr>
          <w:t>culturalsafety@health.vic.gov.au</w:t>
        </w:r>
      </w:hyperlink>
      <w:r w:rsidR="00782705">
        <w:rPr>
          <w:rFonts w:eastAsia="Aptos" w:cs="Arial"/>
          <w:szCs w:val="21"/>
        </w:rPr>
        <w:t xml:space="preserve">. </w:t>
      </w:r>
      <w:r w:rsidRPr="00047F28">
        <w:rPr>
          <w:rFonts w:eastAsia="Aptos" w:cs="Arial"/>
          <w:szCs w:val="21"/>
        </w:rPr>
        <w:t xml:space="preserve"> </w:t>
      </w:r>
    </w:p>
    <w:p w14:paraId="6DF42562" w14:textId="77777777" w:rsidR="00817104" w:rsidRPr="00C0235D" w:rsidRDefault="00817104" w:rsidP="00817104">
      <w:pPr>
        <w:pStyle w:val="Heading4"/>
      </w:pPr>
      <w:r w:rsidRPr="00C0235D">
        <w:t xml:space="preserve">Expectations of First Peoples Employment Plans </w:t>
      </w:r>
    </w:p>
    <w:p w14:paraId="4A4B1258" w14:textId="77777777" w:rsidR="00817104" w:rsidRPr="00C0235D" w:rsidRDefault="00817104" w:rsidP="00817104">
      <w:pPr>
        <w:pStyle w:val="Body"/>
        <w:rPr>
          <w:rFonts w:cs="Arial"/>
        </w:rPr>
      </w:pPr>
      <w:r w:rsidRPr="00C0235D">
        <w:rPr>
          <w:rFonts w:cs="Arial"/>
          <w:lang w:val="en-US"/>
        </w:rPr>
        <w:t xml:space="preserve">The </w:t>
      </w:r>
      <w:r w:rsidRPr="00C0235D">
        <w:t>Victorian Health Workforce Strategy</w:t>
      </w:r>
      <w:r w:rsidRPr="00C0235D">
        <w:rPr>
          <w:rFonts w:cs="Arial"/>
          <w:lang w:val="en-US"/>
        </w:rPr>
        <w:t xml:space="preserve"> commits to significantly expanding First Nations representation within </w:t>
      </w:r>
      <w:r w:rsidRPr="00C0235D">
        <w:rPr>
          <w:rFonts w:cs="Arial"/>
        </w:rPr>
        <w:t>mainstream professions and leadership roles, to an overall level equal to the Victorian population by 2034</w:t>
      </w:r>
      <w:r w:rsidRPr="00C0235D">
        <w:rPr>
          <w:rStyle w:val="FootnoteReference"/>
          <w:rFonts w:cs="Arial"/>
        </w:rPr>
        <w:footnoteReference w:id="8"/>
      </w:r>
      <w:r w:rsidRPr="00C0235D">
        <w:rPr>
          <w:rFonts w:cs="Arial"/>
        </w:rPr>
        <w:t xml:space="preserve">. </w:t>
      </w:r>
    </w:p>
    <w:p w14:paraId="3D0B899E" w14:textId="4CB00C61" w:rsidR="00817104" w:rsidRPr="00C0235D" w:rsidRDefault="00817104" w:rsidP="00817104">
      <w:pPr>
        <w:pStyle w:val="Body"/>
        <w:rPr>
          <w:rFonts w:cs="Arial"/>
          <w:lang w:val="en-US"/>
        </w:rPr>
      </w:pPr>
      <w:r w:rsidRPr="00C0235D">
        <w:rPr>
          <w:rFonts w:cs="Arial"/>
        </w:rPr>
        <w:t xml:space="preserve">To achieve this, First Peoples employment plans are mandatory for all health services receiving Aboriginal Cultural Safety Fixed Grants, and for smaller </w:t>
      </w:r>
      <w:r w:rsidRPr="00C0235D">
        <w:rPr>
          <w:rFonts w:cs="Arial"/>
          <w:lang w:val="en-US"/>
        </w:rPr>
        <w:t xml:space="preserve">health services that </w:t>
      </w:r>
      <w:r w:rsidRPr="00C0235D">
        <w:rPr>
          <w:rFonts w:cs="Arial"/>
        </w:rPr>
        <w:t>serve a significant local Aboriginal population</w:t>
      </w:r>
      <w:r w:rsidRPr="00C0235D">
        <w:rPr>
          <w:rFonts w:cs="Arial"/>
          <w:lang w:val="en-US"/>
        </w:rPr>
        <w:t>.</w:t>
      </w:r>
      <w:r w:rsidRPr="00C0235D">
        <w:rPr>
          <w:rStyle w:val="FootnoteReference"/>
          <w:rFonts w:cs="Arial"/>
          <w:lang w:val="en-US"/>
        </w:rPr>
        <w:footnoteReference w:id="9"/>
      </w:r>
      <w:r w:rsidRPr="00C0235D">
        <w:rPr>
          <w:rFonts w:cs="Arial"/>
          <w:lang w:val="en-US"/>
        </w:rPr>
        <w:t xml:space="preserve"> Plans must be aligned to the five-year Aboriginal employment strategy for</w:t>
      </w:r>
      <w:r w:rsidR="005102C6">
        <w:rPr>
          <w:rFonts w:cs="Arial"/>
          <w:lang w:val="en-US"/>
        </w:rPr>
        <w:t xml:space="preserve"> </w:t>
      </w:r>
      <w:r w:rsidRPr="00C0235D">
        <w:rPr>
          <w:rFonts w:cs="Arial"/>
          <w:lang w:val="en-US"/>
        </w:rPr>
        <w:t xml:space="preserve">the Victorian public sector, </w:t>
      </w:r>
      <w:r w:rsidRPr="00351629">
        <w:rPr>
          <w:rFonts w:cs="Arial"/>
          <w:i/>
          <w:iCs/>
          <w:lang w:val="en-US"/>
        </w:rPr>
        <w:t>Barring Djinang</w:t>
      </w:r>
      <w:r w:rsidRPr="00C0235D">
        <w:rPr>
          <w:rStyle w:val="FootnoteReference"/>
          <w:rFonts w:cs="Arial"/>
          <w:lang w:val="en-US"/>
        </w:rPr>
        <w:footnoteReference w:id="10"/>
      </w:r>
      <w:r w:rsidRPr="00C0235D">
        <w:rPr>
          <w:rFonts w:cs="Arial"/>
          <w:lang w:val="en-US"/>
        </w:rPr>
        <w:t xml:space="preserve">, and include an employment target that is reflective of local First Peoples populations, noting these vary across the state. </w:t>
      </w:r>
    </w:p>
    <w:p w14:paraId="7EAB4F75" w14:textId="77777777" w:rsidR="00817104" w:rsidRPr="00C0235D" w:rsidRDefault="00817104" w:rsidP="00817104">
      <w:pPr>
        <w:pStyle w:val="Body"/>
        <w:rPr>
          <w:rFonts w:cs="Arial"/>
          <w:lang w:val="en-US"/>
        </w:rPr>
      </w:pPr>
      <w:r w:rsidRPr="00C0235D">
        <w:rPr>
          <w:rFonts w:cs="Arial"/>
          <w:lang w:val="en-US"/>
        </w:rPr>
        <w:t xml:space="preserve">For more information, visit </w:t>
      </w:r>
      <w:hyperlink r:id="rId164" w:history="1">
        <w:r w:rsidRPr="00C0235D">
          <w:rPr>
            <w:rStyle w:val="Hyperlink"/>
            <w:rFonts w:cs="Arial"/>
            <w:lang w:val="en-US"/>
          </w:rPr>
          <w:t>Victorian health workforce strategy</w:t>
        </w:r>
      </w:hyperlink>
      <w:r w:rsidRPr="00C0235D">
        <w:rPr>
          <w:rFonts w:cs="Arial"/>
          <w:lang w:val="en-US"/>
        </w:rPr>
        <w:t xml:space="preserve"> &lt;https://www.health.vic.gov.au/victorian-health-workforce-strategy&gt;.</w:t>
      </w:r>
    </w:p>
    <w:p w14:paraId="0D142C46" w14:textId="77777777" w:rsidR="00817104" w:rsidRPr="00C0235D" w:rsidRDefault="00817104" w:rsidP="00817104">
      <w:pPr>
        <w:pStyle w:val="Heading4"/>
      </w:pPr>
      <w:r w:rsidRPr="00C0235D">
        <w:t>Culturally safe and equitable care</w:t>
      </w:r>
    </w:p>
    <w:p w14:paraId="59F33B24" w14:textId="77777777" w:rsidR="00817104" w:rsidRPr="00C0235D" w:rsidRDefault="00817104" w:rsidP="00817104">
      <w:pPr>
        <w:pStyle w:val="Body"/>
      </w:pPr>
      <w:r w:rsidRPr="00C0235D">
        <w:t>Aboriginal people living in Victoria are overrepresented in the healthcare system and face significant disparities in health outcomes. Health services are expected to take active steps to monitor,</w:t>
      </w:r>
      <w:r>
        <w:t xml:space="preserve"> </w:t>
      </w:r>
      <w:r w:rsidRPr="00C0235D">
        <w:t>address and eliminate these disparities.</w:t>
      </w:r>
    </w:p>
    <w:p w14:paraId="6330B961" w14:textId="77777777" w:rsidR="00817104" w:rsidRPr="00C0235D" w:rsidRDefault="00817104" w:rsidP="00817104">
      <w:pPr>
        <w:pStyle w:val="Body"/>
      </w:pPr>
      <w:r w:rsidRPr="00C0235D">
        <w:t>These include:</w:t>
      </w:r>
    </w:p>
    <w:p w14:paraId="5F44AE41" w14:textId="77777777" w:rsidR="00817104" w:rsidRPr="0052177E" w:rsidRDefault="00817104" w:rsidP="00817104">
      <w:pPr>
        <w:pStyle w:val="Bullet1"/>
        <w:numPr>
          <w:ilvl w:val="0"/>
          <w:numId w:val="2"/>
        </w:numPr>
      </w:pPr>
      <w:r w:rsidRPr="0052177E">
        <w:t>effective Aboriginal client and patient identification, including quality improvement processes to continually improve in this area</w:t>
      </w:r>
    </w:p>
    <w:p w14:paraId="68DDE2A8" w14:textId="77777777" w:rsidR="00817104" w:rsidRPr="0052177E" w:rsidRDefault="00817104" w:rsidP="00817104">
      <w:pPr>
        <w:pStyle w:val="Bullet1"/>
        <w:numPr>
          <w:ilvl w:val="0"/>
          <w:numId w:val="2"/>
        </w:numPr>
      </w:pPr>
      <w:r w:rsidRPr="0052177E">
        <w:lastRenderedPageBreak/>
        <w:t>senior executive and board leadership and oversight of activities to identify, monitor and close gaps in:</w:t>
      </w:r>
    </w:p>
    <w:p w14:paraId="234D2837" w14:textId="77777777" w:rsidR="00817104" w:rsidRPr="0052177E" w:rsidRDefault="00817104" w:rsidP="00817104">
      <w:pPr>
        <w:pStyle w:val="Bullet2"/>
        <w:numPr>
          <w:ilvl w:val="1"/>
          <w:numId w:val="2"/>
        </w:numPr>
      </w:pPr>
      <w:r w:rsidRPr="0052177E">
        <w:t>rates of Aboriginal and non-Aboriginal patients for patients who leave, do not wait or are discharged against medical advice</w:t>
      </w:r>
    </w:p>
    <w:p w14:paraId="620C9002" w14:textId="77777777" w:rsidR="00817104" w:rsidRPr="0052177E" w:rsidRDefault="00817104" w:rsidP="00817104">
      <w:pPr>
        <w:pStyle w:val="Bullet2"/>
        <w:numPr>
          <w:ilvl w:val="1"/>
          <w:numId w:val="2"/>
        </w:numPr>
      </w:pPr>
      <w:r w:rsidRPr="0052177E">
        <w:t>wait times for care experienced by Aboriginal and non-Aboriginal patients of equivalent clinical need</w:t>
      </w:r>
    </w:p>
    <w:p w14:paraId="16FD8840" w14:textId="77777777" w:rsidR="00817104" w:rsidRPr="0052177E" w:rsidRDefault="00817104" w:rsidP="00817104">
      <w:pPr>
        <w:pStyle w:val="Bullet2"/>
        <w:numPr>
          <w:ilvl w:val="1"/>
          <w:numId w:val="2"/>
        </w:numPr>
      </w:pPr>
      <w:r w:rsidRPr="0052177E">
        <w:t>clinical outcomes of Aboriginal and non-Aboriginal patients, including through improved discharge planning and pathways, and outpatient care.</w:t>
      </w:r>
    </w:p>
    <w:p w14:paraId="1760CBD4" w14:textId="77777777" w:rsidR="00817104" w:rsidRPr="00C0235D" w:rsidRDefault="00817104" w:rsidP="00817104">
      <w:pPr>
        <w:pStyle w:val="Bodyafterbullets"/>
      </w:pPr>
      <w:r w:rsidRPr="00C0235D">
        <w:t xml:space="preserve">To support this work, health services are expected to demonstrate: </w:t>
      </w:r>
    </w:p>
    <w:p w14:paraId="77784FEA" w14:textId="77777777" w:rsidR="00817104" w:rsidRPr="00C0235D" w:rsidRDefault="00817104" w:rsidP="00817104">
      <w:pPr>
        <w:pStyle w:val="Bullet1"/>
        <w:numPr>
          <w:ilvl w:val="0"/>
          <w:numId w:val="2"/>
        </w:numPr>
      </w:pPr>
      <w:r w:rsidRPr="00C0235D">
        <w:t>CEO and executive leadership that drives cultural safety and Aboriginal self-determination</w:t>
      </w:r>
    </w:p>
    <w:p w14:paraId="5D9EC449" w14:textId="77777777" w:rsidR="00817104" w:rsidRPr="00C0235D" w:rsidRDefault="00817104" w:rsidP="00817104">
      <w:pPr>
        <w:pStyle w:val="Bullet1"/>
        <w:numPr>
          <w:ilvl w:val="0"/>
          <w:numId w:val="2"/>
        </w:numPr>
      </w:pPr>
      <w:r w:rsidRPr="00C0235D">
        <w:t>partnerships with ACCHOs, respected Aboriginal leaders and Elders, and Aboriginal communities to deliver healthcare improvements, including through:</w:t>
      </w:r>
    </w:p>
    <w:p w14:paraId="2EDCFD29" w14:textId="77777777" w:rsidR="00817104" w:rsidRPr="00C0235D" w:rsidRDefault="00817104" w:rsidP="00817104">
      <w:pPr>
        <w:pStyle w:val="Bullet2"/>
        <w:numPr>
          <w:ilvl w:val="1"/>
          <w:numId w:val="2"/>
        </w:numPr>
      </w:pPr>
      <w:r w:rsidRPr="00C0235D">
        <w:t>partnering to develop and deliver plans to identify and prioritise the health, wellbeing and service needs of the Aboriginal catchment population and service users</w:t>
      </w:r>
    </w:p>
    <w:p w14:paraId="6EE8E329" w14:textId="77777777" w:rsidR="00817104" w:rsidRPr="00C0235D" w:rsidRDefault="00817104" w:rsidP="00817104">
      <w:pPr>
        <w:pStyle w:val="Bullet2"/>
        <w:numPr>
          <w:ilvl w:val="1"/>
          <w:numId w:val="2"/>
        </w:numPr>
      </w:pPr>
      <w:r w:rsidRPr="00C0235D">
        <w:t>reporting and discussing the progress and outcomes of these plans.</w:t>
      </w:r>
    </w:p>
    <w:p w14:paraId="775F90DB" w14:textId="77777777" w:rsidR="00817104" w:rsidRDefault="00817104" w:rsidP="00817104">
      <w:pPr>
        <w:pStyle w:val="Bodyafterbullets"/>
      </w:pPr>
      <w:r w:rsidRPr="00C0235D">
        <w:rPr>
          <w:rStyle w:val="BodyChar"/>
        </w:rPr>
        <w:t>These requirements align with the National Safety and Quality Health Service (NSQHS)</w:t>
      </w:r>
      <w:r w:rsidRPr="00C0235D">
        <w:t xml:space="preserve"> Standards, which health services are encouraged to review</w:t>
      </w:r>
      <w:r w:rsidRPr="00C0235D">
        <w:rPr>
          <w:rStyle w:val="FootnoteReference"/>
        </w:rPr>
        <w:footnoteReference w:id="11"/>
      </w:r>
      <w:r w:rsidRPr="00C0235D">
        <w:t>.</w:t>
      </w:r>
    </w:p>
    <w:p w14:paraId="2845103B" w14:textId="77777777" w:rsidR="00817104" w:rsidRPr="00C0235D" w:rsidRDefault="00817104" w:rsidP="00817104">
      <w:pPr>
        <w:pStyle w:val="Bodyafterbullets"/>
      </w:pPr>
      <w:r w:rsidRPr="00C0235D">
        <w:t>For more information, guidance, tools and resources for health services, visit:</w:t>
      </w:r>
    </w:p>
    <w:p w14:paraId="7C8C65D8" w14:textId="77777777" w:rsidR="00817104" w:rsidRPr="00C0235D" w:rsidRDefault="00817104" w:rsidP="00817104">
      <w:pPr>
        <w:pStyle w:val="Bullet1"/>
        <w:numPr>
          <w:ilvl w:val="0"/>
          <w:numId w:val="2"/>
        </w:numPr>
      </w:pPr>
      <w:hyperlink r:id="rId165">
        <w:r w:rsidRPr="00C0235D">
          <w:rPr>
            <w:rStyle w:val="Hyperlink"/>
          </w:rPr>
          <w:t>Aboriginal and Torres Strait Islander cultural safety</w:t>
        </w:r>
      </w:hyperlink>
      <w:r w:rsidRPr="00C0235D">
        <w:t xml:space="preserve"> &lt;https://www.health.vic.gov.au/health-strategies/aboriginal-and-torres-strait-islander-cultural-safety&gt;</w:t>
      </w:r>
    </w:p>
    <w:p w14:paraId="042556DB" w14:textId="174C77A0" w:rsidR="00817104" w:rsidRPr="009570FC" w:rsidRDefault="00817104" w:rsidP="009570FC">
      <w:pPr>
        <w:pStyle w:val="Bullet1"/>
        <w:numPr>
          <w:ilvl w:val="0"/>
          <w:numId w:val="2"/>
        </w:numPr>
        <w:rPr>
          <w:rFonts w:eastAsia="MS Gothic" w:cs="Arial"/>
          <w:color w:val="53565A"/>
          <w:kern w:val="32"/>
        </w:rPr>
      </w:pPr>
      <w:hyperlink r:id="rId166">
        <w:r w:rsidRPr="00C0235D">
          <w:rPr>
            <w:rStyle w:val="Hyperlink"/>
          </w:rPr>
          <w:t>VACCHO accreditation programs</w:t>
        </w:r>
      </w:hyperlink>
      <w:r w:rsidRPr="00C0235D">
        <w:t xml:space="preserve"> &lt;https://www.vaccho.org.au/cultural-safety-services/accreditation-programs&gt;.</w:t>
      </w:r>
    </w:p>
    <w:p w14:paraId="2781C7C2" w14:textId="0D2C1FD8" w:rsidR="00817104" w:rsidRPr="005F7F6D" w:rsidRDefault="00817104" w:rsidP="00817104">
      <w:pPr>
        <w:pStyle w:val="Heading2"/>
      </w:pPr>
      <w:bookmarkStart w:id="2280" w:name="_Toc229127698"/>
      <w:bookmarkStart w:id="2281" w:name="_Toc231982309"/>
      <w:r>
        <w:t xml:space="preserve">Inclusive and </w:t>
      </w:r>
      <w:r w:rsidRPr="00E30B50">
        <w:t>accessible</w:t>
      </w:r>
      <w:r>
        <w:t xml:space="preserve"> healthcare for LGBTIQA+ communities</w:t>
      </w:r>
      <w:bookmarkEnd w:id="2280"/>
      <w:bookmarkEnd w:id="2281"/>
    </w:p>
    <w:p w14:paraId="38D919CB" w14:textId="77777777" w:rsidR="00817104" w:rsidRPr="00BD2EA7" w:rsidRDefault="00817104" w:rsidP="00817104">
      <w:pPr>
        <w:pStyle w:val="Body"/>
      </w:pPr>
      <w:r>
        <w:rPr>
          <w:rFonts w:cs="Calibri"/>
        </w:rPr>
        <w:t>Discrimination, stigma and exclusion continue to drive poorer health outcomes for LGBTIQA+ communities in Victoria</w:t>
      </w:r>
      <w:r w:rsidRPr="000F01F1">
        <w:rPr>
          <w:rFonts w:cs="Calibri"/>
          <w:vertAlign w:val="superscript"/>
        </w:rPr>
        <w:footnoteReference w:id="12"/>
      </w:r>
      <w:r>
        <w:rPr>
          <w:rFonts w:cs="Calibri"/>
        </w:rPr>
        <w:t>.</w:t>
      </w:r>
    </w:p>
    <w:p w14:paraId="7BBF630C" w14:textId="77777777" w:rsidR="00817104" w:rsidRDefault="00817104" w:rsidP="00817104">
      <w:pPr>
        <w:pStyle w:val="Body"/>
      </w:pPr>
      <w:r w:rsidRPr="00E55A3A">
        <w:rPr>
          <w:i/>
        </w:rPr>
        <w:t>Pride in our future: Victoria’s LGBTIQA+ strategy 2022–</w:t>
      </w:r>
      <w:r w:rsidRPr="00BA5B33">
        <w:rPr>
          <w:rFonts w:eastAsia="Calibri"/>
          <w:i/>
          <w:iCs/>
        </w:rPr>
        <w:t>32</w:t>
      </w:r>
      <w:r>
        <w:rPr>
          <w:rFonts w:eastAsia="Calibri"/>
        </w:rPr>
        <w:t xml:space="preserve"> </w:t>
      </w:r>
      <w:r w:rsidRPr="00AE1BF2">
        <w:rPr>
          <w:rFonts w:eastAsia="Calibri"/>
        </w:rPr>
        <w:t>(</w:t>
      </w:r>
      <w:r w:rsidRPr="00815DF9">
        <w:rPr>
          <w:rFonts w:eastAsia="Calibri"/>
        </w:rPr>
        <w:t>Pride in our future</w:t>
      </w:r>
      <w:r w:rsidRPr="00AE1BF2">
        <w:rPr>
          <w:rFonts w:eastAsia="Calibri"/>
        </w:rPr>
        <w:t xml:space="preserve">) </w:t>
      </w:r>
      <w:r>
        <w:rPr>
          <w:rFonts w:eastAsia="Calibri"/>
        </w:rPr>
        <w:t>p</w:t>
      </w:r>
      <w:r w:rsidRPr="0670E279">
        <w:rPr>
          <w:rFonts w:eastAsia="Calibri"/>
        </w:rPr>
        <w:t xml:space="preserve">rovides a vision and plan for LGBTIQA+ equality and inclusion. It </w:t>
      </w:r>
      <w:r>
        <w:rPr>
          <w:rFonts w:eastAsia="Calibri"/>
        </w:rPr>
        <w:t>states</w:t>
      </w:r>
      <w:r w:rsidRPr="0670E279">
        <w:rPr>
          <w:rFonts w:eastAsia="Calibri"/>
        </w:rPr>
        <w:t xml:space="preserve"> that Victorian health and community services should be approachable, welcoming, safe and inclusive for LGBTIQA+ Victorians. It also </w:t>
      </w:r>
      <w:r>
        <w:rPr>
          <w:rFonts w:eastAsia="Calibri"/>
        </w:rPr>
        <w:t>states</w:t>
      </w:r>
      <w:r w:rsidRPr="0670E279">
        <w:rPr>
          <w:rFonts w:eastAsia="Calibri"/>
        </w:rPr>
        <w:t xml:space="preserve"> that LGBTIQA+ people must be able to access services that meet their needs</w:t>
      </w:r>
      <w:r>
        <w:rPr>
          <w:rFonts w:eastAsia="Calibri"/>
        </w:rPr>
        <w:t>.</w:t>
      </w:r>
      <w:r w:rsidRPr="0670E279">
        <w:rPr>
          <w:rFonts w:eastAsia="Calibri"/>
        </w:rPr>
        <w:t xml:space="preserve"> </w:t>
      </w:r>
      <w:r>
        <w:rPr>
          <w:rFonts w:eastAsia="Calibri"/>
        </w:rPr>
        <w:t>T</w:t>
      </w:r>
      <w:r w:rsidRPr="0670E279">
        <w:rPr>
          <w:rFonts w:eastAsia="Calibri"/>
        </w:rPr>
        <w:t>heir health and care service experience</w:t>
      </w:r>
      <w:r>
        <w:rPr>
          <w:rFonts w:eastAsia="Calibri"/>
        </w:rPr>
        <w:t>s</w:t>
      </w:r>
      <w:r w:rsidRPr="0670E279">
        <w:rPr>
          <w:rFonts w:eastAsia="Calibri"/>
        </w:rPr>
        <w:t xml:space="preserve"> should result in improved life outcomes.</w:t>
      </w:r>
    </w:p>
    <w:p w14:paraId="7847CF8C" w14:textId="77777777" w:rsidR="00817104" w:rsidRDefault="00817104" w:rsidP="00817104">
      <w:pPr>
        <w:pStyle w:val="Body"/>
      </w:pPr>
      <w:r>
        <w:t xml:space="preserve">The department expects all health services to develop and implement local policies, procedures and training, so that LGBTIQA+ Victorians experience inclusive and accessible healthcare. </w:t>
      </w:r>
    </w:p>
    <w:p w14:paraId="75F2285D" w14:textId="77777777" w:rsidR="00817104" w:rsidRDefault="00817104" w:rsidP="00817104">
      <w:pPr>
        <w:pStyle w:val="Body"/>
      </w:pPr>
      <w:r>
        <w:t xml:space="preserve">For more information, visit the </w:t>
      </w:r>
      <w:hyperlink r:id="rId167">
        <w:r w:rsidRPr="00815DF9">
          <w:rPr>
            <w:rStyle w:val="Hyperlink"/>
          </w:rPr>
          <w:t>Pride in our future: Victoria’s LGBTIQA+ strategy 2022–32</w:t>
        </w:r>
      </w:hyperlink>
      <w:r w:rsidRPr="0670E279">
        <w:rPr>
          <w:rStyle w:val="Hyperlink"/>
        </w:rPr>
        <w:t xml:space="preserve"> </w:t>
      </w:r>
      <w:r w:rsidRPr="0670E279">
        <w:rPr>
          <w:rFonts w:eastAsia="Calibri"/>
        </w:rPr>
        <w:t>&lt;https://www.vic.gov.au/victorian-lgbtiq-strategy&gt;</w:t>
      </w:r>
      <w:r>
        <w:rPr>
          <w:rFonts w:eastAsia="Calibri"/>
        </w:rPr>
        <w:t>.</w:t>
      </w:r>
    </w:p>
    <w:p w14:paraId="66037763" w14:textId="77777777" w:rsidR="00817104" w:rsidRDefault="00817104" w:rsidP="00817104">
      <w:pPr>
        <w:pStyle w:val="Bodyafterbullets"/>
      </w:pPr>
      <w:r>
        <w:lastRenderedPageBreak/>
        <w:t>The Victorian Government has developed a number of documents to provide guidance to health services, including:</w:t>
      </w:r>
    </w:p>
    <w:p w14:paraId="2E07F7B1" w14:textId="77777777" w:rsidR="00817104" w:rsidRDefault="00817104" w:rsidP="00817104">
      <w:pPr>
        <w:pStyle w:val="Bullet1"/>
        <w:numPr>
          <w:ilvl w:val="0"/>
          <w:numId w:val="2"/>
        </w:numPr>
      </w:pPr>
      <w:hyperlink r:id="rId168">
        <w:r w:rsidRPr="0670E279">
          <w:rPr>
            <w:rStyle w:val="Hyperlink"/>
          </w:rPr>
          <w:t>Community health pride</w:t>
        </w:r>
        <w:r>
          <w:rPr>
            <w:rStyle w:val="Hyperlink"/>
          </w:rPr>
          <w:t xml:space="preserve"> –</w:t>
        </w:r>
        <w:r w:rsidRPr="0670E279">
          <w:rPr>
            <w:rStyle w:val="Hyperlink"/>
          </w:rPr>
          <w:t xml:space="preserve"> LGBTIQA+ inclusive practice resources</w:t>
        </w:r>
      </w:hyperlink>
      <w:r>
        <w:t xml:space="preserve"> &lt;https://www.health.vic.gov.au/community-health/community-health-pride-lgbtiq-inclusive-practice-resources&gt;</w:t>
      </w:r>
    </w:p>
    <w:p w14:paraId="02B61C45" w14:textId="77777777" w:rsidR="00817104" w:rsidRDefault="00817104" w:rsidP="00817104">
      <w:pPr>
        <w:pStyle w:val="Bullet1"/>
        <w:numPr>
          <w:ilvl w:val="0"/>
          <w:numId w:val="2"/>
        </w:numPr>
      </w:pPr>
      <w:hyperlink r:id="rId169">
        <w:r w:rsidRPr="0670E279">
          <w:rPr>
            <w:rStyle w:val="Hyperlink"/>
          </w:rPr>
          <w:t>Inclusive collection and reporting of sex and gender data</w:t>
        </w:r>
      </w:hyperlink>
      <w:r>
        <w:t xml:space="preserve"> &lt;https://www.health.vic.gov.au/publications/inclusive-collection-and-reporting-of-sex-and-gender-data&gt;</w:t>
      </w:r>
    </w:p>
    <w:p w14:paraId="1F6723D0" w14:textId="77777777" w:rsidR="00817104" w:rsidRPr="00BD2EA7" w:rsidRDefault="00817104" w:rsidP="00817104">
      <w:pPr>
        <w:pStyle w:val="Bullet1"/>
        <w:numPr>
          <w:ilvl w:val="0"/>
          <w:numId w:val="2"/>
        </w:numPr>
      </w:pPr>
      <w:hyperlink r:id="rId170">
        <w:r w:rsidRPr="35C7D90A">
          <w:rPr>
            <w:rStyle w:val="Hyperlink"/>
          </w:rPr>
          <w:t>LGBTIQA+ inclusive language guide</w:t>
        </w:r>
      </w:hyperlink>
      <w:r>
        <w:t xml:space="preserve"> &lt;https://www.vic.gov.au/inclusive-language-guide&gt;</w:t>
      </w:r>
    </w:p>
    <w:p w14:paraId="52D5A480" w14:textId="77777777" w:rsidR="00817104" w:rsidRDefault="00817104" w:rsidP="00817104">
      <w:pPr>
        <w:pStyle w:val="Bullet1"/>
        <w:numPr>
          <w:ilvl w:val="0"/>
          <w:numId w:val="2"/>
        </w:numPr>
      </w:pPr>
      <w:hyperlink r:id="rId171">
        <w:r w:rsidRPr="0670E279">
          <w:rPr>
            <w:rStyle w:val="Hyperlink"/>
          </w:rPr>
          <w:t>Understanding LGBTIQA+ health</w:t>
        </w:r>
      </w:hyperlink>
      <w:r>
        <w:t xml:space="preserve"> &lt;</w:t>
      </w:r>
      <w:r w:rsidRPr="00BD2EA7">
        <w:t>https://www.health.vic.gov.au/populations/understanding-lgbtiq-health</w:t>
      </w:r>
      <w:r>
        <w:t>&gt;.</w:t>
      </w:r>
    </w:p>
    <w:p w14:paraId="6914AD58" w14:textId="77777777" w:rsidR="00817104" w:rsidRDefault="00817104" w:rsidP="00817104">
      <w:pPr>
        <w:pStyle w:val="Bodyafterbullets"/>
      </w:pPr>
      <w:r>
        <w:t>Health services are encouraged to consider working towards Rainbow Tick accreditation. This quality framework assists health and human services organisations to demonstrate they are safe, inclusive and affirming services for LGBTIQA+ Victorians.</w:t>
      </w:r>
    </w:p>
    <w:p w14:paraId="594B09EB" w14:textId="77777777" w:rsidR="00817104" w:rsidRDefault="00817104" w:rsidP="00817104">
      <w:pPr>
        <w:pStyle w:val="Body"/>
      </w:pPr>
      <w:r>
        <w:t xml:space="preserve">The Rainbow Tick guides organisations through a cycle of self-assessment and review by external assessors. This process determines the extent to which the organisation (or a service within the organisation) meets the needs of LGBTIQA+ consumers. The </w:t>
      </w:r>
      <w:r w:rsidRPr="00D82ABF">
        <w:t>2023</w:t>
      </w:r>
      <w:r>
        <w:t>–</w:t>
      </w:r>
      <w:r w:rsidRPr="00D82ABF">
        <w:t>24 State Budget</w:t>
      </w:r>
      <w:r>
        <w:t xml:space="preserve"> provided $22.5 million over four years to help deliver </w:t>
      </w:r>
      <w:r w:rsidRPr="00D82ABF">
        <w:rPr>
          <w:i/>
          <w:iCs/>
        </w:rPr>
        <w:t>Pride in our future</w:t>
      </w:r>
      <w:r>
        <w:t>, including funding to expand Rainbow Tick in Victorian health services.</w:t>
      </w:r>
    </w:p>
    <w:p w14:paraId="2EC86D5D" w14:textId="77777777" w:rsidR="00817104" w:rsidRDefault="00817104" w:rsidP="00817104">
      <w:pPr>
        <w:pStyle w:val="Body"/>
      </w:pPr>
      <w:r>
        <w:t xml:space="preserve">For more information, visit </w:t>
      </w:r>
      <w:hyperlink r:id="rId172">
        <w:r w:rsidRPr="0670E279">
          <w:rPr>
            <w:rStyle w:val="Hyperlink"/>
          </w:rPr>
          <w:t>Rainbow Health Australia</w:t>
        </w:r>
      </w:hyperlink>
      <w:r>
        <w:t xml:space="preserve"> &lt;https://rainbowhealthaustralia.org.au/&gt;. </w:t>
      </w:r>
    </w:p>
    <w:p w14:paraId="5A185F53" w14:textId="08E25BB6" w:rsidR="00817104" w:rsidRDefault="00817104" w:rsidP="00817104">
      <w:pPr>
        <w:pStyle w:val="Body"/>
      </w:pPr>
      <w:r>
        <w:t xml:space="preserve">A whole-of-government LGBTIQA+ Taskforce, supported by a departmental Health and Wellbeing Working Group and the Commissioner for LGBTIQA+ Communities, provides advice to the department on the delivery of inclusive and accessible healthcare. Health services can engage these groups by emailing the </w:t>
      </w:r>
      <w:hyperlink r:id="rId173">
        <w:r w:rsidRPr="35C7D90A">
          <w:rPr>
            <w:rStyle w:val="Hyperlink"/>
          </w:rPr>
          <w:t>LGBTIQ Secretariat</w:t>
        </w:r>
      </w:hyperlink>
      <w:r>
        <w:t xml:space="preserve"> </w:t>
      </w:r>
      <w:r w:rsidRPr="0670E279">
        <w:rPr>
          <w:rFonts w:eastAsia="Arial" w:cs="Arial"/>
        </w:rPr>
        <w:t>&lt;LGBTIQSecretariat@health.vic.gov.au&gt;.</w:t>
      </w:r>
    </w:p>
    <w:p w14:paraId="740DEB7C" w14:textId="70CE46B5" w:rsidR="00817104" w:rsidRPr="00DD449D" w:rsidRDefault="00817104" w:rsidP="00817104">
      <w:pPr>
        <w:pStyle w:val="Heading3"/>
      </w:pPr>
      <w:r>
        <w:t>Trans and gender diverse people</w:t>
      </w:r>
    </w:p>
    <w:p w14:paraId="550FE94F" w14:textId="77777777" w:rsidR="00817104" w:rsidRDefault="00817104" w:rsidP="00817104">
      <w:pPr>
        <w:pStyle w:val="Body"/>
      </w:pPr>
      <w:r>
        <w:t xml:space="preserve">‘Transgender’ refers to someone whose gender does not align with their sex recorded at birth. Not all trans people will use this term to describe themselves. Trans and gender diverse people have distinct healthcare and social support needs, particularly during the processes of questioning, defining and affirming their gender identity. </w:t>
      </w:r>
    </w:p>
    <w:p w14:paraId="5E765FE0" w14:textId="77777777" w:rsidR="00817104" w:rsidRDefault="00817104" w:rsidP="00817104">
      <w:pPr>
        <w:pStyle w:val="Body"/>
      </w:pPr>
      <w:r>
        <w:t xml:space="preserve">Health services are required to report sex at birth and </w:t>
      </w:r>
      <w:r w:rsidRPr="00F82F7D">
        <w:t xml:space="preserve">gender </w:t>
      </w:r>
      <w:r>
        <w:t xml:space="preserve">across key health service data collections. This data helps health services and the department monitor service uptake and outcomes for trans and gender diverse Victorians. It also supports the development of targeted programs and funding. </w:t>
      </w:r>
    </w:p>
    <w:p w14:paraId="7E490EF4" w14:textId="77777777" w:rsidR="00817104" w:rsidRDefault="00817104" w:rsidP="00817104">
      <w:pPr>
        <w:pStyle w:val="Body"/>
      </w:pPr>
      <w:r>
        <w:t xml:space="preserve">For guidance on the collection of sex and gender data, see </w:t>
      </w:r>
      <w:hyperlink r:id="rId174">
        <w:r w:rsidRPr="0670E279">
          <w:rPr>
            <w:rStyle w:val="Hyperlink"/>
          </w:rPr>
          <w:t>Inclusive collection and reporting of sex and gender data</w:t>
        </w:r>
      </w:hyperlink>
      <w:r>
        <w:t xml:space="preserve"> &lt;https://www.health.vic.gov.au/publications/inclusive-collection-and-reporting-of-sex-and-gender-data&gt;.</w:t>
      </w:r>
    </w:p>
    <w:p w14:paraId="53CFAD23" w14:textId="77777777" w:rsidR="00817104" w:rsidRDefault="00817104" w:rsidP="00817104">
      <w:pPr>
        <w:pStyle w:val="Body"/>
      </w:pPr>
      <w:r>
        <w:t>Health services should also provide an inclusive environment for trans and gender diverse people, ensuring services meet their unique care needs and choices. This includes:</w:t>
      </w:r>
    </w:p>
    <w:p w14:paraId="6131F35A" w14:textId="77777777" w:rsidR="00817104" w:rsidRDefault="00817104" w:rsidP="00817104">
      <w:pPr>
        <w:pStyle w:val="Bullet1"/>
        <w:numPr>
          <w:ilvl w:val="0"/>
          <w:numId w:val="2"/>
        </w:numPr>
      </w:pPr>
      <w:r>
        <w:t>asking people what their pronouns and preferred names are, and using them</w:t>
      </w:r>
    </w:p>
    <w:p w14:paraId="5451A327" w14:textId="77777777" w:rsidR="00817104" w:rsidRDefault="00817104" w:rsidP="00817104">
      <w:pPr>
        <w:pStyle w:val="Bullet1"/>
        <w:numPr>
          <w:ilvl w:val="0"/>
          <w:numId w:val="2"/>
        </w:numPr>
      </w:pPr>
      <w:r>
        <w:t>providing non-gendered facilities where possible</w:t>
      </w:r>
    </w:p>
    <w:p w14:paraId="5AECF8BE" w14:textId="77777777" w:rsidR="00817104" w:rsidRDefault="00817104" w:rsidP="00817104">
      <w:pPr>
        <w:pStyle w:val="Bullet1"/>
        <w:numPr>
          <w:ilvl w:val="0"/>
          <w:numId w:val="2"/>
        </w:numPr>
      </w:pPr>
      <w:r>
        <w:t xml:space="preserve">avoiding assumptions about gender and sex-specific health issues. </w:t>
      </w:r>
    </w:p>
    <w:p w14:paraId="500F683D" w14:textId="77777777" w:rsidR="00817104" w:rsidRDefault="00817104" w:rsidP="00817104">
      <w:pPr>
        <w:pStyle w:val="Bodyafterbullets"/>
      </w:pPr>
      <w:r>
        <w:t>Health services are encouraged to seek advice and resources from peak bodies and associations to drive service improvement and build workforce capability.</w:t>
      </w:r>
    </w:p>
    <w:p w14:paraId="7A1ED67B" w14:textId="77777777" w:rsidR="00817104" w:rsidRDefault="00817104" w:rsidP="00817104">
      <w:pPr>
        <w:pStyle w:val="Bodyafterbullets"/>
      </w:pPr>
      <w:r>
        <w:lastRenderedPageBreak/>
        <w:t xml:space="preserve">The department funds specialist gender services that can be engaged by health services for information and support. </w:t>
      </w:r>
    </w:p>
    <w:p w14:paraId="0C172339" w14:textId="77777777" w:rsidR="00817104" w:rsidRDefault="00817104" w:rsidP="00817104">
      <w:pPr>
        <w:pStyle w:val="Body"/>
        <w:rPr>
          <w:lang w:val="en-GB"/>
        </w:rPr>
      </w:pPr>
      <w:r w:rsidRPr="00CF2B65">
        <w:t xml:space="preserve">In Victoria, </w:t>
      </w:r>
      <w:r>
        <w:t xml:space="preserve">paediatric gender-affirming </w:t>
      </w:r>
      <w:r w:rsidRPr="00CF2B65">
        <w:t>care is guided by</w:t>
      </w:r>
      <w:r>
        <w:t xml:space="preserve"> the</w:t>
      </w:r>
      <w:r w:rsidRPr="00CF2B65">
        <w:t xml:space="preserve"> </w:t>
      </w:r>
      <w:r w:rsidRPr="006A0E19">
        <w:rPr>
          <w:i/>
          <w:lang w:val="en-GB"/>
        </w:rPr>
        <w:t>Australian Standards of Care and Treatment Guidelines for Trans and Gender Diverse Children and Adolescents</w:t>
      </w:r>
      <w:r>
        <w:rPr>
          <w:lang w:val="en-GB"/>
        </w:rPr>
        <w:t xml:space="preserve">, and a multidisciplinary </w:t>
      </w:r>
      <w:r w:rsidRPr="00E90472">
        <w:rPr>
          <w:lang w:val="en-GB"/>
        </w:rPr>
        <w:t>assessment of pubertal status, medical/mental health needs and social context. It includes non-medical pathways for gender expression and medical treatment</w:t>
      </w:r>
      <w:r>
        <w:rPr>
          <w:lang w:val="en-GB"/>
        </w:rPr>
        <w:t>,</w:t>
      </w:r>
      <w:r w:rsidRPr="00E90472">
        <w:rPr>
          <w:lang w:val="en-GB"/>
        </w:rPr>
        <w:t xml:space="preserve"> where clinically and legally appropriate.</w:t>
      </w:r>
    </w:p>
    <w:p w14:paraId="6EAF02F8" w14:textId="77777777" w:rsidR="00817104" w:rsidRDefault="00817104" w:rsidP="00817104">
      <w:pPr>
        <w:pStyle w:val="Body"/>
      </w:pPr>
      <w:r>
        <w:rPr>
          <w:lang w:val="en-GB"/>
        </w:rPr>
        <w:t>T</w:t>
      </w:r>
      <w:r w:rsidRPr="00CF2B65">
        <w:rPr>
          <w:lang w:val="en-GB"/>
        </w:rPr>
        <w:t xml:space="preserve">he National Health and Medical Research Council </w:t>
      </w:r>
      <w:r>
        <w:rPr>
          <w:lang w:val="en-GB"/>
        </w:rPr>
        <w:t>is</w:t>
      </w:r>
      <w:r w:rsidRPr="00CF2B65">
        <w:rPr>
          <w:lang w:val="en-GB"/>
        </w:rPr>
        <w:t xml:space="preserve"> </w:t>
      </w:r>
      <w:r>
        <w:rPr>
          <w:lang w:val="en-GB"/>
        </w:rPr>
        <w:t xml:space="preserve">currently </w:t>
      </w:r>
      <w:r w:rsidRPr="00CF2B65">
        <w:rPr>
          <w:lang w:val="en-GB"/>
        </w:rPr>
        <w:t>develop</w:t>
      </w:r>
      <w:r>
        <w:rPr>
          <w:lang w:val="en-GB"/>
        </w:rPr>
        <w:t>ing</w:t>
      </w:r>
      <w:r w:rsidRPr="00CF2B65">
        <w:rPr>
          <w:lang w:val="en-GB"/>
        </w:rPr>
        <w:t xml:space="preserve"> new national </w:t>
      </w:r>
      <w:r>
        <w:rPr>
          <w:lang w:val="en-GB"/>
        </w:rPr>
        <w:t xml:space="preserve">clinical </w:t>
      </w:r>
      <w:r w:rsidRPr="00CF2B65">
        <w:rPr>
          <w:lang w:val="en-GB"/>
        </w:rPr>
        <w:t>guidelines</w:t>
      </w:r>
      <w:r>
        <w:rPr>
          <w:lang w:val="en-GB"/>
        </w:rPr>
        <w:t xml:space="preserve"> for the care and treatment of trans and gender diverse people with gender dysphoria under 18 years of age</w:t>
      </w:r>
      <w:r>
        <w:t>.</w:t>
      </w:r>
    </w:p>
    <w:p w14:paraId="4B11C5F3" w14:textId="77777777" w:rsidR="00817104" w:rsidRDefault="00817104" w:rsidP="00817104">
      <w:pPr>
        <w:pStyle w:val="Body"/>
      </w:pPr>
      <w:r w:rsidRPr="00511257">
        <w:t>The 2025</w:t>
      </w:r>
      <w:r>
        <w:t>–</w:t>
      </w:r>
      <w:r w:rsidRPr="00511257">
        <w:t xml:space="preserve">26 </w:t>
      </w:r>
      <w:r w:rsidRPr="00024B20">
        <w:t>State Budget</w:t>
      </w:r>
      <w:r w:rsidRPr="00511257">
        <w:t xml:space="preserve"> provided $15.3 million over </w:t>
      </w:r>
      <w:r>
        <w:t>four</w:t>
      </w:r>
      <w:r w:rsidRPr="00511257">
        <w:t xml:space="preserve"> years and $4.1 million ongoing to support trans and gender diverse young people in Victoria to continue to access the care they need, including through specialist services at </w:t>
      </w:r>
      <w:r>
        <w:t>T</w:t>
      </w:r>
      <w:r w:rsidRPr="00511257">
        <w:t>he Royal Children’s Hospital and Monash Health, community-based mental health and primary care at Orygen, a</w:t>
      </w:r>
      <w:r>
        <w:t>s well as</w:t>
      </w:r>
      <w:r w:rsidRPr="00511257">
        <w:t xml:space="preserve"> peer and family support services at Transcend and Transgender Victoria.</w:t>
      </w:r>
    </w:p>
    <w:p w14:paraId="03E3DDD0" w14:textId="77777777" w:rsidR="00817104" w:rsidRDefault="00817104" w:rsidP="00817104">
      <w:pPr>
        <w:pStyle w:val="Body"/>
      </w:pPr>
      <w:r>
        <w:t xml:space="preserve">This is in addition to the </w:t>
      </w:r>
      <w:r w:rsidRPr="00024B20">
        <w:t>2024</w:t>
      </w:r>
      <w:r>
        <w:t>–</w:t>
      </w:r>
      <w:r w:rsidRPr="00024B20">
        <w:t>25 State Budget</w:t>
      </w:r>
      <w:r>
        <w:t xml:space="preserve"> that provided $2.1 million over four years and $0.5 million ongoing to continue supports for trans and gender diverse adults, delivering two multidisciplinary clinics in Darebin and Ballarat, and statewide training for GPs.</w:t>
      </w:r>
    </w:p>
    <w:p w14:paraId="57C12291" w14:textId="77777777" w:rsidR="00817104" w:rsidRDefault="00817104" w:rsidP="00817104">
      <w:pPr>
        <w:pStyle w:val="Body"/>
      </w:pPr>
      <w:r>
        <w:t xml:space="preserve">For more information, visit </w:t>
      </w:r>
      <w:hyperlink r:id="rId175">
        <w:r w:rsidRPr="001A2020">
          <w:rPr>
            <w:rStyle w:val="Hyperlink"/>
          </w:rPr>
          <w:t>Trans and Gender Di</w:t>
        </w:r>
        <w:bookmarkStart w:id="2282" w:name="_Hlt227080024"/>
        <w:r w:rsidRPr="001A2020">
          <w:rPr>
            <w:rStyle w:val="Hyperlink"/>
          </w:rPr>
          <w:t>v</w:t>
        </w:r>
        <w:bookmarkEnd w:id="2282"/>
        <w:r w:rsidRPr="001A2020">
          <w:rPr>
            <w:rStyle w:val="Hyperlink"/>
          </w:rPr>
          <w:t>erse Services</w:t>
        </w:r>
      </w:hyperlink>
      <w:r>
        <w:t xml:space="preserve"> &lt;https://www.yourch.org.au/service-access/trans-and-gender-diverse-health&gt;.</w:t>
      </w:r>
    </w:p>
    <w:p w14:paraId="275802BF" w14:textId="347B7229" w:rsidR="00817104" w:rsidRPr="00D9248A" w:rsidRDefault="00817104" w:rsidP="00817104">
      <w:pPr>
        <w:pStyle w:val="Heading3"/>
      </w:pPr>
      <w:r w:rsidRPr="0670E279">
        <w:t xml:space="preserve">People with variations in sex characteristics </w:t>
      </w:r>
    </w:p>
    <w:p w14:paraId="766E2CB4" w14:textId="77777777" w:rsidR="00817104" w:rsidRPr="00874E64" w:rsidRDefault="00817104" w:rsidP="00817104">
      <w:pPr>
        <w:pStyle w:val="Body"/>
        <w:rPr>
          <w:lang w:eastAsia="en-AU"/>
        </w:rPr>
      </w:pPr>
      <w:bookmarkStart w:id="2283" w:name="_Toc165461690"/>
      <w:bookmarkStart w:id="2284" w:name="_Toc165461691"/>
      <w:bookmarkStart w:id="2285" w:name="_Toc165461692"/>
      <w:bookmarkStart w:id="2286" w:name="_Toc165461693"/>
      <w:bookmarkStart w:id="2287" w:name="_Toc165461694"/>
      <w:bookmarkStart w:id="2288" w:name="_Toc165964697"/>
      <w:bookmarkStart w:id="2289" w:name="_Toc167174559"/>
      <w:bookmarkEnd w:id="2283"/>
      <w:bookmarkEnd w:id="2284"/>
      <w:bookmarkEnd w:id="2285"/>
      <w:bookmarkEnd w:id="2286"/>
      <w:bookmarkEnd w:id="2287"/>
      <w:r w:rsidRPr="00874E64">
        <w:rPr>
          <w:lang w:eastAsia="en-AU"/>
        </w:rPr>
        <w:t>People with innate variations in sex characteristics, sometimes referred to as 'intersex', are born with sex characteristics that do not fit typical definitions or understandings of male or female bodies. This can include a person's physical traits (such as reproductive organs), chromosomes or hormones, and can become evident prior to or at birth, at puberty or later in life.</w:t>
      </w:r>
      <w:r>
        <w:rPr>
          <w:lang w:eastAsia="en-AU"/>
        </w:rPr>
        <w:t xml:space="preserve"> </w:t>
      </w:r>
    </w:p>
    <w:p w14:paraId="7BB5F4FD" w14:textId="77777777" w:rsidR="00817104" w:rsidRPr="004774E9" w:rsidRDefault="00817104" w:rsidP="00817104">
      <w:pPr>
        <w:pStyle w:val="Body"/>
      </w:pPr>
      <w:r>
        <w:t xml:space="preserve">In February 2026, the Victorian Parliament passed the </w:t>
      </w:r>
      <w:r w:rsidRPr="00EF77FA">
        <w:rPr>
          <w:i/>
          <w:iCs/>
        </w:rPr>
        <w:t>Health Safeguards for People Born with Variations in Sex Characteristics Act 2026</w:t>
      </w:r>
      <w:r>
        <w:t>, which will be implemented gradually over several years, providing a legal framework to protect the rights of people born with variations in sex characteristics, particularly children and young people.</w:t>
      </w:r>
      <w:r w:rsidRPr="004774E9">
        <w:t xml:space="preserve"> </w:t>
      </w:r>
    </w:p>
    <w:p w14:paraId="0E849B01" w14:textId="77777777" w:rsidR="00817104" w:rsidRDefault="00817104" w:rsidP="00817104">
      <w:pPr>
        <w:pStyle w:val="Body"/>
        <w:rPr>
          <w:lang w:eastAsia="en-AU"/>
        </w:rPr>
      </w:pPr>
      <w:r w:rsidRPr="00036707">
        <w:rPr>
          <w:lang w:eastAsia="en-AU"/>
        </w:rPr>
        <w:t xml:space="preserve">The legislation and accompanying regulations and supports will assist </w:t>
      </w:r>
      <w:r>
        <w:rPr>
          <w:lang w:eastAsia="en-AU"/>
        </w:rPr>
        <w:t>doctors</w:t>
      </w:r>
      <w:r w:rsidRPr="00036707">
        <w:rPr>
          <w:lang w:eastAsia="en-AU"/>
        </w:rPr>
        <w:t xml:space="preserve"> to provide best</w:t>
      </w:r>
      <w:r>
        <w:rPr>
          <w:lang w:eastAsia="en-AU"/>
        </w:rPr>
        <w:t>-</w:t>
      </w:r>
      <w:r w:rsidRPr="00036707">
        <w:rPr>
          <w:lang w:eastAsia="en-AU"/>
        </w:rPr>
        <w:t>practice care to people with variations and their families.</w:t>
      </w:r>
    </w:p>
    <w:p w14:paraId="103B2A0B" w14:textId="77777777" w:rsidR="00817104" w:rsidRPr="00036707" w:rsidRDefault="00817104" w:rsidP="00817104">
      <w:pPr>
        <w:pStyle w:val="Body"/>
        <w:rPr>
          <w:lang w:eastAsia="en-AU"/>
        </w:rPr>
      </w:pPr>
      <w:r w:rsidRPr="00036707">
        <w:rPr>
          <w:lang w:eastAsia="en-AU"/>
        </w:rPr>
        <w:t xml:space="preserve">It will ensure </w:t>
      </w:r>
      <w:r>
        <w:rPr>
          <w:lang w:eastAsia="en-AU"/>
        </w:rPr>
        <w:t>doctors</w:t>
      </w:r>
      <w:r w:rsidRPr="00036707">
        <w:rPr>
          <w:lang w:eastAsia="en-AU"/>
        </w:rPr>
        <w:t>:</w:t>
      </w:r>
    </w:p>
    <w:p w14:paraId="48C88FB5" w14:textId="77777777" w:rsidR="00817104" w:rsidRPr="00036707" w:rsidRDefault="00817104" w:rsidP="00817104">
      <w:pPr>
        <w:pStyle w:val="Bullet1"/>
        <w:numPr>
          <w:ilvl w:val="0"/>
          <w:numId w:val="2"/>
        </w:numPr>
        <w:rPr>
          <w:lang w:eastAsia="en-AU"/>
        </w:rPr>
      </w:pPr>
      <w:r w:rsidRPr="00036707">
        <w:rPr>
          <w:lang w:eastAsia="en-AU"/>
        </w:rPr>
        <w:t xml:space="preserve">are protected from </w:t>
      </w:r>
      <w:r>
        <w:rPr>
          <w:lang w:eastAsia="en-AU"/>
        </w:rPr>
        <w:t xml:space="preserve">some </w:t>
      </w:r>
      <w:r w:rsidRPr="00036707">
        <w:rPr>
          <w:lang w:eastAsia="en-AU"/>
        </w:rPr>
        <w:t>decision-making risks</w:t>
      </w:r>
      <w:r>
        <w:rPr>
          <w:lang w:eastAsia="en-AU"/>
        </w:rPr>
        <w:t xml:space="preserve"> through independent oversight</w:t>
      </w:r>
    </w:p>
    <w:p w14:paraId="513DF6EF" w14:textId="77777777" w:rsidR="00817104" w:rsidRPr="00036707" w:rsidRDefault="00817104" w:rsidP="00817104">
      <w:pPr>
        <w:pStyle w:val="Bullet1"/>
        <w:numPr>
          <w:ilvl w:val="0"/>
          <w:numId w:val="2"/>
        </w:numPr>
        <w:rPr>
          <w:lang w:eastAsia="en-AU"/>
        </w:rPr>
      </w:pPr>
      <w:r w:rsidRPr="00036707">
        <w:rPr>
          <w:lang w:eastAsia="en-AU"/>
        </w:rPr>
        <w:t>play a key role in developing individual and pre-approved general treatment plans, ensuring care is consistently provided in line with best</w:t>
      </w:r>
      <w:r>
        <w:rPr>
          <w:lang w:eastAsia="en-AU"/>
        </w:rPr>
        <w:t>-</w:t>
      </w:r>
      <w:r w:rsidRPr="00036707">
        <w:rPr>
          <w:lang w:eastAsia="en-AU"/>
        </w:rPr>
        <w:t>practice evidence</w:t>
      </w:r>
    </w:p>
    <w:p w14:paraId="5137030B" w14:textId="77777777" w:rsidR="00817104" w:rsidRPr="00036707" w:rsidRDefault="00817104" w:rsidP="00817104">
      <w:pPr>
        <w:pStyle w:val="Bullet1"/>
        <w:numPr>
          <w:ilvl w:val="0"/>
          <w:numId w:val="2"/>
        </w:numPr>
        <w:rPr>
          <w:lang w:eastAsia="en-AU"/>
        </w:rPr>
      </w:pPr>
      <w:r w:rsidRPr="00036707">
        <w:rPr>
          <w:lang w:eastAsia="en-AU"/>
        </w:rPr>
        <w:t>are supported to understand the legislation and their roles and responsibilities through resources</w:t>
      </w:r>
      <w:r>
        <w:rPr>
          <w:lang w:eastAsia="en-AU"/>
        </w:rPr>
        <w:t xml:space="preserve"> and</w:t>
      </w:r>
      <w:r w:rsidRPr="00036707">
        <w:rPr>
          <w:lang w:eastAsia="en-AU"/>
        </w:rPr>
        <w:t xml:space="preserve"> guidance</w:t>
      </w:r>
    </w:p>
    <w:p w14:paraId="467C9D21" w14:textId="77777777" w:rsidR="00817104" w:rsidRPr="00036707" w:rsidRDefault="00817104" w:rsidP="00817104">
      <w:pPr>
        <w:pStyle w:val="Bullet1"/>
        <w:numPr>
          <w:ilvl w:val="0"/>
          <w:numId w:val="2"/>
        </w:numPr>
        <w:rPr>
          <w:lang w:eastAsia="en-AU"/>
        </w:rPr>
      </w:pPr>
      <w:r w:rsidRPr="00036707">
        <w:rPr>
          <w:lang w:eastAsia="en-AU"/>
        </w:rPr>
        <w:t>contribute to improvements in data collection to provide better visibility of variations and procedures.</w:t>
      </w:r>
    </w:p>
    <w:p w14:paraId="35A4D68D" w14:textId="77777777" w:rsidR="00817104" w:rsidRDefault="00817104" w:rsidP="00817104">
      <w:pPr>
        <w:pStyle w:val="Bodyafterbullets"/>
      </w:pPr>
      <w:r>
        <w:t>Health services must comply with the legislative requirements and are encouraged to seek advice and resources from relevant peak bodies and associations to support service improvement and build workforce capability ahead of full commencement of the Act on 1 December 2028. The department will work with The Royal Children’s Hospital and Monash Health prior to ‘go live’.</w:t>
      </w:r>
    </w:p>
    <w:p w14:paraId="0FC7B7B7" w14:textId="77777777" w:rsidR="00817104" w:rsidRDefault="00817104" w:rsidP="00817104">
      <w:pPr>
        <w:pStyle w:val="Body"/>
      </w:pPr>
      <w:r w:rsidRPr="004774E9">
        <w:lastRenderedPageBreak/>
        <w:t xml:space="preserve">For more information, visit </w:t>
      </w:r>
      <w:hyperlink r:id="rId176" w:history="1">
        <w:r>
          <w:rPr>
            <w:rStyle w:val="Hyperlink"/>
            <w:rFonts w:cs="Calibri"/>
            <w:shd w:val="clear" w:color="auto" w:fill="FFFFFF"/>
          </w:rPr>
          <w:t>Health of people with innate variations in sex characteristics</w:t>
        </w:r>
      </w:hyperlink>
      <w:r w:rsidRPr="00132C27">
        <w:t xml:space="preserve"> &lt;https://www.health.vic.gov.au/populations/health-of-people-with-intersex-variations&gt;.</w:t>
      </w:r>
    </w:p>
    <w:p w14:paraId="7BDFAECF" w14:textId="7ED751A7" w:rsidR="00817104" w:rsidRPr="005F7F6D" w:rsidRDefault="00817104" w:rsidP="00817104">
      <w:pPr>
        <w:pStyle w:val="Heading2"/>
      </w:pPr>
      <w:bookmarkStart w:id="2290" w:name="_Toc229127699"/>
      <w:bookmarkStart w:id="2291" w:name="_Toc231982310"/>
      <w:r>
        <w:t>Supporting health access and outcomes for people with disability</w:t>
      </w:r>
      <w:bookmarkEnd w:id="2288"/>
      <w:bookmarkEnd w:id="2289"/>
      <w:bookmarkEnd w:id="2290"/>
      <w:bookmarkEnd w:id="2291"/>
    </w:p>
    <w:p w14:paraId="4F423867" w14:textId="77777777" w:rsidR="00817104" w:rsidRPr="00D9248A" w:rsidRDefault="00817104" w:rsidP="00817104">
      <w:pPr>
        <w:pStyle w:val="Body"/>
      </w:pPr>
      <w:bookmarkStart w:id="2292" w:name="_Toc165964698"/>
      <w:bookmarkStart w:id="2293" w:name="_Toc167174560"/>
      <w:r>
        <w:t>Victorian people with disability are diverse in their culture, language, sexuality, gender identity, age, ability, socioeconomic status and life experiences. Approximately 17 per cent of Victorians are people with disability and many of these people have a hidden disability. People with disability have poorer health outcomes and face a range of systemic barriers, including in relation to communication and mobility, as well as physical and psychosocial support needs.</w:t>
      </w:r>
    </w:p>
    <w:p w14:paraId="3A7AB557" w14:textId="77777777" w:rsidR="00817104" w:rsidRDefault="00817104" w:rsidP="00817104">
      <w:pPr>
        <w:pStyle w:val="Body"/>
      </w:pPr>
      <w:r>
        <w:t xml:space="preserve">The </w:t>
      </w:r>
      <w:r w:rsidRPr="00351BD4">
        <w:rPr>
          <w:i/>
          <w:iCs/>
        </w:rPr>
        <w:t xml:space="preserve">Inclusive Victoria: State </w:t>
      </w:r>
      <w:r>
        <w:rPr>
          <w:i/>
          <w:iCs/>
        </w:rPr>
        <w:t>d</w:t>
      </w:r>
      <w:r w:rsidRPr="00351BD4">
        <w:rPr>
          <w:i/>
          <w:iCs/>
        </w:rPr>
        <w:t xml:space="preserve">isability </w:t>
      </w:r>
      <w:r>
        <w:rPr>
          <w:i/>
          <w:iCs/>
        </w:rPr>
        <w:t>p</w:t>
      </w:r>
      <w:r w:rsidRPr="00351BD4">
        <w:rPr>
          <w:i/>
          <w:iCs/>
        </w:rPr>
        <w:t>lan 2022–2026</w:t>
      </w:r>
      <w:r>
        <w:t xml:space="preserve"> sets out whole-of-government commitments to improve the lives of Victorians with disability, including priority actions related to inpatient care, sexual and reproductive health, mental health and health service capability.</w:t>
      </w:r>
    </w:p>
    <w:p w14:paraId="108B8FFE" w14:textId="77777777" w:rsidR="00817104" w:rsidRDefault="00817104" w:rsidP="00817104">
      <w:pPr>
        <w:pStyle w:val="Body"/>
      </w:pPr>
      <w:r>
        <w:t>The State Disability Plan outlines that health and community services should consider how to deliver a range of priority commitments and reforms, including:</w:t>
      </w:r>
    </w:p>
    <w:p w14:paraId="551FBE64" w14:textId="77777777" w:rsidR="00817104" w:rsidRDefault="00817104" w:rsidP="00817104">
      <w:pPr>
        <w:pStyle w:val="Bullet1"/>
        <w:numPr>
          <w:ilvl w:val="0"/>
          <w:numId w:val="2"/>
        </w:numPr>
      </w:pPr>
      <w:r>
        <w:t>enhancing referral pathways to respond to the needs of people with disability</w:t>
      </w:r>
    </w:p>
    <w:p w14:paraId="3DD7E83B" w14:textId="77777777" w:rsidR="00817104" w:rsidRDefault="00817104" w:rsidP="00817104">
      <w:pPr>
        <w:pStyle w:val="Bullet1"/>
        <w:numPr>
          <w:ilvl w:val="0"/>
          <w:numId w:val="2"/>
        </w:numPr>
      </w:pPr>
      <w:r>
        <w:t>co-design</w:t>
      </w:r>
    </w:p>
    <w:p w14:paraId="1EF4FA79" w14:textId="77777777" w:rsidR="00817104" w:rsidRDefault="00817104" w:rsidP="00817104">
      <w:pPr>
        <w:pStyle w:val="Bullet1"/>
        <w:numPr>
          <w:ilvl w:val="0"/>
          <w:numId w:val="2"/>
        </w:numPr>
      </w:pPr>
      <w:r>
        <w:t>developing disability confident and inclusive workforces</w:t>
      </w:r>
    </w:p>
    <w:p w14:paraId="3739C208" w14:textId="77777777" w:rsidR="00817104" w:rsidRDefault="00817104" w:rsidP="00817104">
      <w:pPr>
        <w:pStyle w:val="Bullet1"/>
        <w:numPr>
          <w:ilvl w:val="0"/>
          <w:numId w:val="2"/>
        </w:numPr>
      </w:pPr>
      <w:r>
        <w:t>effective data and outcomes reporting.</w:t>
      </w:r>
    </w:p>
    <w:p w14:paraId="3DD59116" w14:textId="77777777" w:rsidR="00817104" w:rsidRDefault="00817104" w:rsidP="00817104">
      <w:pPr>
        <w:pStyle w:val="Body"/>
      </w:pPr>
      <w:r w:rsidRPr="004A4EE8">
        <w:t>The State Disability Plan and the Victorian Autism Plan</w:t>
      </w:r>
      <w:r>
        <w:t>,</w:t>
      </w:r>
      <w:r w:rsidRPr="004A4EE8">
        <w:t xml:space="preserve"> which sets out additional actions to support people with autism, have been extended to 2027. The Victorian Government will consult on the next State Disability Plan in 2026.</w:t>
      </w:r>
    </w:p>
    <w:p w14:paraId="452BCD36" w14:textId="77777777" w:rsidR="00817104" w:rsidRDefault="00817104" w:rsidP="00817104">
      <w:pPr>
        <w:pStyle w:val="Body"/>
      </w:pPr>
      <w:r>
        <w:t>For more information, visit the:</w:t>
      </w:r>
    </w:p>
    <w:p w14:paraId="3C6C70C0" w14:textId="0919484F" w:rsidR="00817104" w:rsidRDefault="00632A55" w:rsidP="00817104">
      <w:pPr>
        <w:pStyle w:val="Bullet1"/>
        <w:numPr>
          <w:ilvl w:val="0"/>
          <w:numId w:val="2"/>
        </w:numPr>
      </w:pPr>
      <w:hyperlink r:id="rId177" w:history="1">
        <w:r>
          <w:rPr>
            <w:rStyle w:val="Hyperlink"/>
          </w:rPr>
          <w:t>Inclusive Victoria: State disability plan 2022-2026</w:t>
        </w:r>
      </w:hyperlink>
      <w:r w:rsidR="00817104">
        <w:t xml:space="preserve"> &lt;</w:t>
      </w:r>
      <w:r w:rsidR="00817104" w:rsidRPr="00EE11B8">
        <w:t>https://www.vic.gov.au/state-disability-plan</w:t>
      </w:r>
      <w:r w:rsidR="00817104">
        <w:t>&gt;</w:t>
      </w:r>
    </w:p>
    <w:p w14:paraId="272E5150" w14:textId="01696544" w:rsidR="00817104" w:rsidRPr="00C870AC" w:rsidRDefault="00817104" w:rsidP="00817104">
      <w:pPr>
        <w:pStyle w:val="Bullet1"/>
        <w:numPr>
          <w:ilvl w:val="0"/>
          <w:numId w:val="2"/>
        </w:numPr>
      </w:pPr>
      <w:hyperlink r:id="rId178" w:history="1">
        <w:r w:rsidRPr="00CE0E95">
          <w:rPr>
            <w:rStyle w:val="Hyperlink"/>
          </w:rPr>
          <w:t>Victorian Autism Plan</w:t>
        </w:r>
      </w:hyperlink>
      <w:r>
        <w:t xml:space="preserve"> &lt;</w:t>
      </w:r>
      <w:r w:rsidRPr="00C53C54">
        <w:t>https://www.vic.gov.au/victorian-autism-plan</w:t>
      </w:r>
      <w:r>
        <w:t xml:space="preserve">&gt;. </w:t>
      </w:r>
    </w:p>
    <w:p w14:paraId="36F2428E" w14:textId="77777777" w:rsidR="00817104" w:rsidRPr="005F7E21" w:rsidRDefault="00817104" w:rsidP="00817104">
      <w:pPr>
        <w:pStyle w:val="Bodyafterbullets"/>
      </w:pPr>
      <w:r>
        <w:t>The Disability Liaison Officer (DLO) program</w:t>
      </w:r>
      <w:r w:rsidRPr="00140356" w:rsidDel="005250BB">
        <w:t xml:space="preserve"> </w:t>
      </w:r>
      <w:r w:rsidRPr="00140356">
        <w:t>provide</w:t>
      </w:r>
      <w:r>
        <w:t>s</w:t>
      </w:r>
      <w:r w:rsidRPr="00140356">
        <w:t xml:space="preserve"> support so that people with disability can access </w:t>
      </w:r>
      <w:r>
        <w:t xml:space="preserve">essential </w:t>
      </w:r>
      <w:r w:rsidRPr="00140356">
        <w:t>healthcare, such as arranging reasonable adjustments</w:t>
      </w:r>
      <w:r>
        <w:t xml:space="preserve"> and</w:t>
      </w:r>
      <w:r w:rsidRPr="00140356">
        <w:t xml:space="preserve"> communication assistance</w:t>
      </w:r>
      <w:r>
        <w:t>,</w:t>
      </w:r>
      <w:r w:rsidRPr="00140356">
        <w:t xml:space="preserve"> </w:t>
      </w:r>
      <w:r>
        <w:t xml:space="preserve">as well as mobility and </w:t>
      </w:r>
      <w:r w:rsidRPr="00140356">
        <w:t xml:space="preserve">psychosocial support. </w:t>
      </w:r>
      <w:r>
        <w:t>DLOs</w:t>
      </w:r>
      <w:r w:rsidRPr="00140356" w:rsidDel="005250BB">
        <w:t xml:space="preserve"> </w:t>
      </w:r>
      <w:r w:rsidRPr="00140356">
        <w:t>are based in health services across metropolitan and regional Victoria.</w:t>
      </w:r>
    </w:p>
    <w:p w14:paraId="06F008EC" w14:textId="77777777" w:rsidR="00817104" w:rsidRDefault="00817104" w:rsidP="00817104">
      <w:pPr>
        <w:pStyle w:val="Body"/>
      </w:pPr>
      <w:r w:rsidRPr="00140356">
        <w:t>DLOs are driving longer-term health service and system improvement projects</w:t>
      </w:r>
      <w:r>
        <w:t xml:space="preserve"> in line with the Inclusive Victoria</w:t>
      </w:r>
      <w:r w:rsidRPr="00140356">
        <w:t xml:space="preserve">. </w:t>
      </w:r>
      <w:r>
        <w:t>They</w:t>
      </w:r>
      <w:r w:rsidRPr="00140356">
        <w:t xml:space="preserve"> also </w:t>
      </w:r>
      <w:r>
        <w:t>develop</w:t>
      </w:r>
      <w:r w:rsidRPr="00140356">
        <w:t xml:space="preserve"> disability competency within health services</w:t>
      </w:r>
      <w:r>
        <w:t xml:space="preserve"> and support the delivery of Disability Action Plans</w:t>
      </w:r>
      <w:r w:rsidRPr="00140356">
        <w:t>.</w:t>
      </w:r>
    </w:p>
    <w:p w14:paraId="4192F637" w14:textId="77777777" w:rsidR="00817104" w:rsidRDefault="00817104" w:rsidP="00817104">
      <w:pPr>
        <w:pStyle w:val="Body"/>
      </w:pPr>
      <w:r>
        <w:t xml:space="preserve">For more information, see </w:t>
      </w:r>
      <w:hyperlink r:id="rId179">
        <w:r w:rsidRPr="35C7D90A">
          <w:rPr>
            <w:rStyle w:val="Hyperlink"/>
          </w:rPr>
          <w:t>Disability Liaison Officer program</w:t>
        </w:r>
      </w:hyperlink>
      <w:r w:rsidRPr="006F64F5">
        <w:t xml:space="preserve"> </w:t>
      </w:r>
      <w:r>
        <w:t>&lt;</w:t>
      </w:r>
      <w:r w:rsidRPr="006F64F5">
        <w:t>https://www.betterhealth.vic.gov.au/health/servicesandsupport/disability-liaison-officer-program</w:t>
      </w:r>
      <w:r>
        <w:t xml:space="preserve">&gt;, contact the DLO at your health service or </w:t>
      </w:r>
      <w:hyperlink r:id="rId180">
        <w:r w:rsidRPr="0670E279">
          <w:rPr>
            <w:rStyle w:val="Hyperlink"/>
          </w:rPr>
          <w:t>email the DLO Coordinator</w:t>
        </w:r>
      </w:hyperlink>
      <w:r>
        <w:t xml:space="preserve"> &lt;DLOcoordinator@dhhs.vic.gov.au&gt;. </w:t>
      </w:r>
    </w:p>
    <w:p w14:paraId="3DFC6376" w14:textId="25646DCE" w:rsidR="00817104" w:rsidRDefault="00817104" w:rsidP="00817104">
      <w:pPr>
        <w:pStyle w:val="Heading2"/>
      </w:pPr>
      <w:bookmarkStart w:id="2294" w:name="_Toc231982311"/>
      <w:bookmarkStart w:id="2295" w:name="_Toc229127700"/>
      <w:r>
        <w:t>Identifying and managing vulnerable children</w:t>
      </w:r>
      <w:bookmarkEnd w:id="2294"/>
    </w:p>
    <w:p w14:paraId="16808AA6" w14:textId="77777777" w:rsidR="00817104" w:rsidRPr="00083630" w:rsidRDefault="00817104" w:rsidP="00817104">
      <w:pPr>
        <w:pStyle w:val="Body"/>
      </w:pPr>
      <w:r w:rsidRPr="00083630">
        <w:t>Victorian public health services play a critical role in promoting the health, safety and wellbeing of children and young people, particularly those at increased risk of harm or poor health outcomes due to disadvantage, adversity or systemic inequity</w:t>
      </w:r>
      <w:r>
        <w:t xml:space="preserve">. It is essential that </w:t>
      </w:r>
      <w:r w:rsidRPr="00083630">
        <w:t>health services implement systems, policies and practices that ensure care for children and young people is safe, equitable, inclusive and responsive to individual and community need</w:t>
      </w:r>
      <w:r>
        <w:t>s</w:t>
      </w:r>
      <w:r w:rsidRPr="00083630">
        <w:t>.</w:t>
      </w:r>
    </w:p>
    <w:p w14:paraId="5C53C18B" w14:textId="77777777" w:rsidR="00817104" w:rsidRPr="00F037AB" w:rsidRDefault="00817104" w:rsidP="00817104">
      <w:pPr>
        <w:pStyle w:val="Body"/>
      </w:pPr>
      <w:r w:rsidRPr="00F037AB">
        <w:lastRenderedPageBreak/>
        <w:t>Health services are required to identify, support and monitor outcomes for children and young people at increased risk of harm or poor health outcomes, including:</w:t>
      </w:r>
    </w:p>
    <w:p w14:paraId="1434D707" w14:textId="77777777" w:rsidR="00817104" w:rsidRPr="00F037AB" w:rsidRDefault="00817104" w:rsidP="00817104">
      <w:pPr>
        <w:pStyle w:val="Bullet1"/>
        <w:numPr>
          <w:ilvl w:val="0"/>
          <w:numId w:val="2"/>
        </w:numPr>
      </w:pPr>
      <w:r w:rsidRPr="00F037AB">
        <w:t>children in out</w:t>
      </w:r>
      <w:r w:rsidRPr="00F037AB">
        <w:rPr>
          <w:rFonts w:ascii="Cambria Math" w:hAnsi="Cambria Math" w:cs="Cambria Math"/>
        </w:rPr>
        <w:t>‑</w:t>
      </w:r>
      <w:r w:rsidRPr="00F037AB">
        <w:t>of</w:t>
      </w:r>
      <w:r w:rsidRPr="00F037AB">
        <w:rPr>
          <w:rFonts w:ascii="Cambria Math" w:hAnsi="Cambria Math" w:cs="Cambria Math"/>
        </w:rPr>
        <w:t>‑</w:t>
      </w:r>
      <w:r w:rsidRPr="00F037AB">
        <w:t>home care or known to the child protection system</w:t>
      </w:r>
    </w:p>
    <w:p w14:paraId="4A29DFBD" w14:textId="77777777" w:rsidR="00817104" w:rsidRPr="00F037AB" w:rsidRDefault="00817104" w:rsidP="00817104">
      <w:pPr>
        <w:pStyle w:val="Bullet1"/>
        <w:numPr>
          <w:ilvl w:val="0"/>
          <w:numId w:val="2"/>
        </w:numPr>
      </w:pPr>
      <w:r w:rsidRPr="00F037AB">
        <w:t>children with disability</w:t>
      </w:r>
    </w:p>
    <w:p w14:paraId="43793857" w14:textId="77777777" w:rsidR="00817104" w:rsidRPr="00F037AB" w:rsidRDefault="00817104" w:rsidP="00817104">
      <w:pPr>
        <w:pStyle w:val="Bullet1"/>
        <w:numPr>
          <w:ilvl w:val="0"/>
          <w:numId w:val="2"/>
        </w:numPr>
      </w:pPr>
      <w:r w:rsidRPr="00F037AB">
        <w:t>children from culturally and linguistically diverse backgrounds</w:t>
      </w:r>
    </w:p>
    <w:p w14:paraId="1C7343EA" w14:textId="77777777" w:rsidR="00817104" w:rsidRPr="00F037AB" w:rsidRDefault="00817104" w:rsidP="00817104">
      <w:pPr>
        <w:pStyle w:val="Bullet1"/>
        <w:numPr>
          <w:ilvl w:val="0"/>
          <w:numId w:val="2"/>
        </w:numPr>
      </w:pPr>
      <w:r w:rsidRPr="00F037AB">
        <w:t>children experiencing family violence, trauma or other forms of adversity.</w:t>
      </w:r>
    </w:p>
    <w:p w14:paraId="0D01277A" w14:textId="77777777" w:rsidR="00817104" w:rsidRDefault="00817104" w:rsidP="00817104">
      <w:pPr>
        <w:pStyle w:val="Bodyafterbullets"/>
        <w:rPr>
          <w:i/>
          <w:iCs/>
        </w:rPr>
      </w:pPr>
      <w:r w:rsidRPr="00F037AB">
        <w:t>Services must ensure that care delivery, service design and access arrangements are responsive to the needs of these cohorts and do not contribute to exclusion, discrimination or inequitable outcomes</w:t>
      </w:r>
      <w:r w:rsidRPr="0058546D">
        <w:rPr>
          <w:i/>
          <w:iCs/>
        </w:rPr>
        <w:t>.</w:t>
      </w:r>
    </w:p>
    <w:p w14:paraId="00542108" w14:textId="77777777" w:rsidR="00817104" w:rsidRDefault="00817104" w:rsidP="00817104">
      <w:pPr>
        <w:pStyle w:val="Body"/>
      </w:pPr>
      <w:r>
        <w:t>Health services must embed child health equity, cultural safety and trauma</w:t>
      </w:r>
      <w:r>
        <w:rPr>
          <w:rFonts w:ascii="Cambria Math" w:hAnsi="Cambria Math" w:cs="Cambria Math"/>
        </w:rPr>
        <w:t>‑</w:t>
      </w:r>
      <w:r>
        <w:t>informed practice within clinical and organisational governance frameworks.</w:t>
      </w:r>
    </w:p>
    <w:p w14:paraId="3683DBBD" w14:textId="77777777" w:rsidR="00817104" w:rsidRDefault="00817104" w:rsidP="00817104">
      <w:pPr>
        <w:pStyle w:val="Body"/>
      </w:pPr>
      <w:r>
        <w:t>This includes:</w:t>
      </w:r>
    </w:p>
    <w:p w14:paraId="7B91C576" w14:textId="77777777" w:rsidR="00817104" w:rsidRDefault="00817104" w:rsidP="00817104">
      <w:pPr>
        <w:pStyle w:val="Bullet1"/>
        <w:numPr>
          <w:ilvl w:val="0"/>
          <w:numId w:val="2"/>
        </w:numPr>
      </w:pPr>
      <w:r>
        <w:t>clear leadership and accountability for child safety and equity</w:t>
      </w:r>
    </w:p>
    <w:p w14:paraId="22514C5C" w14:textId="77777777" w:rsidR="00817104" w:rsidRDefault="00817104" w:rsidP="00817104">
      <w:pPr>
        <w:pStyle w:val="Bullet1"/>
        <w:numPr>
          <w:ilvl w:val="0"/>
          <w:numId w:val="2"/>
        </w:numPr>
      </w:pPr>
      <w:r>
        <w:t>systems to identify and respond to risk for vulnerable children</w:t>
      </w:r>
    </w:p>
    <w:p w14:paraId="23EB2F14" w14:textId="77777777" w:rsidR="00817104" w:rsidRDefault="00817104" w:rsidP="00817104">
      <w:pPr>
        <w:pStyle w:val="Bullet1"/>
        <w:numPr>
          <w:ilvl w:val="0"/>
          <w:numId w:val="2"/>
        </w:numPr>
      </w:pPr>
      <w:r>
        <w:t>policies and procedures aligned with legislated Child Safe Standards and the NSQHS Standards</w:t>
      </w:r>
    </w:p>
    <w:p w14:paraId="1079DAF3" w14:textId="77777777" w:rsidR="00817104" w:rsidRDefault="00817104" w:rsidP="00817104">
      <w:pPr>
        <w:pStyle w:val="Bullet1"/>
        <w:numPr>
          <w:ilvl w:val="0"/>
          <w:numId w:val="2"/>
        </w:numPr>
      </w:pPr>
      <w:r>
        <w:t>mechanisms to monitor access, experience and outcomes for priority cohorts, including the use of data, feedback and quality improvement processes.</w:t>
      </w:r>
    </w:p>
    <w:p w14:paraId="2DD15719" w14:textId="77777777" w:rsidR="00817104" w:rsidRPr="002635F1" w:rsidRDefault="00817104" w:rsidP="00817104">
      <w:pPr>
        <w:pStyle w:val="Bodyafterbullets"/>
      </w:pPr>
      <w:r>
        <w:t>Health services are expected to be guided by relevant Victorian and national frameworks to support the implementation and delivery of safe, equitable and inclusive care for all children and young people.</w:t>
      </w:r>
    </w:p>
    <w:p w14:paraId="5307241C" w14:textId="77777777" w:rsidR="00817104" w:rsidRDefault="00817104" w:rsidP="00817104">
      <w:pPr>
        <w:pStyle w:val="Body"/>
      </w:pPr>
      <w:r w:rsidRPr="0670E279">
        <w:rPr>
          <w:i/>
          <w:iCs/>
        </w:rPr>
        <w:t xml:space="preserve">Healthcare that counts: </w:t>
      </w:r>
      <w:r>
        <w:rPr>
          <w:i/>
          <w:iCs/>
        </w:rPr>
        <w:t>a</w:t>
      </w:r>
      <w:r w:rsidRPr="0670E279">
        <w:rPr>
          <w:i/>
          <w:iCs/>
        </w:rPr>
        <w:t xml:space="preserve"> framework for improving care for vulnerable children in Victorian health services</w:t>
      </w:r>
      <w:r>
        <w:t xml:space="preserve"> articulates the role of all Victorian health services in the early identification and effective response to vulnerable children.</w:t>
      </w:r>
    </w:p>
    <w:p w14:paraId="540131B1" w14:textId="77777777" w:rsidR="00817104" w:rsidRDefault="00817104" w:rsidP="00817104">
      <w:pPr>
        <w:pStyle w:val="Body"/>
      </w:pPr>
      <w:r>
        <w:t>This framework is a quality improvement and best-practice guide that should be implemented in all hospitals, health services and community service organisations delivering health programs in Victoria. It includes five action areas to guide system improvement, as well as indicators of best practice. This will enable health services to annually benchmark and self-assess their implementation progress, using the accompanying self-assessment tool.</w:t>
      </w:r>
    </w:p>
    <w:p w14:paraId="4CDC463E" w14:textId="77777777" w:rsidR="00817104" w:rsidRPr="005F50F6" w:rsidRDefault="00817104" w:rsidP="00817104">
      <w:pPr>
        <w:pStyle w:val="Body"/>
      </w:pPr>
      <w:r>
        <w:t xml:space="preserve">For more information, visit </w:t>
      </w:r>
      <w:hyperlink r:id="rId181" w:history="1">
        <w:r w:rsidRPr="001A0ECE">
          <w:rPr>
            <w:rStyle w:val="Hyperlink"/>
          </w:rPr>
          <w:t>Healthcare that counts</w:t>
        </w:r>
      </w:hyperlink>
      <w:r>
        <w:rPr>
          <w:i/>
          <w:iCs/>
        </w:rPr>
        <w:t xml:space="preserve"> </w:t>
      </w:r>
      <w:r>
        <w:t>&lt;</w:t>
      </w:r>
      <w:r w:rsidRPr="00EE6196">
        <w:t>https://www.health.vic.gov.au/publications/healthcare-that-counts</w:t>
      </w:r>
      <w:r>
        <w:t>&gt;.</w:t>
      </w:r>
    </w:p>
    <w:p w14:paraId="397F846D" w14:textId="77777777" w:rsidR="00817104" w:rsidRDefault="00817104" w:rsidP="00817104">
      <w:pPr>
        <w:pStyle w:val="Body"/>
      </w:pPr>
      <w:r>
        <w:t xml:space="preserve">The framework aligns with the Victorian Child Safe Standards and is supported by free online training for all Victorian health professionals at the </w:t>
      </w:r>
      <w:hyperlink r:id="rId182">
        <w:r w:rsidRPr="0670E279">
          <w:rPr>
            <w:rStyle w:val="Hyperlink"/>
          </w:rPr>
          <w:t>Children at Risk Learning Portal</w:t>
        </w:r>
      </w:hyperlink>
      <w:r>
        <w:t xml:space="preserve"> &lt;https://vulnerablechildren.kineoportal.com.au&gt; and </w:t>
      </w:r>
      <w:hyperlink r:id="rId183" w:history="1">
        <w:r w:rsidRPr="00A66964">
          <w:rPr>
            <w:rStyle w:val="Hyperlink"/>
          </w:rPr>
          <w:t>Vulnerable Children</w:t>
        </w:r>
      </w:hyperlink>
      <w:r>
        <w:t xml:space="preserve"> &lt;</w:t>
      </w:r>
      <w:r w:rsidRPr="00B63B6B">
        <w:t>https://www.health.vic.gov.au/populations/vulnerable-children</w:t>
      </w:r>
      <w:r>
        <w:t xml:space="preserve">&gt;. </w:t>
      </w:r>
    </w:p>
    <w:p w14:paraId="6C082382" w14:textId="18D52E50" w:rsidR="00817104" w:rsidRDefault="00817104" w:rsidP="00817104">
      <w:pPr>
        <w:pStyle w:val="Heading2"/>
      </w:pPr>
      <w:bookmarkStart w:id="2296" w:name="_Toc231982312"/>
      <w:r>
        <w:t xml:space="preserve">Inclusive </w:t>
      </w:r>
      <w:r w:rsidRPr="005F7E21">
        <w:t>and</w:t>
      </w:r>
      <w:r>
        <w:t xml:space="preserve"> culturally responsive healthcare for multicultural communities</w:t>
      </w:r>
      <w:bookmarkEnd w:id="2292"/>
      <w:bookmarkEnd w:id="2293"/>
      <w:bookmarkEnd w:id="2295"/>
      <w:bookmarkEnd w:id="2296"/>
      <w:r>
        <w:t xml:space="preserve"> </w:t>
      </w:r>
    </w:p>
    <w:p w14:paraId="0F47313C" w14:textId="455E6890" w:rsidR="00817104" w:rsidRPr="0008516D" w:rsidRDefault="00817104" w:rsidP="00817104">
      <w:pPr>
        <w:pStyle w:val="Heading3"/>
      </w:pPr>
      <w:r w:rsidRPr="0034298A">
        <w:t>Multicultural</w:t>
      </w:r>
      <w:r w:rsidRPr="0670E279">
        <w:t xml:space="preserve"> communities</w:t>
      </w:r>
    </w:p>
    <w:p w14:paraId="393879C7" w14:textId="77777777" w:rsidR="00817104" w:rsidRDefault="00817104" w:rsidP="00817104">
      <w:pPr>
        <w:pStyle w:val="Body"/>
      </w:pPr>
      <w:r>
        <w:t>Victoria is home to one of the most culturally diverse societies in the world. We are among the fastest growing and most diverse states in Australia. Almost half of Victorians were born overseas or have at least one parent born overseas. Across Victoria, people have come from more than 300 countries, speak over 290 languages and follow over 200 different faiths.</w:t>
      </w:r>
    </w:p>
    <w:p w14:paraId="46A49CDC" w14:textId="77777777" w:rsidR="00817104" w:rsidRDefault="00817104" w:rsidP="00817104">
      <w:pPr>
        <w:pStyle w:val="Body"/>
      </w:pPr>
      <w:r>
        <w:lastRenderedPageBreak/>
        <w:t xml:space="preserve">The department’s </w:t>
      </w:r>
      <w:r w:rsidRPr="00BA5B33">
        <w:t>Multicultural health action plan 2023–27</w:t>
      </w:r>
      <w:r>
        <w:t xml:space="preserve"> outlines commitments and actions to improve the health and wellbeing of multicultural communities in Victoria, particularly through embedding cultural competency into all services, programs and policies. </w:t>
      </w:r>
    </w:p>
    <w:p w14:paraId="34228E65" w14:textId="77777777" w:rsidR="00817104" w:rsidRDefault="00817104" w:rsidP="00817104">
      <w:pPr>
        <w:pStyle w:val="Body"/>
      </w:pPr>
      <w:r>
        <w:t xml:space="preserve">For more information, visit </w:t>
      </w:r>
      <w:hyperlink r:id="rId184">
        <w:r w:rsidRPr="0670E279">
          <w:rPr>
            <w:rStyle w:val="Hyperlink"/>
          </w:rPr>
          <w:t>Multicultural health action plan 2023</w:t>
        </w:r>
        <w:r>
          <w:rPr>
            <w:rStyle w:val="Hyperlink"/>
          </w:rPr>
          <w:t>–</w:t>
        </w:r>
        <w:r w:rsidRPr="0670E279">
          <w:rPr>
            <w:rStyle w:val="Hyperlink"/>
          </w:rPr>
          <w:t>27</w:t>
        </w:r>
      </w:hyperlink>
      <w:r>
        <w:t xml:space="preserve"> &lt;https://www.health.vic.gov.au/multicultural-health-action-plan-2023-27&gt;.</w:t>
      </w:r>
    </w:p>
    <w:p w14:paraId="2CBD96CE" w14:textId="77777777" w:rsidR="00817104" w:rsidRDefault="00817104" w:rsidP="00817104">
      <w:pPr>
        <w:pStyle w:val="Body"/>
      </w:pPr>
      <w:r>
        <w:t>Some multicultural communities experience significant health and wellbeing disparities when compared with the Australian-born population. This is largely the result of social determinants of health, such as language and communication barriers, experiences of racism and discrimination, financial stress and vulnerability, and low health literacy, as well as challenges navigating unfamiliar health and social service systems, and diverse cultural understandings of health, mental health and disability.</w:t>
      </w:r>
    </w:p>
    <w:p w14:paraId="004F15B6" w14:textId="77777777" w:rsidR="00817104" w:rsidRDefault="00817104" w:rsidP="00817104">
      <w:pPr>
        <w:pStyle w:val="Body"/>
      </w:pPr>
      <w:r>
        <w:t xml:space="preserve">The Victorian Government’s commitment to multiculturalism is outlined in </w:t>
      </w:r>
      <w:hyperlink r:id="rId185">
        <w:r w:rsidRPr="00D32F57">
          <w:rPr>
            <w:rStyle w:val="Hyperlink"/>
            <w:i/>
            <w:iCs/>
          </w:rPr>
          <w:t>Victoria’s anti-racism strategy 2024–2029</w:t>
        </w:r>
      </w:hyperlink>
      <w:r>
        <w:t xml:space="preserve"> &lt;</w:t>
      </w:r>
      <w:r w:rsidRPr="009F2B4B">
        <w:t>https://www.vic.gov.au/victorias-anti-racism-strategy-2024-2029</w:t>
      </w:r>
      <w:r>
        <w:t xml:space="preserve">&gt;. </w:t>
      </w:r>
    </w:p>
    <w:p w14:paraId="7500956C" w14:textId="77777777" w:rsidR="00817104" w:rsidRDefault="00817104" w:rsidP="00817104">
      <w:pPr>
        <w:pStyle w:val="Body"/>
      </w:pPr>
      <w:r>
        <w:t>Legislation that protects and promotes the rights of culturally and linguistically diverse Victorians includes the:</w:t>
      </w:r>
    </w:p>
    <w:p w14:paraId="327133D1" w14:textId="77777777" w:rsidR="00817104" w:rsidRPr="005F7E21" w:rsidRDefault="00817104" w:rsidP="00817104">
      <w:pPr>
        <w:pStyle w:val="Bullet1"/>
        <w:numPr>
          <w:ilvl w:val="0"/>
          <w:numId w:val="2"/>
        </w:numPr>
      </w:pPr>
      <w:hyperlink r:id="rId186">
        <w:r w:rsidRPr="00BA5B33">
          <w:rPr>
            <w:rStyle w:val="Hyperlink"/>
            <w:i/>
            <w:iCs/>
          </w:rPr>
          <w:t>Multicultural Victoria Act 2011</w:t>
        </w:r>
        <w:r w:rsidRPr="00D1655D">
          <w:t xml:space="preserve"> </w:t>
        </w:r>
      </w:hyperlink>
      <w:r w:rsidRPr="005F7E21">
        <w:t>&lt;</w:t>
      </w:r>
      <w:hyperlink r:id="rId187">
        <w:r w:rsidRPr="00140356">
          <w:t>https://www.legislation.vic.gov.au/in-force/acts/multicultural-victoria-act-2011/002</w:t>
        </w:r>
      </w:hyperlink>
      <w:r w:rsidRPr="005F7E21">
        <w:t>&gt;</w:t>
      </w:r>
    </w:p>
    <w:p w14:paraId="3BDDAA39" w14:textId="77777777" w:rsidR="00817104" w:rsidRPr="005F7E21" w:rsidRDefault="00817104" w:rsidP="00817104">
      <w:pPr>
        <w:pStyle w:val="Bullet1"/>
        <w:numPr>
          <w:ilvl w:val="0"/>
          <w:numId w:val="2"/>
        </w:numPr>
      </w:pPr>
      <w:hyperlink r:id="rId188">
        <w:r w:rsidRPr="002D6AE5">
          <w:rPr>
            <w:rStyle w:val="Hyperlink"/>
            <w:i/>
            <w:iCs/>
          </w:rPr>
          <w:t>Charter of Human Rights and Responsibilities Act 2006</w:t>
        </w:r>
        <w:r w:rsidRPr="002D6AE5">
          <w:rPr>
            <w:i/>
            <w:iCs/>
          </w:rPr>
          <w:t xml:space="preserve"> </w:t>
        </w:r>
      </w:hyperlink>
      <w:r w:rsidRPr="002D6AE5">
        <w:rPr>
          <w:i/>
          <w:iCs/>
        </w:rPr>
        <w:t>&lt;</w:t>
      </w:r>
      <w:hyperlink r:id="rId189">
        <w:r w:rsidRPr="00140356">
          <w:t>https://www.legislation.vic.gov.au/in-force/acts/charter-human-rights-and-responsibilities-act-2006/014</w:t>
        </w:r>
      </w:hyperlink>
      <w:r w:rsidRPr="005F7E21">
        <w:t>&gt;</w:t>
      </w:r>
    </w:p>
    <w:p w14:paraId="41D8299E" w14:textId="5D2AFFD8" w:rsidR="00817104" w:rsidRPr="009F5D50" w:rsidRDefault="00457265" w:rsidP="009F5D50">
      <w:pPr>
        <w:pStyle w:val="Bullet1"/>
        <w:numPr>
          <w:ilvl w:val="0"/>
          <w:numId w:val="2"/>
        </w:numPr>
        <w:rPr>
          <w:color w:val="004C97"/>
          <w:u w:val="dotted"/>
        </w:rPr>
      </w:pPr>
      <w:hyperlink r:id="rId190" w:history="1">
        <w:r w:rsidRPr="009F5D50">
          <w:rPr>
            <w:rStyle w:val="Hyperlink"/>
            <w:i/>
            <w:iCs/>
          </w:rPr>
          <w:t>Justice Legislation Amendment (Anti-vilification and Social Cohesion) Act 2025</w:t>
        </w:r>
      </w:hyperlink>
      <w:r w:rsidR="009F5D50">
        <w:t xml:space="preserve"> </w:t>
      </w:r>
      <w:r w:rsidR="00817104" w:rsidRPr="005F7E21">
        <w:t>&lt;</w:t>
      </w:r>
      <w:r w:rsidR="009F5D50" w:rsidRPr="009F5D50">
        <w:t>https://www.legislation.vic.gov.au/as-made/acts/justice-legislation-amendment-anti-vilification-and-social-cohesion-act-2025</w:t>
      </w:r>
      <w:r w:rsidR="009F5D50">
        <w:t>&gt;</w:t>
      </w:r>
    </w:p>
    <w:p w14:paraId="1CC1753B" w14:textId="77777777" w:rsidR="00817104" w:rsidRDefault="00817104" w:rsidP="00817104">
      <w:pPr>
        <w:pStyle w:val="Bodyafterbullets"/>
      </w:pPr>
      <w:r>
        <w:t>Services should familiarise themselves with multicultural health programs funded by the department, including:</w:t>
      </w:r>
    </w:p>
    <w:p w14:paraId="44BB2250" w14:textId="77777777" w:rsidR="00817104" w:rsidRPr="00140356" w:rsidRDefault="00817104" w:rsidP="00817104">
      <w:pPr>
        <w:pStyle w:val="Bullet1"/>
        <w:numPr>
          <w:ilvl w:val="0"/>
          <w:numId w:val="2"/>
        </w:numPr>
      </w:pPr>
      <w:hyperlink r:id="rId191" w:history="1">
        <w:r w:rsidRPr="00A66964">
          <w:rPr>
            <w:rStyle w:val="Hyperlink"/>
          </w:rPr>
          <w:t>Centre for Culture, Equity and Health</w:t>
        </w:r>
      </w:hyperlink>
      <w:r w:rsidRPr="0670E279">
        <w:rPr>
          <w:rStyle w:val="Hyperlink"/>
        </w:rPr>
        <w:t xml:space="preserve"> </w:t>
      </w:r>
      <w:r w:rsidRPr="00140356">
        <w:t>&lt;https://www.ceh.org.au&gt;</w:t>
      </w:r>
    </w:p>
    <w:p w14:paraId="5A2034A6" w14:textId="77777777" w:rsidR="00817104" w:rsidRDefault="00817104" w:rsidP="00817104">
      <w:pPr>
        <w:pStyle w:val="Bullet1"/>
        <w:numPr>
          <w:ilvl w:val="0"/>
          <w:numId w:val="2"/>
        </w:numPr>
      </w:pPr>
      <w:hyperlink r:id="rId192">
        <w:r w:rsidRPr="0670E279">
          <w:rPr>
            <w:rStyle w:val="Hyperlink"/>
          </w:rPr>
          <w:t>Victorian Transcultural Mental Health</w:t>
        </w:r>
      </w:hyperlink>
      <w:r>
        <w:t xml:space="preserve"> </w:t>
      </w:r>
      <w:r w:rsidRPr="005F7E21">
        <w:t>&lt;</w:t>
      </w:r>
      <w:hyperlink r:id="rId193">
        <w:r w:rsidRPr="00140356">
          <w:t>https://vtmh.org.au</w:t>
        </w:r>
      </w:hyperlink>
      <w:r w:rsidRPr="005F7E21">
        <w:t>&gt;</w:t>
      </w:r>
    </w:p>
    <w:p w14:paraId="20909920" w14:textId="77777777" w:rsidR="00817104" w:rsidRDefault="00817104" w:rsidP="00817104">
      <w:pPr>
        <w:pStyle w:val="Bullet1"/>
        <w:numPr>
          <w:ilvl w:val="0"/>
          <w:numId w:val="2"/>
        </w:numPr>
      </w:pPr>
      <w:hyperlink r:id="rId194">
        <w:r w:rsidRPr="0670E279">
          <w:rPr>
            <w:rStyle w:val="Hyperlink"/>
          </w:rPr>
          <w:t>Multicultural Centre for Women’s Health</w:t>
        </w:r>
      </w:hyperlink>
      <w:r>
        <w:t xml:space="preserve"> &lt;https://www.mcwh.com.au/&gt;</w:t>
      </w:r>
    </w:p>
    <w:p w14:paraId="664F2BC7" w14:textId="77777777" w:rsidR="00817104" w:rsidRDefault="00817104" w:rsidP="00817104">
      <w:pPr>
        <w:pStyle w:val="Bullet1"/>
        <w:numPr>
          <w:ilvl w:val="0"/>
          <w:numId w:val="2"/>
        </w:numPr>
      </w:pPr>
      <w:hyperlink r:id="rId195">
        <w:r w:rsidRPr="0670E279">
          <w:rPr>
            <w:rStyle w:val="Hyperlink"/>
          </w:rPr>
          <w:t>The Royal Children’s Hospital’s Immigrant Health Service</w:t>
        </w:r>
      </w:hyperlink>
      <w:r>
        <w:t xml:space="preserve"> </w:t>
      </w:r>
      <w:r w:rsidRPr="005F7E21">
        <w:t>&lt;https://www.rch.org.au/immigranthealth&gt;.</w:t>
      </w:r>
    </w:p>
    <w:p w14:paraId="064F5241" w14:textId="77777777" w:rsidR="00817104" w:rsidRDefault="00817104" w:rsidP="00817104">
      <w:pPr>
        <w:pStyle w:val="Bodyafterbullets"/>
      </w:pPr>
      <w:r>
        <w:t>The Multicultural Health Advisory Committee has been established to provide representatives from Victoria’s multicultural communities and health sector with a forum to advise the Victorian Government on community insights, experience and expertise related to health priorities for Victoria.</w:t>
      </w:r>
    </w:p>
    <w:p w14:paraId="2C133CBD" w14:textId="77777777" w:rsidR="00817104" w:rsidRDefault="00817104" w:rsidP="00817104">
      <w:pPr>
        <w:pStyle w:val="Bodyafterbullets"/>
      </w:pPr>
      <w:r>
        <w:t xml:space="preserve">For more information, visit </w:t>
      </w:r>
      <w:hyperlink r:id="rId196" w:history="1">
        <w:r w:rsidRPr="006F508A">
          <w:rPr>
            <w:rStyle w:val="Hyperlink"/>
          </w:rPr>
          <w:t>Victoria’s Multicultural Health Advisory Committee</w:t>
        </w:r>
      </w:hyperlink>
      <w:r w:rsidRPr="006F508A">
        <w:t xml:space="preserve"> </w:t>
      </w:r>
      <w:r>
        <w:t>&lt;</w:t>
      </w:r>
      <w:r w:rsidRPr="00AF0DB7">
        <w:t>https://www.health.vic.gov.au/populations/victorias-multicultural-health-advisory-committee</w:t>
      </w:r>
      <w:r>
        <w:t>&gt;.</w:t>
      </w:r>
    </w:p>
    <w:p w14:paraId="790DF02E" w14:textId="77777777" w:rsidR="00817104" w:rsidRDefault="00817104" w:rsidP="00817104">
      <w:pPr>
        <w:pStyle w:val="Bodyafterbullets"/>
      </w:pPr>
      <w:r>
        <w:t xml:space="preserve">For more information on multicultural health and wellbeing, </w:t>
      </w:r>
      <w:r w:rsidRPr="005F7E21">
        <w:t>and</w:t>
      </w:r>
      <w:r>
        <w:t xml:space="preserve"> funded initiatives, visit </w:t>
      </w:r>
      <w:hyperlink r:id="rId197">
        <w:r w:rsidRPr="0670E279">
          <w:rPr>
            <w:rStyle w:val="Hyperlink"/>
          </w:rPr>
          <w:t xml:space="preserve">Improving health </w:t>
        </w:r>
        <w:r>
          <w:rPr>
            <w:rStyle w:val="Hyperlink"/>
          </w:rPr>
          <w:t xml:space="preserve">and wellbeing </w:t>
        </w:r>
        <w:r w:rsidRPr="0670E279">
          <w:rPr>
            <w:rStyle w:val="Hyperlink"/>
          </w:rPr>
          <w:t>for Victoria</w:t>
        </w:r>
        <w:r>
          <w:rPr>
            <w:rStyle w:val="Hyperlink"/>
          </w:rPr>
          <w:t>’s multicultural communities</w:t>
        </w:r>
      </w:hyperlink>
      <w:r>
        <w:t xml:space="preserve"> </w:t>
      </w:r>
      <w:r w:rsidRPr="00284579">
        <w:t>&lt;https://www.health.vic.gov.au/populations/improving-health-for-victorians-from-culturally-and-linguistically-diverse-backgrounds&gt;.</w:t>
      </w:r>
    </w:p>
    <w:p w14:paraId="26C40687" w14:textId="51DE2A50" w:rsidR="00817104" w:rsidRPr="0008516D" w:rsidRDefault="00817104" w:rsidP="00817104">
      <w:pPr>
        <w:pStyle w:val="Heading3"/>
      </w:pPr>
      <w:r w:rsidRPr="0670E279">
        <w:t xml:space="preserve">Refugees and </w:t>
      </w:r>
      <w:r w:rsidRPr="005F7E21">
        <w:t>people</w:t>
      </w:r>
      <w:r w:rsidRPr="0670E279">
        <w:t xml:space="preserve"> seeking asylum</w:t>
      </w:r>
    </w:p>
    <w:p w14:paraId="493B3F96" w14:textId="77777777" w:rsidR="00817104" w:rsidRDefault="00817104" w:rsidP="00817104">
      <w:pPr>
        <w:pStyle w:val="Body"/>
      </w:pPr>
      <w:r>
        <w:t xml:space="preserve">Refugees and people seeking asylum can experience significant health and wellbeing disparities related to their refugee journey. This includes prolonged periods in refugee camps, experiences of war, torture and trauma, loss of or separation from family members, dangerous journeys to Australia, deprivation and limited or interrupted healthcare access. </w:t>
      </w:r>
    </w:p>
    <w:p w14:paraId="01032F78" w14:textId="77777777" w:rsidR="00817104" w:rsidRDefault="00817104" w:rsidP="00817104">
      <w:pPr>
        <w:pStyle w:val="Body"/>
      </w:pPr>
      <w:r>
        <w:lastRenderedPageBreak/>
        <w:t>Services should familiarise themselves with programs funded by the department to support at-risk refugees and people seeking asylum, including the:</w:t>
      </w:r>
    </w:p>
    <w:p w14:paraId="7240B721" w14:textId="77777777" w:rsidR="00817104" w:rsidRDefault="00817104" w:rsidP="00817104">
      <w:pPr>
        <w:pStyle w:val="Bullet1"/>
        <w:numPr>
          <w:ilvl w:val="0"/>
          <w:numId w:val="2"/>
        </w:numPr>
      </w:pPr>
      <w:hyperlink r:id="rId198">
        <w:r w:rsidRPr="0670E279">
          <w:rPr>
            <w:rStyle w:val="Hyperlink"/>
          </w:rPr>
          <w:t>Refugee Health Program</w:t>
        </w:r>
      </w:hyperlink>
      <w:r>
        <w:t xml:space="preserve"> &lt;https://www.health.vic.gov.au/community-health/refugee-health-program&gt;</w:t>
      </w:r>
    </w:p>
    <w:p w14:paraId="37BE5118" w14:textId="77777777" w:rsidR="00817104" w:rsidRDefault="00817104" w:rsidP="00817104">
      <w:pPr>
        <w:pStyle w:val="Bullet1"/>
        <w:numPr>
          <w:ilvl w:val="0"/>
          <w:numId w:val="2"/>
        </w:numPr>
      </w:pPr>
      <w:hyperlink r:id="rId199">
        <w:r w:rsidRPr="0670E279">
          <w:rPr>
            <w:rStyle w:val="Hyperlink"/>
          </w:rPr>
          <w:t>Victorian Refugee Health Network</w:t>
        </w:r>
      </w:hyperlink>
      <w:r>
        <w:t xml:space="preserve"> &lt;https://refugeehealthnetwork.org.au&gt;</w:t>
      </w:r>
    </w:p>
    <w:p w14:paraId="1B39DE83" w14:textId="77777777" w:rsidR="00817104" w:rsidRDefault="00817104" w:rsidP="00817104">
      <w:pPr>
        <w:pStyle w:val="Bullet1"/>
        <w:numPr>
          <w:ilvl w:val="0"/>
          <w:numId w:val="2"/>
        </w:numPr>
      </w:pPr>
      <w:hyperlink r:id="rId200">
        <w:r w:rsidRPr="0670E279">
          <w:rPr>
            <w:rStyle w:val="Hyperlink"/>
          </w:rPr>
          <w:t>Victorian Foundation for Survivors of Torture (Foundation House)</w:t>
        </w:r>
      </w:hyperlink>
      <w:r>
        <w:t xml:space="preserve"> &lt;</w:t>
      </w:r>
      <w:hyperlink r:id="rId201">
        <w:r w:rsidRPr="00587A0D">
          <w:t>https://foundationhouse.org.au</w:t>
        </w:r>
      </w:hyperlink>
      <w:r>
        <w:t>&gt;</w:t>
      </w:r>
    </w:p>
    <w:p w14:paraId="161A046F" w14:textId="77777777" w:rsidR="00817104" w:rsidRPr="00A66964" w:rsidRDefault="00817104" w:rsidP="00817104">
      <w:pPr>
        <w:pStyle w:val="Bullet1"/>
        <w:numPr>
          <w:ilvl w:val="0"/>
          <w:numId w:val="2"/>
        </w:numPr>
      </w:pPr>
      <w:hyperlink r:id="rId202" w:history="1">
        <w:r w:rsidRPr="00B30CEB">
          <w:rPr>
            <w:rStyle w:val="Hyperlink"/>
          </w:rPr>
          <w:t>Refugee Health Fellows Program</w:t>
        </w:r>
      </w:hyperlink>
      <w:r>
        <w:t xml:space="preserve"> &lt;</w:t>
      </w:r>
      <w:r w:rsidRPr="00B30CEB">
        <w:t>https://refugeehealthnetwork.org.au/resource/refugee-health-fellows-program/</w:t>
      </w:r>
      <w:r>
        <w:t>&gt;.</w:t>
      </w:r>
    </w:p>
    <w:p w14:paraId="7F28DCAE" w14:textId="77777777" w:rsidR="00817104" w:rsidRDefault="00817104" w:rsidP="00817104">
      <w:pPr>
        <w:pStyle w:val="Bodyafterbullets"/>
      </w:pPr>
      <w:r>
        <w:t>There are policies that set out how people seeking asylum can access health and community services. These policies allow access, despite ineligibility for Medicare or a Low-Income Health Care Card, including to public hospital and ambulance services, dental services, community health, home and community care program services, and catch-up immunisation.</w:t>
      </w:r>
    </w:p>
    <w:p w14:paraId="5DA6EE8E" w14:textId="77777777" w:rsidR="00817104" w:rsidRDefault="00817104" w:rsidP="00817104">
      <w:pPr>
        <w:pStyle w:val="Body"/>
      </w:pPr>
      <w:r>
        <w:t>For more information, visit:</w:t>
      </w:r>
    </w:p>
    <w:p w14:paraId="681A946D" w14:textId="77777777" w:rsidR="00817104" w:rsidRDefault="00817104" w:rsidP="00817104">
      <w:pPr>
        <w:pStyle w:val="Bullet1"/>
        <w:numPr>
          <w:ilvl w:val="0"/>
          <w:numId w:val="2"/>
        </w:numPr>
        <w:rPr>
          <w:rStyle w:val="Hyperlink"/>
        </w:rPr>
      </w:pPr>
      <w:hyperlink r:id="rId203">
        <w:r w:rsidRPr="0670E279">
          <w:rPr>
            <w:rStyle w:val="Hyperlink"/>
          </w:rPr>
          <w:t>Hospital access for people seeking asylum</w:t>
        </w:r>
      </w:hyperlink>
      <w:r w:rsidRPr="00140356">
        <w:t xml:space="preserve"> &lt;https://www.health.vic.gov.au/publications/hospital-access-for-people-seeking-asylum&gt;</w:t>
      </w:r>
    </w:p>
    <w:p w14:paraId="5EBD0771" w14:textId="77777777" w:rsidR="00817104" w:rsidRDefault="00817104" w:rsidP="00817104">
      <w:pPr>
        <w:pStyle w:val="Bullet1"/>
        <w:numPr>
          <w:ilvl w:val="0"/>
          <w:numId w:val="2"/>
        </w:numPr>
      </w:pPr>
      <w:hyperlink r:id="rId204">
        <w:r w:rsidRPr="00DE12A1">
          <w:rPr>
            <w:rStyle w:val="Hyperlink"/>
          </w:rPr>
          <w:t>Guide to asylum seeker access to health and community services in Victoria</w:t>
        </w:r>
      </w:hyperlink>
      <w:r w:rsidRPr="00DE12A1">
        <w:t xml:space="preserve"> </w:t>
      </w:r>
      <w:r>
        <w:t>&lt;https://www.health.vic.gov.au/publications/guide-to-asylum-seeker-access-to-health-and-community-services-in-victoria&gt;</w:t>
      </w:r>
    </w:p>
    <w:p w14:paraId="14D35ED5" w14:textId="77777777" w:rsidR="00817104" w:rsidRDefault="00817104" w:rsidP="00817104">
      <w:pPr>
        <w:pStyle w:val="Bullet1"/>
        <w:numPr>
          <w:ilvl w:val="0"/>
          <w:numId w:val="2"/>
        </w:numPr>
      </w:pPr>
      <w:hyperlink r:id="rId205">
        <w:r w:rsidRPr="35C7D90A">
          <w:rPr>
            <w:rStyle w:val="Hyperlink"/>
          </w:rPr>
          <w:t>Refugee and asylum seeker health and wellbeing</w:t>
        </w:r>
      </w:hyperlink>
      <w:r>
        <w:t xml:space="preserve"> &lt;https://www.health.vic.gov.au/populations/refugee-and-asylum-seeker-health-and-wellbeing&gt;.</w:t>
      </w:r>
    </w:p>
    <w:p w14:paraId="0BE9D09F" w14:textId="530A1C46" w:rsidR="00817104" w:rsidRPr="00DC0143" w:rsidRDefault="00817104" w:rsidP="00817104">
      <w:pPr>
        <w:pStyle w:val="Heading3"/>
        <w:rPr>
          <w:lang w:eastAsia="en-AU"/>
        </w:rPr>
      </w:pPr>
      <w:r w:rsidRPr="0670E279">
        <w:t>Language</w:t>
      </w:r>
      <w:r w:rsidRPr="0670E279">
        <w:rPr>
          <w:lang w:eastAsia="en-AU"/>
        </w:rPr>
        <w:t xml:space="preserve"> </w:t>
      </w:r>
      <w:r w:rsidRPr="00140356">
        <w:t>services</w:t>
      </w:r>
    </w:p>
    <w:p w14:paraId="23F522EE" w14:textId="77777777" w:rsidR="00817104" w:rsidRDefault="00817104" w:rsidP="00817104">
      <w:pPr>
        <w:pStyle w:val="Body"/>
      </w:pPr>
      <w:bookmarkStart w:id="2297" w:name="_Toc165964699"/>
      <w:bookmarkStart w:id="2298" w:name="_Toc167174561"/>
      <w:r>
        <w:t xml:space="preserve">Language services, including the use of qualified interpreters and high-quality translated health and service information, is an important aspect of the department’s efforts to deliver accessible, person-centred services that respond to the needs of culturally and linguistically diverse and hearing-impaired communities. </w:t>
      </w:r>
    </w:p>
    <w:p w14:paraId="0E49BCA9" w14:textId="77777777" w:rsidR="00817104" w:rsidRDefault="00817104" w:rsidP="00817104">
      <w:pPr>
        <w:pStyle w:val="Body"/>
      </w:pPr>
      <w:r>
        <w:t xml:space="preserve">Health services are expected to comply with the </w:t>
      </w:r>
      <w:hyperlink r:id="rId206">
        <w:r w:rsidRPr="0670E279">
          <w:rPr>
            <w:rStyle w:val="Hyperlink"/>
          </w:rPr>
          <w:t xml:space="preserve">Language services policy and </w:t>
        </w:r>
        <w:r>
          <w:rPr>
            <w:rStyle w:val="Hyperlink"/>
          </w:rPr>
          <w:t xml:space="preserve">accompanying </w:t>
        </w:r>
        <w:r w:rsidRPr="0670E279">
          <w:rPr>
            <w:rStyle w:val="Hyperlink"/>
          </w:rPr>
          <w:t>guidelines</w:t>
        </w:r>
      </w:hyperlink>
      <w:r>
        <w:t xml:space="preserve"> &lt;https://www.health.vic.gov.au/publications/language-services-policy&gt;. This will ensure quality language services are an integral part of their planning, policy and service response.</w:t>
      </w:r>
    </w:p>
    <w:p w14:paraId="3DD75BB6" w14:textId="77777777" w:rsidR="00817104" w:rsidRPr="00EB0672" w:rsidRDefault="00817104" w:rsidP="00817104">
      <w:pPr>
        <w:pStyle w:val="Body"/>
      </w:pPr>
      <w:r>
        <w:t xml:space="preserve">Health services should also ensure that frontline staff understand the policy and guidelines. Staff should receive training in assessing the need for an interpreter, and how to obtain and work effectively with interpreters and multicultural and hearing-impaired clients and their families. Staff may breach their duty of care to a client if they unreasonably fail to provide or inform a client of their right to an interpreter. </w:t>
      </w:r>
    </w:p>
    <w:p w14:paraId="09E6376D" w14:textId="77777777" w:rsidR="00817104" w:rsidRPr="00140356" w:rsidRDefault="00817104" w:rsidP="00817104">
      <w:pPr>
        <w:pStyle w:val="Body"/>
      </w:pPr>
      <w:r>
        <w:t>Allowing family members or bilingual staff to interpret for a patient is not an acceptable replacement for obtaining the services of accredited interpreters. Unaccredited bilingual staff can communicate simple information in community languages, but they are not qualified interpreters. For this reason, their use should be limited to low-risk content, such as making appointments or obtaining basic personal details, such as name and address. Unaccredited bilingual staff cannot be used to communicate information that is legally binding or puts at risk either the client or organisation</w:t>
      </w:r>
      <w:r w:rsidRPr="005F7E21">
        <w:t>.</w:t>
      </w:r>
      <w:r w:rsidRPr="00140356">
        <w:t xml:space="preserve"> </w:t>
      </w:r>
    </w:p>
    <w:p w14:paraId="5FE9100F" w14:textId="77777777" w:rsidR="00817104" w:rsidRPr="00140356" w:rsidRDefault="00817104" w:rsidP="00817104">
      <w:pPr>
        <w:pStyle w:val="Body"/>
      </w:pPr>
      <w:r>
        <w:t>The department does not currently support the use of automated interpreting and translating technologies in place of qualified and credentialed interpreters and translations. There is a duty to ensure translations are accurate and culturally appropriate, communicate concepts effectively and are not likely to cause harm.</w:t>
      </w:r>
    </w:p>
    <w:p w14:paraId="0B1A09E3" w14:textId="77777777" w:rsidR="00817104" w:rsidRDefault="00817104" w:rsidP="00817104">
      <w:pPr>
        <w:pStyle w:val="Body"/>
      </w:pPr>
      <w:r>
        <w:lastRenderedPageBreak/>
        <w:t>Health services are funded through different mechanisms to provide language services. Failing to provide an appropriately qualified and credentialed interpreter, or have important health-related information translated accurately into community languages, can have significant negative impacts, including reduced or adverse health and wellbeing outcomes.</w:t>
      </w:r>
    </w:p>
    <w:p w14:paraId="00F9F54D" w14:textId="77777777" w:rsidR="00817104" w:rsidRDefault="00817104" w:rsidP="00817104">
      <w:pPr>
        <w:pStyle w:val="Body"/>
      </w:pPr>
      <w:r>
        <w:t>All funded services must ensure interpreters engaged through an external language services provider are remunerated in accordance with Victorian Government minimum remuneration rates and conditions. Records of interpreters engaged and languages interpreted should be retained for reporting and future planning purposes.</w:t>
      </w:r>
    </w:p>
    <w:p w14:paraId="1044486B" w14:textId="77777777" w:rsidR="00817104" w:rsidRDefault="00817104" w:rsidP="00817104">
      <w:pPr>
        <w:pStyle w:val="Body"/>
      </w:pPr>
      <w:r>
        <w:t xml:space="preserve">The </w:t>
      </w:r>
      <w:hyperlink r:id="rId207">
        <w:r w:rsidRPr="0670E279">
          <w:rPr>
            <w:rStyle w:val="Hyperlink"/>
          </w:rPr>
          <w:t>Health Translations website</w:t>
        </w:r>
      </w:hyperlink>
      <w:r w:rsidRPr="0670E279">
        <w:rPr>
          <w:rStyle w:val="Hyperlink"/>
        </w:rPr>
        <w:t xml:space="preserve"> </w:t>
      </w:r>
      <w:r>
        <w:t>&lt;</w:t>
      </w:r>
      <w:hyperlink r:id="rId208">
        <w:r>
          <w:t>https://www.healthtranslations.vic.gov.au</w:t>
        </w:r>
      </w:hyperlink>
      <w:r>
        <w:t xml:space="preserve">&gt;, managed by the </w:t>
      </w:r>
      <w:hyperlink r:id="rId209" w:history="1">
        <w:r w:rsidRPr="00A66964">
          <w:rPr>
            <w:rStyle w:val="Hyperlink"/>
          </w:rPr>
          <w:t>Centre for Culture, Equity and Health</w:t>
        </w:r>
      </w:hyperlink>
      <w:r>
        <w:t xml:space="preserve"> &lt;https://ceh.org.au&gt;, provides access to more than 24,000 free and reliably translated resources. The centre also offers a range of training programs on cultural competence, health literacy and language services. </w:t>
      </w:r>
    </w:p>
    <w:p w14:paraId="269AE240" w14:textId="45EB81C5" w:rsidR="00817104" w:rsidRDefault="00817104" w:rsidP="00817104">
      <w:pPr>
        <w:pStyle w:val="Heading2"/>
      </w:pPr>
      <w:bookmarkStart w:id="2299" w:name="_Toc229127701"/>
      <w:bookmarkStart w:id="2300" w:name="_Toc231982313"/>
      <w:r>
        <w:t>Accessible and equitable health services for women</w:t>
      </w:r>
      <w:bookmarkEnd w:id="2297"/>
      <w:bookmarkEnd w:id="2298"/>
      <w:bookmarkEnd w:id="2299"/>
      <w:bookmarkEnd w:id="2300"/>
    </w:p>
    <w:p w14:paraId="1EE68B21" w14:textId="77777777" w:rsidR="00817104" w:rsidRDefault="00817104" w:rsidP="00817104">
      <w:pPr>
        <w:pStyle w:val="Body"/>
      </w:pPr>
      <w:r>
        <w:t>The Victorian Government is delivering a suite of election commitments relating to women’s health, totalling almost $154 million over four years (2023–24 to 2026–27). The women’s health package expands on the Victorian Government’s current investment in women’s health promotion services, sexual and reproductive health services, and specialist clinics.</w:t>
      </w:r>
    </w:p>
    <w:p w14:paraId="0D7432F7" w14:textId="77777777" w:rsidR="00817104" w:rsidRPr="004D00A9" w:rsidRDefault="00817104" w:rsidP="00817104">
      <w:pPr>
        <w:pStyle w:val="Body"/>
      </w:pPr>
      <w:r>
        <w:t>Specifically, the initiatives being delivered include:</w:t>
      </w:r>
    </w:p>
    <w:p w14:paraId="3DD3F1E1" w14:textId="77777777" w:rsidR="00817104" w:rsidRPr="00DC537F" w:rsidRDefault="00817104" w:rsidP="00817104">
      <w:pPr>
        <w:pStyle w:val="Bullet1"/>
        <w:numPr>
          <w:ilvl w:val="0"/>
          <w:numId w:val="2"/>
        </w:numPr>
      </w:pPr>
      <w:r w:rsidRPr="00DC537F">
        <w:t>1</w:t>
      </w:r>
      <w:r>
        <w:t>0</w:t>
      </w:r>
      <w:r w:rsidRPr="00DC537F">
        <w:t>,</w:t>
      </w:r>
      <w:r>
        <w:t>8</w:t>
      </w:r>
      <w:r w:rsidRPr="00DC537F">
        <w:t xml:space="preserve">00 additional laparoscopies </w:t>
      </w:r>
      <w:r>
        <w:t xml:space="preserve">over four years </w:t>
      </w:r>
      <w:r w:rsidRPr="00DC537F">
        <w:t>to help diagnosis and treat endometriosis, which can be debilitating and affects up to one in every nine women, many of whom are undiagnosed</w:t>
      </w:r>
    </w:p>
    <w:p w14:paraId="06F31328" w14:textId="77777777" w:rsidR="00817104" w:rsidRPr="00DC537F" w:rsidRDefault="00817104" w:rsidP="00817104">
      <w:pPr>
        <w:pStyle w:val="Bullet1"/>
        <w:numPr>
          <w:ilvl w:val="0"/>
          <w:numId w:val="2"/>
        </w:numPr>
      </w:pPr>
      <w:r w:rsidRPr="00DC537F">
        <w:t>establishment of 20 new clinics over the four-year program</w:t>
      </w:r>
      <w:r>
        <w:t xml:space="preserve"> as well as the establishment</w:t>
      </w:r>
      <w:r w:rsidRPr="00DC537F">
        <w:t xml:space="preserve"> of an Aboriginal women’s health clinic</w:t>
      </w:r>
    </w:p>
    <w:p w14:paraId="36328933" w14:textId="77777777" w:rsidR="00817104" w:rsidRPr="00DC537F" w:rsidRDefault="00817104" w:rsidP="00817104">
      <w:pPr>
        <w:pStyle w:val="Bullet1"/>
        <w:numPr>
          <w:ilvl w:val="0"/>
          <w:numId w:val="2"/>
        </w:numPr>
      </w:pPr>
      <w:r w:rsidRPr="00DC537F">
        <w:t>research initiatives</w:t>
      </w:r>
      <w:r>
        <w:t xml:space="preserve"> that will directly benefit </w:t>
      </w:r>
      <w:r w:rsidRPr="00DC537F">
        <w:t xml:space="preserve">women’s health, including data support and research funding, an inquiry into women’s pain </w:t>
      </w:r>
      <w:r>
        <w:t>and work to develop a business case for</w:t>
      </w:r>
      <w:r w:rsidRPr="00DC537F">
        <w:t xml:space="preserve"> a Women’s Health Research </w:t>
      </w:r>
      <w:r>
        <w:t>Initiative</w:t>
      </w:r>
    </w:p>
    <w:p w14:paraId="4BC62EB0" w14:textId="77777777" w:rsidR="00817104" w:rsidRPr="00DC537F" w:rsidRDefault="00817104" w:rsidP="00817104">
      <w:pPr>
        <w:pStyle w:val="Bullet1"/>
        <w:numPr>
          <w:ilvl w:val="0"/>
          <w:numId w:val="2"/>
        </w:numPr>
      </w:pPr>
      <w:r w:rsidRPr="00DC537F">
        <w:t xml:space="preserve">establishment of nine </w:t>
      </w:r>
      <w:r>
        <w:t xml:space="preserve">additional </w:t>
      </w:r>
      <w:r w:rsidRPr="00DC537F">
        <w:t>sexual and reproductive health hubs, expanding on the 11 existing hubs to a total of 20 hubs</w:t>
      </w:r>
      <w:r>
        <w:t>, including 12 in regional Victoria</w:t>
      </w:r>
    </w:p>
    <w:p w14:paraId="0CF9E285" w14:textId="77777777" w:rsidR="00817104" w:rsidRPr="00DC537F" w:rsidRDefault="00817104" w:rsidP="00817104">
      <w:pPr>
        <w:pStyle w:val="Bullet1"/>
        <w:numPr>
          <w:ilvl w:val="0"/>
          <w:numId w:val="2"/>
        </w:numPr>
      </w:pPr>
      <w:r w:rsidRPr="00DC537F">
        <w:t>establishment of the mobile and virtual women’s health clinics to improve access for women in rural and regional Victoria</w:t>
      </w:r>
    </w:p>
    <w:p w14:paraId="6973ADDA" w14:textId="77777777" w:rsidR="00817104" w:rsidRPr="00DC537F" w:rsidRDefault="00817104" w:rsidP="00817104">
      <w:pPr>
        <w:pStyle w:val="Bullet1"/>
        <w:numPr>
          <w:ilvl w:val="0"/>
          <w:numId w:val="2"/>
        </w:numPr>
      </w:pPr>
      <w:r w:rsidRPr="00DC537F">
        <w:t xml:space="preserve">women’s health </w:t>
      </w:r>
      <w:r>
        <w:t xml:space="preserve">specialist </w:t>
      </w:r>
      <w:r w:rsidRPr="00DC537F">
        <w:t xml:space="preserve">scholarships </w:t>
      </w:r>
      <w:r>
        <w:t xml:space="preserve">across 2023–24 and 2024–25 to ensure our workforce is supported with the skills and knowledge they need. </w:t>
      </w:r>
    </w:p>
    <w:p w14:paraId="15E1847A" w14:textId="77777777" w:rsidR="00817104" w:rsidRDefault="00817104" w:rsidP="00817104">
      <w:pPr>
        <w:pStyle w:val="Bodyafterbullets"/>
      </w:pPr>
      <w:r>
        <w:t xml:space="preserve">For more information, visit the </w:t>
      </w:r>
      <w:hyperlink r:id="rId210">
        <w:r w:rsidRPr="6F96B669">
          <w:rPr>
            <w:rStyle w:val="Hyperlink"/>
          </w:rPr>
          <w:t xml:space="preserve">Women’s </w:t>
        </w:r>
        <w:r>
          <w:rPr>
            <w:rStyle w:val="Hyperlink"/>
          </w:rPr>
          <w:t>H</w:t>
        </w:r>
        <w:r w:rsidRPr="6F96B669">
          <w:rPr>
            <w:rStyle w:val="Hyperlink"/>
          </w:rPr>
          <w:t xml:space="preserve">ealth and </w:t>
        </w:r>
        <w:r>
          <w:rPr>
            <w:rStyle w:val="Hyperlink"/>
          </w:rPr>
          <w:t>W</w:t>
        </w:r>
        <w:r w:rsidRPr="6F96B669">
          <w:rPr>
            <w:rStyle w:val="Hyperlink"/>
          </w:rPr>
          <w:t xml:space="preserve">ellbeing </w:t>
        </w:r>
        <w:r>
          <w:rPr>
            <w:rStyle w:val="Hyperlink"/>
          </w:rPr>
          <w:t>P</w:t>
        </w:r>
        <w:r w:rsidRPr="6F96B669">
          <w:rPr>
            <w:rStyle w:val="Hyperlink"/>
          </w:rPr>
          <w:t>rogram</w:t>
        </w:r>
      </w:hyperlink>
      <w:r>
        <w:t xml:space="preserve"> &lt;</w:t>
      </w:r>
      <w:r w:rsidRPr="00376E9C">
        <w:t>https://www.health.vic.gov.au/public-health/womens-health-wellbeing-program</w:t>
      </w:r>
      <w:r>
        <w:t>&gt;.</w:t>
      </w:r>
    </w:p>
    <w:p w14:paraId="07A3EE9A" w14:textId="77777777" w:rsidR="00817104" w:rsidRDefault="00817104" w:rsidP="00817104">
      <w:pPr>
        <w:pStyle w:val="Body"/>
      </w:pPr>
      <w:r>
        <w:t xml:space="preserve">The Victorian Government also invested $18.3 million over two years 2024–2025 and 2025–26 to improve women’s health promotion and prevention activities through the Women’s Health Services Network focusing on sexual and reproductive health, and chronic disease prevention. </w:t>
      </w:r>
    </w:p>
    <w:p w14:paraId="370538DA" w14:textId="77777777" w:rsidR="00817104" w:rsidRDefault="00817104" w:rsidP="00817104">
      <w:pPr>
        <w:pStyle w:val="Body"/>
      </w:pPr>
      <w:r>
        <w:t>The 2025–26 budget provided a further $5.6 million to support the critical work of the 1800 My Options service, operated by Women’s Health Victoria, which provides accurate and timely advice for callers seeking advice on sexual and reproductive health, contraception and abortion.</w:t>
      </w:r>
    </w:p>
    <w:p w14:paraId="5E62D1CB" w14:textId="77777777" w:rsidR="00817104" w:rsidRDefault="00817104" w:rsidP="00817104">
      <w:pPr>
        <w:pStyle w:val="Body"/>
      </w:pPr>
      <w:r>
        <w:t xml:space="preserve">The budget continues to fund the work of the Clinical Champions Project led by The Royal Women’s Hospital to build sector capacity and funding for the Vixen Scarlett Alliance to support sex work decriminalisation across the state. </w:t>
      </w:r>
    </w:p>
    <w:p w14:paraId="10174758" w14:textId="77777777" w:rsidR="00817104" w:rsidRDefault="00817104" w:rsidP="00817104">
      <w:pPr>
        <w:pStyle w:val="Bodyafterbullets"/>
      </w:pPr>
      <w:r>
        <w:t>There are complementary Victorian Government women’s health election commitments, including:</w:t>
      </w:r>
    </w:p>
    <w:p w14:paraId="6818B257" w14:textId="77777777" w:rsidR="00817104" w:rsidRPr="00E13450" w:rsidRDefault="00817104" w:rsidP="00817104">
      <w:pPr>
        <w:pStyle w:val="Bullet1"/>
        <w:numPr>
          <w:ilvl w:val="0"/>
          <w:numId w:val="2"/>
        </w:numPr>
      </w:pPr>
      <w:r>
        <w:lastRenderedPageBreak/>
        <w:t>making free pads and tampons available in select public settings (for example, schools, public hospitals and courts)</w:t>
      </w:r>
    </w:p>
    <w:p w14:paraId="167E965D" w14:textId="77777777" w:rsidR="00817104" w:rsidRPr="00E13450" w:rsidRDefault="00817104" w:rsidP="00817104">
      <w:pPr>
        <w:pStyle w:val="Bullet1"/>
        <w:numPr>
          <w:ilvl w:val="0"/>
          <w:numId w:val="2"/>
        </w:numPr>
      </w:pPr>
      <w:r>
        <w:t>establishing public fertility care services ($50 million)</w:t>
      </w:r>
    </w:p>
    <w:p w14:paraId="115B30B3" w14:textId="77777777" w:rsidR="00817104" w:rsidRPr="00E13450" w:rsidRDefault="00817104" w:rsidP="00817104">
      <w:pPr>
        <w:pStyle w:val="Bullet1"/>
        <w:numPr>
          <w:ilvl w:val="0"/>
          <w:numId w:val="2"/>
        </w:numPr>
      </w:pPr>
      <w:r>
        <w:t>piloting an expanded role of community pharmacists that includes women’s healthcare – treatment of urinary tract infections and reissuing prescriptions for contraceptives ($19 million)</w:t>
      </w:r>
    </w:p>
    <w:p w14:paraId="7267FE5E" w14:textId="77777777" w:rsidR="00817104" w:rsidRPr="00E13450" w:rsidRDefault="00817104" w:rsidP="00817104">
      <w:pPr>
        <w:pStyle w:val="Bullet1"/>
        <w:numPr>
          <w:ilvl w:val="0"/>
          <w:numId w:val="2"/>
        </w:numPr>
      </w:pPr>
      <w:r>
        <w:t>strengthening Maternal and Child Health services ($39.27 million).</w:t>
      </w:r>
    </w:p>
    <w:p w14:paraId="1A9656F5" w14:textId="77777777" w:rsidR="00817104" w:rsidRDefault="00817104" w:rsidP="00817104">
      <w:pPr>
        <w:pStyle w:val="Body"/>
        <w:rPr>
          <w:rFonts w:eastAsia="MS Gothic" w:cs="Arial"/>
          <w:color w:val="53565A"/>
          <w:kern w:val="32"/>
        </w:rPr>
      </w:pPr>
      <w:r w:rsidRPr="00140356">
        <w:t>F</w:t>
      </w:r>
      <w:r>
        <w:t>or more i</w:t>
      </w:r>
      <w:r w:rsidRPr="00140356">
        <w:t>nformation on processes for determining and monitoring capability levels</w:t>
      </w:r>
      <w:r>
        <w:t>, visit</w:t>
      </w:r>
      <w:r w:rsidRPr="00140356">
        <w:t xml:space="preserve"> </w:t>
      </w:r>
      <w:hyperlink r:id="rId211">
        <w:r w:rsidRPr="35C7D90A">
          <w:rPr>
            <w:rStyle w:val="Hyperlink"/>
          </w:rPr>
          <w:t>Service capability frameworks for Victoria</w:t>
        </w:r>
      </w:hyperlink>
      <w:r w:rsidRPr="00140356">
        <w:t xml:space="preserve"> &lt;https://www.health.vic.gov.au/health-system-design-planning/service-capability-frameworks-for-victoria&gt;.</w:t>
      </w:r>
      <w:r>
        <w:rPr>
          <w:rFonts w:eastAsia="MS Gothic" w:cs="Arial"/>
          <w:color w:val="53565A"/>
          <w:kern w:val="32"/>
        </w:rPr>
        <w:br w:type="page"/>
      </w:r>
    </w:p>
    <w:p w14:paraId="1492C3C2" w14:textId="77777777" w:rsidR="00817104" w:rsidRPr="00BA4728" w:rsidRDefault="00817104" w:rsidP="00C44545">
      <w:pPr>
        <w:pStyle w:val="Heading1"/>
      </w:pPr>
      <w:bookmarkStart w:id="2301" w:name="_Toc229127702"/>
      <w:bookmarkStart w:id="2302" w:name="_Toc231982314"/>
      <w:r>
        <w:lastRenderedPageBreak/>
        <w:t>Service capability frameworks</w:t>
      </w:r>
      <w:bookmarkEnd w:id="2301"/>
      <w:bookmarkEnd w:id="2302"/>
    </w:p>
    <w:p w14:paraId="5D6C9948" w14:textId="05D4BF11" w:rsidR="00817104" w:rsidRDefault="00817104" w:rsidP="00817104">
      <w:pPr>
        <w:pStyle w:val="Heading2"/>
      </w:pPr>
      <w:bookmarkStart w:id="2303" w:name="_Toc165964701"/>
      <w:bookmarkStart w:id="2304" w:name="_Toc167174563"/>
      <w:bookmarkStart w:id="2305" w:name="_Toc229127703"/>
      <w:bookmarkStart w:id="2306" w:name="_Toc231982315"/>
      <w:r>
        <w:t>Service capability frameworks and levels</w:t>
      </w:r>
      <w:bookmarkEnd w:id="2303"/>
      <w:bookmarkEnd w:id="2304"/>
      <w:bookmarkEnd w:id="2305"/>
      <w:bookmarkEnd w:id="2306"/>
    </w:p>
    <w:p w14:paraId="2A4134A7" w14:textId="77777777" w:rsidR="00817104" w:rsidRDefault="00817104" w:rsidP="00817104">
      <w:pPr>
        <w:pStyle w:val="Body"/>
        <w:rPr>
          <w:lang w:eastAsia="en-AU"/>
        </w:rPr>
      </w:pPr>
      <w:r w:rsidRPr="0670E279">
        <w:rPr>
          <w:lang w:eastAsia="en-AU"/>
        </w:rPr>
        <w:t>Service capability frameworks are comprehensive guidelines developed for Victoria's health system to support the delivery of optimal care. The frameworks outline the essential elements required for clinical services to function safely and effectively</w:t>
      </w:r>
      <w:r>
        <w:rPr>
          <w:lang w:eastAsia="en-AU"/>
        </w:rPr>
        <w:t>,</w:t>
      </w:r>
      <w:r w:rsidRPr="0670E279">
        <w:rPr>
          <w:lang w:eastAsia="en-AU"/>
        </w:rPr>
        <w:t xml:space="preserve"> and categorise these services into different levels of capability.</w:t>
      </w:r>
    </w:p>
    <w:p w14:paraId="228DA7D0" w14:textId="77777777" w:rsidR="00817104" w:rsidRDefault="00817104" w:rsidP="00817104">
      <w:pPr>
        <w:pStyle w:val="Body"/>
        <w:rPr>
          <w:lang w:eastAsia="en-AU"/>
        </w:rPr>
      </w:pPr>
      <w:r w:rsidRPr="0670E279">
        <w:rPr>
          <w:lang w:eastAsia="en-AU"/>
        </w:rPr>
        <w:t xml:space="preserve">Capability frameworks delineate care across six levels of complexity. Levels range from </w:t>
      </w:r>
      <w:r>
        <w:rPr>
          <w:lang w:eastAsia="en-AU"/>
        </w:rPr>
        <w:t xml:space="preserve">level </w:t>
      </w:r>
      <w:r w:rsidRPr="0670E279">
        <w:rPr>
          <w:lang w:eastAsia="en-AU"/>
        </w:rPr>
        <w:t xml:space="preserve">1 (being the </w:t>
      </w:r>
      <w:r>
        <w:rPr>
          <w:lang w:eastAsia="en-AU"/>
        </w:rPr>
        <w:t>least</w:t>
      </w:r>
      <w:r w:rsidRPr="0670E279">
        <w:rPr>
          <w:lang w:eastAsia="en-AU"/>
        </w:rPr>
        <w:t xml:space="preserve"> complex care, broadly available) to level 6 (being the </w:t>
      </w:r>
      <w:r>
        <w:rPr>
          <w:lang w:eastAsia="en-AU"/>
        </w:rPr>
        <w:t xml:space="preserve">most </w:t>
      </w:r>
      <w:r w:rsidRPr="0670E279">
        <w:rPr>
          <w:lang w:eastAsia="en-AU"/>
        </w:rPr>
        <w:t>complex care, only available at major hospitals).</w:t>
      </w:r>
    </w:p>
    <w:p w14:paraId="2F6B926E" w14:textId="77777777" w:rsidR="00817104" w:rsidRPr="00246D45" w:rsidRDefault="00817104" w:rsidP="00817104">
      <w:pPr>
        <w:pStyle w:val="Body"/>
        <w:rPr>
          <w:lang w:eastAsia="en-AU"/>
        </w:rPr>
      </w:pPr>
      <w:r w:rsidRPr="0670E279">
        <w:rPr>
          <w:lang w:eastAsia="en-AU"/>
        </w:rPr>
        <w:t xml:space="preserve">The service capability frameworks </w:t>
      </w:r>
      <w:r>
        <w:rPr>
          <w:lang w:eastAsia="en-AU"/>
        </w:rPr>
        <w:t xml:space="preserve">that </w:t>
      </w:r>
      <w:r w:rsidRPr="0670E279">
        <w:rPr>
          <w:lang w:eastAsia="en-AU"/>
        </w:rPr>
        <w:t>apply to health service campuses within Victoria’s health system, encompassing a wide range of healthcare providers and facilities</w:t>
      </w:r>
      <w:r>
        <w:rPr>
          <w:lang w:eastAsia="en-AU"/>
        </w:rPr>
        <w:t>, include</w:t>
      </w:r>
      <w:r w:rsidRPr="0670E279">
        <w:rPr>
          <w:lang w:eastAsia="en-AU"/>
        </w:rPr>
        <w:t>:</w:t>
      </w:r>
    </w:p>
    <w:p w14:paraId="4CDD64D2" w14:textId="77777777" w:rsidR="00817104" w:rsidRPr="00246D45" w:rsidRDefault="00817104" w:rsidP="00817104">
      <w:pPr>
        <w:pStyle w:val="Bullet1"/>
        <w:numPr>
          <w:ilvl w:val="0"/>
          <w:numId w:val="2"/>
        </w:numPr>
      </w:pPr>
      <w:hyperlink r:id="rId212">
        <w:r w:rsidRPr="00351629">
          <w:rPr>
            <w:rStyle w:val="Hyperlink"/>
            <w:rFonts w:eastAsia="Arial" w:cs="Arial"/>
            <w:i/>
            <w:iCs/>
          </w:rPr>
          <w:t>Capability frameworks for maternity and newborn services</w:t>
        </w:r>
        <w:r w:rsidRPr="00351629">
          <w:rPr>
            <w:i/>
            <w:iCs/>
          </w:rPr>
          <w:t xml:space="preserve"> </w:t>
        </w:r>
        <w:r>
          <w:t>&lt;</w:t>
        </w:r>
      </w:hyperlink>
      <w:r>
        <w:t>https://www.health.vic.gov.au/patient-care/capability-frameworks-for-maternity-and-newborn-care-in-victoria&gt;</w:t>
      </w:r>
    </w:p>
    <w:p w14:paraId="6471A47A" w14:textId="77777777" w:rsidR="00817104" w:rsidRPr="002B1FB4" w:rsidRDefault="00817104" w:rsidP="00817104">
      <w:pPr>
        <w:pStyle w:val="Bullet1"/>
        <w:numPr>
          <w:ilvl w:val="0"/>
          <w:numId w:val="2"/>
        </w:numPr>
      </w:pPr>
      <w:hyperlink r:id="rId213">
        <w:r w:rsidRPr="00351629">
          <w:rPr>
            <w:rStyle w:val="Hyperlink"/>
            <w:rFonts w:eastAsia="Arial"/>
            <w:i/>
            <w:iCs/>
          </w:rPr>
          <w:t>Perioperative service capability framework for Victoria</w:t>
        </w:r>
      </w:hyperlink>
      <w:r w:rsidRPr="00351629">
        <w:rPr>
          <w:rStyle w:val="Hyperlink"/>
          <w:rFonts w:eastAsia="Arial" w:cs="Arial"/>
          <w:i/>
          <w:iCs/>
        </w:rPr>
        <w:t xml:space="preserve"> </w:t>
      </w:r>
      <w:r>
        <w:t>&lt;https://www.health.vic.gov.au/health-system-design-planning/perioperative-service-capability-framework-for-victoria&gt;</w:t>
      </w:r>
    </w:p>
    <w:p w14:paraId="76BFD481" w14:textId="77777777" w:rsidR="00817104" w:rsidRPr="00140356" w:rsidRDefault="00817104" w:rsidP="00817104">
      <w:pPr>
        <w:pStyle w:val="Bullet1"/>
        <w:numPr>
          <w:ilvl w:val="0"/>
          <w:numId w:val="2"/>
        </w:numPr>
      </w:pPr>
      <w:hyperlink r:id="rId214">
        <w:r w:rsidRPr="00351629">
          <w:rPr>
            <w:rStyle w:val="Hyperlink"/>
            <w:rFonts w:eastAsia="Arial"/>
            <w:i/>
            <w:iCs/>
          </w:rPr>
          <w:t>Palliative care service capability framework</w:t>
        </w:r>
      </w:hyperlink>
      <w:r w:rsidRPr="00351629">
        <w:rPr>
          <w:rStyle w:val="Hyperlink"/>
          <w:rFonts w:eastAsia="Arial" w:cs="Arial"/>
          <w:i/>
          <w:iCs/>
        </w:rPr>
        <w:t xml:space="preserve"> </w:t>
      </w:r>
      <w:r>
        <w:t>&lt;https://www.health.vic.gov.au/publications/palliative-care-service-capability-framework&gt;.</w:t>
      </w:r>
    </w:p>
    <w:p w14:paraId="38484031" w14:textId="77777777" w:rsidR="00817104" w:rsidRPr="00A810FD" w:rsidRDefault="00817104" w:rsidP="00817104">
      <w:pPr>
        <w:pStyle w:val="Bodyafterbullets"/>
        <w:rPr>
          <w:lang w:eastAsia="en-AU"/>
        </w:rPr>
      </w:pPr>
      <w:r w:rsidRPr="0670E279">
        <w:rPr>
          <w:lang w:eastAsia="en-AU"/>
        </w:rPr>
        <w:t xml:space="preserve">Health services must operate within their </w:t>
      </w:r>
      <w:r>
        <w:rPr>
          <w:lang w:eastAsia="en-AU"/>
        </w:rPr>
        <w:t>assessed</w:t>
      </w:r>
      <w:r w:rsidRPr="0670E279">
        <w:rPr>
          <w:lang w:eastAsia="en-AU"/>
        </w:rPr>
        <w:t xml:space="preserve"> service capability level. </w:t>
      </w:r>
    </w:p>
    <w:p w14:paraId="46D35DDC" w14:textId="77777777" w:rsidR="00817104" w:rsidRPr="007A0E81" w:rsidRDefault="00817104" w:rsidP="00817104">
      <w:pPr>
        <w:pStyle w:val="Body"/>
      </w:pPr>
      <w:r>
        <w:rPr>
          <w:rFonts w:eastAsia="Arial" w:cs="Arial"/>
        </w:rPr>
        <w:t>For more information visit</w:t>
      </w:r>
      <w:r w:rsidRPr="007A0E81">
        <w:rPr>
          <w:rFonts w:eastAsia="Arial" w:cs="Arial"/>
        </w:rPr>
        <w:t xml:space="preserve"> </w:t>
      </w:r>
      <w:hyperlink r:id="rId215" w:history="1">
        <w:r w:rsidRPr="00EC171D">
          <w:rPr>
            <w:rStyle w:val="Hyperlink"/>
            <w:rFonts w:eastAsia="Arial" w:cs="Arial"/>
          </w:rPr>
          <w:t xml:space="preserve">Service </w:t>
        </w:r>
        <w:r>
          <w:rPr>
            <w:rStyle w:val="Hyperlink"/>
            <w:rFonts w:eastAsia="Arial" w:cs="Arial"/>
          </w:rPr>
          <w:t>c</w:t>
        </w:r>
        <w:r w:rsidRPr="00EC171D">
          <w:rPr>
            <w:rStyle w:val="Hyperlink"/>
            <w:rFonts w:eastAsia="Arial" w:cs="Arial"/>
          </w:rPr>
          <w:t xml:space="preserve">apability </w:t>
        </w:r>
        <w:r>
          <w:rPr>
            <w:rStyle w:val="Hyperlink"/>
            <w:rFonts w:eastAsia="Arial" w:cs="Arial"/>
          </w:rPr>
          <w:t>f</w:t>
        </w:r>
        <w:r w:rsidRPr="00EC171D">
          <w:rPr>
            <w:rStyle w:val="Hyperlink"/>
            <w:rFonts w:eastAsia="Arial" w:cs="Arial"/>
          </w:rPr>
          <w:t>rameworks for Victoria</w:t>
        </w:r>
      </w:hyperlink>
      <w:r>
        <w:rPr>
          <w:rFonts w:eastAsia="Arial" w:cs="Arial"/>
        </w:rPr>
        <w:t xml:space="preserve"> &lt;</w:t>
      </w:r>
      <w:r w:rsidRPr="00140356">
        <w:t>https://www.health.vic.gov.au/health-system-design-planning/service-capability-frameworks-for-victoria</w:t>
      </w:r>
      <w:r>
        <w:rPr>
          <w:rFonts w:eastAsia="Arial" w:cs="Arial"/>
        </w:rPr>
        <w:t>&gt;</w:t>
      </w:r>
      <w:r w:rsidRPr="007A0E81">
        <w:rPr>
          <w:rFonts w:eastAsia="Arial" w:cs="Arial"/>
        </w:rPr>
        <w:t xml:space="preserve">. </w:t>
      </w:r>
    </w:p>
    <w:p w14:paraId="35C49465" w14:textId="77777777" w:rsidR="00817104" w:rsidRPr="008F620E" w:rsidRDefault="00817104" w:rsidP="00817104">
      <w:pPr>
        <w:pStyle w:val="Heading3"/>
        <w:numPr>
          <w:ilvl w:val="2"/>
          <w:numId w:val="0"/>
        </w:numPr>
        <w:tabs>
          <w:tab w:val="num" w:pos="794"/>
        </w:tabs>
        <w:ind w:left="1134" w:hanging="1134"/>
      </w:pPr>
      <w:r>
        <w:t>17.1.1</w:t>
      </w:r>
      <w:r>
        <w:tab/>
        <w:t>Determining and monitoring capability levels</w:t>
      </w:r>
    </w:p>
    <w:p w14:paraId="517DA781" w14:textId="77777777" w:rsidR="00817104" w:rsidRDefault="00817104" w:rsidP="00817104">
      <w:pPr>
        <w:pStyle w:val="Body"/>
      </w:pPr>
      <w:r>
        <w:rPr>
          <w:rFonts w:cs="Arial"/>
          <w:lang w:eastAsia="en-AU"/>
        </w:rPr>
        <w:t xml:space="preserve">All Victorian public health services will regularly review, and ensure alignment with, capability levels as described by the frameworks. </w:t>
      </w:r>
    </w:p>
    <w:p w14:paraId="5C8FDE46" w14:textId="77777777" w:rsidR="00817104" w:rsidRPr="00140356" w:rsidRDefault="00817104" w:rsidP="00817104">
      <w:pPr>
        <w:pStyle w:val="Body"/>
      </w:pPr>
      <w:r>
        <w:t xml:space="preserve">Annually, capability discussions relevant to each clinical stream delivered by the health service will occur as part of health </w:t>
      </w:r>
      <w:r w:rsidRPr="002F2DE0">
        <w:t>service</w:t>
      </w:r>
      <w:r w:rsidRPr="00140356">
        <w:t xml:space="preserve"> performance monitoring meetings. </w:t>
      </w:r>
    </w:p>
    <w:p w14:paraId="164EF82D" w14:textId="77777777" w:rsidR="00817104" w:rsidRDefault="00817104" w:rsidP="00817104">
      <w:pPr>
        <w:pStyle w:val="Body"/>
      </w:pPr>
      <w:r>
        <w:t xml:space="preserve">The department will work with health services to facilitate planned or unplanned changes to levels of care as required. </w:t>
      </w:r>
    </w:p>
    <w:p w14:paraId="6E939A88" w14:textId="77777777" w:rsidR="00817104" w:rsidRDefault="00817104" w:rsidP="00817104">
      <w:pPr>
        <w:pStyle w:val="Body"/>
      </w:pPr>
      <w:r>
        <w:t xml:space="preserve">For more information on planned or unplanned changes, including diversions related to maternity and newborn care, visit </w:t>
      </w:r>
      <w:hyperlink r:id="rId216">
        <w:r w:rsidRPr="0670E279">
          <w:rPr>
            <w:rStyle w:val="Hyperlink"/>
          </w:rPr>
          <w:t xml:space="preserve">Capability frameworks for </w:t>
        </w:r>
        <w:r>
          <w:rPr>
            <w:rStyle w:val="Hyperlink"/>
          </w:rPr>
          <w:t>m</w:t>
        </w:r>
        <w:r w:rsidRPr="0670E279">
          <w:rPr>
            <w:rStyle w:val="Hyperlink"/>
          </w:rPr>
          <w:t xml:space="preserve">aternity and </w:t>
        </w:r>
        <w:r>
          <w:rPr>
            <w:rStyle w:val="Hyperlink"/>
          </w:rPr>
          <w:t>n</w:t>
        </w:r>
        <w:r w:rsidRPr="0670E279">
          <w:rPr>
            <w:rStyle w:val="Hyperlink"/>
          </w:rPr>
          <w:t>ewborn services</w:t>
        </w:r>
      </w:hyperlink>
      <w:r>
        <w:t xml:space="preserve"> &lt;https://www.health.vic.gov.au/patient-care/capability-frameworks-for-maternity-and-newborn-care-in-victoria&gt;.</w:t>
      </w:r>
    </w:p>
    <w:p w14:paraId="2F9C387C" w14:textId="4DB2B5FC" w:rsidR="00817104" w:rsidRDefault="00817104" w:rsidP="00817104">
      <w:pPr>
        <w:pStyle w:val="Heading2"/>
      </w:pPr>
      <w:bookmarkStart w:id="2307" w:name="_Toc165964702"/>
      <w:bookmarkStart w:id="2308" w:name="_Toc167174564"/>
      <w:bookmarkStart w:id="2309" w:name="_Toc229127704"/>
      <w:bookmarkStart w:id="2310" w:name="_Toc231982316"/>
      <w:r>
        <w:t xml:space="preserve">Future </w:t>
      </w:r>
      <w:r w:rsidRPr="002F2DE0">
        <w:t>service</w:t>
      </w:r>
      <w:r>
        <w:t xml:space="preserve"> capability frameworks</w:t>
      </w:r>
      <w:bookmarkEnd w:id="2307"/>
      <w:bookmarkEnd w:id="2308"/>
      <w:bookmarkEnd w:id="2309"/>
      <w:bookmarkEnd w:id="2310"/>
    </w:p>
    <w:p w14:paraId="172FC83D" w14:textId="77777777" w:rsidR="00817104" w:rsidRPr="006F58BA" w:rsidRDefault="00817104" w:rsidP="00817104">
      <w:pPr>
        <w:pStyle w:val="Body"/>
      </w:pPr>
      <w:r w:rsidRPr="006F58BA">
        <w:t xml:space="preserve">The department is continuing to develop and implement capability frameworks, in line with the recommendations of the 2016 </w:t>
      </w:r>
      <w:r w:rsidRPr="00BA5B33">
        <w:t>Report of the review of hospital safety and quality assurance in Victoria</w:t>
      </w:r>
      <w:r w:rsidRPr="000731BB">
        <w:t xml:space="preserve"> (Targeting zero) and the </w:t>
      </w:r>
      <w:r w:rsidRPr="002D6AE5">
        <w:rPr>
          <w:i/>
          <w:iCs/>
        </w:rPr>
        <w:t>Statewide design, service and infrastructure plan for Victoria’s health system 2017–2037</w:t>
      </w:r>
      <w:r w:rsidRPr="000731BB">
        <w:t>.</w:t>
      </w:r>
      <w:r w:rsidRPr="006F58BA">
        <w:t xml:space="preserve"> </w:t>
      </w:r>
    </w:p>
    <w:p w14:paraId="1F2181D0" w14:textId="77777777" w:rsidR="00817104" w:rsidRPr="006F58BA" w:rsidRDefault="00817104" w:rsidP="00817104">
      <w:pPr>
        <w:pStyle w:val="Body"/>
      </w:pPr>
      <w:r w:rsidRPr="006F58BA">
        <w:t xml:space="preserve">The next capability framework to be developed and implemented will </w:t>
      </w:r>
      <w:r>
        <w:t xml:space="preserve">be </w:t>
      </w:r>
      <w:r w:rsidRPr="006F58BA">
        <w:t>critical care</w:t>
      </w:r>
      <w:r>
        <w:t>.</w:t>
      </w:r>
    </w:p>
    <w:p w14:paraId="637DBE22" w14:textId="77777777" w:rsidR="00817104" w:rsidRPr="006F58BA" w:rsidRDefault="00817104" w:rsidP="00817104">
      <w:pPr>
        <w:pStyle w:val="Bodyafterbullets"/>
      </w:pPr>
      <w:r w:rsidRPr="006F58BA">
        <w:lastRenderedPageBreak/>
        <w:t xml:space="preserve">The </w:t>
      </w:r>
      <w:r w:rsidRPr="006F58BA">
        <w:rPr>
          <w:i/>
          <w:iCs/>
        </w:rPr>
        <w:t>Cancer services capability framework</w:t>
      </w:r>
      <w:r w:rsidRPr="006F58BA">
        <w:t xml:space="preserve"> has been developed and is currently under review.</w:t>
      </w:r>
    </w:p>
    <w:p w14:paraId="69F419AE" w14:textId="77777777" w:rsidR="00817104" w:rsidRPr="00E532AC" w:rsidRDefault="00817104" w:rsidP="00817104">
      <w:pPr>
        <w:pStyle w:val="Body"/>
      </w:pPr>
      <w:r w:rsidRPr="006F58BA">
        <w:t xml:space="preserve">The current </w:t>
      </w:r>
      <w:r w:rsidRPr="001D0E2C">
        <w:t xml:space="preserve">Palliative care service capability framework </w:t>
      </w:r>
      <w:r w:rsidRPr="006F58BA">
        <w:t>is under review</w:t>
      </w:r>
      <w:r>
        <w:t xml:space="preserve"> as a key action in the </w:t>
      </w:r>
      <w:hyperlink r:id="rId217" w:history="1">
        <w:r w:rsidRPr="00E92BD6">
          <w:rPr>
            <w:rStyle w:val="Hyperlink"/>
            <w:i/>
            <w:iCs/>
          </w:rPr>
          <w:t>Victorian</w:t>
        </w:r>
        <w:r w:rsidRPr="00F127D2">
          <w:rPr>
            <w:rStyle w:val="Hyperlink"/>
          </w:rPr>
          <w:t xml:space="preserve"> </w:t>
        </w:r>
        <w:r>
          <w:rPr>
            <w:rStyle w:val="Hyperlink"/>
            <w:i/>
            <w:iCs/>
          </w:rPr>
          <w:t>P</w:t>
        </w:r>
        <w:r w:rsidRPr="00E92BD6">
          <w:rPr>
            <w:rStyle w:val="Hyperlink"/>
            <w:i/>
            <w:iCs/>
          </w:rPr>
          <w:t xml:space="preserve">alliative and </w:t>
        </w:r>
        <w:r>
          <w:rPr>
            <w:rStyle w:val="Hyperlink"/>
            <w:i/>
            <w:iCs/>
          </w:rPr>
          <w:t>E</w:t>
        </w:r>
        <w:r w:rsidRPr="00E92BD6">
          <w:rPr>
            <w:rStyle w:val="Hyperlink"/>
            <w:i/>
            <w:iCs/>
          </w:rPr>
          <w:t>nd-of-</w:t>
        </w:r>
        <w:r>
          <w:rPr>
            <w:rStyle w:val="Hyperlink"/>
            <w:i/>
            <w:iCs/>
          </w:rPr>
          <w:t>L</w:t>
        </w:r>
        <w:r w:rsidRPr="00E92BD6">
          <w:rPr>
            <w:rStyle w:val="Hyperlink"/>
            <w:i/>
            <w:iCs/>
          </w:rPr>
          <w:t xml:space="preserve">ife </w:t>
        </w:r>
        <w:r>
          <w:rPr>
            <w:rStyle w:val="Hyperlink"/>
            <w:i/>
            <w:iCs/>
          </w:rPr>
          <w:t>C</w:t>
        </w:r>
        <w:r w:rsidRPr="00E92BD6">
          <w:rPr>
            <w:rStyle w:val="Hyperlink"/>
            <w:i/>
            <w:iCs/>
          </w:rPr>
          <w:t xml:space="preserve">are </w:t>
        </w:r>
        <w:r>
          <w:rPr>
            <w:rStyle w:val="Hyperlink"/>
            <w:i/>
            <w:iCs/>
          </w:rPr>
          <w:t>F</w:t>
        </w:r>
        <w:r w:rsidRPr="00E92BD6">
          <w:rPr>
            <w:rStyle w:val="Hyperlink"/>
            <w:i/>
            <w:iCs/>
          </w:rPr>
          <w:t>ramework 2026–36</w:t>
        </w:r>
      </w:hyperlink>
      <w:r>
        <w:t xml:space="preserve"> &lt;</w:t>
      </w:r>
      <w:r w:rsidRPr="00341709">
        <w:t>https://www.health.vic.gov.au/end-of-life-care/victorias-end-of-life-and-palliative-care-framework</w:t>
      </w:r>
      <w:r>
        <w:t>&gt;.</w:t>
      </w:r>
    </w:p>
    <w:p w14:paraId="548A27AA" w14:textId="77777777" w:rsidR="00817104" w:rsidRDefault="00817104" w:rsidP="00817104">
      <w:pPr>
        <w:pStyle w:val="Body"/>
        <w:rPr>
          <w:rFonts w:eastAsia="MS Gothic" w:cs="Arial"/>
          <w:color w:val="53565A"/>
          <w:kern w:val="32"/>
        </w:rPr>
      </w:pPr>
    </w:p>
    <w:p w14:paraId="53207D79" w14:textId="77777777" w:rsidR="00817104" w:rsidRDefault="00817104" w:rsidP="00817104">
      <w:pPr>
        <w:pStyle w:val="Body"/>
        <w:rPr>
          <w:rFonts w:eastAsia="MS Gothic" w:cs="Arial"/>
          <w:color w:val="53565A"/>
          <w:kern w:val="32"/>
        </w:rPr>
      </w:pPr>
      <w:r>
        <w:rPr>
          <w:rFonts w:eastAsia="MS Gothic" w:cs="Arial"/>
          <w:color w:val="53565A"/>
          <w:kern w:val="32"/>
        </w:rPr>
        <w:br w:type="page"/>
      </w:r>
    </w:p>
    <w:p w14:paraId="207A6732" w14:textId="77777777" w:rsidR="00817104" w:rsidRDefault="00817104" w:rsidP="00C44545">
      <w:pPr>
        <w:pStyle w:val="Heading1"/>
      </w:pPr>
      <w:bookmarkStart w:id="2311" w:name="_Toc229127705"/>
      <w:bookmarkStart w:id="2312" w:name="_Toc231982317"/>
      <w:r>
        <w:lastRenderedPageBreak/>
        <w:t xml:space="preserve">Expectations, </w:t>
      </w:r>
      <w:r w:rsidRPr="002F2DE0">
        <w:t>policies</w:t>
      </w:r>
      <w:r>
        <w:t xml:space="preserve"> and performance</w:t>
      </w:r>
      <w:bookmarkEnd w:id="2311"/>
      <w:bookmarkEnd w:id="2312"/>
    </w:p>
    <w:p w14:paraId="12D5B3A5" w14:textId="77777777" w:rsidR="00817104" w:rsidRDefault="00817104" w:rsidP="00817104">
      <w:pPr>
        <w:pStyle w:val="Body"/>
      </w:pPr>
      <w:r>
        <w:t>As a condition of funding, funded agencies must comply with the following expectations, guidelines, policies and performance-reporting requirements.</w:t>
      </w:r>
    </w:p>
    <w:p w14:paraId="2B59898C" w14:textId="06E5F343" w:rsidR="00817104" w:rsidRDefault="00817104" w:rsidP="00817104">
      <w:pPr>
        <w:pStyle w:val="Heading2"/>
      </w:pPr>
      <w:bookmarkStart w:id="2313" w:name="_Toc165964704"/>
      <w:bookmarkStart w:id="2314" w:name="_Toc167174566"/>
      <w:bookmarkStart w:id="2315" w:name="_Toc229127706"/>
      <w:bookmarkStart w:id="2316" w:name="_Toc231982318"/>
      <w:r w:rsidRPr="002F2DE0">
        <w:t>Acute</w:t>
      </w:r>
      <w:r>
        <w:t xml:space="preserve"> and specialist care</w:t>
      </w:r>
      <w:bookmarkEnd w:id="2313"/>
      <w:bookmarkEnd w:id="2314"/>
      <w:bookmarkEnd w:id="2315"/>
      <w:bookmarkEnd w:id="2316"/>
    </w:p>
    <w:p w14:paraId="24FE9A13" w14:textId="77777777" w:rsidR="00817104" w:rsidRDefault="00817104" w:rsidP="00817104">
      <w:pPr>
        <w:pStyle w:val="Heading3"/>
        <w:numPr>
          <w:ilvl w:val="2"/>
          <w:numId w:val="0"/>
        </w:numPr>
        <w:tabs>
          <w:tab w:val="num" w:pos="794"/>
        </w:tabs>
        <w:ind w:left="1134" w:hanging="1134"/>
      </w:pPr>
      <w:r>
        <w:t>18.1.1</w:t>
      </w:r>
      <w:r>
        <w:tab/>
        <w:t>Surgical and procedural services</w:t>
      </w:r>
    </w:p>
    <w:p w14:paraId="5669990D" w14:textId="77777777" w:rsidR="00817104" w:rsidRDefault="00817104" w:rsidP="00817104">
      <w:pPr>
        <w:pStyle w:val="Body"/>
      </w:pPr>
      <w:r>
        <w:t xml:space="preserve">All Victorian health services providing planned surgery are expected to fully comply with the </w:t>
      </w:r>
      <w:bookmarkStart w:id="2317" w:name="_Hlt195079489"/>
      <w:r w:rsidRPr="001D0E2C">
        <w:rPr>
          <w:i/>
          <w:iCs/>
        </w:rPr>
        <w:t>Planned surgery access policy 2024</w:t>
      </w:r>
      <w:bookmarkEnd w:id="2317"/>
      <w:r>
        <w:t xml:space="preserve"> by 1 July 2026. This policy sets out the expectations for access to planned surgery and procedures in Victorian public health services. </w:t>
      </w:r>
    </w:p>
    <w:p w14:paraId="2C2172DF" w14:textId="77777777" w:rsidR="00817104" w:rsidRDefault="00817104" w:rsidP="00817104">
      <w:pPr>
        <w:pStyle w:val="Bodyafterbullets"/>
      </w:pPr>
      <w:r>
        <w:t>For more information about surgical policies and reporting requirements, visit:</w:t>
      </w:r>
    </w:p>
    <w:p w14:paraId="1A40A51D" w14:textId="77777777" w:rsidR="00817104" w:rsidRDefault="00817104" w:rsidP="00817104">
      <w:pPr>
        <w:pStyle w:val="Bullet1"/>
        <w:numPr>
          <w:ilvl w:val="0"/>
          <w:numId w:val="2"/>
        </w:numPr>
      </w:pPr>
      <w:hyperlink r:id="rId218" w:history="1">
        <w:r w:rsidRPr="00C829FC">
          <w:rPr>
            <w:rStyle w:val="Hyperlink"/>
          </w:rPr>
          <w:t>Surgical services</w:t>
        </w:r>
      </w:hyperlink>
      <w:r>
        <w:t xml:space="preserve"> &lt;https://www.health.vic.gov.au/patient-care/surgical-services&gt;</w:t>
      </w:r>
    </w:p>
    <w:p w14:paraId="3D0B03AE" w14:textId="77777777" w:rsidR="00817104" w:rsidRDefault="00817104" w:rsidP="00817104">
      <w:pPr>
        <w:pStyle w:val="Bullet1"/>
        <w:numPr>
          <w:ilvl w:val="0"/>
          <w:numId w:val="2"/>
        </w:numPr>
      </w:pPr>
      <w:hyperlink r:id="rId219" w:history="1">
        <w:r>
          <w:rPr>
            <w:rStyle w:val="Hyperlink"/>
          </w:rPr>
          <w:t>Planned surgery access policy 2024</w:t>
        </w:r>
      </w:hyperlink>
      <w:r>
        <w:t xml:space="preserve"> &lt;</w:t>
      </w:r>
      <w:r w:rsidRPr="00BA5B33">
        <w:t>https://www.health.vic.gov.au/ surgical-services/planned-surgery-access-policy-2024</w:t>
      </w:r>
      <w:r>
        <w:t>&gt;</w:t>
      </w:r>
    </w:p>
    <w:p w14:paraId="6A990240" w14:textId="77777777" w:rsidR="00817104" w:rsidRDefault="00817104" w:rsidP="00817104">
      <w:pPr>
        <w:pStyle w:val="Bullet1"/>
        <w:numPr>
          <w:ilvl w:val="0"/>
          <w:numId w:val="2"/>
        </w:numPr>
      </w:pPr>
      <w:hyperlink r:id="rId220">
        <w:r w:rsidRPr="0670E279">
          <w:rPr>
            <w:rStyle w:val="Hyperlink"/>
          </w:rPr>
          <w:t>Elective Surgery Information System (ESIS)</w:t>
        </w:r>
      </w:hyperlink>
      <w:r>
        <w:t xml:space="preserve"> &lt;https://www.health.vic.gov.au/data-reporting/elective-surgery-information-system-esis&gt;.</w:t>
      </w:r>
    </w:p>
    <w:p w14:paraId="0AF83B80" w14:textId="77777777" w:rsidR="00817104" w:rsidRDefault="00817104" w:rsidP="00817104">
      <w:pPr>
        <w:pStyle w:val="Heading3"/>
        <w:numPr>
          <w:ilvl w:val="2"/>
          <w:numId w:val="0"/>
        </w:numPr>
        <w:tabs>
          <w:tab w:val="num" w:pos="794"/>
        </w:tabs>
        <w:ind w:left="1134" w:hanging="1134"/>
      </w:pPr>
      <w:r>
        <w:t>18.1.2</w:t>
      </w:r>
      <w:r>
        <w:tab/>
        <w:t xml:space="preserve">Planned surgery reform </w:t>
      </w:r>
    </w:p>
    <w:p w14:paraId="700F66B4" w14:textId="77777777" w:rsidR="00817104" w:rsidRDefault="00817104" w:rsidP="00817104">
      <w:pPr>
        <w:pStyle w:val="Body"/>
      </w:pPr>
      <w:r>
        <w:t xml:space="preserve">The </w:t>
      </w:r>
      <w:r w:rsidRPr="002D6AE5">
        <w:rPr>
          <w:i/>
          <w:iCs/>
        </w:rPr>
        <w:t>Planned Surgery Reform Blueprint</w:t>
      </w:r>
      <w:r>
        <w:t xml:space="preserve"> </w:t>
      </w:r>
      <w:r w:rsidRPr="00CC7613">
        <w:t>provides the system</w:t>
      </w:r>
      <w:r>
        <w:rPr>
          <w:rFonts w:ascii="Cambria Math" w:hAnsi="Cambria Math" w:cs="Cambria Math"/>
        </w:rPr>
        <w:t>-</w:t>
      </w:r>
      <w:r w:rsidRPr="00CC7613">
        <w:t>wide framework for ongoing planned surgery reform and replaces short</w:t>
      </w:r>
      <w:r>
        <w:rPr>
          <w:rFonts w:ascii="Cambria Math" w:hAnsi="Cambria Math" w:cs="Cambria Math"/>
        </w:rPr>
        <w:t>-</w:t>
      </w:r>
      <w:r w:rsidRPr="00CC7613">
        <w:t>term recovery efforts with a sustainable, long</w:t>
      </w:r>
      <w:r>
        <w:rPr>
          <w:rFonts w:ascii="Cambria Math" w:hAnsi="Cambria Math" w:cs="Cambria Math"/>
        </w:rPr>
        <w:t>-</w:t>
      </w:r>
      <w:r w:rsidRPr="00CC7613">
        <w:t>term approach</w:t>
      </w:r>
      <w:r>
        <w:t>.</w:t>
      </w:r>
    </w:p>
    <w:p w14:paraId="19E3F2FE" w14:textId="77777777" w:rsidR="00817104" w:rsidRDefault="00817104" w:rsidP="00817104">
      <w:pPr>
        <w:pStyle w:val="Body"/>
      </w:pPr>
      <w:r w:rsidRPr="00102674">
        <w:t xml:space="preserve">Health services are expected to continue </w:t>
      </w:r>
      <w:r>
        <w:t>implementing actions for each of the 10 reforms by driving local innovation. These efforts will be supported by the department to deliver the system aim so that all Victorians can access planned surgery or non-surgical treatment when they need it, and experience safe and equitable outcomes, now and into the future.</w:t>
      </w:r>
    </w:p>
    <w:p w14:paraId="58EDA774" w14:textId="77777777" w:rsidR="00817104" w:rsidRPr="00102674" w:rsidRDefault="00817104" w:rsidP="00817104">
      <w:pPr>
        <w:pStyle w:val="Body"/>
      </w:pPr>
      <w:r>
        <w:t xml:space="preserve">For more information, visit </w:t>
      </w:r>
      <w:hyperlink r:id="rId221" w:history="1">
        <w:r w:rsidRPr="00A66964">
          <w:rPr>
            <w:rStyle w:val="Hyperlink"/>
          </w:rPr>
          <w:t>Planned Surgery Reform Blueprint</w:t>
        </w:r>
      </w:hyperlink>
      <w:r>
        <w:t xml:space="preserve"> &lt;</w:t>
      </w:r>
      <w:r w:rsidRPr="00540476">
        <w:t>https://www.health.vic.gov.au/planned-surgery-reform-blueprint</w:t>
      </w:r>
      <w:r>
        <w:t>&gt;</w:t>
      </w:r>
    </w:p>
    <w:p w14:paraId="303DFB49" w14:textId="77777777" w:rsidR="00817104" w:rsidRDefault="00817104" w:rsidP="00817104">
      <w:pPr>
        <w:pStyle w:val="Heading3"/>
        <w:numPr>
          <w:ilvl w:val="2"/>
          <w:numId w:val="0"/>
        </w:numPr>
        <w:tabs>
          <w:tab w:val="num" w:pos="794"/>
        </w:tabs>
        <w:ind w:left="1134" w:hanging="1134"/>
      </w:pPr>
      <w:r>
        <w:t>18.1.3</w:t>
      </w:r>
      <w:r>
        <w:tab/>
        <w:t>Victorian endoscopy categorisation guidelines</w:t>
      </w:r>
    </w:p>
    <w:p w14:paraId="54DDF9CF" w14:textId="77777777" w:rsidR="00817104" w:rsidRDefault="00817104" w:rsidP="00817104">
      <w:pPr>
        <w:pStyle w:val="Body"/>
      </w:pPr>
      <w:r>
        <w:t xml:space="preserve">Victorian health services that provide endoscopy services should ensure clinicians use the </w:t>
      </w:r>
      <w:r w:rsidRPr="002D6AE5">
        <w:rPr>
          <w:i/>
          <w:iCs/>
        </w:rPr>
        <w:t>Colonoscopy categorisation guidelines 2017</w:t>
      </w:r>
      <w:r w:rsidRPr="00BA5B33">
        <w:t xml:space="preserve"> and the </w:t>
      </w:r>
      <w:r w:rsidRPr="002D6AE5">
        <w:rPr>
          <w:i/>
          <w:iCs/>
        </w:rPr>
        <w:t>Upper gastrointestinal endoscopy categorisation guidelines for adults 2018</w:t>
      </w:r>
      <w:r w:rsidRPr="000F629F">
        <w:t>.</w:t>
      </w:r>
    </w:p>
    <w:p w14:paraId="62C54F51" w14:textId="77777777" w:rsidR="00817104" w:rsidRDefault="00817104" w:rsidP="00817104">
      <w:pPr>
        <w:pStyle w:val="Body"/>
      </w:pPr>
      <w:r>
        <w:t xml:space="preserve">The </w:t>
      </w:r>
      <w:r w:rsidRPr="00C96FC2">
        <w:t>Victorian Endoscopy Categorisation Decision Support Too</w:t>
      </w:r>
      <w:r>
        <w:t xml:space="preserve">l is available for these guidelines to provide automated clinical urgency categorisation and accompanying rationale, including guidance on whether a procedure is recommended when assessing a patient referred for an endoscopy procedure. </w:t>
      </w:r>
    </w:p>
    <w:p w14:paraId="4680BD74" w14:textId="34E4A2E1" w:rsidR="00817104" w:rsidRDefault="00817104" w:rsidP="00817104">
      <w:pPr>
        <w:pStyle w:val="Body"/>
      </w:pPr>
      <w:r>
        <w:t xml:space="preserve">For more information and to access the categorisation guidelines and decision support tool, visit </w:t>
      </w:r>
      <w:hyperlink r:id="rId222">
        <w:r w:rsidR="006F51E1">
          <w:rPr>
            <w:rStyle w:val="Hyperlink"/>
          </w:rPr>
          <w:t>Specialist clinics - resources</w:t>
        </w:r>
      </w:hyperlink>
      <w:r>
        <w:t xml:space="preserve"> &lt;https://www.health.vic.gov.au/patient-care/specialist-clinics-resources&gt;.</w:t>
      </w:r>
    </w:p>
    <w:p w14:paraId="53F0DB9D" w14:textId="77777777" w:rsidR="00817104" w:rsidRDefault="00817104" w:rsidP="00817104">
      <w:pPr>
        <w:pStyle w:val="Heading3"/>
        <w:numPr>
          <w:ilvl w:val="2"/>
          <w:numId w:val="0"/>
        </w:numPr>
        <w:tabs>
          <w:tab w:val="num" w:pos="794"/>
        </w:tabs>
        <w:ind w:left="1134" w:hanging="1134"/>
      </w:pPr>
      <w:r>
        <w:lastRenderedPageBreak/>
        <w:t>18.1.4</w:t>
      </w:r>
      <w:r>
        <w:tab/>
        <w:t>Admitted palliative care</w:t>
      </w:r>
    </w:p>
    <w:p w14:paraId="5A25F305" w14:textId="77777777" w:rsidR="00817104" w:rsidRDefault="00817104" w:rsidP="00817104">
      <w:pPr>
        <w:pStyle w:val="Body"/>
      </w:pPr>
      <w:r>
        <w:t>Admitted palliative care services provide specialised care for people with a life-limiting illness (including respite care), who require an interdisciplinary and comprehensive approach to challenging physical, emotional, social and spiritual issues.</w:t>
      </w:r>
    </w:p>
    <w:p w14:paraId="7CE8F09D" w14:textId="77777777" w:rsidR="00817104" w:rsidRDefault="00817104" w:rsidP="00817104">
      <w:pPr>
        <w:pStyle w:val="Body"/>
      </w:pPr>
      <w:r>
        <w:t>Palliative care is provided:</w:t>
      </w:r>
    </w:p>
    <w:p w14:paraId="0F63A329" w14:textId="77777777" w:rsidR="00817104" w:rsidRDefault="00817104" w:rsidP="00817104">
      <w:pPr>
        <w:pStyle w:val="Bullet1"/>
        <w:numPr>
          <w:ilvl w:val="0"/>
          <w:numId w:val="2"/>
        </w:numPr>
      </w:pPr>
      <w:r>
        <w:t>in designated inpatient palliative care beds (or units) or standalone facilities</w:t>
      </w:r>
    </w:p>
    <w:p w14:paraId="7C771390" w14:textId="77777777" w:rsidR="00817104" w:rsidRDefault="00817104" w:rsidP="00817104">
      <w:pPr>
        <w:pStyle w:val="Bullet1"/>
        <w:numPr>
          <w:ilvl w:val="0"/>
          <w:numId w:val="2"/>
        </w:numPr>
      </w:pPr>
      <w:r>
        <w:t>in subacute wards</w:t>
      </w:r>
    </w:p>
    <w:p w14:paraId="7F3679F0" w14:textId="77777777" w:rsidR="00817104" w:rsidRDefault="00817104" w:rsidP="00817104">
      <w:pPr>
        <w:pStyle w:val="Bullet1"/>
        <w:numPr>
          <w:ilvl w:val="0"/>
          <w:numId w:val="2"/>
        </w:numPr>
      </w:pPr>
      <w:r>
        <w:t>by specialist consultancy services.</w:t>
      </w:r>
    </w:p>
    <w:p w14:paraId="67F0EB7D" w14:textId="77777777" w:rsidR="00817104" w:rsidRDefault="00817104" w:rsidP="00817104">
      <w:pPr>
        <w:pStyle w:val="Bodyafterbullets"/>
      </w:pPr>
      <w:r>
        <w:t>Planned rapid discharge and admitted palliative care at home models can also be established. These models must include oversight of all patients by a palliative medicine specialist, with input from a specialist palliative care interdisciplinary team, access to after-hours care and health service-endorsed escalation pathways to support safe return to hospital where required.</w:t>
      </w:r>
    </w:p>
    <w:p w14:paraId="20870BA1" w14:textId="77777777" w:rsidR="00817104" w:rsidRDefault="00817104" w:rsidP="00817104">
      <w:pPr>
        <w:pStyle w:val="Bodyafterbullets"/>
      </w:pPr>
      <w:r>
        <w:t>The model must be endorsed by the department prior to commencement. There must be clear reporting structures in place to inform attribution of activity and outcomes by the care setting (hospital or home). Admitted care in the home models must not duplicate existing state-funded community palliative care programs.</w:t>
      </w:r>
    </w:p>
    <w:p w14:paraId="77D5E492" w14:textId="77777777" w:rsidR="00817104" w:rsidRPr="00506B8C" w:rsidRDefault="00817104" w:rsidP="00817104">
      <w:pPr>
        <w:pStyle w:val="Body"/>
      </w:pPr>
      <w:r>
        <w:t xml:space="preserve">All designated palliative care inpatient units must provide care in line with the </w:t>
      </w:r>
      <w:r w:rsidRPr="008C2302">
        <w:t>Conditions of funding for admitted palliative care</w:t>
      </w:r>
      <w:r>
        <w:t xml:space="preserve">, and system and service improvement work should align with the priority directions and actions in </w:t>
      </w:r>
      <w:r w:rsidRPr="00A4653B">
        <w:rPr>
          <w:i/>
          <w:iCs/>
        </w:rPr>
        <w:t>Victoria’s Palliative and End-of-Life Care Framework 2026–2036</w:t>
      </w:r>
      <w:r w:rsidRPr="00506B8C">
        <w:t>.</w:t>
      </w:r>
    </w:p>
    <w:p w14:paraId="63AEA102" w14:textId="77777777" w:rsidR="00817104" w:rsidRDefault="00817104" w:rsidP="00817104">
      <w:pPr>
        <w:pStyle w:val="Body"/>
      </w:pPr>
      <w:r>
        <w:t>All health services providing admitted palliative care must report data elements linked to the Australian national subacute and non-acute patient phase of care, including specific elements for the final phase. They are also required to report patient-level costs for palliative care at the phase, through the VCDC, to enable a more accurate link of cost data to the phase of care.</w:t>
      </w:r>
    </w:p>
    <w:p w14:paraId="3D63C030" w14:textId="77777777" w:rsidR="00817104" w:rsidRDefault="00817104" w:rsidP="00817104">
      <w:pPr>
        <w:pStyle w:val="Body"/>
      </w:pPr>
      <w:r>
        <w:t xml:space="preserve">For more information, visit </w:t>
      </w:r>
      <w:hyperlink r:id="rId223" w:history="1">
        <w:r w:rsidRPr="00A66964">
          <w:rPr>
            <w:rStyle w:val="Hyperlink"/>
          </w:rPr>
          <w:t>Conditions of funding for palliative care</w:t>
        </w:r>
      </w:hyperlink>
      <w:r>
        <w:t xml:space="preserve"> &lt;</w:t>
      </w:r>
      <w:r w:rsidRPr="00A7470B">
        <w:t>https://www.health.vic.gov.au/patient-care/conditions-of-funding-for-palliative-care</w:t>
      </w:r>
      <w:r>
        <w:t>&gt;.</w:t>
      </w:r>
    </w:p>
    <w:p w14:paraId="36D0D1F2" w14:textId="77777777" w:rsidR="00817104" w:rsidRPr="002F2DE0" w:rsidRDefault="00817104" w:rsidP="00817104">
      <w:pPr>
        <w:pStyle w:val="Heading4"/>
      </w:pPr>
      <w:r>
        <w:t>Day hospice</w:t>
      </w:r>
    </w:p>
    <w:p w14:paraId="041308F5" w14:textId="77777777" w:rsidR="00817104" w:rsidRDefault="00817104" w:rsidP="00817104">
      <w:pPr>
        <w:pStyle w:val="Body"/>
      </w:pPr>
      <w:r>
        <w:t>Some health services are funded to provide day hospice.</w:t>
      </w:r>
    </w:p>
    <w:p w14:paraId="694B62E3" w14:textId="77777777" w:rsidR="00817104" w:rsidRDefault="00817104" w:rsidP="00817104">
      <w:pPr>
        <w:pStyle w:val="Body"/>
      </w:pPr>
      <w:r>
        <w:t>Day hospice provides people living with a life-limiting illness, and their families and carers, with a supportive environment to help improve their quality of life. This may include therapeutic activities, social interaction or assistance with treatments. This service applies to people of all ages living with a life-limiting illness and does not include overnight stays.</w:t>
      </w:r>
    </w:p>
    <w:p w14:paraId="0C1D8E09" w14:textId="77777777" w:rsidR="00817104" w:rsidRDefault="00817104" w:rsidP="00817104">
      <w:pPr>
        <w:pStyle w:val="Body"/>
      </w:pPr>
      <w:r>
        <w:t>Health services funded for day hospice must submit activity data to the VINAH MDS and cost data to the VCDC.</w:t>
      </w:r>
    </w:p>
    <w:p w14:paraId="64DEB480" w14:textId="77777777" w:rsidR="00817104" w:rsidRDefault="00817104" w:rsidP="00817104">
      <w:pPr>
        <w:pStyle w:val="Heading3"/>
        <w:numPr>
          <w:ilvl w:val="2"/>
          <w:numId w:val="0"/>
        </w:numPr>
        <w:tabs>
          <w:tab w:val="num" w:pos="794"/>
        </w:tabs>
        <w:ind w:left="1134" w:hanging="1134"/>
      </w:pPr>
      <w:r>
        <w:t>18.1.5</w:t>
      </w:r>
      <w:r>
        <w:tab/>
        <w:t xml:space="preserve">Maternity and newborn </w:t>
      </w:r>
      <w:r w:rsidRPr="002F2DE0">
        <w:t>services</w:t>
      </w:r>
    </w:p>
    <w:p w14:paraId="4EBF8C68" w14:textId="77777777" w:rsidR="00817104" w:rsidRDefault="00817104" w:rsidP="00817104">
      <w:pPr>
        <w:pStyle w:val="Body"/>
      </w:pPr>
      <w:r w:rsidRPr="00876D8F">
        <w:t xml:space="preserve">Maternity and newborn services are </w:t>
      </w:r>
      <w:r>
        <w:t xml:space="preserve">delivered </w:t>
      </w:r>
      <w:r w:rsidRPr="00876D8F">
        <w:t xml:space="preserve">in </w:t>
      </w:r>
      <w:r>
        <w:t xml:space="preserve">accordance with the </w:t>
      </w:r>
      <w:r w:rsidRPr="001D0E2C">
        <w:rPr>
          <w:i/>
          <w:iCs/>
        </w:rPr>
        <w:t>Capability frameworks for Victorian maternity and newborn services</w:t>
      </w:r>
      <w:r>
        <w:rPr>
          <w:i/>
          <w:iCs/>
        </w:rPr>
        <w:t>.</w:t>
      </w:r>
      <w:r>
        <w:t xml:space="preserve"> </w:t>
      </w:r>
    </w:p>
    <w:p w14:paraId="257A5FEE" w14:textId="77777777" w:rsidR="00817104" w:rsidRPr="00876D8F" w:rsidRDefault="00817104" w:rsidP="00817104">
      <w:pPr>
        <w:pStyle w:val="Body"/>
      </w:pPr>
      <w:r>
        <w:t xml:space="preserve">The principles that guide the delivery of maternity and newborn services in Victoria, ensuring women, babies and their families receive safe and high-quality care include: </w:t>
      </w:r>
    </w:p>
    <w:p w14:paraId="62BEE162" w14:textId="77777777" w:rsidR="00817104" w:rsidRPr="000F01F1" w:rsidRDefault="00817104" w:rsidP="00817104">
      <w:pPr>
        <w:pStyle w:val="Bullet1"/>
        <w:numPr>
          <w:ilvl w:val="0"/>
          <w:numId w:val="2"/>
        </w:numPr>
      </w:pPr>
      <w:r w:rsidRPr="000F01F1">
        <w:t>Maternity care is guided by a wellness model designed around the needs of each woman and</w:t>
      </w:r>
      <w:r>
        <w:t xml:space="preserve"> </w:t>
      </w:r>
      <w:r w:rsidRPr="000F01F1">
        <w:t>her family.</w:t>
      </w:r>
    </w:p>
    <w:p w14:paraId="4FD96815" w14:textId="77777777" w:rsidR="00817104" w:rsidRPr="000F01F1" w:rsidRDefault="00817104" w:rsidP="00817104">
      <w:pPr>
        <w:pStyle w:val="Bullet1"/>
        <w:numPr>
          <w:ilvl w:val="0"/>
          <w:numId w:val="2"/>
        </w:numPr>
      </w:pPr>
      <w:r w:rsidRPr="000F01F1">
        <w:lastRenderedPageBreak/>
        <w:t>A network of services that are working collaboratively, with an enduring commitment</w:t>
      </w:r>
      <w:r>
        <w:t xml:space="preserve"> </w:t>
      </w:r>
      <w:r w:rsidRPr="000F01F1">
        <w:t>to safety and quality, provide the foundation of Victoria</w:t>
      </w:r>
      <w:r>
        <w:t>’</w:t>
      </w:r>
      <w:r w:rsidRPr="000F01F1">
        <w:t>s maternity and newborn</w:t>
      </w:r>
      <w:r>
        <w:t xml:space="preserve"> </w:t>
      </w:r>
      <w:r w:rsidRPr="000F01F1">
        <w:t>service system.</w:t>
      </w:r>
    </w:p>
    <w:p w14:paraId="627AD4A7" w14:textId="77777777" w:rsidR="00817104" w:rsidRPr="000F01F1" w:rsidRDefault="00817104" w:rsidP="00817104">
      <w:pPr>
        <w:pStyle w:val="Bullet1"/>
        <w:numPr>
          <w:ilvl w:val="0"/>
          <w:numId w:val="2"/>
        </w:numPr>
      </w:pPr>
      <w:r>
        <w:t>C</w:t>
      </w:r>
      <w:r w:rsidRPr="000F01F1">
        <w:t>are is provided as close to home as is safe and practicable</w:t>
      </w:r>
      <w:r>
        <w:t>,</w:t>
      </w:r>
      <w:r w:rsidRPr="000F01F1">
        <w:t xml:space="preserve"> and includes</w:t>
      </w:r>
      <w:r>
        <w:t xml:space="preserve"> </w:t>
      </w:r>
      <w:r w:rsidRPr="000F01F1">
        <w:t>prompt transfer to local and specialised services as appropriate.</w:t>
      </w:r>
    </w:p>
    <w:p w14:paraId="1D3D0182" w14:textId="77777777" w:rsidR="00817104" w:rsidRPr="000F01F1" w:rsidRDefault="00817104" w:rsidP="00817104">
      <w:pPr>
        <w:pStyle w:val="Bullet1"/>
        <w:numPr>
          <w:ilvl w:val="0"/>
          <w:numId w:val="2"/>
        </w:numPr>
      </w:pPr>
      <w:r w:rsidRPr="000F01F1">
        <w:t>Models of maternity care focus on the individual woman</w:t>
      </w:r>
      <w:r>
        <w:t>’</w:t>
      </w:r>
      <w:r w:rsidRPr="000F01F1">
        <w:t>s needs and preferences, collaboration</w:t>
      </w:r>
      <w:r>
        <w:t xml:space="preserve"> </w:t>
      </w:r>
      <w:r w:rsidRPr="000F01F1">
        <w:t>and continuity of care.</w:t>
      </w:r>
    </w:p>
    <w:p w14:paraId="486F8ED9" w14:textId="77777777" w:rsidR="00817104" w:rsidRPr="000F01F1" w:rsidRDefault="00817104" w:rsidP="00817104">
      <w:pPr>
        <w:pStyle w:val="Bullet1"/>
        <w:numPr>
          <w:ilvl w:val="0"/>
          <w:numId w:val="2"/>
        </w:numPr>
      </w:pPr>
      <w:r w:rsidRPr="000F01F1">
        <w:t>Each woman is provided with individualised information about maternity care and supported to access culturally safe and responsive care with the care provider of her choice. Her care is underpinned by respectful communication and collaboration among health professionals.</w:t>
      </w:r>
    </w:p>
    <w:p w14:paraId="7AC804A1" w14:textId="77777777" w:rsidR="00817104" w:rsidRPr="000F01F1" w:rsidRDefault="00817104" w:rsidP="00817104">
      <w:pPr>
        <w:pStyle w:val="Bullet1"/>
        <w:numPr>
          <w:ilvl w:val="0"/>
          <w:numId w:val="2"/>
        </w:numPr>
      </w:pPr>
      <w:r w:rsidRPr="000F01F1">
        <w:t>Cultural competency is embedded and prioritised in health services to support and improve equitable access to, and quality of, maternity and newborn services.</w:t>
      </w:r>
    </w:p>
    <w:p w14:paraId="6666809C" w14:textId="77777777" w:rsidR="00817104" w:rsidRPr="000F01F1" w:rsidRDefault="00817104" w:rsidP="00817104">
      <w:pPr>
        <w:pStyle w:val="Bullet1"/>
        <w:numPr>
          <w:ilvl w:val="0"/>
          <w:numId w:val="2"/>
        </w:numPr>
      </w:pPr>
      <w:r w:rsidRPr="000F01F1">
        <w:t>Provision of appropriate and culturally safe maternity and newborn services is determined</w:t>
      </w:r>
      <w:r>
        <w:t xml:space="preserve"> </w:t>
      </w:r>
      <w:r w:rsidRPr="000F01F1">
        <w:t>by Aboriginal people, embedding the principles of self-determination.</w:t>
      </w:r>
    </w:p>
    <w:p w14:paraId="0560BEB6" w14:textId="77777777" w:rsidR="00817104" w:rsidRPr="000F01F1" w:rsidRDefault="00817104" w:rsidP="00817104">
      <w:pPr>
        <w:pStyle w:val="Bullet1"/>
        <w:numPr>
          <w:ilvl w:val="0"/>
          <w:numId w:val="2"/>
        </w:numPr>
      </w:pPr>
      <w:r>
        <w:t>Women are</w:t>
      </w:r>
      <w:r w:rsidRPr="000F01F1">
        <w:t xml:space="preserve"> support</w:t>
      </w:r>
      <w:r>
        <w:t>ed</w:t>
      </w:r>
      <w:r w:rsidRPr="000F01F1" w:rsidDel="00E52F3D">
        <w:t xml:space="preserve"> </w:t>
      </w:r>
      <w:r w:rsidRPr="000F01F1">
        <w:t>to make evidence-based and informed decisions</w:t>
      </w:r>
      <w:r>
        <w:t xml:space="preserve"> </w:t>
      </w:r>
      <w:r w:rsidRPr="000F01F1">
        <w:t xml:space="preserve">about </w:t>
      </w:r>
      <w:r>
        <w:t>t</w:t>
      </w:r>
      <w:r w:rsidRPr="000F01F1">
        <w:t>he</w:t>
      </w:r>
      <w:r>
        <w:t>i</w:t>
      </w:r>
      <w:r w:rsidRPr="000F01F1">
        <w:t>r care</w:t>
      </w:r>
      <w:r>
        <w:t>,</w:t>
      </w:r>
      <w:r w:rsidRPr="000F01F1">
        <w:t xml:space="preserve"> </w:t>
      </w:r>
      <w:r>
        <w:t xml:space="preserve">in accordance with the </w:t>
      </w:r>
      <w:r w:rsidRPr="001D0E2C">
        <w:rPr>
          <w:i/>
          <w:iCs/>
        </w:rPr>
        <w:t>Respectful Maternity and Newborn Care Framework</w:t>
      </w:r>
      <w:r w:rsidRPr="000F01F1">
        <w:t>.</w:t>
      </w:r>
    </w:p>
    <w:p w14:paraId="6B80FE04" w14:textId="77777777" w:rsidR="00817104" w:rsidRPr="00853965" w:rsidRDefault="00817104" w:rsidP="00817104">
      <w:pPr>
        <w:pStyle w:val="Bullet1"/>
        <w:numPr>
          <w:ilvl w:val="0"/>
          <w:numId w:val="2"/>
        </w:numPr>
      </w:pPr>
      <w:r w:rsidRPr="00853965">
        <w:t>Consultation, referral and transfer processes are</w:t>
      </w:r>
      <w:r>
        <w:t xml:space="preserve"> </w:t>
      </w:r>
      <w:r w:rsidRPr="00853965">
        <w:t>established to support clinical decision-making.</w:t>
      </w:r>
      <w:r>
        <w:t xml:space="preserve"> </w:t>
      </w:r>
      <w:r w:rsidRPr="00853965">
        <w:t>These processes are agreed and documented</w:t>
      </w:r>
      <w:r>
        <w:t xml:space="preserve"> </w:t>
      </w:r>
      <w:r w:rsidRPr="00853965">
        <w:t>by health services within appropriate</w:t>
      </w:r>
      <w:r>
        <w:t xml:space="preserve"> </w:t>
      </w:r>
      <w:r w:rsidRPr="00853965">
        <w:t>geographical boundaries.</w:t>
      </w:r>
    </w:p>
    <w:p w14:paraId="4E9DDE9B" w14:textId="77777777" w:rsidR="00817104" w:rsidRDefault="00817104" w:rsidP="00817104">
      <w:pPr>
        <w:pStyle w:val="Bullet1"/>
        <w:numPr>
          <w:ilvl w:val="0"/>
          <w:numId w:val="2"/>
        </w:numPr>
      </w:pPr>
      <w:r w:rsidRPr="000F01F1">
        <w:t>Health service capability is clearly</w:t>
      </w:r>
      <w:r>
        <w:t xml:space="preserve"> </w:t>
      </w:r>
      <w:r w:rsidRPr="000F01F1">
        <w:t>communicated to women and families, the community and other</w:t>
      </w:r>
      <w:r>
        <w:t xml:space="preserve"> </w:t>
      </w:r>
      <w:r w:rsidRPr="000F01F1">
        <w:t>service providers.</w:t>
      </w:r>
    </w:p>
    <w:p w14:paraId="1971C397" w14:textId="77777777" w:rsidR="00817104" w:rsidRDefault="00817104" w:rsidP="00817104">
      <w:pPr>
        <w:pStyle w:val="Bodyafterbullets"/>
      </w:pPr>
      <w:r w:rsidRPr="00FD2216">
        <w:t xml:space="preserve">Maternity and newborn service planning and delivery should </w:t>
      </w:r>
      <w:r>
        <w:t>align</w:t>
      </w:r>
      <w:r w:rsidRPr="00FD2216">
        <w:t xml:space="preserve"> with system reform priorities as identified in the </w:t>
      </w:r>
      <w:r w:rsidRPr="001D0E2C">
        <w:rPr>
          <w:i/>
          <w:iCs/>
        </w:rPr>
        <w:t xml:space="preserve">Victorian Maternity Taskforce report </w:t>
      </w:r>
      <w:r w:rsidRPr="00FD2216">
        <w:t>(2025).</w:t>
      </w:r>
    </w:p>
    <w:p w14:paraId="3C69452F" w14:textId="77777777" w:rsidR="00817104" w:rsidRDefault="00817104" w:rsidP="00817104">
      <w:pPr>
        <w:pStyle w:val="Bodyafterbullets"/>
      </w:pPr>
      <w:r>
        <w:t>For more information, visit:</w:t>
      </w:r>
    </w:p>
    <w:p w14:paraId="2D8FE0EF" w14:textId="77777777" w:rsidR="00817104" w:rsidRDefault="00817104" w:rsidP="00817104">
      <w:pPr>
        <w:pStyle w:val="Bullet1"/>
        <w:numPr>
          <w:ilvl w:val="0"/>
          <w:numId w:val="2"/>
        </w:numPr>
      </w:pPr>
      <w:hyperlink r:id="rId224" w:history="1">
        <w:r w:rsidRPr="008875D5">
          <w:rPr>
            <w:rStyle w:val="Hyperlink"/>
          </w:rPr>
          <w:t>Capability frameworks for Victorian maternity and newborn services</w:t>
        </w:r>
      </w:hyperlink>
      <w:r>
        <w:t xml:space="preserve"> &lt;</w:t>
      </w:r>
      <w:r w:rsidRPr="008875D5">
        <w:t>https://www.health.vic.gov.au/patient-care/capability-frameworks-for-maternity-and-newborn-care-in-victoria</w:t>
      </w:r>
      <w:r>
        <w:t>&gt;</w:t>
      </w:r>
    </w:p>
    <w:p w14:paraId="03B507E5" w14:textId="77777777" w:rsidR="00817104" w:rsidRDefault="00817104" w:rsidP="00817104">
      <w:pPr>
        <w:pStyle w:val="Bullet1"/>
        <w:numPr>
          <w:ilvl w:val="0"/>
          <w:numId w:val="2"/>
        </w:numPr>
      </w:pPr>
      <w:hyperlink r:id="rId225" w:history="1">
        <w:r w:rsidRPr="008875D5">
          <w:rPr>
            <w:rStyle w:val="Hyperlink"/>
            <w:iCs/>
          </w:rPr>
          <w:t>Respectful Maternity and Newborn Care Framework</w:t>
        </w:r>
      </w:hyperlink>
      <w:r w:rsidRPr="008875D5">
        <w:rPr>
          <w:iCs/>
        </w:rPr>
        <w:t xml:space="preserve"> </w:t>
      </w:r>
      <w:r>
        <w:rPr>
          <w:i/>
        </w:rPr>
        <w:t>&lt;</w:t>
      </w:r>
      <w:r w:rsidRPr="008875D5">
        <w:t>https://www.safercare.vic.gov.au/publications/respectful-maternity-and-newborn-care-framework</w:t>
      </w:r>
      <w:r>
        <w:t>&gt;</w:t>
      </w:r>
    </w:p>
    <w:p w14:paraId="52FC9237" w14:textId="77777777" w:rsidR="00817104" w:rsidRDefault="00817104" w:rsidP="00817104">
      <w:pPr>
        <w:pStyle w:val="Bullet1"/>
        <w:numPr>
          <w:ilvl w:val="0"/>
          <w:numId w:val="2"/>
        </w:numPr>
      </w:pPr>
      <w:hyperlink r:id="rId226" w:history="1">
        <w:r w:rsidRPr="0023039B">
          <w:rPr>
            <w:rStyle w:val="Hyperlink"/>
          </w:rPr>
          <w:t>Victorian Maternity Taskforce report (2025)</w:t>
        </w:r>
      </w:hyperlink>
      <w:r w:rsidRPr="00BC6239">
        <w:rPr>
          <w:i/>
          <w:iCs/>
        </w:rPr>
        <w:t xml:space="preserve"> </w:t>
      </w:r>
      <w:r>
        <w:t>&lt;</w:t>
      </w:r>
      <w:r w:rsidRPr="00474C7E">
        <w:t>https://www.safercare.vic.gov.au/publications/victorian-maternity-taskforce-report</w:t>
      </w:r>
      <w:r>
        <w:t>&gt;.</w:t>
      </w:r>
    </w:p>
    <w:p w14:paraId="3E822065" w14:textId="77777777" w:rsidR="00817104" w:rsidRPr="002F2DE0" w:rsidRDefault="00817104" w:rsidP="00817104">
      <w:pPr>
        <w:pStyle w:val="Heading4"/>
      </w:pPr>
      <w:r>
        <w:t>Regional maternal and perinatal mortality and morbidity committees</w:t>
      </w:r>
    </w:p>
    <w:p w14:paraId="2121A96C" w14:textId="77777777" w:rsidR="00817104" w:rsidRPr="00FE4CB4" w:rsidRDefault="00817104" w:rsidP="00817104">
      <w:pPr>
        <w:pStyle w:val="Body"/>
      </w:pPr>
      <w:r>
        <w:t>Six regional level 5 maternity services (Barwon Health, Latrobe Regional Health, Ballarat Health Services, Goulburn Valley Health, Albury Wodonga Health and Bendigo Health) provide leadership, management, reporting and coordination of the Regional Maternal and Perinatal Mortality and Morbidity Committees. All rural and regional maternity and newborn services must participate in quarterly committee meetings.</w:t>
      </w:r>
    </w:p>
    <w:p w14:paraId="236D48D6" w14:textId="77777777" w:rsidR="00817104" w:rsidRPr="00663982" w:rsidRDefault="00817104" w:rsidP="00817104">
      <w:pPr>
        <w:pStyle w:val="Body"/>
        <w:rPr>
          <w:bCs/>
        </w:rPr>
      </w:pPr>
      <w:r>
        <w:t xml:space="preserve">For more information and to access the guidelines, visit </w:t>
      </w:r>
      <w:hyperlink r:id="rId227" w:history="1">
        <w:r w:rsidRPr="001D0E2C">
          <w:rPr>
            <w:rStyle w:val="Hyperlink"/>
            <w:i/>
            <w:iCs/>
          </w:rPr>
          <w:t>Regional Maternal and Perinatal Morbidity and Mortality Committees guidelines</w:t>
        </w:r>
      </w:hyperlink>
      <w:r w:rsidRPr="001D0E2C">
        <w:rPr>
          <w:i/>
          <w:iCs/>
        </w:rPr>
        <w:t xml:space="preserve"> </w:t>
      </w:r>
      <w:r>
        <w:t>&lt;</w:t>
      </w:r>
      <w:r w:rsidRPr="007D38BA">
        <w:t>https://www.health.vic.gov.au/patient-care/capability-frameworks-for-maternity-and-newborn-care-in-victoria</w:t>
      </w:r>
      <w:r>
        <w:t>&gt;.</w:t>
      </w:r>
    </w:p>
    <w:p w14:paraId="329000DA" w14:textId="77777777" w:rsidR="00817104" w:rsidRPr="002F2DE0" w:rsidRDefault="00817104" w:rsidP="00817104">
      <w:pPr>
        <w:pStyle w:val="Heading4"/>
      </w:pPr>
      <w:r>
        <w:t xml:space="preserve">Generation Victoria </w:t>
      </w:r>
    </w:p>
    <w:p w14:paraId="597D6D22" w14:textId="77777777" w:rsidR="00817104" w:rsidRDefault="00817104" w:rsidP="00817104">
      <w:pPr>
        <w:pStyle w:val="Body"/>
      </w:pPr>
      <w:r>
        <w:t xml:space="preserve">Generation Victoria (GenV) is led by the Murdoch Children’s Research Institute and The Royal Children’s Hospital. The Victorian Government has invested $30 million into the GenV study. </w:t>
      </w:r>
    </w:p>
    <w:p w14:paraId="3BD08532" w14:textId="77777777" w:rsidR="00817104" w:rsidRDefault="00817104" w:rsidP="00817104">
      <w:pPr>
        <w:pStyle w:val="Body"/>
      </w:pPr>
      <w:r>
        <w:lastRenderedPageBreak/>
        <w:t>GenV aims to improve community health by tracking and analysing the health outcomes of a cohort of Victorian children and their parents over time. It will provide new data to enable hospitals to better analyse long-term patient outcomes. GenV aggregate data will be available to validated health services, hospitals and researchers for analysis and study, reducing the time and burden of additional data collection.</w:t>
      </w:r>
    </w:p>
    <w:p w14:paraId="4992B2D2" w14:textId="77777777" w:rsidR="00817104" w:rsidRDefault="00817104" w:rsidP="00817104">
      <w:pPr>
        <w:pStyle w:val="Body"/>
      </w:pPr>
      <w:r>
        <w:t>GenV remains open to families living in Victoria with a child born between 4 October 2021 and 3 October 2023. To reach missed or newly arrived families, GenV is working closely with Maternal and Child Health services, playgroups, kindergartens and other universal child-facing platforms.</w:t>
      </w:r>
    </w:p>
    <w:p w14:paraId="1BE2EC19" w14:textId="77777777" w:rsidR="00817104" w:rsidRDefault="00817104" w:rsidP="00817104">
      <w:pPr>
        <w:pStyle w:val="Body"/>
      </w:pPr>
      <w:r>
        <w:t xml:space="preserve">For more information, visit </w:t>
      </w:r>
      <w:hyperlink r:id="rId228" w:history="1">
        <w:r w:rsidRPr="00392757">
          <w:rPr>
            <w:rStyle w:val="Hyperlink"/>
          </w:rPr>
          <w:t>GenV</w:t>
        </w:r>
      </w:hyperlink>
      <w:r>
        <w:t xml:space="preserve"> &lt;https://www.genv.org.au&gt;.</w:t>
      </w:r>
    </w:p>
    <w:p w14:paraId="6B882B55" w14:textId="77777777" w:rsidR="00817104" w:rsidRPr="002F2DE0" w:rsidRDefault="00817104" w:rsidP="00817104">
      <w:pPr>
        <w:pStyle w:val="Heading4"/>
      </w:pPr>
      <w:r>
        <w:t>Incentivising better patient safety</w:t>
      </w:r>
    </w:p>
    <w:p w14:paraId="61F35B2E" w14:textId="77777777" w:rsidR="00817104" w:rsidRDefault="00817104" w:rsidP="00817104">
      <w:pPr>
        <w:pStyle w:val="Body"/>
      </w:pPr>
      <w:r>
        <w:t>The Victorian Managed Insurance Authority (VMIA) launched the Incentivising better patient safety program in July 2018. The program supports Victorian maternity services that provide planned maternity care to continue their commitment towards improvements in quality and safety, through the increased throughput of maternity staff in certain evidence-based, maternity skills education and training programs.</w:t>
      </w:r>
    </w:p>
    <w:p w14:paraId="4FFDE4ED" w14:textId="77777777" w:rsidR="00817104" w:rsidRDefault="00817104" w:rsidP="00817104">
      <w:pPr>
        <w:pStyle w:val="Body"/>
      </w:pPr>
      <w:r>
        <w:t>A refund on the obstetrics component of the health service’s medical indemnity premium will be provided when education and training is delivered according to the program’s eligibility criteria.</w:t>
      </w:r>
    </w:p>
    <w:p w14:paraId="5A44438B" w14:textId="77777777" w:rsidR="00817104" w:rsidRDefault="00817104" w:rsidP="00817104">
      <w:pPr>
        <w:pStyle w:val="Body"/>
      </w:pPr>
      <w:r>
        <w:t xml:space="preserve">All health services providing planned birthing services (levels 2–6 maternity capability) are expected to have met the eligibility criteria established by the </w:t>
      </w:r>
      <w:hyperlink r:id="rId229">
        <w:r w:rsidRPr="002F2DE0">
          <w:rPr>
            <w:rStyle w:val="Hyperlink"/>
          </w:rPr>
          <w:t>Incentivising better patient safety program</w:t>
        </w:r>
      </w:hyperlink>
      <w:r>
        <w:t xml:space="preserve"> &lt;https://www.vmia.vic.gov.au/risk-advisory/harm-prevention/incentivising-better-patient-safety&gt;.</w:t>
      </w:r>
    </w:p>
    <w:p w14:paraId="07E01779" w14:textId="77777777" w:rsidR="00817104" w:rsidRDefault="00817104" w:rsidP="00817104">
      <w:pPr>
        <w:pStyle w:val="Heading4"/>
      </w:pPr>
      <w:r>
        <w:t>Neonatal bed capacity tracking</w:t>
      </w:r>
    </w:p>
    <w:p w14:paraId="3AF1269E" w14:textId="77777777" w:rsidR="00817104" w:rsidRDefault="00817104" w:rsidP="00817104">
      <w:pPr>
        <w:pStyle w:val="Body"/>
      </w:pPr>
      <w:r>
        <w:t xml:space="preserve">To facilitate statewide access to critical care beds, all health services providing adult, newborn and paediatric critical care services are required to update bed occupancy data four times a day on the </w:t>
      </w:r>
      <w:hyperlink r:id="rId230" w:anchor="/portal/home" w:history="1">
        <w:r w:rsidRPr="00F245C2">
          <w:rPr>
            <w:rStyle w:val="Hyperlink"/>
          </w:rPr>
          <w:t>Retrieval and Critical Health Information System</w:t>
        </w:r>
      </w:hyperlink>
      <w:r>
        <w:t xml:space="preserve"> &lt;https://reach.vic.gov.au/#/portal/home&gt;.</w:t>
      </w:r>
    </w:p>
    <w:p w14:paraId="506354F0" w14:textId="77777777" w:rsidR="00817104" w:rsidRPr="00146B90" w:rsidRDefault="00817104" w:rsidP="00817104">
      <w:pPr>
        <w:pStyle w:val="Body"/>
      </w:pPr>
      <w:r>
        <w:t xml:space="preserve">For more information, login to the </w:t>
      </w:r>
      <w:hyperlink r:id="rId231" w:anchor="/guidelines/home" w:history="1">
        <w:r w:rsidRPr="00B533EC">
          <w:rPr>
            <w:rStyle w:val="Hyperlink"/>
          </w:rPr>
          <w:t>Retrieval and Critical Health Information System</w:t>
        </w:r>
        <w:r w:rsidRPr="002F2DE0">
          <w:rPr>
            <w:rStyle w:val="Hyperlink"/>
          </w:rPr>
          <w:t xml:space="preserve"> manual</w:t>
        </w:r>
      </w:hyperlink>
      <w:r>
        <w:t xml:space="preserve"> &lt;https://reach.vic.gov.au/#/guidelines/home&gt;.</w:t>
      </w:r>
    </w:p>
    <w:p w14:paraId="0DBE575A" w14:textId="77777777" w:rsidR="00817104" w:rsidRPr="003C526E" w:rsidRDefault="00817104" w:rsidP="00817104">
      <w:pPr>
        <w:pStyle w:val="Heading4"/>
      </w:pPr>
      <w:r>
        <w:t xml:space="preserve">Koori Maternity Services and culturally safe </w:t>
      </w:r>
      <w:r w:rsidRPr="002F2DE0">
        <w:t>maternity</w:t>
      </w:r>
      <w:r>
        <w:t xml:space="preserve"> care</w:t>
      </w:r>
    </w:p>
    <w:p w14:paraId="5A29DB34" w14:textId="77777777" w:rsidR="00817104" w:rsidRDefault="00817104" w:rsidP="00817104">
      <w:pPr>
        <w:pStyle w:val="Body"/>
      </w:pPr>
      <w:r>
        <w:t>Victoria’s Koori Maternity Services (KMS) provide culturally safe, flexible and holistic sexual and reproductive health care, pregnancy and postnatal care. KMS are an integral component of Victoria’s maternity service system and ensure cultural safety, cultural strength and wellbeing for Aboriginal women, babies and their families.</w:t>
      </w:r>
    </w:p>
    <w:p w14:paraId="12CB4CFC" w14:textId="453238AD" w:rsidR="00817104" w:rsidRDefault="00817104" w:rsidP="00817104">
      <w:pPr>
        <w:pStyle w:val="Body"/>
      </w:pPr>
      <w:r>
        <w:t>KMS are a partnered service delivery model provided by ACCOs and public health services. Strong and effective partnerships between these services underpin good perinatal outcomes for Aboriginal women, babies and their families.</w:t>
      </w:r>
    </w:p>
    <w:p w14:paraId="1C551306" w14:textId="57FBBFCA" w:rsidR="00817104" w:rsidRDefault="00817104" w:rsidP="00817104">
      <w:pPr>
        <w:pStyle w:val="Body"/>
      </w:pPr>
      <w:r>
        <w:t xml:space="preserve">Services providing KMS (see Table </w:t>
      </w:r>
      <w:r w:rsidR="00E42964">
        <w:t>6</w:t>
      </w:r>
      <w:r>
        <w:t xml:space="preserve">) deliver these in line with the </w:t>
      </w:r>
      <w:hyperlink r:id="rId232">
        <w:r w:rsidRPr="001D0E2C">
          <w:rPr>
            <w:rStyle w:val="Hyperlink"/>
            <w:i/>
            <w:iCs/>
          </w:rPr>
          <w:t>Koori Maternity Services Guidelines</w:t>
        </w:r>
      </w:hyperlink>
      <w:r>
        <w:t xml:space="preserve"> &lt;https://www.health.vic.gov.au/patient-care/aboriginal-maternity-services&gt;. </w:t>
      </w:r>
    </w:p>
    <w:p w14:paraId="06C79EDB" w14:textId="77777777" w:rsidR="00817104" w:rsidRDefault="00817104" w:rsidP="00817104">
      <w:pPr>
        <w:pStyle w:val="Body"/>
      </w:pPr>
      <w:r>
        <w:t xml:space="preserve">In accordance with the </w:t>
      </w:r>
      <w:r w:rsidRPr="0038411F">
        <w:t xml:space="preserve">Capability frameworks for </w:t>
      </w:r>
      <w:r w:rsidRPr="0038411F">
        <w:rPr>
          <w:rFonts w:eastAsia="Arial" w:cs="Arial"/>
        </w:rPr>
        <w:t>m</w:t>
      </w:r>
      <w:r w:rsidRPr="0038411F">
        <w:t xml:space="preserve">aternity and </w:t>
      </w:r>
      <w:r w:rsidRPr="0038411F">
        <w:rPr>
          <w:rFonts w:eastAsia="Arial" w:cs="Arial"/>
        </w:rPr>
        <w:t>n</w:t>
      </w:r>
      <w:r w:rsidRPr="0038411F">
        <w:t>ewborn services</w:t>
      </w:r>
      <w:r>
        <w:rPr>
          <w:rFonts w:cs="Arial"/>
        </w:rPr>
        <w:t>,</w:t>
      </w:r>
      <w:r w:rsidRPr="0670E279">
        <w:rPr>
          <w:rFonts w:cs="Arial"/>
        </w:rPr>
        <w:t xml:space="preserve"> </w:t>
      </w:r>
      <w:r>
        <w:t xml:space="preserve">all public maternity services must refer to and partner with KMS and provide culturally safe maternity and newborn care for Aboriginal women and families in line with the KMS program guidelines. </w:t>
      </w:r>
    </w:p>
    <w:p w14:paraId="3325EA96" w14:textId="77777777" w:rsidR="00817104" w:rsidRPr="001F39E3" w:rsidRDefault="00817104" w:rsidP="00817104">
      <w:pPr>
        <w:pStyle w:val="Body"/>
      </w:pPr>
      <w:r>
        <w:t xml:space="preserve">For more information, visit </w:t>
      </w:r>
      <w:hyperlink r:id="rId233">
        <w:r w:rsidRPr="001D12DD">
          <w:rPr>
            <w:rStyle w:val="Hyperlink"/>
            <w:rFonts w:eastAsia="Arial" w:cs="Arial"/>
          </w:rPr>
          <w:t>Capability frameworks for maternity and newborn services</w:t>
        </w:r>
        <w:r w:rsidRPr="001D0E2C">
          <w:rPr>
            <w:rFonts w:cs="Arial"/>
            <w:i/>
            <w:iCs/>
          </w:rPr>
          <w:t xml:space="preserve"> </w:t>
        </w:r>
        <w:r w:rsidRPr="0670E279">
          <w:rPr>
            <w:rFonts w:cs="Arial"/>
          </w:rPr>
          <w:t>&lt;</w:t>
        </w:r>
      </w:hyperlink>
      <w:r w:rsidRPr="0670E279">
        <w:rPr>
          <w:rFonts w:cs="Arial"/>
        </w:rPr>
        <w:t>https://www.health.vic.gov.au/patient-care/capability-frameworks-for-maternity-and-newborn-care-in-victoria&gt;</w:t>
      </w:r>
    </w:p>
    <w:p w14:paraId="50A54AB7" w14:textId="53C04276" w:rsidR="00817104" w:rsidRDefault="00817104" w:rsidP="00817104">
      <w:pPr>
        <w:pStyle w:val="Body"/>
      </w:pPr>
      <w:r>
        <w:lastRenderedPageBreak/>
        <w:t xml:space="preserve">The key KMS partnerships for public health services are outlined in </w:t>
      </w:r>
      <w:r w:rsidRPr="00BA5B33">
        <w:fldChar w:fldCharType="begin"/>
      </w:r>
      <w:r w:rsidRPr="00BA5B33">
        <w:instrText xml:space="preserve"> REF _Ref165631271 \h </w:instrText>
      </w:r>
      <w:r w:rsidRPr="00BA5B33">
        <w:fldChar w:fldCharType="separate"/>
      </w:r>
      <w:r w:rsidRPr="007E5A10">
        <w:t xml:space="preserve">Table </w:t>
      </w:r>
      <w:r w:rsidRPr="00BA5B33">
        <w:fldChar w:fldCharType="end"/>
      </w:r>
      <w:r w:rsidR="00E42964">
        <w:t>6</w:t>
      </w:r>
      <w:r w:rsidRPr="007E5A10">
        <w:t>.</w:t>
      </w:r>
      <w:r>
        <w:t xml:space="preserve"> </w:t>
      </w:r>
    </w:p>
    <w:p w14:paraId="70304098" w14:textId="77777777" w:rsidR="00817104" w:rsidRDefault="00817104" w:rsidP="00817104">
      <w:pPr>
        <w:pStyle w:val="Tablecaption"/>
      </w:pPr>
      <w:bookmarkStart w:id="2318" w:name="_Toc230537127"/>
      <w:r w:rsidRPr="00F923B2">
        <w:t xml:space="preserve">Table </w:t>
      </w:r>
      <w:r w:rsidRPr="004677E7">
        <w:fldChar w:fldCharType="begin"/>
      </w:r>
      <w:r w:rsidRPr="00F923B2">
        <w:instrText xml:space="preserve"> SEQ Table \* ARABIC </w:instrText>
      </w:r>
      <w:r w:rsidRPr="004677E7">
        <w:fldChar w:fldCharType="separate"/>
      </w:r>
      <w:r>
        <w:rPr>
          <w:noProof/>
        </w:rPr>
        <w:t>6</w:t>
      </w:r>
      <w:r w:rsidRPr="004677E7">
        <w:fldChar w:fldCharType="end"/>
      </w:r>
      <w:r w:rsidRPr="00F923B2">
        <w:t>. K</w:t>
      </w:r>
      <w:r>
        <w:t xml:space="preserve">MS </w:t>
      </w:r>
      <w:r w:rsidRPr="00F923B2">
        <w:t>birthing and referral partners</w:t>
      </w:r>
      <w:bookmarkEnd w:id="2318"/>
    </w:p>
    <w:tbl>
      <w:tblPr>
        <w:tblStyle w:val="GridTable4-Accent1"/>
        <w:tblW w:w="9331" w:type="dxa"/>
        <w:tblLook w:val="04A0" w:firstRow="1" w:lastRow="0" w:firstColumn="1" w:lastColumn="0" w:noHBand="0" w:noVBand="1"/>
      </w:tblPr>
      <w:tblGrid>
        <w:gridCol w:w="1247"/>
        <w:gridCol w:w="2292"/>
        <w:gridCol w:w="1571"/>
        <w:gridCol w:w="4221"/>
      </w:tblGrid>
      <w:tr w:rsidR="00817104" w:rsidRPr="00153B5F" w14:paraId="794ECF02" w14:textId="77777777" w:rsidTr="0032646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062AF990" w14:textId="77777777" w:rsidR="00817104" w:rsidRPr="00F95600" w:rsidRDefault="00817104" w:rsidP="00785A21">
            <w:pPr>
              <w:pStyle w:val="Tablecolhead"/>
              <w:rPr>
                <w:b/>
                <w:color w:val="FFFFFF" w:themeColor="background1"/>
                <w:sz w:val="18"/>
                <w:szCs w:val="18"/>
                <w:lang w:eastAsia="en-AU"/>
              </w:rPr>
            </w:pPr>
            <w:r w:rsidRPr="00F95600">
              <w:rPr>
                <w:b/>
                <w:color w:val="FFFFFF" w:themeColor="background1"/>
                <w:sz w:val="18"/>
                <w:szCs w:val="18"/>
                <w:lang w:eastAsia="en-AU"/>
              </w:rPr>
              <w:t>Region</w:t>
            </w:r>
          </w:p>
        </w:tc>
        <w:tc>
          <w:tcPr>
            <w:tcW w:w="2292" w:type="dxa"/>
            <w:hideMark/>
          </w:tcPr>
          <w:p w14:paraId="39B4C3FB" w14:textId="77777777" w:rsidR="00817104" w:rsidRPr="00F95600"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lang w:eastAsia="en-AU"/>
              </w:rPr>
            </w:pPr>
            <w:r w:rsidRPr="00F95600">
              <w:rPr>
                <w:b/>
                <w:color w:val="FFFFFF" w:themeColor="background1"/>
                <w:sz w:val="18"/>
                <w:szCs w:val="18"/>
                <w:lang w:eastAsia="en-AU"/>
              </w:rPr>
              <w:t>Koori Maternity Service</w:t>
            </w:r>
          </w:p>
        </w:tc>
        <w:tc>
          <w:tcPr>
            <w:tcW w:w="1571" w:type="dxa"/>
            <w:noWrap/>
            <w:hideMark/>
          </w:tcPr>
          <w:p w14:paraId="66CF56A3" w14:textId="77777777" w:rsidR="00817104" w:rsidRPr="00F95600"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lang w:eastAsia="en-AU"/>
              </w:rPr>
            </w:pPr>
            <w:r w:rsidRPr="00F95600">
              <w:rPr>
                <w:b/>
                <w:color w:val="FFFFFF" w:themeColor="background1"/>
                <w:sz w:val="18"/>
                <w:szCs w:val="18"/>
                <w:lang w:eastAsia="en-AU"/>
              </w:rPr>
              <w:t>Sites</w:t>
            </w:r>
          </w:p>
        </w:tc>
        <w:tc>
          <w:tcPr>
            <w:tcW w:w="4221" w:type="dxa"/>
          </w:tcPr>
          <w:p w14:paraId="3B3B9EFB" w14:textId="77777777" w:rsidR="00817104" w:rsidRPr="00F95600"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lang w:eastAsia="en-AU"/>
              </w:rPr>
            </w:pPr>
            <w:r w:rsidRPr="00F95600">
              <w:rPr>
                <w:b/>
                <w:color w:val="FFFFFF" w:themeColor="background1"/>
                <w:sz w:val="18"/>
                <w:szCs w:val="18"/>
                <w:lang w:eastAsia="en-AU"/>
              </w:rPr>
              <w:t>Birthing and referral partners</w:t>
            </w:r>
          </w:p>
        </w:tc>
      </w:tr>
      <w:tr w:rsidR="00817104" w:rsidRPr="00153B5F" w14:paraId="03729908" w14:textId="77777777" w:rsidTr="0032646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5F687909"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Metropolitan</w:t>
            </w:r>
          </w:p>
        </w:tc>
        <w:tc>
          <w:tcPr>
            <w:tcW w:w="2292" w:type="dxa"/>
            <w:hideMark/>
          </w:tcPr>
          <w:p w14:paraId="45F82B1B"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Victorian Aboriginal Health Service</w:t>
            </w:r>
          </w:p>
        </w:tc>
        <w:tc>
          <w:tcPr>
            <w:tcW w:w="1571" w:type="dxa"/>
            <w:noWrap/>
            <w:hideMark/>
          </w:tcPr>
          <w:p w14:paraId="5C9A86AB"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Fitzroy &amp; St Albans</w:t>
            </w:r>
          </w:p>
        </w:tc>
        <w:tc>
          <w:tcPr>
            <w:tcW w:w="4221" w:type="dxa"/>
          </w:tcPr>
          <w:p w14:paraId="2F2D427C"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Royal Women’s Hospital </w:t>
            </w:r>
          </w:p>
          <w:p w14:paraId="765C6C41"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Western Health</w:t>
            </w:r>
          </w:p>
          <w:p w14:paraId="52B1F851"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Northern Health </w:t>
            </w:r>
          </w:p>
          <w:p w14:paraId="10901B43"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Mercy Health (Mercy Hospital for Women and Werribee Mercy Hospital) </w:t>
            </w:r>
          </w:p>
        </w:tc>
      </w:tr>
      <w:tr w:rsidR="00817104" w:rsidRPr="00153B5F" w14:paraId="2B91A438" w14:textId="77777777" w:rsidTr="00326466">
        <w:trPr>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5E658A84"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Metropolitan</w:t>
            </w:r>
          </w:p>
        </w:tc>
        <w:tc>
          <w:tcPr>
            <w:tcW w:w="2292" w:type="dxa"/>
            <w:hideMark/>
          </w:tcPr>
          <w:p w14:paraId="787FD625"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Northern Health (The Northern Hospital)</w:t>
            </w:r>
          </w:p>
        </w:tc>
        <w:tc>
          <w:tcPr>
            <w:tcW w:w="1571" w:type="dxa"/>
            <w:noWrap/>
            <w:hideMark/>
          </w:tcPr>
          <w:p w14:paraId="5B4754BB"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p>
        </w:tc>
        <w:tc>
          <w:tcPr>
            <w:tcW w:w="4221" w:type="dxa"/>
          </w:tcPr>
          <w:p w14:paraId="5A8A7D8C"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Royal Women’s Hospital </w:t>
            </w:r>
          </w:p>
          <w:p w14:paraId="0DFF481E"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Western Health</w:t>
            </w:r>
          </w:p>
          <w:p w14:paraId="157E5BBA"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Mercy Health (Mercy Hospital for Women and Werribee Mercy Hospital) </w:t>
            </w:r>
          </w:p>
        </w:tc>
      </w:tr>
      <w:tr w:rsidR="00817104" w:rsidRPr="00153B5F" w14:paraId="2B2DCE45" w14:textId="77777777" w:rsidTr="0032646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0D55D449"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Metropolitan</w:t>
            </w:r>
          </w:p>
        </w:tc>
        <w:tc>
          <w:tcPr>
            <w:tcW w:w="2292" w:type="dxa"/>
            <w:hideMark/>
          </w:tcPr>
          <w:p w14:paraId="30BDA320"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First Peoples’ Health and Wellbeing</w:t>
            </w:r>
          </w:p>
        </w:tc>
        <w:tc>
          <w:tcPr>
            <w:tcW w:w="1571" w:type="dxa"/>
            <w:noWrap/>
            <w:hideMark/>
          </w:tcPr>
          <w:p w14:paraId="7627DBB6"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Thomastown &amp; Frankston</w:t>
            </w:r>
          </w:p>
        </w:tc>
        <w:tc>
          <w:tcPr>
            <w:tcW w:w="4221" w:type="dxa"/>
          </w:tcPr>
          <w:p w14:paraId="7224D431"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Royal Women’s Hospital </w:t>
            </w:r>
          </w:p>
          <w:p w14:paraId="09ED5E68"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Western Health</w:t>
            </w:r>
          </w:p>
          <w:p w14:paraId="724B5FF8"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Northern Health </w:t>
            </w:r>
          </w:p>
          <w:p w14:paraId="50ADA308"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Mercy Health (Mercy Hospital for Women and Werribee Mercy Hospital) </w:t>
            </w:r>
          </w:p>
          <w:p w14:paraId="30544026"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Bayside Health (Peninsula University Hospital)</w:t>
            </w:r>
          </w:p>
        </w:tc>
      </w:tr>
      <w:tr w:rsidR="00817104" w:rsidRPr="00153B5F" w14:paraId="2D6FCEA3" w14:textId="77777777" w:rsidTr="00326466">
        <w:trPr>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174EE617"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Metropolitan</w:t>
            </w:r>
          </w:p>
        </w:tc>
        <w:tc>
          <w:tcPr>
            <w:tcW w:w="2292" w:type="dxa"/>
            <w:hideMark/>
          </w:tcPr>
          <w:p w14:paraId="48DDBC99"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Dandenong and District Aborigines Co-operative</w:t>
            </w:r>
          </w:p>
        </w:tc>
        <w:tc>
          <w:tcPr>
            <w:tcW w:w="1571" w:type="dxa"/>
            <w:noWrap/>
            <w:hideMark/>
          </w:tcPr>
          <w:p w14:paraId="7D9914EB"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p>
        </w:tc>
        <w:tc>
          <w:tcPr>
            <w:tcW w:w="4221" w:type="dxa"/>
          </w:tcPr>
          <w:p w14:paraId="74C46551"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Monash Health</w:t>
            </w:r>
          </w:p>
        </w:tc>
      </w:tr>
      <w:tr w:rsidR="00817104" w:rsidRPr="00153B5F" w14:paraId="5B23F8E8" w14:textId="77777777" w:rsidTr="0032646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35570095"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Metropolitan</w:t>
            </w:r>
          </w:p>
        </w:tc>
        <w:tc>
          <w:tcPr>
            <w:tcW w:w="2292" w:type="dxa"/>
            <w:hideMark/>
          </w:tcPr>
          <w:p w14:paraId="65BE24E6"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Bayside Health (Peninsula University Hospital)</w:t>
            </w:r>
          </w:p>
        </w:tc>
        <w:tc>
          <w:tcPr>
            <w:tcW w:w="1571" w:type="dxa"/>
            <w:noWrap/>
            <w:hideMark/>
          </w:tcPr>
          <w:p w14:paraId="4A9A846A"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p>
        </w:tc>
        <w:tc>
          <w:tcPr>
            <w:tcW w:w="4221" w:type="dxa"/>
          </w:tcPr>
          <w:p w14:paraId="24D6AFD3"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Monash Health</w:t>
            </w:r>
          </w:p>
        </w:tc>
      </w:tr>
      <w:tr w:rsidR="00817104" w:rsidRPr="00153B5F" w14:paraId="000D411F" w14:textId="77777777" w:rsidTr="00326466">
        <w:trPr>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0E10D285"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Metropolitan</w:t>
            </w:r>
          </w:p>
        </w:tc>
        <w:tc>
          <w:tcPr>
            <w:tcW w:w="2292" w:type="dxa"/>
            <w:hideMark/>
          </w:tcPr>
          <w:p w14:paraId="366903EC"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Western Health (Sunshine Hospital)</w:t>
            </w:r>
          </w:p>
        </w:tc>
        <w:tc>
          <w:tcPr>
            <w:tcW w:w="1571" w:type="dxa"/>
            <w:noWrap/>
            <w:hideMark/>
          </w:tcPr>
          <w:p w14:paraId="75C832C6"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p>
        </w:tc>
        <w:tc>
          <w:tcPr>
            <w:tcW w:w="4221" w:type="dxa"/>
          </w:tcPr>
          <w:p w14:paraId="1C50BF0E"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Mercy Health (Werribee Mercy Hospital)</w:t>
            </w:r>
          </w:p>
          <w:p w14:paraId="60BE4FEE"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Royal Women’s Hospital</w:t>
            </w:r>
          </w:p>
        </w:tc>
      </w:tr>
      <w:tr w:rsidR="00817104" w:rsidRPr="00153B5F" w14:paraId="2A770739" w14:textId="77777777" w:rsidTr="0032646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1787E5B5"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Barwon South West</w:t>
            </w:r>
          </w:p>
        </w:tc>
        <w:tc>
          <w:tcPr>
            <w:tcW w:w="2292" w:type="dxa"/>
            <w:hideMark/>
          </w:tcPr>
          <w:p w14:paraId="0A279053" w14:textId="049B9CCF"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Wathaurong Aboriginal Co-operative</w:t>
            </w:r>
          </w:p>
        </w:tc>
        <w:tc>
          <w:tcPr>
            <w:tcW w:w="1571" w:type="dxa"/>
            <w:noWrap/>
            <w:hideMark/>
          </w:tcPr>
          <w:p w14:paraId="2AD88550"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p>
        </w:tc>
        <w:tc>
          <w:tcPr>
            <w:tcW w:w="4221" w:type="dxa"/>
          </w:tcPr>
          <w:p w14:paraId="4F7F1AA3"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Barwon Health</w:t>
            </w:r>
          </w:p>
          <w:p w14:paraId="5A2DD17B"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Western Health</w:t>
            </w:r>
          </w:p>
          <w:p w14:paraId="2ACA3599"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Royal Women’s Hospital</w:t>
            </w:r>
          </w:p>
        </w:tc>
      </w:tr>
      <w:tr w:rsidR="00817104" w:rsidRPr="00153B5F" w14:paraId="471D7831" w14:textId="77777777" w:rsidTr="00326466">
        <w:trPr>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335CEAFA" w14:textId="3BC11EFF" w:rsidR="00785A21"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Barwon South West</w:t>
            </w:r>
          </w:p>
        </w:tc>
        <w:tc>
          <w:tcPr>
            <w:tcW w:w="2292" w:type="dxa"/>
            <w:hideMark/>
          </w:tcPr>
          <w:p w14:paraId="7553C276" w14:textId="520144C8"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Gunditjmara Aboriginal Co-operative</w:t>
            </w:r>
          </w:p>
        </w:tc>
        <w:tc>
          <w:tcPr>
            <w:tcW w:w="1571" w:type="dxa"/>
            <w:noWrap/>
            <w:hideMark/>
          </w:tcPr>
          <w:p w14:paraId="29582CF8"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p>
        </w:tc>
        <w:tc>
          <w:tcPr>
            <w:tcW w:w="4221" w:type="dxa"/>
          </w:tcPr>
          <w:p w14:paraId="36C1E290"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South West Healthcare Barwon Health</w:t>
            </w:r>
          </w:p>
        </w:tc>
      </w:tr>
      <w:tr w:rsidR="00817104" w:rsidRPr="00153B5F" w14:paraId="2A6C1987" w14:textId="77777777" w:rsidTr="0032646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5098CD63"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Hume</w:t>
            </w:r>
          </w:p>
        </w:tc>
        <w:tc>
          <w:tcPr>
            <w:tcW w:w="2292" w:type="dxa"/>
            <w:hideMark/>
          </w:tcPr>
          <w:p w14:paraId="110C23C9"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Rumbalara Aboriginal </w:t>
            </w:r>
          </w:p>
          <w:p w14:paraId="19C5A12D"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Co-operative</w:t>
            </w:r>
          </w:p>
        </w:tc>
        <w:tc>
          <w:tcPr>
            <w:tcW w:w="1571" w:type="dxa"/>
            <w:noWrap/>
            <w:hideMark/>
          </w:tcPr>
          <w:p w14:paraId="4DC4F5F1"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p>
        </w:tc>
        <w:tc>
          <w:tcPr>
            <w:tcW w:w="4221" w:type="dxa"/>
          </w:tcPr>
          <w:p w14:paraId="181BFA0A"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Goulburn Valley Health</w:t>
            </w:r>
          </w:p>
          <w:p w14:paraId="04542329"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Albury Wodonga Health</w:t>
            </w:r>
          </w:p>
          <w:p w14:paraId="2AD580FC"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Northeast Health Wangaratta </w:t>
            </w:r>
          </w:p>
          <w:p w14:paraId="5BC21A03"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Royal Women’s Hospital </w:t>
            </w:r>
          </w:p>
          <w:p w14:paraId="406CD675"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Mercy Hospital for Women</w:t>
            </w:r>
          </w:p>
        </w:tc>
      </w:tr>
      <w:tr w:rsidR="00817104" w:rsidRPr="00153B5F" w14:paraId="16C4B063" w14:textId="77777777" w:rsidTr="00326466">
        <w:trPr>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101C0D6A"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Hume</w:t>
            </w:r>
          </w:p>
        </w:tc>
        <w:tc>
          <w:tcPr>
            <w:tcW w:w="2292" w:type="dxa"/>
            <w:hideMark/>
          </w:tcPr>
          <w:p w14:paraId="1F3B45EB"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Mungabareena Aboriginal Corporation</w:t>
            </w:r>
          </w:p>
        </w:tc>
        <w:tc>
          <w:tcPr>
            <w:tcW w:w="1571" w:type="dxa"/>
            <w:noWrap/>
            <w:hideMark/>
          </w:tcPr>
          <w:p w14:paraId="3FF61ADE"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p>
        </w:tc>
        <w:tc>
          <w:tcPr>
            <w:tcW w:w="4221" w:type="dxa"/>
          </w:tcPr>
          <w:p w14:paraId="5F718FF6"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Goulburn Valley Health</w:t>
            </w:r>
          </w:p>
          <w:p w14:paraId="22ACBDFD"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Albury Wodonga Health</w:t>
            </w:r>
          </w:p>
          <w:p w14:paraId="580162C8"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Northeast Health Wangaratta </w:t>
            </w:r>
          </w:p>
          <w:p w14:paraId="4837849F"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Royal Women’s Hospital </w:t>
            </w:r>
          </w:p>
          <w:p w14:paraId="14E7AC2B"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Mercy Hospital for Women</w:t>
            </w:r>
          </w:p>
        </w:tc>
      </w:tr>
      <w:tr w:rsidR="00817104" w:rsidRPr="00153B5F" w14:paraId="75629E3C" w14:textId="77777777" w:rsidTr="0032646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12AF7360"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Hume</w:t>
            </w:r>
          </w:p>
        </w:tc>
        <w:tc>
          <w:tcPr>
            <w:tcW w:w="2292" w:type="dxa"/>
            <w:hideMark/>
          </w:tcPr>
          <w:p w14:paraId="6FE9E032"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Albury Wodonga Aboriginal Health Services</w:t>
            </w:r>
          </w:p>
        </w:tc>
        <w:tc>
          <w:tcPr>
            <w:tcW w:w="1571" w:type="dxa"/>
            <w:noWrap/>
            <w:hideMark/>
          </w:tcPr>
          <w:p w14:paraId="7A4AD273"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Wodonga &amp; Glenroy (NSW)</w:t>
            </w:r>
          </w:p>
        </w:tc>
        <w:tc>
          <w:tcPr>
            <w:tcW w:w="4221" w:type="dxa"/>
          </w:tcPr>
          <w:p w14:paraId="23788263"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Goulburn Valley Health</w:t>
            </w:r>
          </w:p>
          <w:p w14:paraId="612EC623"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Albury Wodonga Health</w:t>
            </w:r>
          </w:p>
          <w:p w14:paraId="5A741311"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Northeast Health Wangaratta </w:t>
            </w:r>
          </w:p>
          <w:p w14:paraId="320C51A9"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Royal Women’s Hospital </w:t>
            </w:r>
          </w:p>
          <w:p w14:paraId="1DA59C1C"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Mercy Hospital for Women</w:t>
            </w:r>
          </w:p>
        </w:tc>
      </w:tr>
      <w:tr w:rsidR="00817104" w:rsidRPr="00153B5F" w14:paraId="7DDAA254" w14:textId="77777777" w:rsidTr="00326466">
        <w:trPr>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635D493F"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Gippsland</w:t>
            </w:r>
          </w:p>
        </w:tc>
        <w:tc>
          <w:tcPr>
            <w:tcW w:w="2292" w:type="dxa"/>
            <w:hideMark/>
          </w:tcPr>
          <w:p w14:paraId="20D025A7" w14:textId="620E1CD8"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Gippsland and East Gippsland Aboriginal Co-operative</w:t>
            </w:r>
          </w:p>
        </w:tc>
        <w:tc>
          <w:tcPr>
            <w:tcW w:w="1571" w:type="dxa"/>
            <w:noWrap/>
            <w:hideMark/>
          </w:tcPr>
          <w:p w14:paraId="6C412AFE"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p>
        </w:tc>
        <w:tc>
          <w:tcPr>
            <w:tcW w:w="4221" w:type="dxa"/>
          </w:tcPr>
          <w:p w14:paraId="1B1B3C60"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Bairnsdale Regional Health Service </w:t>
            </w:r>
          </w:p>
          <w:p w14:paraId="7EE7EA24"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Central Gippsland Health Service </w:t>
            </w:r>
          </w:p>
          <w:p w14:paraId="220E5AEB"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Latrobe Regional Hospital </w:t>
            </w:r>
          </w:p>
          <w:p w14:paraId="1BC2BC52"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West Gippsland Healthcare Group</w:t>
            </w:r>
          </w:p>
          <w:p w14:paraId="18BF4C31"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Monash Health</w:t>
            </w:r>
          </w:p>
        </w:tc>
      </w:tr>
      <w:tr w:rsidR="00817104" w:rsidRPr="00153B5F" w14:paraId="34E9C2A2" w14:textId="77777777" w:rsidTr="0032646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47926900"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Gippsland</w:t>
            </w:r>
          </w:p>
        </w:tc>
        <w:tc>
          <w:tcPr>
            <w:tcW w:w="2292" w:type="dxa"/>
            <w:hideMark/>
          </w:tcPr>
          <w:p w14:paraId="56D301D6"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Lakes Entrance Aboriginal Health Association</w:t>
            </w:r>
          </w:p>
        </w:tc>
        <w:tc>
          <w:tcPr>
            <w:tcW w:w="1571" w:type="dxa"/>
            <w:noWrap/>
            <w:hideMark/>
          </w:tcPr>
          <w:p w14:paraId="77FA4A9A"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p>
        </w:tc>
        <w:tc>
          <w:tcPr>
            <w:tcW w:w="4221" w:type="dxa"/>
          </w:tcPr>
          <w:p w14:paraId="580CEA4F"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Bairnsdale Regional Health Service </w:t>
            </w:r>
          </w:p>
          <w:p w14:paraId="0285B5FD"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Central Gippsland Health Service </w:t>
            </w:r>
          </w:p>
          <w:p w14:paraId="5EA363DB"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Latrobe Regional Hospital </w:t>
            </w:r>
          </w:p>
          <w:p w14:paraId="3D3AA433"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West Gippsland Healthcare Group</w:t>
            </w:r>
          </w:p>
          <w:p w14:paraId="0DBA08A1"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Monash Health</w:t>
            </w:r>
          </w:p>
        </w:tc>
      </w:tr>
      <w:tr w:rsidR="00817104" w:rsidRPr="00153B5F" w14:paraId="4F20DA98" w14:textId="77777777" w:rsidTr="00326466">
        <w:trPr>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06DC98E5"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lastRenderedPageBreak/>
              <w:t>Gippsland</w:t>
            </w:r>
          </w:p>
        </w:tc>
        <w:tc>
          <w:tcPr>
            <w:tcW w:w="2292" w:type="dxa"/>
            <w:hideMark/>
          </w:tcPr>
          <w:p w14:paraId="57E24D13"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Moogji Aboriginal Council East Gippsland Inc</w:t>
            </w:r>
          </w:p>
        </w:tc>
        <w:tc>
          <w:tcPr>
            <w:tcW w:w="1571" w:type="dxa"/>
            <w:noWrap/>
            <w:hideMark/>
          </w:tcPr>
          <w:p w14:paraId="1FB3C179"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p>
        </w:tc>
        <w:tc>
          <w:tcPr>
            <w:tcW w:w="4221" w:type="dxa"/>
          </w:tcPr>
          <w:p w14:paraId="4E120431"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Bairnsdale Regional Health Service </w:t>
            </w:r>
          </w:p>
          <w:p w14:paraId="24379F59"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Central Gippsland Health Service </w:t>
            </w:r>
          </w:p>
          <w:p w14:paraId="04E8E11E"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Latrobe Regional Hospital </w:t>
            </w:r>
          </w:p>
          <w:p w14:paraId="7510EFD2"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West Gippsland Healthcare Group</w:t>
            </w:r>
          </w:p>
          <w:p w14:paraId="25CD46C6"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Monash Health</w:t>
            </w:r>
          </w:p>
        </w:tc>
      </w:tr>
      <w:tr w:rsidR="00817104" w:rsidRPr="00153B5F" w14:paraId="040597B7" w14:textId="77777777" w:rsidTr="0032646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3A6EC9B1"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Gippsland</w:t>
            </w:r>
          </w:p>
        </w:tc>
        <w:tc>
          <w:tcPr>
            <w:tcW w:w="2292" w:type="dxa"/>
            <w:hideMark/>
          </w:tcPr>
          <w:p w14:paraId="473C6849"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Ramahyuck District Aboriginal Corporation</w:t>
            </w:r>
          </w:p>
        </w:tc>
        <w:tc>
          <w:tcPr>
            <w:tcW w:w="1571" w:type="dxa"/>
            <w:noWrap/>
            <w:hideMark/>
          </w:tcPr>
          <w:p w14:paraId="7379A251"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p>
        </w:tc>
        <w:tc>
          <w:tcPr>
            <w:tcW w:w="4221" w:type="dxa"/>
          </w:tcPr>
          <w:p w14:paraId="1C54E98D"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Bairnsdale Regional Health Service </w:t>
            </w:r>
          </w:p>
          <w:p w14:paraId="00907DE6"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Central Gippsland Health Service </w:t>
            </w:r>
          </w:p>
          <w:p w14:paraId="423A9275"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Latrobe Regional Hospital </w:t>
            </w:r>
          </w:p>
          <w:p w14:paraId="5C116B4B"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West Gippsland Healthcare Group</w:t>
            </w:r>
          </w:p>
          <w:p w14:paraId="234E0AEB"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Monash Health</w:t>
            </w:r>
          </w:p>
        </w:tc>
      </w:tr>
      <w:tr w:rsidR="00817104" w:rsidRPr="00153B5F" w14:paraId="624BEFD5" w14:textId="77777777" w:rsidTr="00326466">
        <w:trPr>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6599FFC0"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Grampians</w:t>
            </w:r>
          </w:p>
        </w:tc>
        <w:tc>
          <w:tcPr>
            <w:tcW w:w="2292" w:type="dxa"/>
            <w:hideMark/>
          </w:tcPr>
          <w:p w14:paraId="6166F13D" w14:textId="40D8283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Ballarat and District Aboriginal Co-operative</w:t>
            </w:r>
          </w:p>
        </w:tc>
        <w:tc>
          <w:tcPr>
            <w:tcW w:w="1571" w:type="dxa"/>
            <w:noWrap/>
            <w:hideMark/>
          </w:tcPr>
          <w:p w14:paraId="4541975D"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p>
        </w:tc>
        <w:tc>
          <w:tcPr>
            <w:tcW w:w="4221" w:type="dxa"/>
          </w:tcPr>
          <w:p w14:paraId="00589B56"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Grampians Health</w:t>
            </w:r>
          </w:p>
        </w:tc>
      </w:tr>
      <w:tr w:rsidR="00817104" w:rsidRPr="00153B5F" w14:paraId="490CD2FD" w14:textId="77777777" w:rsidTr="0032646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163CA410"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Grampians</w:t>
            </w:r>
          </w:p>
        </w:tc>
        <w:tc>
          <w:tcPr>
            <w:tcW w:w="2292" w:type="dxa"/>
            <w:hideMark/>
          </w:tcPr>
          <w:p w14:paraId="432EAABD" w14:textId="0F74963F"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Goolum Goolum Aboriginal Co-operative</w:t>
            </w:r>
          </w:p>
        </w:tc>
        <w:tc>
          <w:tcPr>
            <w:tcW w:w="1571" w:type="dxa"/>
            <w:noWrap/>
            <w:hideMark/>
          </w:tcPr>
          <w:p w14:paraId="7058DFBC"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Horsham &amp; Stawell</w:t>
            </w:r>
          </w:p>
        </w:tc>
        <w:tc>
          <w:tcPr>
            <w:tcW w:w="4221" w:type="dxa"/>
          </w:tcPr>
          <w:p w14:paraId="1C8C2FA7"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Grampians Health</w:t>
            </w:r>
          </w:p>
        </w:tc>
      </w:tr>
      <w:tr w:rsidR="00817104" w:rsidRPr="00153B5F" w14:paraId="2C3AAC7E" w14:textId="77777777" w:rsidTr="00326466">
        <w:trPr>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0C070C08"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Loddon Mallee</w:t>
            </w:r>
          </w:p>
        </w:tc>
        <w:tc>
          <w:tcPr>
            <w:tcW w:w="2292" w:type="dxa"/>
            <w:hideMark/>
          </w:tcPr>
          <w:p w14:paraId="16719524" w14:textId="2EE92545"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Bendigo and District Co-operative Ltd</w:t>
            </w:r>
          </w:p>
        </w:tc>
        <w:tc>
          <w:tcPr>
            <w:tcW w:w="1571" w:type="dxa"/>
            <w:noWrap/>
            <w:hideMark/>
          </w:tcPr>
          <w:p w14:paraId="1E734BB0"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p>
        </w:tc>
        <w:tc>
          <w:tcPr>
            <w:tcW w:w="4221" w:type="dxa"/>
          </w:tcPr>
          <w:p w14:paraId="482B6EF6"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Bendigo Health </w:t>
            </w:r>
          </w:p>
          <w:p w14:paraId="454CACE8"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Mildura Base Public Hospital </w:t>
            </w:r>
          </w:p>
          <w:p w14:paraId="29921C72"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Swan Hill District Health</w:t>
            </w:r>
          </w:p>
          <w:p w14:paraId="655A04EC"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Echuca Regional Health </w:t>
            </w:r>
          </w:p>
          <w:p w14:paraId="497BC4D3"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Western Health</w:t>
            </w:r>
          </w:p>
        </w:tc>
      </w:tr>
      <w:tr w:rsidR="00817104" w:rsidRPr="00153B5F" w14:paraId="79B1FE9B" w14:textId="77777777" w:rsidTr="0032646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61F82F72"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Loddon Mallee</w:t>
            </w:r>
          </w:p>
        </w:tc>
        <w:tc>
          <w:tcPr>
            <w:tcW w:w="2292" w:type="dxa"/>
            <w:hideMark/>
          </w:tcPr>
          <w:p w14:paraId="094101CF"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Mallee District Aboriginal Service</w:t>
            </w:r>
          </w:p>
        </w:tc>
        <w:tc>
          <w:tcPr>
            <w:tcW w:w="1571" w:type="dxa"/>
            <w:noWrap/>
            <w:hideMark/>
          </w:tcPr>
          <w:p w14:paraId="1DEF0A10"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Mildura &amp; Swan Hill</w:t>
            </w:r>
          </w:p>
        </w:tc>
        <w:tc>
          <w:tcPr>
            <w:tcW w:w="4221" w:type="dxa"/>
          </w:tcPr>
          <w:p w14:paraId="7661D390"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Bendigo Health </w:t>
            </w:r>
          </w:p>
          <w:p w14:paraId="21FE2DA8"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Mildura Base Public Hospital </w:t>
            </w:r>
          </w:p>
          <w:p w14:paraId="2F2A40B4"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Swan Hill District Health</w:t>
            </w:r>
          </w:p>
          <w:p w14:paraId="0300F57D"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Echuca Regional Health </w:t>
            </w:r>
          </w:p>
          <w:p w14:paraId="56D66372" w14:textId="77777777" w:rsidR="00817104" w:rsidRPr="00F95600" w:rsidRDefault="00817104" w:rsidP="00326466">
            <w:pPr>
              <w:pStyle w:val="Tablecolhead"/>
              <w:spacing w:before="0" w:after="40"/>
              <w:cnfStyle w:val="000000100000" w:firstRow="0" w:lastRow="0" w:firstColumn="0" w:lastColumn="0" w:oddVBand="0" w:evenVBand="0" w:oddHBand="1"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Western Health</w:t>
            </w:r>
          </w:p>
        </w:tc>
      </w:tr>
      <w:tr w:rsidR="00817104" w:rsidRPr="00153B5F" w14:paraId="236FB613" w14:textId="77777777" w:rsidTr="00326466">
        <w:trPr>
          <w:trHeight w:val="320"/>
        </w:trPr>
        <w:tc>
          <w:tcPr>
            <w:cnfStyle w:val="001000000000" w:firstRow="0" w:lastRow="0" w:firstColumn="1" w:lastColumn="0" w:oddVBand="0" w:evenVBand="0" w:oddHBand="0" w:evenHBand="0" w:firstRowFirstColumn="0" w:firstRowLastColumn="0" w:lastRowFirstColumn="0" w:lastRowLastColumn="0"/>
            <w:tcW w:w="1247" w:type="dxa"/>
            <w:hideMark/>
          </w:tcPr>
          <w:p w14:paraId="3C816A42" w14:textId="77777777" w:rsidR="00817104" w:rsidRPr="00F95600" w:rsidRDefault="00817104" w:rsidP="00326466">
            <w:pPr>
              <w:pStyle w:val="Tablecolhead"/>
              <w:spacing w:before="0" w:after="40"/>
              <w:rPr>
                <w:bCs w:val="0"/>
                <w:color w:val="auto"/>
                <w:sz w:val="18"/>
                <w:szCs w:val="18"/>
                <w:lang w:eastAsia="en-AU"/>
              </w:rPr>
            </w:pPr>
            <w:r w:rsidRPr="00F95600">
              <w:rPr>
                <w:bCs w:val="0"/>
                <w:color w:val="auto"/>
                <w:sz w:val="18"/>
                <w:szCs w:val="18"/>
                <w:lang w:eastAsia="en-AU"/>
              </w:rPr>
              <w:t>Loddon Mallee</w:t>
            </w:r>
          </w:p>
        </w:tc>
        <w:tc>
          <w:tcPr>
            <w:tcW w:w="2292" w:type="dxa"/>
            <w:hideMark/>
          </w:tcPr>
          <w:p w14:paraId="4BD639D2"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Njernda Aboriginal Corporation</w:t>
            </w:r>
          </w:p>
        </w:tc>
        <w:tc>
          <w:tcPr>
            <w:tcW w:w="1571" w:type="dxa"/>
            <w:noWrap/>
            <w:hideMark/>
          </w:tcPr>
          <w:p w14:paraId="747510F1"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p>
        </w:tc>
        <w:tc>
          <w:tcPr>
            <w:tcW w:w="4221" w:type="dxa"/>
          </w:tcPr>
          <w:p w14:paraId="4A17DDB8"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Bendigo Health </w:t>
            </w:r>
          </w:p>
          <w:p w14:paraId="10A1B28A"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Mildura Base Public Hospital </w:t>
            </w:r>
          </w:p>
          <w:p w14:paraId="264B11AE"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Swan Hill District Health</w:t>
            </w:r>
          </w:p>
          <w:p w14:paraId="28F206DF"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 xml:space="preserve">Echuca Regional Health </w:t>
            </w:r>
          </w:p>
          <w:p w14:paraId="67FE5780" w14:textId="77777777" w:rsidR="00817104" w:rsidRPr="00F95600" w:rsidRDefault="00817104" w:rsidP="00326466">
            <w:pPr>
              <w:pStyle w:val="Tablecolhead"/>
              <w:spacing w:before="0" w:after="40"/>
              <w:cnfStyle w:val="000000000000" w:firstRow="0" w:lastRow="0" w:firstColumn="0" w:lastColumn="0" w:oddVBand="0" w:evenVBand="0" w:oddHBand="0" w:evenHBand="0" w:firstRowFirstColumn="0" w:firstRowLastColumn="0" w:lastRowFirstColumn="0" w:lastRowLastColumn="0"/>
              <w:rPr>
                <w:b w:val="0"/>
                <w:color w:val="auto"/>
                <w:sz w:val="18"/>
                <w:szCs w:val="18"/>
                <w:lang w:eastAsia="en-AU"/>
              </w:rPr>
            </w:pPr>
            <w:r w:rsidRPr="00F95600">
              <w:rPr>
                <w:b w:val="0"/>
                <w:color w:val="auto"/>
                <w:sz w:val="18"/>
                <w:szCs w:val="18"/>
                <w:lang w:eastAsia="en-AU"/>
              </w:rPr>
              <w:t>Western Health</w:t>
            </w:r>
          </w:p>
        </w:tc>
      </w:tr>
    </w:tbl>
    <w:p w14:paraId="0FA8B1F3" w14:textId="77777777" w:rsidR="00817104" w:rsidRDefault="00817104" w:rsidP="00817104">
      <w:pPr>
        <w:pStyle w:val="Bodyaftertablefigure"/>
        <w:shd w:val="clear" w:color="auto" w:fill="FFFFFF" w:themeFill="background1"/>
      </w:pPr>
      <w:r>
        <w:t>Where health services do not have a local KMS, they are still expected to liaise with local ACCOs for optimal maternity care and family care.</w:t>
      </w:r>
    </w:p>
    <w:p w14:paraId="55BF6FD9" w14:textId="77777777" w:rsidR="00817104" w:rsidRDefault="00817104" w:rsidP="00817104">
      <w:pPr>
        <w:pStyle w:val="Bodyaftertablefigure"/>
        <w:shd w:val="clear" w:color="auto" w:fill="FFFFFF" w:themeFill="background1"/>
      </w:pPr>
      <w:r>
        <w:t xml:space="preserve">A list of ACCOs and their locations can be found at </w:t>
      </w:r>
      <w:hyperlink r:id="rId234" w:history="1">
        <w:r w:rsidRPr="00307A9B">
          <w:rPr>
            <w:rStyle w:val="Hyperlink"/>
          </w:rPr>
          <w:t>VACCHO</w:t>
        </w:r>
      </w:hyperlink>
      <w:r>
        <w:t xml:space="preserve"> &lt;</w:t>
      </w:r>
      <w:r w:rsidRPr="00AB3BE7">
        <w:t>https://www.vaccho.org.au/members/</w:t>
      </w:r>
      <w:r>
        <w:t xml:space="preserve">&gt; and </w:t>
      </w:r>
      <w:hyperlink r:id="rId235" w:history="1">
        <w:r w:rsidRPr="0087333C">
          <w:rPr>
            <w:rStyle w:val="Hyperlink"/>
          </w:rPr>
          <w:t>First Peoples’ Health and Wellbeing</w:t>
        </w:r>
      </w:hyperlink>
      <w:r>
        <w:t xml:space="preserve"> &lt;</w:t>
      </w:r>
      <w:r w:rsidRPr="00F41B1B">
        <w:t>https://www.fphw.org.au</w:t>
      </w:r>
      <w:r>
        <w:t>&gt;.</w:t>
      </w:r>
    </w:p>
    <w:p w14:paraId="2C32B6FE" w14:textId="77777777" w:rsidR="00817104" w:rsidRDefault="00817104" w:rsidP="00817104">
      <w:pPr>
        <w:pStyle w:val="Bodyaftertablefigure"/>
        <w:shd w:val="clear" w:color="auto" w:fill="FFFFFF" w:themeFill="background1"/>
      </w:pPr>
      <w:r>
        <w:t xml:space="preserve">For more information, visit </w:t>
      </w:r>
      <w:hyperlink r:id="rId236" w:history="1">
        <w:r>
          <w:rPr>
            <w:rStyle w:val="Hyperlink"/>
          </w:rPr>
          <w:t>Aboriginal m</w:t>
        </w:r>
        <w:r w:rsidRPr="00004018">
          <w:rPr>
            <w:rStyle w:val="Hyperlink"/>
          </w:rPr>
          <w:t xml:space="preserve">aternity </w:t>
        </w:r>
        <w:r>
          <w:rPr>
            <w:rStyle w:val="Hyperlink"/>
          </w:rPr>
          <w:t>s</w:t>
        </w:r>
        <w:r w:rsidRPr="00004018">
          <w:rPr>
            <w:rStyle w:val="Hyperlink"/>
          </w:rPr>
          <w:t>ervices</w:t>
        </w:r>
      </w:hyperlink>
      <w:r>
        <w:t xml:space="preserve"> &lt;</w:t>
      </w:r>
      <w:r w:rsidRPr="00BA5B33">
        <w:t>https://www.health.vic.gov.au/patient-care/aboriginal-maternity-services</w:t>
      </w:r>
      <w:r>
        <w:t>&gt;.</w:t>
      </w:r>
    </w:p>
    <w:p w14:paraId="30A2FBFA" w14:textId="77777777" w:rsidR="00817104" w:rsidRPr="00A45910" w:rsidRDefault="00817104" w:rsidP="00817104">
      <w:pPr>
        <w:pStyle w:val="Heading3"/>
        <w:numPr>
          <w:ilvl w:val="2"/>
          <w:numId w:val="0"/>
        </w:numPr>
        <w:tabs>
          <w:tab w:val="num" w:pos="794"/>
        </w:tabs>
        <w:ind w:left="1134" w:hanging="1134"/>
      </w:pPr>
      <w:r>
        <w:t>18.1.6</w:t>
      </w:r>
      <w:r>
        <w:tab/>
        <w:t xml:space="preserve">Victorian Paediatric Rehabilitation Service </w:t>
      </w:r>
    </w:p>
    <w:p w14:paraId="77A96728" w14:textId="77777777" w:rsidR="00817104" w:rsidRPr="00A45910" w:rsidRDefault="00817104" w:rsidP="00817104">
      <w:pPr>
        <w:pStyle w:val="Body"/>
      </w:pPr>
      <w:r>
        <w:t>The Victorian Paediatric Rehabilitation Service (VPRS) provides specialised rehabilitation services for children and young people who, as a result of injury, medical and surgical intervention, or functional impairment, will benefit from a program of developmentally appropriate, time-limited, goal-focused multidisciplinary rehabilitation. The VPRS supports children and young people to participate and engage in their local community, including in educational settings.</w:t>
      </w:r>
    </w:p>
    <w:p w14:paraId="38E7525B" w14:textId="77777777" w:rsidR="00817104" w:rsidRPr="00F944DA" w:rsidRDefault="00817104" w:rsidP="00817104">
      <w:pPr>
        <w:pStyle w:val="Body"/>
      </w:pPr>
      <w:r>
        <w:t>The VPRS consists of:</w:t>
      </w:r>
    </w:p>
    <w:p w14:paraId="1D4F4B65" w14:textId="77777777" w:rsidR="00817104" w:rsidRPr="00282B1A" w:rsidRDefault="00817104" w:rsidP="00817104">
      <w:pPr>
        <w:pStyle w:val="Bullet1"/>
        <w:numPr>
          <w:ilvl w:val="0"/>
          <w:numId w:val="2"/>
        </w:numPr>
      </w:pPr>
      <w:r>
        <w:t>a statewide director and program manager</w:t>
      </w:r>
    </w:p>
    <w:p w14:paraId="060C2F79" w14:textId="77777777" w:rsidR="00817104" w:rsidRPr="00282B1A" w:rsidRDefault="00817104" w:rsidP="00817104">
      <w:pPr>
        <w:pStyle w:val="Bullet1"/>
        <w:numPr>
          <w:ilvl w:val="0"/>
          <w:numId w:val="2"/>
        </w:numPr>
      </w:pPr>
      <w:r>
        <w:t>two inpatient services at The Royal Children’s Hospital and Monash Children’s Hospital (Monash Health) and medical directors</w:t>
      </w:r>
    </w:p>
    <w:p w14:paraId="1C85D6E7" w14:textId="77777777" w:rsidR="00817104" w:rsidRPr="00282B1A" w:rsidRDefault="00817104" w:rsidP="00817104">
      <w:pPr>
        <w:pStyle w:val="Bullet1"/>
        <w:numPr>
          <w:ilvl w:val="0"/>
          <w:numId w:val="2"/>
        </w:numPr>
      </w:pPr>
      <w:r>
        <w:lastRenderedPageBreak/>
        <w:t>eight ambulatory services, as part of the Health Independence Program at Ballarat Health Services, Barwon Health, Bendigo Health Care Group, Eastern Health, Goulburn Valley Health, Latrobe Regional Hospital, Monash Health and The Royal Children’s Hospital.</w:t>
      </w:r>
    </w:p>
    <w:p w14:paraId="55921A42" w14:textId="77777777" w:rsidR="00817104" w:rsidRDefault="00817104" w:rsidP="00817104">
      <w:pPr>
        <w:pStyle w:val="Bodyafterbullets"/>
      </w:pPr>
      <w:r>
        <w:t>The VPRS operates as a coordinated statewide network with core statewide appointments supporting safe, equitable and consistent delivery of care across all participating sites, including:</w:t>
      </w:r>
    </w:p>
    <w:p w14:paraId="6106349C" w14:textId="77777777" w:rsidR="00817104" w:rsidRDefault="00817104" w:rsidP="00817104">
      <w:pPr>
        <w:pStyle w:val="Bullet1"/>
        <w:numPr>
          <w:ilvl w:val="0"/>
          <w:numId w:val="2"/>
        </w:numPr>
      </w:pPr>
      <w:r>
        <w:t>clinical leadership of the network</w:t>
      </w:r>
    </w:p>
    <w:p w14:paraId="461D2E52" w14:textId="77777777" w:rsidR="00817104" w:rsidRDefault="00817104" w:rsidP="00817104">
      <w:pPr>
        <w:pStyle w:val="Bullet1"/>
        <w:numPr>
          <w:ilvl w:val="0"/>
          <w:numId w:val="2"/>
        </w:numPr>
      </w:pPr>
      <w:r>
        <w:t>workforce capability development</w:t>
      </w:r>
    </w:p>
    <w:p w14:paraId="6886DDF9" w14:textId="77777777" w:rsidR="00817104" w:rsidRDefault="00817104" w:rsidP="00817104">
      <w:pPr>
        <w:pStyle w:val="Bullet1"/>
        <w:numPr>
          <w:ilvl w:val="0"/>
          <w:numId w:val="2"/>
        </w:numPr>
      </w:pPr>
      <w:r>
        <w:t>quality improvement</w:t>
      </w:r>
    </w:p>
    <w:p w14:paraId="18FE7FA9" w14:textId="77777777" w:rsidR="00817104" w:rsidRDefault="00817104" w:rsidP="00817104">
      <w:pPr>
        <w:pStyle w:val="Bullet1"/>
        <w:numPr>
          <w:ilvl w:val="0"/>
          <w:numId w:val="2"/>
        </w:numPr>
      </w:pPr>
      <w:r>
        <w:t>data oversight and support for research</w:t>
      </w:r>
    </w:p>
    <w:p w14:paraId="767446F0" w14:textId="77777777" w:rsidR="00817104" w:rsidRDefault="00817104" w:rsidP="00817104">
      <w:pPr>
        <w:pStyle w:val="Bullet1"/>
        <w:numPr>
          <w:ilvl w:val="0"/>
          <w:numId w:val="2"/>
        </w:numPr>
      </w:pPr>
      <w:r>
        <w:t>statewide planning and clinical services, where appropriate.</w:t>
      </w:r>
    </w:p>
    <w:p w14:paraId="65D26F81" w14:textId="77777777" w:rsidR="00817104" w:rsidRDefault="00817104" w:rsidP="00817104">
      <w:pPr>
        <w:pStyle w:val="Bodyafterbullets"/>
      </w:pPr>
      <w:r>
        <w:t>Participating health services are expected to:</w:t>
      </w:r>
    </w:p>
    <w:p w14:paraId="550C8DB1" w14:textId="77777777" w:rsidR="00817104" w:rsidRPr="00325E7A" w:rsidRDefault="00817104" w:rsidP="00817104">
      <w:pPr>
        <w:pStyle w:val="Bullet1"/>
        <w:numPr>
          <w:ilvl w:val="0"/>
          <w:numId w:val="2"/>
        </w:numPr>
        <w:rPr>
          <w:lang w:eastAsia="en-AU"/>
        </w:rPr>
      </w:pPr>
      <w:r w:rsidRPr="00325E7A">
        <w:rPr>
          <w:lang w:eastAsia="en-AU"/>
        </w:rPr>
        <w:t xml:space="preserve">actively participate in statewide governance arrangements, including representation on the </w:t>
      </w:r>
      <w:r>
        <w:rPr>
          <w:lang w:eastAsia="en-AU"/>
        </w:rPr>
        <w:t xml:space="preserve">statewide network </w:t>
      </w:r>
      <w:r w:rsidRPr="00325E7A">
        <w:rPr>
          <w:lang w:eastAsia="en-AU"/>
        </w:rPr>
        <w:t xml:space="preserve">advisory group </w:t>
      </w:r>
    </w:p>
    <w:p w14:paraId="5DA4935E" w14:textId="77777777" w:rsidR="00817104" w:rsidRPr="00325E7A" w:rsidRDefault="00817104" w:rsidP="00817104">
      <w:pPr>
        <w:pStyle w:val="Bullet1"/>
        <w:numPr>
          <w:ilvl w:val="0"/>
          <w:numId w:val="2"/>
        </w:numPr>
        <w:rPr>
          <w:lang w:eastAsia="en-AU"/>
        </w:rPr>
      </w:pPr>
      <w:r w:rsidRPr="00325E7A">
        <w:rPr>
          <w:lang w:eastAsia="en-AU"/>
        </w:rPr>
        <w:t xml:space="preserve">cooperate with statewide coordination, clinical leadership, workforce development and quality improvement activities led through the VPRS </w:t>
      </w:r>
    </w:p>
    <w:p w14:paraId="0DB675B6" w14:textId="77777777" w:rsidR="00817104" w:rsidRPr="00325E7A" w:rsidRDefault="00817104" w:rsidP="00817104">
      <w:pPr>
        <w:pStyle w:val="Bullet1"/>
        <w:numPr>
          <w:ilvl w:val="0"/>
          <w:numId w:val="2"/>
        </w:numPr>
        <w:rPr>
          <w:lang w:eastAsia="en-AU"/>
        </w:rPr>
      </w:pPr>
      <w:r w:rsidRPr="00325E7A">
        <w:rPr>
          <w:lang w:eastAsia="en-AU"/>
        </w:rPr>
        <w:t>support consistent service delivery and referral pathways across the statewide network.</w:t>
      </w:r>
    </w:p>
    <w:p w14:paraId="2BCE848F" w14:textId="77777777" w:rsidR="00817104" w:rsidRDefault="00817104" w:rsidP="00817104">
      <w:pPr>
        <w:pStyle w:val="Bodyafterbullets"/>
      </w:pPr>
      <w:r>
        <w:t xml:space="preserve">Participating health services facilitate visiting rights for service staff conducting clinical work. Visiting clinical staff will observe local policies and procedures, enabling the safe and effective provision of specialist paediatric rehabilitation care. </w:t>
      </w:r>
    </w:p>
    <w:p w14:paraId="2CC039B1" w14:textId="77777777" w:rsidR="00817104" w:rsidRPr="00F944DA" w:rsidRDefault="00817104" w:rsidP="00817104">
      <w:pPr>
        <w:pStyle w:val="Body"/>
      </w:pPr>
      <w:r>
        <w:t>Activity for the VPRS is reported to the VAED and the</w:t>
      </w:r>
      <w:r w:rsidRPr="000601E5">
        <w:t xml:space="preserve"> </w:t>
      </w:r>
      <w:r>
        <w:t xml:space="preserve">VINAH MDS. All VPRS providers are also expected to submit data to the Australasian Rehabilitation Outcomes Centre to support benchmarking, </w:t>
      </w:r>
      <w:r w:rsidRPr="0670E279">
        <w:rPr>
          <w:lang w:val="en"/>
        </w:rPr>
        <w:t xml:space="preserve">quality </w:t>
      </w:r>
      <w:r>
        <w:rPr>
          <w:lang w:val="en"/>
        </w:rPr>
        <w:t>improvement</w:t>
      </w:r>
      <w:r w:rsidRPr="0670E279">
        <w:rPr>
          <w:lang w:val="en"/>
        </w:rPr>
        <w:t xml:space="preserve"> and outcome </w:t>
      </w:r>
      <w:r>
        <w:rPr>
          <w:lang w:val="en"/>
        </w:rPr>
        <w:t>monitoring</w:t>
      </w:r>
      <w:r>
        <w:t>. Cost data is reported at the patient level (or aggregate where patient level data</w:t>
      </w:r>
      <w:r w:rsidDel="006A55BE">
        <w:t xml:space="preserve"> </w:t>
      </w:r>
      <w:r>
        <w:t>cannot be obtained) through the VCDC.</w:t>
      </w:r>
    </w:p>
    <w:p w14:paraId="657209AC" w14:textId="77777777" w:rsidR="00817104" w:rsidRPr="00F944DA" w:rsidRDefault="00817104" w:rsidP="00817104">
      <w:pPr>
        <w:pStyle w:val="Body"/>
      </w:pPr>
      <w:bookmarkStart w:id="2319" w:name="_HITH"/>
      <w:bookmarkEnd w:id="2319"/>
      <w:r w:rsidRPr="003A6E49">
        <w:t>The department may also require participation in additional statewide reporting, quality improvement or evaluation activities to support oversight of statewide service functions and outcomes.</w:t>
      </w:r>
    </w:p>
    <w:p w14:paraId="62EA0B89" w14:textId="34D00695" w:rsidR="00817104" w:rsidRDefault="00817104" w:rsidP="00817104">
      <w:pPr>
        <w:pStyle w:val="Heading3"/>
        <w:numPr>
          <w:ilvl w:val="2"/>
          <w:numId w:val="0"/>
        </w:numPr>
        <w:tabs>
          <w:tab w:val="num" w:pos="794"/>
        </w:tabs>
        <w:ind w:left="1134" w:hanging="1134"/>
      </w:pPr>
      <w:bookmarkStart w:id="2320" w:name="_18.1.7_HITH"/>
      <w:bookmarkEnd w:id="2320"/>
      <w:r>
        <w:t>18.1.7</w:t>
      </w:r>
      <w:r>
        <w:tab/>
        <w:t>H</w:t>
      </w:r>
      <w:r w:rsidR="006337A5">
        <w:t>ospital in the Home (H</w:t>
      </w:r>
      <w:r>
        <w:t>ITH</w:t>
      </w:r>
      <w:r w:rsidR="006337A5">
        <w:t>)</w:t>
      </w:r>
    </w:p>
    <w:p w14:paraId="47C970DE" w14:textId="77777777" w:rsidR="00817104" w:rsidRPr="001E0706" w:rsidRDefault="00817104" w:rsidP="00817104">
      <w:pPr>
        <w:pStyle w:val="Body"/>
      </w:pPr>
      <w:r>
        <w:t xml:space="preserve">Acute admitted care provided to patients at home as HITH is funded at an equivalent rate to in-hospital acute care. While this section concerns HITH delivered for acute admitted patients, subacute admitted patients can also receive care in the home (see </w:t>
      </w:r>
      <w:hyperlink w:anchor="_18.2_Subacute_and" w:history="1">
        <w:r w:rsidRPr="00F33D65">
          <w:rPr>
            <w:rStyle w:val="Hyperlink"/>
          </w:rPr>
          <w:t>section 18.2</w:t>
        </w:r>
      </w:hyperlink>
      <w:r>
        <w:t xml:space="preserve">). </w:t>
      </w:r>
    </w:p>
    <w:p w14:paraId="15FBD648" w14:textId="77777777" w:rsidR="00817104" w:rsidRPr="005A77EB" w:rsidRDefault="00817104" w:rsidP="00817104">
      <w:pPr>
        <w:pStyle w:val="Body"/>
      </w:pPr>
      <w:r>
        <w:t xml:space="preserve">Due to the superior outcomes and experience that can be achieved through care at home, this should be the default setting of care, whenever it is safe, appropriate and consistent with patient preference. Health services are encouraged to continually investigate opportunities to use HITH as a substitute for in-hospital care, as acute admitted care practices and treatments evolve. </w:t>
      </w:r>
    </w:p>
    <w:p w14:paraId="795855A1" w14:textId="77777777" w:rsidR="00817104" w:rsidRPr="005A77EB" w:rsidRDefault="00817104" w:rsidP="00817104">
      <w:pPr>
        <w:pStyle w:val="Body"/>
      </w:pPr>
      <w:r>
        <w:t xml:space="preserve">HITH patients </w:t>
      </w:r>
      <w:r w:rsidRPr="002F2DE0">
        <w:t>must</w:t>
      </w:r>
      <w:r>
        <w:t xml:space="preserve"> fulfil the criteria for admission as per </w:t>
      </w:r>
      <w:hyperlink r:id="rId237">
        <w:r w:rsidRPr="0670E279">
          <w:rPr>
            <w:rStyle w:val="Hyperlink"/>
          </w:rPr>
          <w:t xml:space="preserve">VAED </w:t>
        </w:r>
        <w:r>
          <w:rPr>
            <w:rStyle w:val="Hyperlink"/>
          </w:rPr>
          <w:t>c</w:t>
        </w:r>
        <w:r w:rsidRPr="0670E279">
          <w:rPr>
            <w:rStyle w:val="Hyperlink"/>
          </w:rPr>
          <w:t xml:space="preserve">riteria for </w:t>
        </w:r>
        <w:r>
          <w:rPr>
            <w:rStyle w:val="Hyperlink"/>
          </w:rPr>
          <w:t>r</w:t>
        </w:r>
        <w:r w:rsidRPr="0670E279">
          <w:rPr>
            <w:rStyle w:val="Hyperlink"/>
          </w:rPr>
          <w:t>eporting</w:t>
        </w:r>
      </w:hyperlink>
      <w:r w:rsidRPr="0670E279">
        <w:rPr>
          <w:rStyle w:val="Hyperlink"/>
        </w:rPr>
        <w:t xml:space="preserve"> </w:t>
      </w:r>
      <w:r>
        <w:t>&lt;https://www.health.vic.gov.au/data-reporting/victorian-admitted-episodes-dataset&gt;.</w:t>
      </w:r>
    </w:p>
    <w:p w14:paraId="4CD9FAA6" w14:textId="77777777" w:rsidR="00817104" w:rsidRPr="005A77EB" w:rsidRDefault="00817104" w:rsidP="00817104">
      <w:pPr>
        <w:pStyle w:val="Body"/>
      </w:pPr>
      <w:r>
        <w:t>Patient consent must be obtained before providing admitted services in the home. Documentation to support that the home-delivered services are a direct substitution for in-hospital national-weighted-activity-unit-funded acute admitted care must be in the health record.</w:t>
      </w:r>
    </w:p>
    <w:p w14:paraId="61718134" w14:textId="77777777" w:rsidR="00817104" w:rsidRPr="005A77EB" w:rsidRDefault="00817104" w:rsidP="00817104">
      <w:pPr>
        <w:pStyle w:val="Body"/>
      </w:pPr>
      <w:r>
        <w:t>HITH separations and bed days are reported in the Program Report for Integrated Service Monitoring (PRISM). This enables benchmarking against other health services, particularly the percentage of multi-day separations provided through HITH. Cost data is reported at the patient level (or at aggregate where patient level cannot be obtained) through the VCDC.</w:t>
      </w:r>
    </w:p>
    <w:p w14:paraId="5A768BFE" w14:textId="77777777" w:rsidR="00817104" w:rsidRPr="005A77EB" w:rsidRDefault="00817104" w:rsidP="00817104">
      <w:pPr>
        <w:pStyle w:val="Body"/>
      </w:pPr>
      <w:r>
        <w:lastRenderedPageBreak/>
        <w:t xml:space="preserve">For more information, visit </w:t>
      </w:r>
      <w:hyperlink r:id="rId238" w:history="1">
        <w:r>
          <w:rPr>
            <w:rStyle w:val="Hyperlink"/>
          </w:rPr>
          <w:t>https://www.health.vic.gov.au/patient-care/hospital-in-the-home</w:t>
        </w:r>
      </w:hyperlink>
      <w:r>
        <w:t xml:space="preserve"> &lt;https://www.health.vic.gov.au/patient-care/hospital-in-the-home&gt;. These guidelines will be refreshed in 2026–27.</w:t>
      </w:r>
    </w:p>
    <w:p w14:paraId="10E582E4" w14:textId="77777777" w:rsidR="00817104" w:rsidRPr="005A77EB" w:rsidRDefault="00817104" w:rsidP="00817104">
      <w:pPr>
        <w:pStyle w:val="Heading3"/>
        <w:numPr>
          <w:ilvl w:val="2"/>
          <w:numId w:val="0"/>
        </w:numPr>
        <w:tabs>
          <w:tab w:val="num" w:pos="794"/>
        </w:tabs>
        <w:ind w:left="1134" w:hanging="1134"/>
      </w:pPr>
      <w:r>
        <w:t>18.1.8</w:t>
      </w:r>
      <w:r>
        <w:tab/>
      </w:r>
      <w:r w:rsidRPr="002F2DE0">
        <w:t>Specialist</w:t>
      </w:r>
      <w:r>
        <w:t xml:space="preserve"> care (clinics)</w:t>
      </w:r>
    </w:p>
    <w:p w14:paraId="4FDB22B8" w14:textId="77777777" w:rsidR="00817104" w:rsidRDefault="00817104" w:rsidP="00817104">
      <w:pPr>
        <w:pStyle w:val="Body"/>
      </w:pPr>
      <w:r>
        <w:t xml:space="preserve">All Victorian public health services delivering specialist care are expected to meet the requirements of the </w:t>
      </w:r>
      <w:hyperlink r:id="rId239">
        <w:r w:rsidRPr="001D0E2C">
          <w:rPr>
            <w:rStyle w:val="Hyperlink"/>
            <w:rFonts w:cs="Arial"/>
            <w:i/>
            <w:iCs/>
          </w:rPr>
          <w:t xml:space="preserve">Managing referrals to non-admitted specialist services in Victorian public health services </w:t>
        </w:r>
        <w:r w:rsidRPr="00C12E71">
          <w:rPr>
            <w:rStyle w:val="Hyperlink"/>
            <w:rFonts w:cs="Arial"/>
          </w:rPr>
          <w:t>policy</w:t>
        </w:r>
      </w:hyperlink>
      <w:r>
        <w:t xml:space="preserve"> &lt;https://www.health.vic.gov.au/publications/managing-referrals-to-non-admitted-specialist-services-in-victorian-public-health&gt;. </w:t>
      </w:r>
    </w:p>
    <w:p w14:paraId="24CFC809" w14:textId="77777777" w:rsidR="00817104" w:rsidRDefault="00817104" w:rsidP="00817104">
      <w:pPr>
        <w:pStyle w:val="Body"/>
      </w:pPr>
      <w:r>
        <w:t xml:space="preserve">For more information, visit </w:t>
      </w:r>
      <w:hyperlink r:id="rId240">
        <w:r w:rsidRPr="0670E279">
          <w:rPr>
            <w:rStyle w:val="Hyperlink"/>
          </w:rPr>
          <w:t>Access to non-admitted services in Victoria</w:t>
        </w:r>
      </w:hyperlink>
      <w:r w:rsidRPr="0670E279">
        <w:rPr>
          <w:i/>
          <w:iCs/>
        </w:rPr>
        <w:t xml:space="preserve"> </w:t>
      </w:r>
      <w:r>
        <w:t>&lt;https://www.health.vic.gov.au/patient-care/access-to-specialist-clinics-in-victoria&gt;.</w:t>
      </w:r>
    </w:p>
    <w:p w14:paraId="5239B6EB" w14:textId="77777777" w:rsidR="00817104" w:rsidRPr="006D5CC0" w:rsidRDefault="00817104" w:rsidP="00817104">
      <w:pPr>
        <w:pStyle w:val="Body"/>
      </w:pPr>
      <w:r w:rsidRPr="007E098B">
        <w:t>Health services must provide patient-level specialist clinics data</w:t>
      </w:r>
      <w:r>
        <w:t xml:space="preserve"> </w:t>
      </w:r>
      <w:r w:rsidRPr="006D5CC0">
        <w:t xml:space="preserve">to the VINAH MDS or the NADC. </w:t>
      </w:r>
    </w:p>
    <w:p w14:paraId="0B2B3150" w14:textId="510BD548" w:rsidR="00817104" w:rsidRPr="006D5CC0" w:rsidRDefault="00817104" w:rsidP="00817104">
      <w:pPr>
        <w:pStyle w:val="Body"/>
      </w:pPr>
      <w:r w:rsidRPr="006D5CC0">
        <w:t xml:space="preserve">Health services not reporting non-admitted services to the VINAH MDS or NADC report aggregate data for 2026–27 using the </w:t>
      </w:r>
      <w:r w:rsidR="009544DC" w:rsidRPr="009544DC">
        <w:t xml:space="preserve">Agency Information Management System </w:t>
      </w:r>
      <w:r w:rsidR="009544DC">
        <w:t>(</w:t>
      </w:r>
      <w:r w:rsidRPr="006D5CC0">
        <w:t>AIMS</w:t>
      </w:r>
      <w:r w:rsidR="009544DC">
        <w:t>)</w:t>
      </w:r>
      <w:r w:rsidRPr="006D5CC0">
        <w:t xml:space="preserve"> S10 form.</w:t>
      </w:r>
    </w:p>
    <w:p w14:paraId="130F78AC" w14:textId="77777777" w:rsidR="00817104" w:rsidRPr="006D5CC0" w:rsidRDefault="00817104" w:rsidP="00817104">
      <w:pPr>
        <w:pStyle w:val="Body"/>
      </w:pPr>
      <w:r w:rsidRPr="006D5CC0">
        <w:t>Health services that are currently reporting non-admitted services activity only through the AIMS S10 or S11, will progress their capability to report patient-level specialist clinics data to the VINAH MDS or the NADC.</w:t>
      </w:r>
    </w:p>
    <w:p w14:paraId="53951136" w14:textId="77777777" w:rsidR="00817104" w:rsidRPr="006D5CC0" w:rsidRDefault="00817104" w:rsidP="00817104">
      <w:pPr>
        <w:pStyle w:val="Body"/>
      </w:pPr>
      <w:r w:rsidRPr="006D5CC0">
        <w:t xml:space="preserve">Hospitals are expected to report patient-level cost data (or aggregate where patient-level cannot be obtained) for all specialist clinic activity to the VCDC. All health services are expected to continue to improve their specialist clinics data reported to the VINAH MDS/NADC or AIMS and VCDC </w:t>
      </w:r>
      <w:r w:rsidRPr="006D5CC0" w:rsidDel="003F78C3">
        <w:t>cost</w:t>
      </w:r>
      <w:r w:rsidRPr="006D5CC0">
        <w:t xml:space="preserve"> data.</w:t>
      </w:r>
    </w:p>
    <w:p w14:paraId="18C21D56" w14:textId="77777777" w:rsidR="00817104" w:rsidRDefault="00817104" w:rsidP="00817104">
      <w:pPr>
        <w:pStyle w:val="Heading3"/>
        <w:numPr>
          <w:ilvl w:val="2"/>
          <w:numId w:val="0"/>
        </w:numPr>
        <w:tabs>
          <w:tab w:val="num" w:pos="794"/>
        </w:tabs>
        <w:ind w:left="1134" w:hanging="1134"/>
      </w:pPr>
      <w:bookmarkStart w:id="2321" w:name="_18.1.9_Specialist_Care"/>
      <w:bookmarkEnd w:id="2321"/>
      <w:r>
        <w:t>18.1.9</w:t>
      </w:r>
      <w:r>
        <w:tab/>
      </w:r>
      <w:r w:rsidRPr="00E24ECD">
        <w:t xml:space="preserve">Specialist </w:t>
      </w:r>
      <w:r>
        <w:t>c</w:t>
      </w:r>
      <w:r w:rsidRPr="00E24ECD">
        <w:t xml:space="preserve">are </w:t>
      </w:r>
      <w:r>
        <w:t>r</w:t>
      </w:r>
      <w:r w:rsidRPr="00E24ECD">
        <w:t>eform</w:t>
      </w:r>
    </w:p>
    <w:p w14:paraId="69EC221D" w14:textId="77777777" w:rsidR="00817104" w:rsidRDefault="00817104" w:rsidP="00817104">
      <w:pPr>
        <w:pStyle w:val="Body"/>
      </w:pPr>
      <w:r>
        <w:t xml:space="preserve">The </w:t>
      </w:r>
      <w:r w:rsidRPr="002D6AE5">
        <w:rPr>
          <w:i/>
          <w:iCs/>
        </w:rPr>
        <w:t>Specialist Care Reform Blueprint</w:t>
      </w:r>
      <w:r>
        <w:t xml:space="preserve"> provides the system-wide framework to deliver enduring reform to the specialist care (outpatients) system.</w:t>
      </w:r>
    </w:p>
    <w:p w14:paraId="22E5A361" w14:textId="77777777" w:rsidR="00817104" w:rsidRDefault="00817104" w:rsidP="00817104">
      <w:pPr>
        <w:pStyle w:val="Body"/>
      </w:pPr>
      <w:r>
        <w:t>Health services are expected to implement actions for each of the six reforms by driving local innovation. These efforts will be supported by the department to deliver the system aim, so that all Victorians have access to integrated and responsive specialist care that consistently delivers safe, high-quality and equitable outcomes.</w:t>
      </w:r>
    </w:p>
    <w:p w14:paraId="5EB988D8" w14:textId="77777777" w:rsidR="00817104" w:rsidRPr="00BF05DA" w:rsidRDefault="00817104" w:rsidP="00817104">
      <w:pPr>
        <w:pStyle w:val="Body"/>
      </w:pPr>
      <w:r>
        <w:t xml:space="preserve">For more information, visit </w:t>
      </w:r>
      <w:hyperlink r:id="rId241" w:history="1">
        <w:r w:rsidRPr="00EB7CD2">
          <w:rPr>
            <w:rStyle w:val="Hyperlink"/>
          </w:rPr>
          <w:t xml:space="preserve">Specialist </w:t>
        </w:r>
        <w:r>
          <w:rPr>
            <w:rStyle w:val="Hyperlink"/>
          </w:rPr>
          <w:t>C</w:t>
        </w:r>
        <w:r w:rsidRPr="00EB7CD2">
          <w:rPr>
            <w:rStyle w:val="Hyperlink"/>
          </w:rPr>
          <w:t xml:space="preserve">are </w:t>
        </w:r>
        <w:r>
          <w:rPr>
            <w:rStyle w:val="Hyperlink"/>
          </w:rPr>
          <w:t>R</w:t>
        </w:r>
        <w:r w:rsidRPr="00EB7CD2">
          <w:rPr>
            <w:rStyle w:val="Hyperlink"/>
          </w:rPr>
          <w:t xml:space="preserve">eform </w:t>
        </w:r>
        <w:r>
          <w:rPr>
            <w:rStyle w:val="Hyperlink"/>
          </w:rPr>
          <w:t>B</w:t>
        </w:r>
        <w:r w:rsidRPr="00EB7CD2">
          <w:rPr>
            <w:rStyle w:val="Hyperlink"/>
          </w:rPr>
          <w:t>lueprint</w:t>
        </w:r>
      </w:hyperlink>
      <w:r>
        <w:t xml:space="preserve"> &lt;https://www.health.vic.gov.au/patient-care/specialist-care-reform&gt;. </w:t>
      </w:r>
    </w:p>
    <w:p w14:paraId="0EC3A0B0" w14:textId="77777777" w:rsidR="00817104" w:rsidRDefault="00817104" w:rsidP="000D038C">
      <w:pPr>
        <w:pStyle w:val="Heading3"/>
        <w:numPr>
          <w:ilvl w:val="2"/>
          <w:numId w:val="0"/>
        </w:numPr>
        <w:tabs>
          <w:tab w:val="num" w:pos="794"/>
        </w:tabs>
        <w:ind w:left="1361" w:hanging="1361"/>
      </w:pPr>
      <w:r>
        <w:t>18.1.10</w:t>
      </w:r>
      <w:r>
        <w:tab/>
        <w:t xml:space="preserve">Victorian Forensic Paediatric Medical Service </w:t>
      </w:r>
    </w:p>
    <w:p w14:paraId="01F827BB" w14:textId="77777777" w:rsidR="00817104" w:rsidRPr="00A70286" w:rsidRDefault="00817104" w:rsidP="00817104">
      <w:pPr>
        <w:pStyle w:val="Body"/>
      </w:pPr>
      <w:r w:rsidRPr="00A70286">
        <w:t xml:space="preserve">The </w:t>
      </w:r>
      <w:r>
        <w:t>Victorian Forensic Paediatric Medical Service (</w:t>
      </w:r>
      <w:r w:rsidRPr="00A70286">
        <w:t>VFPMS</w:t>
      </w:r>
      <w:r>
        <w:t>)</w:t>
      </w:r>
      <w:r w:rsidRPr="00A70286">
        <w:t xml:space="preserve"> is a highly specialised statewide service that provides expert forensic medical assessment and consultation for children and young people aged </w:t>
      </w:r>
      <w:r>
        <w:t>under</w:t>
      </w:r>
      <w:r w:rsidRPr="00A70286">
        <w:t xml:space="preserve"> 18 years</w:t>
      </w:r>
      <w:r>
        <w:t>,</w:t>
      </w:r>
      <w:r w:rsidRPr="00A70286">
        <w:t xml:space="preserve"> where there are concerns of suspected </w:t>
      </w:r>
      <w:r>
        <w:t xml:space="preserve">child abuse including </w:t>
      </w:r>
      <w:r w:rsidRPr="00A70286">
        <w:t>physical injury, sexual assault</w:t>
      </w:r>
      <w:r>
        <w:t xml:space="preserve"> and</w:t>
      </w:r>
      <w:r w:rsidRPr="00A70286">
        <w:t xml:space="preserve"> neglect.</w:t>
      </w:r>
      <w:r>
        <w:t xml:space="preserve"> The service also provides</w:t>
      </w:r>
      <w:r w:rsidRPr="0019683A">
        <w:rPr>
          <w:rFonts w:eastAsia="Times New Roman"/>
        </w:rPr>
        <w:t xml:space="preserve"> </w:t>
      </w:r>
      <w:r w:rsidRPr="0019683A">
        <w:t>evidence</w:t>
      </w:r>
      <w:r w:rsidRPr="0019683A">
        <w:noBreakHyphen/>
        <w:t>based forensic medical expertise</w:t>
      </w:r>
      <w:r>
        <w:t xml:space="preserve"> to support court-related activity in the Child Protection and criminal justice systems.</w:t>
      </w:r>
    </w:p>
    <w:p w14:paraId="2818CF5B" w14:textId="77777777" w:rsidR="00817104" w:rsidRDefault="00817104" w:rsidP="00817104">
      <w:pPr>
        <w:pStyle w:val="Body"/>
      </w:pPr>
      <w:r>
        <w:t xml:space="preserve">The </w:t>
      </w:r>
      <w:r w:rsidRPr="00595351">
        <w:t>VFPMS operates as a coordinated statewide network using a hub</w:t>
      </w:r>
      <w:r>
        <w:t>-</w:t>
      </w:r>
      <w:r w:rsidRPr="00595351">
        <w:t>and</w:t>
      </w:r>
      <w:r w:rsidRPr="00595351">
        <w:noBreakHyphen/>
        <w:t>spoke model</w:t>
      </w:r>
      <w:r>
        <w:t xml:space="preserve"> to support clinical guidance and professional development for Victorian health services</w:t>
      </w:r>
      <w:r w:rsidRPr="00595351" w:rsidDel="0094539D">
        <w:t>.</w:t>
      </w:r>
      <w:r>
        <w:t xml:space="preserve"> The statewide service is governed by The Royal Children’s Hospital. </w:t>
      </w:r>
    </w:p>
    <w:p w14:paraId="5AD7A628" w14:textId="77777777" w:rsidR="00817104" w:rsidRDefault="00817104" w:rsidP="00817104">
      <w:pPr>
        <w:pStyle w:val="Body"/>
      </w:pPr>
      <w:r>
        <w:t>Specialist paediatric forensic services are delivered through:</w:t>
      </w:r>
    </w:p>
    <w:p w14:paraId="1E0E440B" w14:textId="77777777" w:rsidR="00817104" w:rsidRDefault="00817104" w:rsidP="00817104">
      <w:pPr>
        <w:pStyle w:val="Bullet1"/>
        <w:numPr>
          <w:ilvl w:val="0"/>
          <w:numId w:val="2"/>
        </w:numPr>
      </w:pPr>
      <w:r>
        <w:t>metropolitan hubs located at The Royal Children’s Hospital and Monash Children’s Hospital</w:t>
      </w:r>
    </w:p>
    <w:p w14:paraId="245528F9" w14:textId="77777777" w:rsidR="00817104" w:rsidRDefault="00817104" w:rsidP="00817104">
      <w:pPr>
        <w:pStyle w:val="Bullet1"/>
        <w:numPr>
          <w:ilvl w:val="0"/>
          <w:numId w:val="2"/>
        </w:numPr>
      </w:pPr>
      <w:r>
        <w:lastRenderedPageBreak/>
        <w:t xml:space="preserve">regional service delivery sites supported through the statewide network. </w:t>
      </w:r>
    </w:p>
    <w:p w14:paraId="72119D2A" w14:textId="77777777" w:rsidR="00817104" w:rsidRDefault="00817104" w:rsidP="00817104">
      <w:pPr>
        <w:pStyle w:val="Bodyafterbullets"/>
      </w:pPr>
      <w:r>
        <w:t>All metropolitan and regional health services are expected to provide appropriate 24/7 clinical forensic services for children and young people, in line with the clinical guidance available at</w:t>
      </w:r>
      <w:r w:rsidRPr="00825FEE">
        <w:rPr>
          <w:rFonts w:eastAsia="Times New Roman"/>
        </w:rPr>
        <w:t xml:space="preserve"> </w:t>
      </w:r>
      <w:r>
        <w:rPr>
          <w:rFonts w:eastAsia="Times New Roman"/>
        </w:rPr>
        <w:t xml:space="preserve">the </w:t>
      </w:r>
      <w:hyperlink r:id="rId242" w:history="1">
        <w:r>
          <w:rPr>
            <w:rStyle w:val="Hyperlink"/>
          </w:rPr>
          <w:t>VFPMS</w:t>
        </w:r>
      </w:hyperlink>
      <w:r>
        <w:t xml:space="preserve"> &lt;https://www.rch.org.au/vfpms&gt;.</w:t>
      </w:r>
    </w:p>
    <w:p w14:paraId="28C743C1" w14:textId="77777777" w:rsidR="00817104" w:rsidRDefault="00817104" w:rsidP="00817104">
      <w:pPr>
        <w:pStyle w:val="Bodyafterbullets"/>
      </w:pPr>
      <w:r>
        <w:t>Strong clinical governance, specialist clinical leadership and inter</w:t>
      </w:r>
      <w:r>
        <w:rPr>
          <w:rFonts w:ascii="Cambria Math" w:hAnsi="Cambria Math" w:cs="Cambria Math"/>
        </w:rPr>
        <w:t>‑</w:t>
      </w:r>
      <w:r>
        <w:t>agency coordination are core service requirements of the VFPMS. These functions are integral to ensuring safe, consistent and high</w:t>
      </w:r>
      <w:r>
        <w:rPr>
          <w:rFonts w:ascii="Cambria Math" w:hAnsi="Cambria Math" w:cs="Cambria Math"/>
        </w:rPr>
        <w:t>‑</w:t>
      </w:r>
      <w:r>
        <w:t>quality forensic medical assessment across Victoria.</w:t>
      </w:r>
    </w:p>
    <w:p w14:paraId="7F7F0160" w14:textId="77777777" w:rsidR="00817104" w:rsidRDefault="00817104" w:rsidP="00817104">
      <w:pPr>
        <w:pStyle w:val="Body"/>
      </w:pPr>
      <w:r>
        <w:t>The service undertakes statewide leadership activities, including:</w:t>
      </w:r>
    </w:p>
    <w:p w14:paraId="4664BDE8" w14:textId="77777777" w:rsidR="00817104" w:rsidRDefault="00817104" w:rsidP="00817104">
      <w:pPr>
        <w:pStyle w:val="Bullet1"/>
        <w:numPr>
          <w:ilvl w:val="0"/>
          <w:numId w:val="2"/>
        </w:numPr>
      </w:pPr>
      <w:r>
        <w:t>development and maintenance of clinical standards, protocols and guidelines</w:t>
      </w:r>
    </w:p>
    <w:p w14:paraId="21D634D7" w14:textId="77777777" w:rsidR="00817104" w:rsidRDefault="00817104" w:rsidP="00817104">
      <w:pPr>
        <w:pStyle w:val="Bullet1"/>
        <w:numPr>
          <w:ilvl w:val="0"/>
          <w:numId w:val="2"/>
        </w:numPr>
      </w:pPr>
      <w:r>
        <w:t>education, training and capability building to support statewide service delivery</w:t>
      </w:r>
    </w:p>
    <w:p w14:paraId="31B5E17E" w14:textId="77777777" w:rsidR="00817104" w:rsidRDefault="00817104" w:rsidP="00817104">
      <w:pPr>
        <w:pStyle w:val="Bullet1"/>
        <w:numPr>
          <w:ilvl w:val="0"/>
          <w:numId w:val="2"/>
        </w:numPr>
      </w:pPr>
      <w:r>
        <w:t>quality assurance and continuous improvement activities</w:t>
      </w:r>
    </w:p>
    <w:p w14:paraId="299859E5" w14:textId="77777777" w:rsidR="00817104" w:rsidRDefault="00817104" w:rsidP="00817104">
      <w:pPr>
        <w:pStyle w:val="Bullet1"/>
        <w:numPr>
          <w:ilvl w:val="0"/>
          <w:numId w:val="2"/>
        </w:numPr>
      </w:pPr>
      <w:r>
        <w:t>support for coordinated service planning and evaluation.</w:t>
      </w:r>
    </w:p>
    <w:p w14:paraId="54BD65BB" w14:textId="77777777" w:rsidR="00817104" w:rsidRDefault="00817104" w:rsidP="00817104">
      <w:pPr>
        <w:pStyle w:val="Bodyafterbullets"/>
      </w:pPr>
      <w:r>
        <w:t>The VFPMS is funded as a statewide program and is subject to departmental accountability requirements.</w:t>
      </w:r>
    </w:p>
    <w:p w14:paraId="00F491FA" w14:textId="77777777" w:rsidR="00817104" w:rsidRDefault="00817104" w:rsidP="00817104">
      <w:pPr>
        <w:pStyle w:val="Bodyafterbullets"/>
      </w:pPr>
      <w:r>
        <w:t>The service is required to:</w:t>
      </w:r>
    </w:p>
    <w:p w14:paraId="4190CB88" w14:textId="77777777" w:rsidR="00817104" w:rsidRDefault="00817104" w:rsidP="00817104">
      <w:pPr>
        <w:pStyle w:val="Bullet1"/>
        <w:numPr>
          <w:ilvl w:val="0"/>
          <w:numId w:val="2"/>
        </w:numPr>
      </w:pPr>
      <w:r>
        <w:t>submit annual activity and financial acquittal reports in accordance with departmental requirements</w:t>
      </w:r>
    </w:p>
    <w:p w14:paraId="6ADD0496" w14:textId="77777777" w:rsidR="00817104" w:rsidRDefault="00817104" w:rsidP="00817104">
      <w:pPr>
        <w:pStyle w:val="Bullet1"/>
        <w:numPr>
          <w:ilvl w:val="0"/>
          <w:numId w:val="2"/>
        </w:numPr>
      </w:pPr>
      <w:r>
        <w:t>participate in performance monitoring, evaluation and quality assurance activities as requested by the department.</w:t>
      </w:r>
    </w:p>
    <w:p w14:paraId="3C05CE2D" w14:textId="77777777" w:rsidR="00817104" w:rsidRPr="005A77EB" w:rsidRDefault="00817104" w:rsidP="000D038C">
      <w:pPr>
        <w:pStyle w:val="Heading3"/>
        <w:numPr>
          <w:ilvl w:val="2"/>
          <w:numId w:val="0"/>
        </w:numPr>
        <w:tabs>
          <w:tab w:val="num" w:pos="794"/>
        </w:tabs>
        <w:ind w:left="1361" w:hanging="1361"/>
      </w:pPr>
      <w:r>
        <w:t>18.1.11</w:t>
      </w:r>
      <w:r>
        <w:tab/>
        <w:t>Integrated hepatitis C services</w:t>
      </w:r>
    </w:p>
    <w:p w14:paraId="45C36C8A" w14:textId="77777777" w:rsidR="00817104" w:rsidRDefault="00817104" w:rsidP="00817104">
      <w:pPr>
        <w:pStyle w:val="Body"/>
      </w:pPr>
      <w:r>
        <w:t>The department funds 10 public health services and two community health services to provide nurse-led integrated hepatitis C services.</w:t>
      </w:r>
    </w:p>
    <w:p w14:paraId="7527BBF4" w14:textId="77777777" w:rsidR="00817104" w:rsidRDefault="00817104" w:rsidP="00817104">
      <w:pPr>
        <w:pStyle w:val="Body"/>
      </w:pPr>
      <w:r>
        <w:t>In 2026–27, health services are to continue realigning their service to focus on the effective use of primary care and targeted use of hospital specialist services.</w:t>
      </w:r>
    </w:p>
    <w:p w14:paraId="106266F8" w14:textId="77777777" w:rsidR="00817104" w:rsidRDefault="00817104" w:rsidP="00817104">
      <w:pPr>
        <w:pStyle w:val="Body"/>
      </w:pPr>
      <w:r>
        <w:t>This includes:</w:t>
      </w:r>
    </w:p>
    <w:p w14:paraId="2A14FE27" w14:textId="77777777" w:rsidR="00817104" w:rsidRDefault="00817104" w:rsidP="00817104">
      <w:pPr>
        <w:pStyle w:val="Bullet1"/>
        <w:numPr>
          <w:ilvl w:val="0"/>
          <w:numId w:val="2"/>
        </w:numPr>
      </w:pPr>
      <w:r>
        <w:t>implementing localised hepatitis C pathways developed by PHNs with local PHNs</w:t>
      </w:r>
    </w:p>
    <w:p w14:paraId="0266F1A4" w14:textId="77777777" w:rsidR="00817104" w:rsidRDefault="00817104" w:rsidP="00817104">
      <w:pPr>
        <w:pStyle w:val="Bullet1"/>
        <w:numPr>
          <w:ilvl w:val="0"/>
          <w:numId w:val="2"/>
        </w:numPr>
      </w:pPr>
      <w:r>
        <w:t>building capacity in primary care and community settings to deliver hepatitis C testing, treatment and care for non-complex clients</w:t>
      </w:r>
    </w:p>
    <w:p w14:paraId="4250E164" w14:textId="77777777" w:rsidR="00817104" w:rsidRDefault="00817104" w:rsidP="00817104">
      <w:pPr>
        <w:pStyle w:val="Bullet1"/>
        <w:numPr>
          <w:ilvl w:val="0"/>
          <w:numId w:val="2"/>
        </w:numPr>
      </w:pPr>
      <w:r>
        <w:t>strengthening referral pathways between specialist clinics and primary care for managing complex clients</w:t>
      </w:r>
    </w:p>
    <w:p w14:paraId="33E397BE" w14:textId="77777777" w:rsidR="00817104" w:rsidRDefault="00817104" w:rsidP="00817104">
      <w:pPr>
        <w:pStyle w:val="Bullet1"/>
        <w:numPr>
          <w:ilvl w:val="0"/>
          <w:numId w:val="2"/>
        </w:numPr>
      </w:pPr>
      <w:r>
        <w:t>working with pharmacy providers to have drug supply in the community.</w:t>
      </w:r>
    </w:p>
    <w:p w14:paraId="3D411968" w14:textId="77777777" w:rsidR="00817104" w:rsidRDefault="00817104" w:rsidP="00817104">
      <w:pPr>
        <w:pStyle w:val="Heading4"/>
      </w:pPr>
      <w:r>
        <w:t>Direct-acting antiviral hepatitis C treatments</w:t>
      </w:r>
    </w:p>
    <w:p w14:paraId="05788C44" w14:textId="77777777" w:rsidR="00817104" w:rsidRDefault="00817104" w:rsidP="00817104">
      <w:pPr>
        <w:pStyle w:val="Body"/>
        <w:rPr>
          <w:rFonts w:cs="Calibri"/>
        </w:rPr>
      </w:pPr>
      <w:r>
        <w:t xml:space="preserve">The Australian Government lists several medicines to treat hepatitis C on the PBS </w:t>
      </w:r>
      <w:r w:rsidRPr="0670E279">
        <w:rPr>
          <w:rFonts w:cs="Calibri"/>
        </w:rPr>
        <w:t>and the Highly Specialised Drugs Program.</w:t>
      </w:r>
    </w:p>
    <w:p w14:paraId="7CA9CC3D" w14:textId="77777777" w:rsidR="00817104" w:rsidRDefault="00817104" w:rsidP="00817104">
      <w:pPr>
        <w:pStyle w:val="Body"/>
      </w:pPr>
      <w:r>
        <w:t>Nurse practitioners experienced in the care and management of people living with HIV and hepatitis B in the community, and hepatitis C in corrective services settings, are now eligible to prescribe s.100 medicines. The relevant medicines listed for prescribing by nurse practitioners are identified by ‘NP’ in the PBS Schedule.</w:t>
      </w:r>
    </w:p>
    <w:p w14:paraId="190D4190" w14:textId="77777777" w:rsidR="00817104" w:rsidRDefault="00817104" w:rsidP="00817104">
      <w:pPr>
        <w:pStyle w:val="Body"/>
      </w:pPr>
      <w:r>
        <w:t>For more information, visit:</w:t>
      </w:r>
    </w:p>
    <w:p w14:paraId="2C98FF77" w14:textId="77777777" w:rsidR="00817104" w:rsidRDefault="00817104" w:rsidP="00817104">
      <w:pPr>
        <w:pStyle w:val="Bullet1"/>
        <w:numPr>
          <w:ilvl w:val="0"/>
          <w:numId w:val="2"/>
        </w:numPr>
      </w:pPr>
      <w:hyperlink r:id="rId243">
        <w:r w:rsidRPr="0670E279">
          <w:rPr>
            <w:rStyle w:val="Hyperlink"/>
          </w:rPr>
          <w:t>National Health (Highly Specialised Drugs Program) Special Arrangement 2021</w:t>
        </w:r>
      </w:hyperlink>
      <w:r w:rsidRPr="0670E279">
        <w:rPr>
          <w:rStyle w:val="Hyperlink"/>
        </w:rPr>
        <w:t xml:space="preserve"> </w:t>
      </w:r>
      <w:r>
        <w:t>&lt;https://www.legislation.gov.au/Details/F2022C00177&gt; that came into effect on 1 February 2022</w:t>
      </w:r>
    </w:p>
    <w:p w14:paraId="048D3D05" w14:textId="77777777" w:rsidR="00817104" w:rsidRDefault="00817104" w:rsidP="00817104">
      <w:pPr>
        <w:pStyle w:val="Bullet1"/>
        <w:numPr>
          <w:ilvl w:val="0"/>
          <w:numId w:val="2"/>
        </w:numPr>
      </w:pPr>
      <w:hyperlink r:id="rId244">
        <w:r w:rsidRPr="0670E279">
          <w:rPr>
            <w:rStyle w:val="Hyperlink"/>
          </w:rPr>
          <w:t>Hepatitis C Medicines</w:t>
        </w:r>
      </w:hyperlink>
      <w:r>
        <w:t xml:space="preserve"> &lt;https://www.pbs.gov.au/info/publication/factsheets/hep-c/hepc-factsheet-hospital-prescribers-dispensers&gt;.</w:t>
      </w:r>
    </w:p>
    <w:p w14:paraId="396A928D" w14:textId="77777777" w:rsidR="00817104" w:rsidRDefault="00817104" w:rsidP="00817104">
      <w:pPr>
        <w:pStyle w:val="Bodyafterbullets"/>
      </w:pPr>
      <w:r w:rsidRPr="0670E279">
        <w:t xml:space="preserve">Integrated hepatitis C services </w:t>
      </w:r>
      <w:r>
        <w:t xml:space="preserve">activity is reported as part of the VINAH MDS. </w:t>
      </w:r>
    </w:p>
    <w:p w14:paraId="48850BBB" w14:textId="77777777" w:rsidR="00817104" w:rsidRDefault="00817104" w:rsidP="00817104">
      <w:pPr>
        <w:pStyle w:val="Body"/>
      </w:pPr>
      <w:r>
        <w:t xml:space="preserve">Community health services report using the Community Health Minimum Data Set (CHMDS). For more information, </w:t>
      </w:r>
      <w:hyperlink r:id="rId245">
        <w:r w:rsidRPr="0670E279">
          <w:rPr>
            <w:rStyle w:val="Hyperlink"/>
          </w:rPr>
          <w:t>email the Health Data Standards and Systems (HDSS) helpdesk</w:t>
        </w:r>
      </w:hyperlink>
      <w:r>
        <w:t xml:space="preserve"> &lt;hdss.helpdesk@health.vic.gov.au&gt;.</w:t>
      </w:r>
    </w:p>
    <w:p w14:paraId="331FDCFA" w14:textId="77777777" w:rsidR="00817104" w:rsidRDefault="00817104" w:rsidP="000D038C">
      <w:pPr>
        <w:pStyle w:val="Heading3"/>
        <w:numPr>
          <w:ilvl w:val="2"/>
          <w:numId w:val="0"/>
        </w:numPr>
        <w:tabs>
          <w:tab w:val="num" w:pos="794"/>
        </w:tabs>
        <w:ind w:left="1361" w:hanging="1361"/>
      </w:pPr>
      <w:r>
        <w:t>18.1.12</w:t>
      </w:r>
      <w:r>
        <w:tab/>
        <w:t>Disability and the NDIS</w:t>
      </w:r>
    </w:p>
    <w:p w14:paraId="686D26B4" w14:textId="77777777" w:rsidR="00817104" w:rsidRDefault="00817104" w:rsidP="00817104">
      <w:pPr>
        <w:pStyle w:val="Body"/>
      </w:pPr>
      <w:r>
        <w:t>Health services should deliver high-quality care that is accessible, welcoming, safe and effective to all Victorians, including people with disability, wherever they are treated. People with disability should receive treatment and care, and the application of patient rights and responsibilities, that are afforded to any person in the community receiving healthcare with the same or similar clinical needs.</w:t>
      </w:r>
    </w:p>
    <w:p w14:paraId="3E72B6F6" w14:textId="77777777" w:rsidR="00817104" w:rsidRDefault="00817104" w:rsidP="00817104">
      <w:pPr>
        <w:pStyle w:val="Body"/>
      </w:pPr>
      <w:r>
        <w:t>Consistent with person-centred care, aids (such as Auslan) should be used where necessary to overcome communication difficulties, and to promote active participation of people with disability in decisions about their treatment and care.</w:t>
      </w:r>
    </w:p>
    <w:p w14:paraId="51E1C09A" w14:textId="77777777" w:rsidR="00817104" w:rsidRDefault="00817104" w:rsidP="00817104">
      <w:pPr>
        <w:pStyle w:val="Body"/>
      </w:pPr>
      <w:r>
        <w:t xml:space="preserve">The </w:t>
      </w:r>
      <w:r w:rsidRPr="00012675">
        <w:t xml:space="preserve">Inclusive Victoria: </w:t>
      </w:r>
      <w:r>
        <w:t>S</w:t>
      </w:r>
      <w:r w:rsidRPr="00012675">
        <w:t>tate disability plan 2022–2026 (extended to 2027)</w:t>
      </w:r>
      <w:r>
        <w:t xml:space="preserve"> sets out six systemic reforms for making things fairer for people with disability, including:</w:t>
      </w:r>
    </w:p>
    <w:p w14:paraId="5CA6A77D" w14:textId="77777777" w:rsidR="00817104" w:rsidRPr="0063387C" w:rsidRDefault="00817104" w:rsidP="00817104">
      <w:pPr>
        <w:pStyle w:val="Bullet1"/>
        <w:numPr>
          <w:ilvl w:val="0"/>
          <w:numId w:val="2"/>
        </w:numPr>
      </w:pPr>
      <w:r w:rsidRPr="0063387C">
        <w:t>co-design with people with disability</w:t>
      </w:r>
    </w:p>
    <w:p w14:paraId="0074548F" w14:textId="77777777" w:rsidR="00817104" w:rsidRPr="0063387C" w:rsidRDefault="00817104" w:rsidP="00817104">
      <w:pPr>
        <w:pStyle w:val="Bullet1"/>
        <w:numPr>
          <w:ilvl w:val="0"/>
          <w:numId w:val="2"/>
        </w:numPr>
      </w:pPr>
      <w:r w:rsidRPr="0063387C">
        <w:t>Aboriginal self-determination</w:t>
      </w:r>
    </w:p>
    <w:p w14:paraId="09DCA5E1" w14:textId="77777777" w:rsidR="00817104" w:rsidRPr="0063387C" w:rsidRDefault="00817104" w:rsidP="00817104">
      <w:pPr>
        <w:pStyle w:val="Bullet1"/>
        <w:numPr>
          <w:ilvl w:val="0"/>
          <w:numId w:val="2"/>
        </w:numPr>
      </w:pPr>
      <w:r w:rsidRPr="0063387C">
        <w:t>intersectional approaches</w:t>
      </w:r>
    </w:p>
    <w:p w14:paraId="70D4577E" w14:textId="77777777" w:rsidR="00817104" w:rsidRPr="0063387C" w:rsidRDefault="00817104" w:rsidP="00817104">
      <w:pPr>
        <w:pStyle w:val="Bullet1"/>
        <w:numPr>
          <w:ilvl w:val="0"/>
          <w:numId w:val="2"/>
        </w:numPr>
      </w:pPr>
      <w:r w:rsidRPr="0063387C">
        <w:t>accessible communications and universal design</w:t>
      </w:r>
    </w:p>
    <w:p w14:paraId="1D2D6F4E" w14:textId="77777777" w:rsidR="00817104" w:rsidRPr="0063387C" w:rsidRDefault="00817104" w:rsidP="00817104">
      <w:pPr>
        <w:pStyle w:val="Bullet1"/>
        <w:numPr>
          <w:ilvl w:val="0"/>
          <w:numId w:val="2"/>
        </w:numPr>
      </w:pPr>
      <w:r w:rsidRPr="0063387C">
        <w:t>disability-confident and inclusive workforces</w:t>
      </w:r>
    </w:p>
    <w:p w14:paraId="7313BC34" w14:textId="77777777" w:rsidR="00817104" w:rsidRPr="002F2DE0" w:rsidRDefault="00817104" w:rsidP="00817104">
      <w:pPr>
        <w:pStyle w:val="Bullet1"/>
        <w:numPr>
          <w:ilvl w:val="0"/>
          <w:numId w:val="2"/>
        </w:numPr>
      </w:pPr>
      <w:r w:rsidRPr="0063387C">
        <w:t>effective</w:t>
      </w:r>
      <w:r w:rsidRPr="002F2DE0">
        <w:t xml:space="preserve"> data and outcomes reporting.</w:t>
      </w:r>
    </w:p>
    <w:p w14:paraId="572811EC" w14:textId="77777777" w:rsidR="00817104" w:rsidRDefault="00817104" w:rsidP="00817104">
      <w:pPr>
        <w:pStyle w:val="Bodyafterbullets"/>
      </w:pPr>
      <w:r>
        <w:t xml:space="preserve">Health services are required to develop disability action plans to improve the quality of care for people with disability, share these with their </w:t>
      </w:r>
      <w:r w:rsidRPr="002F2DE0">
        <w:t>community</w:t>
      </w:r>
      <w:r>
        <w:t xml:space="preserve"> and report on outcomes annually. </w:t>
      </w:r>
    </w:p>
    <w:p w14:paraId="37446E77" w14:textId="281D3899" w:rsidR="00817104" w:rsidRDefault="00817104" w:rsidP="00817104">
      <w:pPr>
        <w:pStyle w:val="Body"/>
      </w:pPr>
      <w:r>
        <w:t>For more information, visit</w:t>
      </w:r>
      <w:r w:rsidRPr="0670E279">
        <w:rPr>
          <w:rStyle w:val="Hyperlink"/>
        </w:rPr>
        <w:t xml:space="preserve"> </w:t>
      </w:r>
      <w:hyperlink r:id="rId246" w:history="1">
        <w:r w:rsidR="00520BEB">
          <w:rPr>
            <w:rStyle w:val="Hyperlink"/>
          </w:rPr>
          <w:t>Inclusive Victoria: State disability plan 2022-2026</w:t>
        </w:r>
      </w:hyperlink>
      <w:r>
        <w:t xml:space="preserve"> &lt;https://www.vic.gov.au/state-disability-plan&gt;. </w:t>
      </w:r>
    </w:p>
    <w:p w14:paraId="574E9C01" w14:textId="77777777" w:rsidR="00817104" w:rsidRPr="002F2DE0" w:rsidRDefault="00817104" w:rsidP="00817104">
      <w:pPr>
        <w:pStyle w:val="Heading4"/>
      </w:pPr>
      <w:r>
        <w:t>Working with the NDIS</w:t>
      </w:r>
    </w:p>
    <w:p w14:paraId="7DC3A4DB" w14:textId="77777777" w:rsidR="00817104" w:rsidRDefault="00817104" w:rsidP="00817104">
      <w:pPr>
        <w:pStyle w:val="Body"/>
      </w:pPr>
      <w:r>
        <w:t>Health and community services are responsible for effective interaction with the NDIS, to enable timely access to support and services for people with disability, who have new or changed needs following a hospital admission.</w:t>
      </w:r>
    </w:p>
    <w:p w14:paraId="5598653C" w14:textId="77777777" w:rsidR="00817104" w:rsidRDefault="00817104" w:rsidP="00817104">
      <w:pPr>
        <w:pStyle w:val="Body"/>
      </w:pPr>
      <w:r>
        <w:t>Health and community services are required to operate effectively in the market-based environment that is presented by the NDIS for delivering disability services:</w:t>
      </w:r>
    </w:p>
    <w:p w14:paraId="52709C6B" w14:textId="77777777" w:rsidR="00817104" w:rsidRDefault="00817104" w:rsidP="00817104">
      <w:pPr>
        <w:pStyle w:val="Bullet1"/>
        <w:numPr>
          <w:ilvl w:val="0"/>
          <w:numId w:val="2"/>
        </w:numPr>
      </w:pPr>
      <w:r>
        <w:t xml:space="preserve">Health services should have processes in place to identify NDIS participants, or those eligible to become participants. </w:t>
      </w:r>
    </w:p>
    <w:p w14:paraId="452D84BF" w14:textId="77777777" w:rsidR="00817104" w:rsidRDefault="00817104" w:rsidP="00817104">
      <w:pPr>
        <w:pStyle w:val="Bullet1"/>
        <w:numPr>
          <w:ilvl w:val="0"/>
          <w:numId w:val="2"/>
        </w:numPr>
      </w:pPr>
      <w:r>
        <w:t>When providing care to NDIS participants, health services should ensure NDIS-eligible activity and equipment is billed to the NDIS.</w:t>
      </w:r>
    </w:p>
    <w:p w14:paraId="7E4A5EFC" w14:textId="77777777" w:rsidR="00817104" w:rsidRDefault="00817104" w:rsidP="00817104">
      <w:pPr>
        <w:pStyle w:val="Bullet1"/>
        <w:numPr>
          <w:ilvl w:val="0"/>
          <w:numId w:val="2"/>
        </w:numPr>
      </w:pPr>
      <w:r>
        <w:t>NDIS participants may access health and community services to seek care that is funded in their NDIS support plan. It may be that health services are their provider of choice for specialist services, or the provider of last resort in areas where markets are developing.</w:t>
      </w:r>
    </w:p>
    <w:p w14:paraId="062AF451" w14:textId="495C8DC2" w:rsidR="00817104" w:rsidRDefault="00817104" w:rsidP="00817104">
      <w:pPr>
        <w:pStyle w:val="Bodyafterbullets"/>
      </w:pPr>
      <w:r>
        <w:lastRenderedPageBreak/>
        <w:t xml:space="preserve">Health services should consider registering as </w:t>
      </w:r>
      <w:r w:rsidR="006210C5">
        <w:t>a</w:t>
      </w:r>
      <w:r>
        <w:t xml:space="preserve"> NDIS service provider. This will enable health services to access additional revenue by billing the NDIS for funded activities for eligible clients. In regional areas, this will ensure access to certain NDIS-eligible allied health and nursing interventions for NDIS participants, where these services may otherwise not be available locally.</w:t>
      </w:r>
    </w:p>
    <w:p w14:paraId="38EB8A30" w14:textId="77777777" w:rsidR="00817104" w:rsidRDefault="00817104" w:rsidP="00817104">
      <w:pPr>
        <w:pStyle w:val="Body"/>
      </w:pPr>
      <w:r>
        <w:t xml:space="preserve">For more </w:t>
      </w:r>
      <w:r w:rsidRPr="00220AA4">
        <w:t>information</w:t>
      </w:r>
      <w:r>
        <w:t xml:space="preserve">, visit the: </w:t>
      </w:r>
      <w:hyperlink r:id="rId247" w:history="1">
        <w:r w:rsidRPr="00A77CEE">
          <w:rPr>
            <w:rStyle w:val="Hyperlink"/>
          </w:rPr>
          <w:t>NDIS Quality and Safeguards Commission</w:t>
        </w:r>
      </w:hyperlink>
      <w:r>
        <w:t xml:space="preserve"> &lt;https://www.ndiscommission.gov.au/providers/becoming-registered-provider&gt;.</w:t>
      </w:r>
    </w:p>
    <w:p w14:paraId="3F212735" w14:textId="77777777" w:rsidR="00817104" w:rsidRPr="00220AA4" w:rsidRDefault="00817104" w:rsidP="00817104">
      <w:pPr>
        <w:pStyle w:val="Heading4"/>
      </w:pPr>
      <w:r w:rsidRPr="0670E279">
        <w:t>A</w:t>
      </w:r>
      <w:r w:rsidRPr="00475157">
        <w:t>dmitted patients</w:t>
      </w:r>
    </w:p>
    <w:p w14:paraId="75E9F8F0" w14:textId="77777777" w:rsidR="00817104" w:rsidRDefault="00817104" w:rsidP="00817104">
      <w:pPr>
        <w:pStyle w:val="Body"/>
      </w:pPr>
      <w:r>
        <w:t>The NDIS employs health liaison officers (HLOs) to assist NDIS participants to move through the NDIS pathway while in hospital. They are essential contacts for health services for engaging with the NDIS, specifically relating to discharge planning and escalation of protracted discharge delays.</w:t>
      </w:r>
    </w:p>
    <w:p w14:paraId="2C00037A" w14:textId="77777777" w:rsidR="00817104" w:rsidRDefault="00817104" w:rsidP="00817104">
      <w:pPr>
        <w:pStyle w:val="Body"/>
        <w:keepNext/>
        <w:keepLines/>
      </w:pPr>
      <w:r>
        <w:t>Their role includes:</w:t>
      </w:r>
    </w:p>
    <w:p w14:paraId="17923591" w14:textId="77777777" w:rsidR="00817104" w:rsidRDefault="00817104" w:rsidP="00817104">
      <w:pPr>
        <w:pStyle w:val="Bullet1"/>
        <w:numPr>
          <w:ilvl w:val="0"/>
          <w:numId w:val="2"/>
        </w:numPr>
      </w:pPr>
      <w:r>
        <w:t>promoting understanding of the NDIS within health services to support hospital discharge, such as understanding the hospital discharge participant pathway from access to pre-planning, plan development and implementation</w:t>
      </w:r>
    </w:p>
    <w:p w14:paraId="5F1DB1C6" w14:textId="77777777" w:rsidR="00817104" w:rsidRDefault="00817104" w:rsidP="00817104">
      <w:pPr>
        <w:pStyle w:val="Bullet1"/>
        <w:numPr>
          <w:ilvl w:val="0"/>
          <w:numId w:val="2"/>
        </w:numPr>
      </w:pPr>
      <w:r>
        <w:t>promoting awareness of the scope of supports and services provided by the NDIS</w:t>
      </w:r>
    </w:p>
    <w:p w14:paraId="1139D851" w14:textId="77777777" w:rsidR="00817104" w:rsidRDefault="00817104" w:rsidP="00817104">
      <w:pPr>
        <w:pStyle w:val="Bullet1"/>
        <w:numPr>
          <w:ilvl w:val="0"/>
          <w:numId w:val="2"/>
        </w:numPr>
      </w:pPr>
      <w:r>
        <w:t>linking directly with health clinicians and allied health professionals to provide support and coordination for discharge planning, case conferences and information exchange</w:t>
      </w:r>
    </w:p>
    <w:p w14:paraId="732C57AA" w14:textId="77777777" w:rsidR="00817104" w:rsidRDefault="00817104" w:rsidP="00817104">
      <w:pPr>
        <w:pStyle w:val="Bullet1"/>
        <w:numPr>
          <w:ilvl w:val="0"/>
          <w:numId w:val="2"/>
        </w:numPr>
      </w:pPr>
      <w:r>
        <w:t>engaging directly with NDIS participants (patients) to problem solve barriers to discharge</w:t>
      </w:r>
    </w:p>
    <w:p w14:paraId="072C1676" w14:textId="77777777" w:rsidR="00817104" w:rsidRDefault="00817104" w:rsidP="00817104">
      <w:pPr>
        <w:pStyle w:val="Bullet1"/>
        <w:numPr>
          <w:ilvl w:val="0"/>
          <w:numId w:val="2"/>
        </w:numPr>
      </w:pPr>
      <w:r>
        <w:t xml:space="preserve">escalation of protracted and complex discharges to the NDIS Hospital Interface Branch for prioritisation. </w:t>
      </w:r>
    </w:p>
    <w:p w14:paraId="41667087" w14:textId="77777777" w:rsidR="00817104" w:rsidRDefault="00817104" w:rsidP="00817104">
      <w:pPr>
        <w:pStyle w:val="Bodyafterbullets"/>
      </w:pPr>
      <w:r>
        <w:t xml:space="preserve">NDIS-funded HLO positions support all health services throughout Victoria. NDIS offers a targeted hospital discharge pathway that differs from the NDIS pathway available to existing and prospective NDIS participants in the community. Hospitals that do not have an allocated HLO can refer and seek support by </w:t>
      </w:r>
      <w:r w:rsidRPr="00296BB3">
        <w:t xml:space="preserve">emailing the </w:t>
      </w:r>
      <w:hyperlink r:id="rId248" w:history="1">
        <w:r w:rsidRPr="00592010">
          <w:rPr>
            <w:rStyle w:val="Hyperlink"/>
          </w:rPr>
          <w:t>National Disability Insurance Agency (NDIA) central HLO inbox</w:t>
        </w:r>
      </w:hyperlink>
      <w:r>
        <w:t xml:space="preserve"> &lt;health.liaison.officer@ndis.gov.au&gt;.</w:t>
      </w:r>
    </w:p>
    <w:p w14:paraId="11F7C5B6" w14:textId="77777777" w:rsidR="00817104" w:rsidRDefault="00817104" w:rsidP="00817104">
      <w:pPr>
        <w:pStyle w:val="Bodyafterbullets"/>
      </w:pPr>
      <w:r>
        <w:t>Referrals will be triaged and allocated to a HLO that supports the local health network.</w:t>
      </w:r>
    </w:p>
    <w:p w14:paraId="69688259" w14:textId="77777777" w:rsidR="00817104" w:rsidRDefault="00817104" w:rsidP="00817104">
      <w:pPr>
        <w:pStyle w:val="Heading4"/>
      </w:pPr>
      <w:r>
        <w:t xml:space="preserve">Hospital admission and </w:t>
      </w:r>
      <w:r w:rsidRPr="00220AA4">
        <w:t>discharge</w:t>
      </w:r>
    </w:p>
    <w:p w14:paraId="695D891D" w14:textId="77777777" w:rsidR="00817104" w:rsidRDefault="00817104" w:rsidP="00817104">
      <w:pPr>
        <w:pStyle w:val="Body"/>
      </w:pPr>
      <w:r>
        <w:t>When an existing or prospective NDIS participant is admitted to hospital:</w:t>
      </w:r>
    </w:p>
    <w:p w14:paraId="4462163F" w14:textId="77777777" w:rsidR="00817104" w:rsidRDefault="00817104" w:rsidP="00817104">
      <w:pPr>
        <w:pStyle w:val="Bullet1"/>
        <w:numPr>
          <w:ilvl w:val="0"/>
          <w:numId w:val="2"/>
        </w:numPr>
      </w:pPr>
      <w:r>
        <w:t>with patient consent, the health service must notify the NDIS at the earliest convenience, if changes to the patient's NDIS plan may be required to support their discharge. This will trigger the NDIS to commence planning for delivery of an interim discharge plan within 15–30 days of the health service’s notification of admission</w:t>
      </w:r>
    </w:p>
    <w:p w14:paraId="01FC3A45" w14:textId="77777777" w:rsidR="00817104" w:rsidRDefault="00817104" w:rsidP="00817104">
      <w:pPr>
        <w:pStyle w:val="Bullet1"/>
        <w:numPr>
          <w:ilvl w:val="0"/>
          <w:numId w:val="2"/>
        </w:numPr>
      </w:pPr>
      <w:r>
        <w:t>the NDIS participant referral form and the NDIS consent form should be completed and emailed to the NDIA’s central HLO inbox, to share information to support planning for the participant’s discharge as soon as practicable</w:t>
      </w:r>
    </w:p>
    <w:p w14:paraId="44541234" w14:textId="77777777" w:rsidR="00817104" w:rsidRDefault="00817104" w:rsidP="00817104">
      <w:pPr>
        <w:pStyle w:val="Bullet1"/>
        <w:numPr>
          <w:ilvl w:val="0"/>
          <w:numId w:val="2"/>
        </w:numPr>
      </w:pPr>
      <w:r>
        <w:t>inpatient allied health assessments to support discharge are to be completed by the health service</w:t>
      </w:r>
    </w:p>
    <w:p w14:paraId="684B2404" w14:textId="77777777" w:rsidR="00817104" w:rsidRDefault="00817104" w:rsidP="00817104">
      <w:pPr>
        <w:pStyle w:val="Bullet1"/>
        <w:numPr>
          <w:ilvl w:val="0"/>
          <w:numId w:val="2"/>
        </w:numPr>
      </w:pPr>
      <w:r>
        <w:t>the health service must provide the NDIS with the relevant evidence to support NDIS access requests and participant plan variations and reassessments. This can be done by submitting the NDIS discharge assessment form or the health service’s equivalent template</w:t>
      </w:r>
    </w:p>
    <w:p w14:paraId="25B1971B" w14:textId="77777777" w:rsidR="00817104" w:rsidRDefault="00817104" w:rsidP="00817104">
      <w:pPr>
        <w:pStyle w:val="Bullet1"/>
        <w:numPr>
          <w:ilvl w:val="0"/>
          <w:numId w:val="2"/>
        </w:numPr>
      </w:pPr>
      <w:r>
        <w:t>the health service must report the NDIS participant number to the VAED.</w:t>
      </w:r>
    </w:p>
    <w:p w14:paraId="28FE9EA2" w14:textId="77777777" w:rsidR="00817104" w:rsidRPr="00220AA4" w:rsidRDefault="00817104" w:rsidP="00817104">
      <w:pPr>
        <w:pStyle w:val="Heading4"/>
      </w:pPr>
      <w:r>
        <w:lastRenderedPageBreak/>
        <w:t>Health service responsibility for aids, equipment and domiciliary oxygen</w:t>
      </w:r>
    </w:p>
    <w:p w14:paraId="4B186CB1" w14:textId="77777777" w:rsidR="00817104" w:rsidRDefault="00817104" w:rsidP="00817104">
      <w:pPr>
        <w:pStyle w:val="Body"/>
      </w:pPr>
      <w:bookmarkStart w:id="2322" w:name="_Toc165461703"/>
      <w:bookmarkStart w:id="2323" w:name="_Toc165461704"/>
      <w:bookmarkStart w:id="2324" w:name="_Toc165461705"/>
      <w:bookmarkStart w:id="2325" w:name="_Toc165461706"/>
      <w:bookmarkStart w:id="2326" w:name="_Toc165461707"/>
      <w:bookmarkStart w:id="2327" w:name="_Toc165461708"/>
      <w:bookmarkStart w:id="2328" w:name="_Toc165461709"/>
      <w:bookmarkStart w:id="2329" w:name="_Toc165461710"/>
      <w:bookmarkStart w:id="2330" w:name="_Toc165461711"/>
      <w:bookmarkStart w:id="2331" w:name="_Toc165461712"/>
      <w:bookmarkStart w:id="2332" w:name="_Toc165461713"/>
      <w:bookmarkStart w:id="2333" w:name="_Toc165461714"/>
      <w:bookmarkStart w:id="2334" w:name="_Toc165461715"/>
      <w:bookmarkStart w:id="2335" w:name="_Toc165461716"/>
      <w:bookmarkStart w:id="2336" w:name="_Toc165461717"/>
      <w:bookmarkStart w:id="2337" w:name="_Toc165461718"/>
      <w:bookmarkStart w:id="2338" w:name="_Toc165461719"/>
      <w:bookmarkStart w:id="2339" w:name="_Toc165461720"/>
      <w:bookmarkStart w:id="2340" w:name="_Toc165461721"/>
      <w:bookmarkStart w:id="2341" w:name="_Toc165461722"/>
      <w:bookmarkStart w:id="2342" w:name="_Toc165461723"/>
      <w:bookmarkStart w:id="2343" w:name="_Toc165461724"/>
      <w:bookmarkStart w:id="2344" w:name="_Toc165461725"/>
      <w:bookmarkStart w:id="2345" w:name="_Toc165461726"/>
      <w:bookmarkStart w:id="2346" w:name="_Toc165461727"/>
      <w:bookmarkStart w:id="2347" w:name="_Toc165461728"/>
      <w:bookmarkStart w:id="2348" w:name="_Toc165461729"/>
      <w:bookmarkStart w:id="2349" w:name="_Toc165461730"/>
      <w:bookmarkStart w:id="2350" w:name="_Toc165461731"/>
      <w:bookmarkStart w:id="2351" w:name="_Toc165461732"/>
      <w:bookmarkStart w:id="2352" w:name="_Toc165461733"/>
      <w:bookmarkStart w:id="2353" w:name="_Toc165461734"/>
      <w:bookmarkStart w:id="2354" w:name="_Toc165461735"/>
      <w:bookmarkStart w:id="2355" w:name="_Toc165461736"/>
      <w:bookmarkStart w:id="2356" w:name="_Toc165461737"/>
      <w:bookmarkStart w:id="2357" w:name="_Toc165461738"/>
      <w:bookmarkStart w:id="2358" w:name="_Toc165461739"/>
      <w:bookmarkStart w:id="2359" w:name="_Toc165461740"/>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r>
        <w:t>This information is provided to clarify responsibilities of public health services in providing aids, equipment and domiciliary oxygen for patients being discharged.</w:t>
      </w:r>
    </w:p>
    <w:p w14:paraId="030E92DA" w14:textId="77777777" w:rsidR="00817104" w:rsidRPr="00626D25" w:rsidRDefault="00817104" w:rsidP="00817104">
      <w:pPr>
        <w:rPr>
          <w:szCs w:val="21"/>
        </w:rPr>
      </w:pPr>
      <w:r>
        <w:t xml:space="preserve">Health services are responsible for providing aids and equipment for up to 30 days after discharge, where required to support safe discharge and avoid unnecessary readmissions. This will be at no cost to the patient, excluding a refundable deposit, if applicable. </w:t>
      </w:r>
      <w:r w:rsidRPr="002A2F3F">
        <w:t xml:space="preserve">This includes </w:t>
      </w:r>
      <w:r>
        <w:t>all necessary aids and equipment, including</w:t>
      </w:r>
      <w:r w:rsidRPr="002A2F3F">
        <w:t xml:space="preserve"> domiciliary oxygen and continence aids</w:t>
      </w:r>
      <w:r>
        <w:t xml:space="preserve">, except where the patient is an existing </w:t>
      </w:r>
      <w:r w:rsidRPr="0670E279">
        <w:rPr>
          <w:lang w:eastAsia="en-AU"/>
        </w:rPr>
        <w:t>VA&amp;EP</w:t>
      </w:r>
      <w:r>
        <w:t xml:space="preserve"> and NDIS client, and already receiving domiciliary oxygen or continence aids under these programs.</w:t>
      </w:r>
    </w:p>
    <w:p w14:paraId="612472C9" w14:textId="77777777" w:rsidR="00817104" w:rsidRDefault="00817104" w:rsidP="00817104">
      <w:pPr>
        <w:pStyle w:val="Body"/>
      </w:pPr>
      <w:r>
        <w:t>At the end of the 30-day post-discharge period, health services may charge patient fees for these aids and equipment or alternatively, patients may choose to make their own arrangements.</w:t>
      </w:r>
    </w:p>
    <w:p w14:paraId="4E546EB3" w14:textId="77777777" w:rsidR="00817104" w:rsidRDefault="00817104" w:rsidP="00817104">
      <w:pPr>
        <w:pStyle w:val="Body"/>
      </w:pPr>
      <w:r>
        <w:t xml:space="preserve">Health services will need to work closely with the NDIS to ensure a smooth discharge for admitted patients who are eligible for the NDIS. </w:t>
      </w:r>
      <w:r w:rsidRPr="00C95D0A">
        <w:t xml:space="preserve">The NDIS </w:t>
      </w:r>
      <w:r>
        <w:t>is not obligated to</w:t>
      </w:r>
      <w:r w:rsidRPr="00C95D0A">
        <w:t xml:space="preserve"> provide </w:t>
      </w:r>
      <w:r>
        <w:t>aids and equipment</w:t>
      </w:r>
      <w:r w:rsidRPr="00C95D0A">
        <w:t xml:space="preserve"> to a NDIS participant if they are not related to the person’s disability.</w:t>
      </w:r>
    </w:p>
    <w:p w14:paraId="1827A62A" w14:textId="77777777" w:rsidR="00817104" w:rsidRDefault="00817104" w:rsidP="00817104">
      <w:pPr>
        <w:pStyle w:val="Body"/>
      </w:pPr>
      <w:r>
        <w:t xml:space="preserve">For more information about fees and charges for providing aids, equipment and domiciliary oxygen, visit </w:t>
      </w:r>
      <w:hyperlink r:id="rId249">
        <w:r w:rsidRPr="0670E279">
          <w:rPr>
            <w:rStyle w:val="Hyperlink"/>
          </w:rPr>
          <w:t>Patient fees and charges for public health services</w:t>
        </w:r>
      </w:hyperlink>
      <w:r>
        <w:t xml:space="preserve"> &lt;https://www.health.vic.gov.au/hospitals-and-health-services/patient-fees-and-charges-for-public-health-services&gt;.</w:t>
      </w:r>
    </w:p>
    <w:p w14:paraId="441E6AA1" w14:textId="0CC24A5F" w:rsidR="00817104" w:rsidRPr="005A77EB" w:rsidRDefault="00817104" w:rsidP="00817104">
      <w:pPr>
        <w:pStyle w:val="Heading2"/>
      </w:pPr>
      <w:bookmarkStart w:id="2360" w:name="_18.2_Subacute_and"/>
      <w:bookmarkStart w:id="2361" w:name="_Toc229127707"/>
      <w:bookmarkStart w:id="2362" w:name="_Toc231982319"/>
      <w:bookmarkEnd w:id="2360"/>
      <w:r>
        <w:t>Subacute and non-</w:t>
      </w:r>
      <w:r w:rsidRPr="00220AA4">
        <w:t>acute</w:t>
      </w:r>
      <w:r>
        <w:t xml:space="preserve"> care</w:t>
      </w:r>
      <w:bookmarkEnd w:id="2361"/>
      <w:bookmarkEnd w:id="2362"/>
    </w:p>
    <w:p w14:paraId="5DED865E" w14:textId="77777777" w:rsidR="00817104" w:rsidRDefault="00817104" w:rsidP="00817104">
      <w:pPr>
        <w:pStyle w:val="Body"/>
      </w:pPr>
      <w:r>
        <w:t>The primary treatment goal of subacute and non-acute care is to optimise a consumer’s functioning and quality of life.</w:t>
      </w:r>
    </w:p>
    <w:p w14:paraId="7C48A2DB" w14:textId="77777777" w:rsidR="00817104" w:rsidRPr="00924316" w:rsidRDefault="00817104" w:rsidP="00817104">
      <w:pPr>
        <w:pStyle w:val="Body"/>
      </w:pPr>
      <w:r>
        <w:t xml:space="preserve">Subacute services can be delivered as either admitted or ambulatory care, and should be delivered in the home, whenever it is safe, appropriate, consistent with the patient’s preference and compliant with Victorian funding policy. Admitted subacute services, which are provided in a patient’s home, should be delivered as per the guidance for </w:t>
      </w:r>
      <w:r w:rsidRPr="004603CB">
        <w:t xml:space="preserve">HITH (see </w:t>
      </w:r>
      <w:hyperlink w:anchor="_18.1.7_HITH" w:history="1">
        <w:r w:rsidRPr="004603CB">
          <w:rPr>
            <w:rStyle w:val="Hyperlink"/>
          </w:rPr>
          <w:t>section 18.1.7</w:t>
        </w:r>
      </w:hyperlink>
      <w:r w:rsidRPr="004603CB">
        <w:t>).</w:t>
      </w:r>
      <w:r>
        <w:t xml:space="preserve"> </w:t>
      </w:r>
    </w:p>
    <w:p w14:paraId="099C9C2E" w14:textId="73DD2587" w:rsidR="00817104" w:rsidRDefault="00817104" w:rsidP="00817104">
      <w:pPr>
        <w:pStyle w:val="Body"/>
      </w:pPr>
      <w:r>
        <w:t xml:space="preserve">Health services are delineated to provide rehabilitation, and geriatric evaluation and management (GEM) services, through </w:t>
      </w:r>
      <w:r w:rsidRPr="00220AA4">
        <w:t>the</w:t>
      </w:r>
      <w:r w:rsidRPr="0063387C">
        <w:t xml:space="preserve"> </w:t>
      </w:r>
      <w:hyperlink r:id="rId250">
        <w:r w:rsidRPr="002D6AE5">
          <w:rPr>
            <w:rStyle w:val="Hyperlink"/>
          </w:rPr>
          <w:t>Subacute planning framework</w:t>
        </w:r>
      </w:hyperlink>
      <w:r w:rsidRPr="0670E279">
        <w:rPr>
          <w:i/>
          <w:iCs/>
        </w:rPr>
        <w:t xml:space="preserve"> </w:t>
      </w:r>
      <w:r>
        <w:t xml:space="preserve">&lt;https://www.health.vic.gov.au/patient-care/subacute-planning-framework&gt;. Health services </w:t>
      </w:r>
      <w:r w:rsidR="004603CB">
        <w:t>must</w:t>
      </w:r>
      <w:r>
        <w:t xml:space="preserve"> align services with the department’s published capability level at all times.</w:t>
      </w:r>
    </w:p>
    <w:p w14:paraId="5820447C" w14:textId="77777777" w:rsidR="00817104" w:rsidRDefault="00817104" w:rsidP="00817104">
      <w:pPr>
        <w:pStyle w:val="Body"/>
      </w:pPr>
      <w:r>
        <w:t>Health services providing rehabilitation, GEM and Health Independence Program services should ensure they align their services based on their service capability level. Local health services delineated as level 2 will provide and report maintenance care.</w:t>
      </w:r>
    </w:p>
    <w:p w14:paraId="68F03697" w14:textId="77777777" w:rsidR="00817104" w:rsidRPr="00605599" w:rsidRDefault="00817104" w:rsidP="00817104">
      <w:pPr>
        <w:pStyle w:val="Heading3"/>
        <w:numPr>
          <w:ilvl w:val="2"/>
          <w:numId w:val="0"/>
        </w:numPr>
        <w:tabs>
          <w:tab w:val="num" w:pos="794"/>
        </w:tabs>
        <w:ind w:left="1134" w:hanging="1134"/>
      </w:pPr>
      <w:r>
        <w:t>18.2.1</w:t>
      </w:r>
      <w:r>
        <w:tab/>
        <w:t>Rehabilitation, GEM and maintenance care</w:t>
      </w:r>
    </w:p>
    <w:p w14:paraId="626B2E1F" w14:textId="77777777" w:rsidR="00817104" w:rsidRPr="00220AA4" w:rsidRDefault="00817104" w:rsidP="00817104">
      <w:pPr>
        <w:pStyle w:val="Heading4"/>
      </w:pPr>
      <w:r>
        <w:t>Rehabilitation</w:t>
      </w:r>
    </w:p>
    <w:p w14:paraId="44D55159" w14:textId="77777777" w:rsidR="00817104" w:rsidRDefault="00817104" w:rsidP="00817104">
      <w:pPr>
        <w:pStyle w:val="Body"/>
      </w:pPr>
      <w:r>
        <w:t>Rehabilitation care is when the primary clinical purpose or treatment goal is improvement in the functioning of a consumer with impairment, activity limitation or participation restriction, due to a health condition. The consumer will be capable of actively participating in rehabilitation.</w:t>
      </w:r>
    </w:p>
    <w:p w14:paraId="469EA75C" w14:textId="77777777" w:rsidR="00817104" w:rsidRDefault="00817104" w:rsidP="00817104">
      <w:pPr>
        <w:pStyle w:val="Body"/>
      </w:pPr>
      <w:r>
        <w:t>Rehabilitation care is always:</w:t>
      </w:r>
    </w:p>
    <w:p w14:paraId="4F876111" w14:textId="77777777" w:rsidR="00817104" w:rsidRPr="007B222E" w:rsidRDefault="00817104" w:rsidP="00817104">
      <w:pPr>
        <w:pStyle w:val="Bullet1"/>
        <w:numPr>
          <w:ilvl w:val="0"/>
          <w:numId w:val="2"/>
        </w:numPr>
      </w:pPr>
      <w:r>
        <w:t>managed by a clinician with special expertise in rehabilitation</w:t>
      </w:r>
    </w:p>
    <w:p w14:paraId="17A3B18E" w14:textId="77777777" w:rsidR="00817104" w:rsidRPr="007B222E" w:rsidRDefault="00817104" w:rsidP="00817104">
      <w:pPr>
        <w:pStyle w:val="Bullet1"/>
        <w:numPr>
          <w:ilvl w:val="0"/>
          <w:numId w:val="2"/>
        </w:numPr>
      </w:pPr>
      <w:r>
        <w:t>evidenced by an individual, multidisciplinary management plan that is documented in the consumer’s medical record, including negotiated goals within specified timeframes and documented assessment of functional ability.</w:t>
      </w:r>
    </w:p>
    <w:p w14:paraId="7DDF4908" w14:textId="77777777" w:rsidR="00817104" w:rsidRPr="00571207" w:rsidRDefault="00817104" w:rsidP="00817104">
      <w:pPr>
        <w:pStyle w:val="Heading4"/>
      </w:pPr>
      <w:r>
        <w:lastRenderedPageBreak/>
        <w:t>GEM</w:t>
      </w:r>
    </w:p>
    <w:p w14:paraId="7A01BDCD" w14:textId="77777777" w:rsidR="00817104" w:rsidRDefault="00817104" w:rsidP="00817104">
      <w:pPr>
        <w:pStyle w:val="Body"/>
      </w:pPr>
      <w:r>
        <w:t>GEM is care in which the primary clinical purpose or treatment goal is improving the functioning of a consumer with multidimensional needs that are associated with medical conditions related to ageing. This includes falls, incontinence, reduced mobility, delirium or depression. The consumer may have complex psychosocial problems and is usually (but not always) an older person.</w:t>
      </w:r>
    </w:p>
    <w:p w14:paraId="2FDB5217" w14:textId="77777777" w:rsidR="00817104" w:rsidRDefault="00817104" w:rsidP="00817104">
      <w:pPr>
        <w:pStyle w:val="Body"/>
      </w:pPr>
      <w:r>
        <w:t>GEM is always:</w:t>
      </w:r>
    </w:p>
    <w:p w14:paraId="0BE9167F" w14:textId="77777777" w:rsidR="00817104" w:rsidRPr="007B222E" w:rsidRDefault="00817104" w:rsidP="00817104">
      <w:pPr>
        <w:pStyle w:val="Bullet1"/>
        <w:numPr>
          <w:ilvl w:val="0"/>
          <w:numId w:val="2"/>
        </w:numPr>
      </w:pPr>
      <w:r>
        <w:t>managed by a clinician with special expertise in GEM</w:t>
      </w:r>
    </w:p>
    <w:p w14:paraId="0810CD53" w14:textId="77777777" w:rsidR="00817104" w:rsidRPr="007B222E" w:rsidRDefault="00817104" w:rsidP="00817104">
      <w:pPr>
        <w:pStyle w:val="Bullet1"/>
        <w:numPr>
          <w:ilvl w:val="0"/>
          <w:numId w:val="2"/>
        </w:numPr>
      </w:pPr>
      <w:r>
        <w:t>evidenced by an individual, multidisciplinary management plan that is documented in the consumer’s medical record, which includes negotiated goals within indicative timeframes and documented assessment of functional ability.</w:t>
      </w:r>
    </w:p>
    <w:p w14:paraId="07A18BB3" w14:textId="77777777" w:rsidR="00817104" w:rsidRPr="00220AA4" w:rsidRDefault="00817104" w:rsidP="00817104">
      <w:pPr>
        <w:pStyle w:val="Heading4"/>
      </w:pPr>
      <w:r>
        <w:t>Maintenance care</w:t>
      </w:r>
    </w:p>
    <w:p w14:paraId="5B78FB63" w14:textId="77777777" w:rsidR="00817104" w:rsidRDefault="00817104" w:rsidP="00817104">
      <w:pPr>
        <w:pStyle w:val="Body"/>
      </w:pPr>
      <w:r>
        <w:t>Maintenance care is care in which the primary clinical purpose or treatment goal is supporting a consumer with impairment, activity or participation restriction, due to a health condition. Following assessment or treatment, the consumer does not require further complex assessment or stabilisation.</w:t>
      </w:r>
    </w:p>
    <w:p w14:paraId="4B50E8FE" w14:textId="77777777" w:rsidR="00817104" w:rsidRDefault="00817104" w:rsidP="00817104">
      <w:pPr>
        <w:pStyle w:val="Body"/>
      </w:pPr>
      <w:r>
        <w:t>It is not intended that maintenance care substitutes for other forms of non-acute care. It should emphasise a restorative approach to care after treatment.</w:t>
      </w:r>
    </w:p>
    <w:p w14:paraId="7A0744EB" w14:textId="77777777" w:rsidR="00817104" w:rsidRPr="00FC154F" w:rsidRDefault="00817104" w:rsidP="00817104">
      <w:pPr>
        <w:pStyle w:val="Heading4"/>
      </w:pPr>
      <w:r>
        <w:t>Admitted GEM and rehabilitation – reporting requirements</w:t>
      </w:r>
    </w:p>
    <w:p w14:paraId="03EBD3C0" w14:textId="77777777" w:rsidR="00817104" w:rsidRDefault="00817104" w:rsidP="00817104">
      <w:pPr>
        <w:pStyle w:val="Body"/>
      </w:pPr>
      <w:r>
        <w:t>All health services providing inpatient rehabilitation and GEM services must report a functional independence measure score on admission and separation (excluding paediatric rehabilitation). This is a mandatory VAED reporting requirement. Relevant records submitted to the department without a functional independence measure score will be rejected.</w:t>
      </w:r>
    </w:p>
    <w:p w14:paraId="09272147" w14:textId="77777777" w:rsidR="00817104" w:rsidRPr="00EA040A" w:rsidRDefault="00817104" w:rsidP="00817104">
      <w:pPr>
        <w:pStyle w:val="Body"/>
      </w:pPr>
      <w:r>
        <w:t>A ‘Program identifier for specialist acquired brain injury rehabilitation service’ (code 09) is to be reported for patients in the two designated specialist acquired brain injury rehabilitation services located at Caulfield Hospital, Bayside Health and the Royal Talbot Rehabilitation Centre, Austin Health.</w:t>
      </w:r>
    </w:p>
    <w:p w14:paraId="3D3460EF" w14:textId="77777777" w:rsidR="00817104" w:rsidRPr="005A77EB" w:rsidRDefault="00817104" w:rsidP="00817104">
      <w:pPr>
        <w:pStyle w:val="Body"/>
      </w:pPr>
      <w:r>
        <w:t>A ‘Program identifier for specialist spinal rehabilitation service’ (code 10) is to be reported for patients in the two designated specialist spinal rehabilitation services located at Caulfield Hospital, Alfred Health and the Royal Talbot Rehabilitation Centre, Austin Health.</w:t>
      </w:r>
    </w:p>
    <w:p w14:paraId="1D7776E2" w14:textId="77777777" w:rsidR="00817104" w:rsidRPr="005A77EB" w:rsidRDefault="00817104" w:rsidP="00817104">
      <w:pPr>
        <w:pStyle w:val="Body"/>
      </w:pPr>
      <w:r>
        <w:t xml:space="preserve">For program details and service model information, visit </w:t>
      </w:r>
      <w:hyperlink r:id="rId251">
        <w:r w:rsidRPr="0670E279">
          <w:rPr>
            <w:rStyle w:val="Hyperlink"/>
          </w:rPr>
          <w:t>Rehabilitation and complex care</w:t>
        </w:r>
      </w:hyperlink>
      <w:r>
        <w:t xml:space="preserve"> &lt;https://www.health.vic.gov.au/patient-care/rehabilitation-and-complex-care&gt;. </w:t>
      </w:r>
    </w:p>
    <w:p w14:paraId="0B188F93" w14:textId="77777777" w:rsidR="00817104" w:rsidRPr="005A77EB" w:rsidRDefault="00817104" w:rsidP="00817104">
      <w:pPr>
        <w:pStyle w:val="Heading3"/>
        <w:numPr>
          <w:ilvl w:val="2"/>
          <w:numId w:val="0"/>
        </w:numPr>
        <w:tabs>
          <w:tab w:val="num" w:pos="794"/>
        </w:tabs>
        <w:ind w:left="1134" w:hanging="1134"/>
      </w:pPr>
      <w:r>
        <w:t>18.2.2</w:t>
      </w:r>
      <w:r>
        <w:tab/>
      </w:r>
      <w:r w:rsidRPr="00220AA4">
        <w:t>Transition</w:t>
      </w:r>
      <w:r>
        <w:t xml:space="preserve"> Care Program </w:t>
      </w:r>
    </w:p>
    <w:p w14:paraId="4848BB37" w14:textId="46469517" w:rsidR="00817104" w:rsidRPr="00652072" w:rsidRDefault="00817104" w:rsidP="4F1211EE">
      <w:pPr>
        <w:pStyle w:val="Body"/>
        <w:rPr>
          <w:rFonts w:eastAsia="Arial" w:cs="Arial"/>
        </w:rPr>
      </w:pPr>
      <w:r w:rsidRPr="4F1211EE">
        <w:t xml:space="preserve">The Transition Care Program (TCP) is a national specialist aged care program </w:t>
      </w:r>
      <w:r w:rsidRPr="4F1211EE">
        <w:rPr>
          <w:rFonts w:eastAsia="Arial" w:cs="Arial"/>
        </w:rPr>
        <w:t xml:space="preserve">jointly funded by the </w:t>
      </w:r>
      <w:r w:rsidR="21D90B81" w:rsidRPr="4F1211EE">
        <w:rPr>
          <w:rFonts w:eastAsia="Arial" w:cs="Arial"/>
          <w:szCs w:val="21"/>
        </w:rPr>
        <w:t>Australian Government</w:t>
      </w:r>
      <w:r w:rsidRPr="4F1211EE">
        <w:rPr>
          <w:rFonts w:eastAsia="Arial" w:cs="Arial"/>
          <w:szCs w:val="21"/>
        </w:rPr>
        <w:t xml:space="preserve"> and state and territory governments. The </w:t>
      </w:r>
      <w:r w:rsidR="7660B82A" w:rsidRPr="4F1211EE">
        <w:rPr>
          <w:rFonts w:eastAsia="Arial" w:cs="Arial"/>
          <w:szCs w:val="21"/>
        </w:rPr>
        <w:t>Australian Government</w:t>
      </w:r>
      <w:r w:rsidRPr="4F1211EE">
        <w:rPr>
          <w:rFonts w:eastAsia="Arial" w:cs="Arial"/>
        </w:rPr>
        <w:t xml:space="preserve"> allocates places through state and territory governments. Specific Victorian health services deliver TCP under arrangement with the department and are responsible for the day-to-day TCP operation as </w:t>
      </w:r>
      <w:r w:rsidR="7B297E24" w:rsidRPr="4F1211EE">
        <w:rPr>
          <w:rFonts w:eastAsia="Arial" w:cs="Arial"/>
          <w:szCs w:val="21"/>
        </w:rPr>
        <w:t>Australian Government</w:t>
      </w:r>
      <w:r w:rsidRPr="4F1211EE">
        <w:rPr>
          <w:rFonts w:eastAsia="Arial" w:cs="Arial"/>
        </w:rPr>
        <w:t xml:space="preserve"> aged care registered providers. The department provides strategic program planning and system-level monitoring.</w:t>
      </w:r>
    </w:p>
    <w:p w14:paraId="29430B64" w14:textId="77777777" w:rsidR="00817104" w:rsidRPr="00652072" w:rsidRDefault="00817104" w:rsidP="00817104">
      <w:pPr>
        <w:pStyle w:val="Body"/>
        <w:rPr>
          <w:rFonts w:eastAsia="Arial" w:cs="Arial"/>
          <w:szCs w:val="21"/>
          <w:lang w:val="en-US"/>
        </w:rPr>
      </w:pPr>
      <w:r w:rsidRPr="00652072">
        <w:rPr>
          <w:rFonts w:eastAsia="Arial" w:cs="Arial"/>
          <w:szCs w:val="21"/>
          <w:lang w:val="en-US"/>
        </w:rPr>
        <w:t>Health services are required to deliver TCP in accordance with:</w:t>
      </w:r>
    </w:p>
    <w:p w14:paraId="0C18D013" w14:textId="77777777" w:rsidR="00817104" w:rsidRPr="00173327" w:rsidRDefault="00817104" w:rsidP="00817104">
      <w:pPr>
        <w:pStyle w:val="Bullet1"/>
        <w:numPr>
          <w:ilvl w:val="0"/>
          <w:numId w:val="2"/>
        </w:numPr>
      </w:pPr>
      <w:r w:rsidRPr="00173327">
        <w:t xml:space="preserve">the </w:t>
      </w:r>
      <w:r w:rsidRPr="00144DAE">
        <w:rPr>
          <w:i/>
          <w:iCs/>
        </w:rPr>
        <w:t>Aged Care Act 2024</w:t>
      </w:r>
      <w:r w:rsidRPr="00173327">
        <w:t xml:space="preserve"> </w:t>
      </w:r>
    </w:p>
    <w:p w14:paraId="2EF32D17" w14:textId="77777777" w:rsidR="00817104" w:rsidRPr="00494220" w:rsidRDefault="00817104" w:rsidP="00817104">
      <w:pPr>
        <w:pStyle w:val="Bullet1"/>
        <w:numPr>
          <w:ilvl w:val="0"/>
          <w:numId w:val="2"/>
        </w:numPr>
        <w:rPr>
          <w:rFonts w:eastAsia="Arial" w:cs="Arial"/>
          <w:szCs w:val="21"/>
          <w:lang w:val="en-US"/>
        </w:rPr>
      </w:pPr>
      <w:r w:rsidRPr="00494220">
        <w:rPr>
          <w:rFonts w:eastAsia="Arial" w:cs="Arial"/>
          <w:szCs w:val="21"/>
          <w:lang w:val="en-US"/>
        </w:rPr>
        <w:t xml:space="preserve">the </w:t>
      </w:r>
      <w:r w:rsidRPr="002D6AE5">
        <w:rPr>
          <w:rFonts w:eastAsia="Arial" w:cs="Arial"/>
          <w:i/>
          <w:iCs/>
          <w:szCs w:val="21"/>
          <w:lang w:val="en-US"/>
        </w:rPr>
        <w:t>Aged Care Rules 2025</w:t>
      </w:r>
    </w:p>
    <w:p w14:paraId="42158A12" w14:textId="56E6DB8F" w:rsidR="00817104" w:rsidRPr="00652072" w:rsidRDefault="71BD1F64" w:rsidP="4F1211EE">
      <w:pPr>
        <w:pStyle w:val="Bullet1"/>
        <w:rPr>
          <w:rFonts w:eastAsia="Arial" w:cs="Arial"/>
          <w:lang w:val="en-US"/>
        </w:rPr>
      </w:pPr>
      <w:r w:rsidRPr="4F1211EE">
        <w:rPr>
          <w:rFonts w:eastAsia="Arial" w:cs="Arial"/>
          <w:szCs w:val="21"/>
        </w:rPr>
        <w:lastRenderedPageBreak/>
        <w:t>Australian Government</w:t>
      </w:r>
      <w:r w:rsidRPr="4F1211EE">
        <w:rPr>
          <w:lang w:val="en-US"/>
        </w:rPr>
        <w:t xml:space="preserve"> </w:t>
      </w:r>
      <w:r w:rsidR="00817104" w:rsidRPr="4F1211EE">
        <w:rPr>
          <w:rFonts w:eastAsia="Arial" w:cs="Arial"/>
          <w:lang w:val="en-US"/>
        </w:rPr>
        <w:t xml:space="preserve">and Victorian policies for the delivery of TCP, such as the </w:t>
      </w:r>
      <w:hyperlink r:id="rId252">
        <w:r w:rsidR="00817104" w:rsidRPr="4F1211EE">
          <w:rPr>
            <w:rStyle w:val="Hyperlink"/>
            <w:rFonts w:eastAsia="Arial" w:cs="Arial"/>
            <w:lang w:val="en-US"/>
          </w:rPr>
          <w:t>TCP guidelines</w:t>
        </w:r>
      </w:hyperlink>
      <w:r w:rsidR="00817104" w:rsidRPr="4F1211EE">
        <w:rPr>
          <w:rFonts w:eastAsia="Arial" w:cs="Arial"/>
          <w:lang w:val="en-US"/>
        </w:rPr>
        <w:t xml:space="preserve"> &lt;https://www.health.gov.au/resources/publications/transition-care-program-guidelines&gt; </w:t>
      </w:r>
    </w:p>
    <w:p w14:paraId="4F5EAFA7" w14:textId="031B626C" w:rsidR="00817104" w:rsidRPr="00652072" w:rsidRDefault="00817104" w:rsidP="4F1211EE">
      <w:pPr>
        <w:pStyle w:val="Bullet1"/>
        <w:rPr>
          <w:rFonts w:eastAsia="Arial" w:cs="Arial"/>
          <w:lang w:val="en-US"/>
        </w:rPr>
      </w:pPr>
      <w:r w:rsidRPr="4F1211EE">
        <w:rPr>
          <w:rFonts w:eastAsia="Arial" w:cs="Arial"/>
          <w:lang w:val="en-US"/>
        </w:rPr>
        <w:t xml:space="preserve">all applicable </w:t>
      </w:r>
      <w:r w:rsidR="201D5861" w:rsidRPr="4F1211EE">
        <w:rPr>
          <w:rFonts w:eastAsia="Arial" w:cs="Arial"/>
          <w:szCs w:val="21"/>
        </w:rPr>
        <w:t>Australian Government</w:t>
      </w:r>
      <w:r w:rsidRPr="4F1211EE">
        <w:rPr>
          <w:rFonts w:eastAsia="Arial" w:cs="Arial"/>
          <w:lang w:val="en-US"/>
        </w:rPr>
        <w:t xml:space="preserve"> and Victorian laws, including, but not limited to, the Privacy Laws and those pertaining to cybersecurity, freedom of information and modern slavery. </w:t>
      </w:r>
    </w:p>
    <w:p w14:paraId="7E856EB5" w14:textId="77777777" w:rsidR="00817104" w:rsidRPr="001813F3" w:rsidRDefault="00817104" w:rsidP="00817104">
      <w:pPr>
        <w:pStyle w:val="Bodyafterbullets"/>
        <w:rPr>
          <w:lang w:val="en-US"/>
        </w:rPr>
      </w:pPr>
      <w:r w:rsidRPr="001813F3">
        <w:rPr>
          <w:lang w:val="en-US"/>
        </w:rPr>
        <w:t>Care and services delivered during TCP meets both the:</w:t>
      </w:r>
    </w:p>
    <w:p w14:paraId="5FF51C2C" w14:textId="77777777" w:rsidR="00817104" w:rsidRPr="001813F3" w:rsidRDefault="00817104" w:rsidP="00817104">
      <w:pPr>
        <w:pStyle w:val="Bullet1"/>
        <w:numPr>
          <w:ilvl w:val="0"/>
          <w:numId w:val="2"/>
        </w:numPr>
        <w:rPr>
          <w:lang w:val="en-US"/>
        </w:rPr>
      </w:pPr>
      <w:hyperlink r:id="rId253" w:history="1">
        <w:r w:rsidRPr="00375417">
          <w:rPr>
            <w:rStyle w:val="Hyperlink"/>
            <w:lang w:val="en-US"/>
          </w:rPr>
          <w:t>Strengthened Aged Care Standards</w:t>
        </w:r>
      </w:hyperlink>
      <w:r w:rsidRPr="001813F3">
        <w:rPr>
          <w:lang w:val="en-US"/>
        </w:rPr>
        <w:t xml:space="preserve"> &lt;https://www.agedcarequality.gov.au/strengthened-quality-standards&gt; </w:t>
      </w:r>
    </w:p>
    <w:p w14:paraId="5946BF17" w14:textId="77777777" w:rsidR="00817104" w:rsidRPr="001813F3" w:rsidRDefault="00817104" w:rsidP="00817104">
      <w:pPr>
        <w:pStyle w:val="Bullet1"/>
        <w:numPr>
          <w:ilvl w:val="0"/>
          <w:numId w:val="2"/>
        </w:numPr>
        <w:rPr>
          <w:lang w:val="en-US"/>
        </w:rPr>
      </w:pPr>
      <w:hyperlink r:id="rId254" w:history="1">
        <w:r w:rsidRPr="00375417">
          <w:rPr>
            <w:rStyle w:val="Hyperlink"/>
            <w:lang w:val="en-US"/>
          </w:rPr>
          <w:t>NSQHS Standards</w:t>
        </w:r>
      </w:hyperlink>
      <w:r w:rsidRPr="001813F3">
        <w:rPr>
          <w:lang w:val="en-US"/>
        </w:rPr>
        <w:t xml:space="preserve"> &lt;https://www.safetyandquality.gov.au/standards/nsqhs-standards&gt;. </w:t>
      </w:r>
    </w:p>
    <w:p w14:paraId="0A1DBFE8" w14:textId="5F8AEB89" w:rsidR="00817104" w:rsidRDefault="00817104" w:rsidP="00817104">
      <w:pPr>
        <w:pStyle w:val="Bodyafterbullets"/>
        <w:rPr>
          <w:lang w:val="en-US"/>
        </w:rPr>
      </w:pPr>
      <w:r w:rsidRPr="4F1211EE">
        <w:rPr>
          <w:lang w:val="en-US"/>
        </w:rPr>
        <w:t xml:space="preserve">Health services must be registered providers of </w:t>
      </w:r>
      <w:r w:rsidR="33C930C7" w:rsidRPr="4F1211EE">
        <w:rPr>
          <w:rFonts w:eastAsia="Arial" w:cs="Arial"/>
          <w:szCs w:val="21"/>
        </w:rPr>
        <w:t>Australian Government</w:t>
      </w:r>
      <w:r w:rsidRPr="4F1211EE">
        <w:rPr>
          <w:lang w:val="en-US"/>
        </w:rPr>
        <w:t xml:space="preserve"> aged care services and conform with registration requirements in the appropriate category of the </w:t>
      </w:r>
      <w:hyperlink r:id="rId255">
        <w:r w:rsidRPr="4F1211EE">
          <w:rPr>
            <w:rStyle w:val="Hyperlink"/>
            <w:lang w:val="en-US"/>
          </w:rPr>
          <w:t>NSQHS</w:t>
        </w:r>
      </w:hyperlink>
      <w:r w:rsidRPr="4F1211EE">
        <w:rPr>
          <w:lang w:val="en-US"/>
        </w:rPr>
        <w:t xml:space="preserve"> &lt;https://www.agedcarequality.gov.au&gt;. </w:t>
      </w:r>
    </w:p>
    <w:p w14:paraId="3257E5FF" w14:textId="77777777" w:rsidR="00817104" w:rsidRPr="009856AA" w:rsidRDefault="00817104" w:rsidP="00817104">
      <w:pPr>
        <w:pStyle w:val="Bodyafterbullets"/>
        <w:rPr>
          <w:lang w:val="en-US"/>
        </w:rPr>
      </w:pPr>
      <w:r w:rsidRPr="009856AA">
        <w:rPr>
          <w:lang w:val="en-US"/>
        </w:rPr>
        <w:t xml:space="preserve">Health services responsibilities include, but are not limited to: </w:t>
      </w:r>
    </w:p>
    <w:p w14:paraId="711F42BF" w14:textId="77777777" w:rsidR="00817104" w:rsidRPr="009856AA" w:rsidRDefault="00817104" w:rsidP="00817104">
      <w:pPr>
        <w:pStyle w:val="Bullet1"/>
        <w:numPr>
          <w:ilvl w:val="0"/>
          <w:numId w:val="2"/>
        </w:numPr>
        <w:rPr>
          <w:lang w:val="en-US"/>
        </w:rPr>
      </w:pPr>
      <w:r w:rsidRPr="009856AA">
        <w:rPr>
          <w:lang w:val="en-US"/>
        </w:rPr>
        <w:t xml:space="preserve">maintaining registration status </w:t>
      </w:r>
    </w:p>
    <w:p w14:paraId="575094CB" w14:textId="77777777" w:rsidR="00817104" w:rsidRPr="009856AA" w:rsidRDefault="00817104" w:rsidP="00817104">
      <w:pPr>
        <w:pStyle w:val="Bullet1"/>
        <w:numPr>
          <w:ilvl w:val="0"/>
          <w:numId w:val="2"/>
        </w:numPr>
        <w:rPr>
          <w:lang w:val="en-US"/>
        </w:rPr>
      </w:pPr>
      <w:r w:rsidRPr="009856AA">
        <w:rPr>
          <w:lang w:val="en-US"/>
        </w:rPr>
        <w:t>meeting applicable aged care and aged care worker requirements pertaining to specialist aged care programs</w:t>
      </w:r>
    </w:p>
    <w:p w14:paraId="49690FE1" w14:textId="77777777" w:rsidR="00817104" w:rsidRPr="009856AA" w:rsidRDefault="00817104" w:rsidP="00817104">
      <w:pPr>
        <w:pStyle w:val="Bullet1"/>
        <w:numPr>
          <w:ilvl w:val="0"/>
          <w:numId w:val="2"/>
        </w:numPr>
        <w:rPr>
          <w:lang w:val="en-US"/>
        </w:rPr>
      </w:pPr>
      <w:r w:rsidRPr="009856AA">
        <w:rPr>
          <w:lang w:val="en-US"/>
        </w:rPr>
        <w:t xml:space="preserve">ensuring they, and associated providers, maintain appropriate insurances to cover their liabilities in the delivery of TCP and any insurances required by law </w:t>
      </w:r>
    </w:p>
    <w:p w14:paraId="5E93064D" w14:textId="77777777" w:rsidR="00817104" w:rsidRPr="009856AA" w:rsidRDefault="00817104" w:rsidP="00817104">
      <w:pPr>
        <w:pStyle w:val="Bullet1"/>
        <w:numPr>
          <w:ilvl w:val="0"/>
          <w:numId w:val="2"/>
        </w:numPr>
        <w:rPr>
          <w:lang w:val="en-US"/>
        </w:rPr>
      </w:pPr>
      <w:r w:rsidRPr="009856AA">
        <w:rPr>
          <w:lang w:val="en-US"/>
        </w:rPr>
        <w:t>implementing sufficient governance arrangements to monitor care and staffing practices of associated providers, noting that registered provider health services remain accountable and responsible for the delivery of TCP.</w:t>
      </w:r>
    </w:p>
    <w:p w14:paraId="49659076" w14:textId="77777777" w:rsidR="00817104" w:rsidRPr="009856AA" w:rsidRDefault="00817104" w:rsidP="00817104">
      <w:pPr>
        <w:pStyle w:val="Bodyafterbullets"/>
        <w:rPr>
          <w:lang w:val="en-US"/>
        </w:rPr>
      </w:pPr>
      <w:r w:rsidRPr="009856AA">
        <w:rPr>
          <w:lang w:val="en-US"/>
        </w:rPr>
        <w:t>Health services are expected to apply continuous improvement and participate in project activities that improve the care, safety and experience of individuals in the program.</w:t>
      </w:r>
      <w:r>
        <w:rPr>
          <w:lang w:val="en-US"/>
        </w:rPr>
        <w:t xml:space="preserve"> </w:t>
      </w:r>
    </w:p>
    <w:p w14:paraId="5863EC90" w14:textId="684E79DF" w:rsidR="00817104" w:rsidRPr="00C02268" w:rsidRDefault="00817104" w:rsidP="4F1211EE">
      <w:pPr>
        <w:pStyle w:val="Body"/>
        <w:rPr>
          <w:rFonts w:eastAsia="Arial" w:cs="Arial"/>
          <w:lang w:val="en-US"/>
        </w:rPr>
      </w:pPr>
      <w:r w:rsidRPr="4F1211EE">
        <w:rPr>
          <w:rFonts w:eastAsia="Arial" w:cs="Arial"/>
          <w:lang w:val="en-US"/>
        </w:rPr>
        <w:t xml:space="preserve">Health services must have prior written consent for any publications or promotions that identify individuals receiving or previously receiving TCP. Health services cannot use the </w:t>
      </w:r>
      <w:r w:rsidR="6B24C245" w:rsidRPr="4F1211EE">
        <w:rPr>
          <w:rFonts w:eastAsia="Arial" w:cs="Arial"/>
          <w:szCs w:val="21"/>
        </w:rPr>
        <w:t>Australian Government</w:t>
      </w:r>
      <w:r w:rsidRPr="4F1211EE">
        <w:rPr>
          <w:rFonts w:eastAsia="Arial" w:cs="Arial"/>
          <w:lang w:val="en-US"/>
        </w:rPr>
        <w:t xml:space="preserve"> or Victorian Government logo without prior written consent.</w:t>
      </w:r>
    </w:p>
    <w:p w14:paraId="0C772728" w14:textId="77777777" w:rsidR="00817104" w:rsidRPr="00173327" w:rsidRDefault="00817104" w:rsidP="00590EBB">
      <w:pPr>
        <w:pStyle w:val="Heading4"/>
        <w:rPr>
          <w:lang w:val="en-US"/>
        </w:rPr>
      </w:pPr>
      <w:r w:rsidRPr="00173327">
        <w:rPr>
          <w:lang w:val="en-US"/>
        </w:rPr>
        <w:t>Notifications and reporting</w:t>
      </w:r>
    </w:p>
    <w:p w14:paraId="5225F103" w14:textId="77777777" w:rsidR="00817104" w:rsidRPr="00494220" w:rsidRDefault="00817104" w:rsidP="00817104">
      <w:pPr>
        <w:pStyle w:val="Body"/>
        <w:rPr>
          <w:rFonts w:eastAsia="Arial" w:cs="Arial"/>
          <w:szCs w:val="21"/>
          <w:lang w:val="en-US"/>
        </w:rPr>
      </w:pPr>
      <w:r w:rsidRPr="00494220">
        <w:rPr>
          <w:rFonts w:eastAsia="Arial" w:cs="Arial"/>
          <w:szCs w:val="21"/>
          <w:lang w:val="en-US"/>
        </w:rPr>
        <w:t xml:space="preserve">Health services are responsible for effectively communicating </w:t>
      </w:r>
      <w:r w:rsidRPr="009856AA">
        <w:rPr>
          <w:rFonts w:eastAsia="Arial" w:cs="Arial"/>
          <w:szCs w:val="21"/>
          <w:lang w:val="en-US"/>
        </w:rPr>
        <w:t xml:space="preserve">to the department </w:t>
      </w:r>
      <w:r w:rsidRPr="00494220">
        <w:rPr>
          <w:rFonts w:eastAsia="Arial" w:cs="Arial"/>
          <w:szCs w:val="21"/>
          <w:lang w:val="en-US"/>
        </w:rPr>
        <w:t xml:space="preserve">changes and material impacts on delivery of TCP. </w:t>
      </w:r>
    </w:p>
    <w:p w14:paraId="149BE4DF" w14:textId="77777777" w:rsidR="00817104" w:rsidRPr="00652072" w:rsidRDefault="00817104" w:rsidP="00817104">
      <w:pPr>
        <w:pStyle w:val="Body"/>
        <w:rPr>
          <w:rFonts w:eastAsia="Arial" w:cs="Arial"/>
          <w:szCs w:val="21"/>
          <w:lang w:val="en-US"/>
        </w:rPr>
      </w:pPr>
      <w:r w:rsidRPr="00652072">
        <w:rPr>
          <w:rFonts w:eastAsia="Arial" w:cs="Arial"/>
          <w:szCs w:val="21"/>
          <w:lang w:val="en-US"/>
        </w:rPr>
        <w:t>Minimum 12 weeks prior to changes:</w:t>
      </w:r>
    </w:p>
    <w:p w14:paraId="3BA7FE40" w14:textId="77777777" w:rsidR="00817104" w:rsidRPr="00652072" w:rsidRDefault="00817104" w:rsidP="00817104">
      <w:pPr>
        <w:pStyle w:val="Bullet1"/>
        <w:numPr>
          <w:ilvl w:val="0"/>
          <w:numId w:val="2"/>
        </w:numPr>
        <w:rPr>
          <w:lang w:val="en-US"/>
        </w:rPr>
      </w:pPr>
      <w:r w:rsidRPr="00652072">
        <w:rPr>
          <w:lang w:val="en-US"/>
        </w:rPr>
        <w:t>an application for additional places or changes to the number of allocated places</w:t>
      </w:r>
      <w:r>
        <w:rPr>
          <w:lang w:val="en-US"/>
        </w:rPr>
        <w:t>,</w:t>
      </w:r>
      <w:r w:rsidRPr="00652072">
        <w:rPr>
          <w:lang w:val="en-US"/>
        </w:rPr>
        <w:t xml:space="preserve"> including conversion of residential to/from community places </w:t>
      </w:r>
    </w:p>
    <w:p w14:paraId="36D1C2C7" w14:textId="77777777" w:rsidR="00817104" w:rsidRPr="001813F3" w:rsidRDefault="00817104" w:rsidP="00817104">
      <w:pPr>
        <w:pStyle w:val="Bullet1"/>
        <w:numPr>
          <w:ilvl w:val="0"/>
          <w:numId w:val="2"/>
        </w:numPr>
        <w:rPr>
          <w:lang w:val="en-US"/>
        </w:rPr>
      </w:pPr>
      <w:r w:rsidRPr="001813F3">
        <w:rPr>
          <w:lang w:val="en-US"/>
        </w:rPr>
        <w:t xml:space="preserve">changes to residential location </w:t>
      </w:r>
    </w:p>
    <w:p w14:paraId="282A2ADB" w14:textId="77777777" w:rsidR="00817104" w:rsidRPr="001813F3" w:rsidRDefault="00817104" w:rsidP="00817104">
      <w:pPr>
        <w:pStyle w:val="Bullet1"/>
        <w:numPr>
          <w:ilvl w:val="0"/>
          <w:numId w:val="2"/>
        </w:numPr>
        <w:rPr>
          <w:lang w:val="en-US"/>
        </w:rPr>
      </w:pPr>
      <w:r w:rsidRPr="001813F3">
        <w:rPr>
          <w:lang w:val="en-US"/>
        </w:rPr>
        <w:t xml:space="preserve">any planned variation to registration that impacts TCP </w:t>
      </w:r>
    </w:p>
    <w:p w14:paraId="74BACFDF" w14:textId="77777777" w:rsidR="00817104" w:rsidRPr="001813F3" w:rsidRDefault="00817104" w:rsidP="00817104">
      <w:pPr>
        <w:pStyle w:val="Bullet1"/>
        <w:numPr>
          <w:ilvl w:val="0"/>
          <w:numId w:val="2"/>
        </w:numPr>
        <w:rPr>
          <w:lang w:val="en-US"/>
        </w:rPr>
      </w:pPr>
      <w:r w:rsidRPr="001813F3">
        <w:rPr>
          <w:lang w:val="en-US"/>
        </w:rPr>
        <w:t>where a health service cannot, or does not intend to, continue to use the allocated places to deliver TCP temporarily or ongoing.</w:t>
      </w:r>
    </w:p>
    <w:p w14:paraId="3DC5A6AE" w14:textId="77777777" w:rsidR="00817104" w:rsidRPr="009856AA" w:rsidRDefault="00817104" w:rsidP="00817104">
      <w:pPr>
        <w:pStyle w:val="Bodyafterbullets"/>
        <w:rPr>
          <w:lang w:val="en-US"/>
        </w:rPr>
      </w:pPr>
      <w:r w:rsidRPr="009856AA">
        <w:rPr>
          <w:lang w:val="en-US"/>
        </w:rPr>
        <w:t xml:space="preserve">Within </w:t>
      </w:r>
      <w:r>
        <w:rPr>
          <w:lang w:val="en-US"/>
        </w:rPr>
        <w:t>two</w:t>
      </w:r>
      <w:r w:rsidRPr="009856AA">
        <w:rPr>
          <w:lang w:val="en-US"/>
        </w:rPr>
        <w:t xml:space="preserve"> days:</w:t>
      </w:r>
    </w:p>
    <w:p w14:paraId="62984709" w14:textId="6689936A" w:rsidR="00817104" w:rsidRPr="009856AA" w:rsidRDefault="00817104" w:rsidP="4F1211EE">
      <w:pPr>
        <w:pStyle w:val="Bullet1"/>
        <w:rPr>
          <w:lang w:val="en-US"/>
        </w:rPr>
      </w:pPr>
      <w:r w:rsidRPr="4F1211EE">
        <w:rPr>
          <w:lang w:val="en-US"/>
        </w:rPr>
        <w:t xml:space="preserve">any general correspondence received from the </w:t>
      </w:r>
      <w:r w:rsidR="5D727CFD" w:rsidRPr="4F1211EE">
        <w:rPr>
          <w:rFonts w:eastAsia="Arial" w:cs="Arial"/>
          <w:szCs w:val="21"/>
        </w:rPr>
        <w:t>Australian Government</w:t>
      </w:r>
      <w:r w:rsidRPr="4F1211EE">
        <w:rPr>
          <w:lang w:val="en-US"/>
        </w:rPr>
        <w:t xml:space="preserve"> or the Aged Care Quality and Safety Commission (the Commission), impacting provision of TCP.</w:t>
      </w:r>
    </w:p>
    <w:p w14:paraId="06EA1EB5" w14:textId="019EA829" w:rsidR="00817104" w:rsidRPr="00494220" w:rsidRDefault="00817104" w:rsidP="4F1211EE">
      <w:pPr>
        <w:pStyle w:val="Bullet1"/>
        <w:rPr>
          <w:lang w:val="en-US"/>
        </w:rPr>
      </w:pPr>
      <w:r w:rsidRPr="4F1211EE">
        <w:rPr>
          <w:lang w:val="en-US"/>
        </w:rPr>
        <w:t xml:space="preserve">information reasonably required by the department to satisfy its obligations to the </w:t>
      </w:r>
      <w:r w:rsidR="6EE1DE83" w:rsidRPr="4F1211EE">
        <w:rPr>
          <w:rFonts w:eastAsia="Arial" w:cs="Arial"/>
          <w:szCs w:val="21"/>
        </w:rPr>
        <w:t>Australian Government</w:t>
      </w:r>
      <w:r w:rsidRPr="4F1211EE">
        <w:rPr>
          <w:lang w:val="en-US"/>
        </w:rPr>
        <w:t xml:space="preserve"> about the provision of TCP, including provider insurance documentation.</w:t>
      </w:r>
    </w:p>
    <w:p w14:paraId="5EA8B196" w14:textId="77777777" w:rsidR="00817104" w:rsidRPr="00652072" w:rsidRDefault="00817104" w:rsidP="00817104">
      <w:pPr>
        <w:pStyle w:val="Bodyafterbullets"/>
        <w:rPr>
          <w:lang w:val="en-US"/>
        </w:rPr>
      </w:pPr>
      <w:r w:rsidRPr="00652072">
        <w:rPr>
          <w:lang w:val="en-US"/>
        </w:rPr>
        <w:t xml:space="preserve">Within </w:t>
      </w:r>
      <w:r>
        <w:rPr>
          <w:lang w:val="en-US"/>
        </w:rPr>
        <w:t>five</w:t>
      </w:r>
      <w:r w:rsidRPr="00652072">
        <w:rPr>
          <w:lang w:val="en-US"/>
        </w:rPr>
        <w:t xml:space="preserve"> days, suspicion or awareness of any circumstance impacting TCP related to:</w:t>
      </w:r>
    </w:p>
    <w:p w14:paraId="08B1AB4D" w14:textId="77777777" w:rsidR="00817104" w:rsidRPr="00652072" w:rsidRDefault="00817104" w:rsidP="00817104">
      <w:pPr>
        <w:pStyle w:val="Bullet1"/>
        <w:numPr>
          <w:ilvl w:val="0"/>
          <w:numId w:val="2"/>
        </w:numPr>
        <w:rPr>
          <w:lang w:val="en-US"/>
        </w:rPr>
      </w:pPr>
      <w:r w:rsidRPr="00652072">
        <w:rPr>
          <w:lang w:val="en-US"/>
        </w:rPr>
        <w:lastRenderedPageBreak/>
        <w:t>suspended registration as a registered provider or to allocated places (including temporarily)</w:t>
      </w:r>
      <w:r>
        <w:rPr>
          <w:lang w:val="en-US"/>
        </w:rPr>
        <w:t>,</w:t>
      </w:r>
      <w:r w:rsidRPr="00652072">
        <w:rPr>
          <w:lang w:val="en-US"/>
        </w:rPr>
        <w:t xml:space="preserve"> or awareness that any circumstances exist </w:t>
      </w:r>
      <w:r>
        <w:rPr>
          <w:lang w:val="en-US"/>
        </w:rPr>
        <w:t>that</w:t>
      </w:r>
      <w:r w:rsidRPr="00652072">
        <w:rPr>
          <w:lang w:val="en-US"/>
        </w:rPr>
        <w:t xml:space="preserve"> may lead to the suspension of registration under section 129 of the </w:t>
      </w:r>
      <w:r>
        <w:rPr>
          <w:lang w:val="en-US"/>
        </w:rPr>
        <w:t xml:space="preserve">Aged Care </w:t>
      </w:r>
      <w:r w:rsidRPr="00652072">
        <w:rPr>
          <w:lang w:val="en-US"/>
        </w:rPr>
        <w:t>Act</w:t>
      </w:r>
    </w:p>
    <w:p w14:paraId="23055A5A" w14:textId="4786B8FF" w:rsidR="00817104" w:rsidRPr="001813F3" w:rsidRDefault="00817104" w:rsidP="4F1211EE">
      <w:pPr>
        <w:pStyle w:val="Bullet1"/>
        <w:rPr>
          <w:lang w:val="en-US"/>
        </w:rPr>
      </w:pPr>
      <w:r w:rsidRPr="4F1211EE">
        <w:rPr>
          <w:lang w:val="en-US"/>
        </w:rPr>
        <w:t xml:space="preserve">non-compliance or suspected non-compliance with the Act or the Aged Care Rules, identified either by the health service or through regulatory processes of the </w:t>
      </w:r>
      <w:r w:rsidR="48F9B74A" w:rsidRPr="4F1211EE">
        <w:rPr>
          <w:rFonts w:eastAsia="Arial" w:cs="Arial"/>
          <w:szCs w:val="21"/>
        </w:rPr>
        <w:t>Australian Government</w:t>
      </w:r>
    </w:p>
    <w:p w14:paraId="1F67FD13" w14:textId="77777777" w:rsidR="00817104" w:rsidRPr="001813F3" w:rsidRDefault="00817104" w:rsidP="00817104">
      <w:pPr>
        <w:pStyle w:val="Bullet1"/>
        <w:numPr>
          <w:ilvl w:val="0"/>
          <w:numId w:val="2"/>
        </w:numPr>
        <w:rPr>
          <w:lang w:val="en-US"/>
        </w:rPr>
      </w:pPr>
      <w:r w:rsidRPr="001813F3">
        <w:rPr>
          <w:lang w:val="en-US"/>
        </w:rPr>
        <w:t>imposed variation to registration (including, but not limited to</w:t>
      </w:r>
      <w:r>
        <w:rPr>
          <w:lang w:val="en-US"/>
        </w:rPr>
        <w:t>,</w:t>
      </w:r>
      <w:r w:rsidRPr="001813F3">
        <w:rPr>
          <w:lang w:val="en-US"/>
        </w:rPr>
        <w:t xml:space="preserve"> additional conditions, removal of a registration category or amendment to the registration period) </w:t>
      </w:r>
    </w:p>
    <w:p w14:paraId="7364753A" w14:textId="77777777" w:rsidR="00817104" w:rsidRPr="001813F3" w:rsidRDefault="00817104" w:rsidP="00817104">
      <w:pPr>
        <w:pStyle w:val="Bullet1"/>
        <w:numPr>
          <w:ilvl w:val="0"/>
          <w:numId w:val="2"/>
        </w:numPr>
        <w:rPr>
          <w:lang w:val="en-US"/>
        </w:rPr>
      </w:pPr>
      <w:r w:rsidRPr="001813F3">
        <w:rPr>
          <w:lang w:val="en-US"/>
        </w:rPr>
        <w:t xml:space="preserve">planned or occurred enforcement activity by the Commission </w:t>
      </w:r>
    </w:p>
    <w:p w14:paraId="6FF21C2B" w14:textId="77777777" w:rsidR="00817104" w:rsidRPr="009856AA" w:rsidRDefault="00817104" w:rsidP="00817104">
      <w:pPr>
        <w:pStyle w:val="Bullet1"/>
        <w:numPr>
          <w:ilvl w:val="0"/>
          <w:numId w:val="2"/>
        </w:numPr>
        <w:rPr>
          <w:lang w:val="en-US"/>
        </w:rPr>
      </w:pPr>
      <w:r w:rsidRPr="009856AA">
        <w:rPr>
          <w:lang w:val="en-US"/>
        </w:rPr>
        <w:t>associated provider non-compliance with the Act or the Rules</w:t>
      </w:r>
    </w:p>
    <w:p w14:paraId="362F7F41" w14:textId="77777777" w:rsidR="00817104" w:rsidRPr="009856AA" w:rsidRDefault="00817104" w:rsidP="00817104">
      <w:pPr>
        <w:pStyle w:val="Bullet1"/>
        <w:numPr>
          <w:ilvl w:val="0"/>
          <w:numId w:val="2"/>
        </w:numPr>
        <w:rPr>
          <w:lang w:val="en-US"/>
        </w:rPr>
      </w:pPr>
      <w:r w:rsidRPr="009856AA">
        <w:rPr>
          <w:lang w:val="en-US"/>
        </w:rPr>
        <w:t>any variations, suspensions and revocation of registration action taken under Division 1 Part 3 of the Act (including by the Aged Care Commissioner’s own initiative).</w:t>
      </w:r>
    </w:p>
    <w:p w14:paraId="5731AE2A" w14:textId="77777777" w:rsidR="00817104" w:rsidRPr="009856AA" w:rsidRDefault="00817104" w:rsidP="00817104">
      <w:pPr>
        <w:pStyle w:val="Body"/>
        <w:rPr>
          <w:lang w:val="en-US"/>
        </w:rPr>
      </w:pPr>
      <w:r w:rsidRPr="009856AA">
        <w:rPr>
          <w:lang w:val="en-US"/>
        </w:rPr>
        <w:t xml:space="preserve">Within an agreed timeframe, TCP related: </w:t>
      </w:r>
    </w:p>
    <w:p w14:paraId="27F35B06" w14:textId="200E4FEF" w:rsidR="00817104" w:rsidRPr="009856AA" w:rsidRDefault="009544DC" w:rsidP="00817104">
      <w:pPr>
        <w:pStyle w:val="Bullet1"/>
        <w:numPr>
          <w:ilvl w:val="0"/>
          <w:numId w:val="2"/>
        </w:numPr>
        <w:rPr>
          <w:lang w:val="en-US"/>
        </w:rPr>
      </w:pPr>
      <w:hyperlink r:id="rId256" w:history="1">
        <w:r>
          <w:rPr>
            <w:rStyle w:val="Hyperlink"/>
            <w:lang w:val="en-US"/>
          </w:rPr>
          <w:t>AIMS key performance indicators</w:t>
        </w:r>
      </w:hyperlink>
      <w:r w:rsidR="00817104" w:rsidRPr="009856AA">
        <w:rPr>
          <w:lang w:val="en-US"/>
        </w:rPr>
        <w:t xml:space="preserve"> &lt;https://www.health.vic.gov.au/data-reporting/agency-information-management-system-aims&gt;</w:t>
      </w:r>
    </w:p>
    <w:p w14:paraId="3DF7BFE2" w14:textId="77777777" w:rsidR="00817104" w:rsidRPr="00494220" w:rsidRDefault="00817104" w:rsidP="00817104">
      <w:pPr>
        <w:pStyle w:val="Bullet1"/>
        <w:numPr>
          <w:ilvl w:val="0"/>
          <w:numId w:val="2"/>
        </w:numPr>
        <w:rPr>
          <w:lang w:val="en-US"/>
        </w:rPr>
      </w:pPr>
      <w:hyperlink r:id="rId257" w:history="1">
        <w:r w:rsidRPr="008A3D69">
          <w:rPr>
            <w:rStyle w:val="Hyperlink"/>
            <w:lang w:val="en-US"/>
          </w:rPr>
          <w:t>VINAH MDS reporting</w:t>
        </w:r>
      </w:hyperlink>
      <w:r w:rsidRPr="00494220">
        <w:rPr>
          <w:lang w:val="en-US"/>
        </w:rPr>
        <w:t xml:space="preserve"> &lt;https://www.health.vic.gov.au/data-reporting/victorian-integrated-non-admitted-health-vinah-dataset&gt;</w:t>
      </w:r>
    </w:p>
    <w:p w14:paraId="64891E9C" w14:textId="0390C7A2" w:rsidR="00817104" w:rsidRPr="00652072" w:rsidRDefault="2C500840" w:rsidP="4F1211EE">
      <w:pPr>
        <w:pStyle w:val="Bullet1"/>
        <w:rPr>
          <w:lang w:val="en-US"/>
        </w:rPr>
      </w:pPr>
      <w:r w:rsidRPr="4F1211EE">
        <w:rPr>
          <w:rFonts w:eastAsia="Arial" w:cs="Arial"/>
          <w:szCs w:val="21"/>
        </w:rPr>
        <w:t>Australian Government</w:t>
      </w:r>
      <w:r w:rsidR="00817104" w:rsidRPr="4F1211EE">
        <w:rPr>
          <w:lang w:val="en-US"/>
        </w:rPr>
        <w:t xml:space="preserve"> data via Provider Digital Access (PRODA)</w:t>
      </w:r>
    </w:p>
    <w:p w14:paraId="7B683AE2" w14:textId="77777777" w:rsidR="00817104" w:rsidRPr="00652072" w:rsidRDefault="00817104" w:rsidP="00817104">
      <w:pPr>
        <w:pStyle w:val="Bullet1"/>
        <w:numPr>
          <w:ilvl w:val="0"/>
          <w:numId w:val="2"/>
        </w:numPr>
        <w:rPr>
          <w:lang w:val="en-US"/>
        </w:rPr>
      </w:pPr>
      <w:r w:rsidRPr="00652072">
        <w:rPr>
          <w:lang w:val="en-US"/>
        </w:rPr>
        <w:t xml:space="preserve">all priority 1 Serious Incident Reporting Scheme (SIRS) incidents </w:t>
      </w:r>
    </w:p>
    <w:p w14:paraId="68A7E5BD" w14:textId="77777777" w:rsidR="00817104" w:rsidRPr="001813F3" w:rsidRDefault="00817104" w:rsidP="00817104">
      <w:pPr>
        <w:pStyle w:val="Bullet1"/>
        <w:numPr>
          <w:ilvl w:val="0"/>
          <w:numId w:val="2"/>
        </w:numPr>
        <w:rPr>
          <w:lang w:val="en-US"/>
        </w:rPr>
      </w:pPr>
      <w:r w:rsidRPr="001813F3">
        <w:rPr>
          <w:lang w:val="en-US"/>
        </w:rPr>
        <w:t>priority 2 SIRS incidents reasonably assessed as forming a repeated pattern for an individual, staff member, associated provider or category type</w:t>
      </w:r>
    </w:p>
    <w:p w14:paraId="0C256465" w14:textId="77777777" w:rsidR="00817104" w:rsidRPr="001813F3" w:rsidRDefault="00817104" w:rsidP="00817104">
      <w:pPr>
        <w:pStyle w:val="Bullet1"/>
        <w:numPr>
          <w:ilvl w:val="0"/>
          <w:numId w:val="2"/>
        </w:numPr>
        <w:rPr>
          <w:lang w:val="en-US"/>
        </w:rPr>
      </w:pPr>
      <w:r w:rsidRPr="001813F3">
        <w:rPr>
          <w:lang w:val="en-US"/>
        </w:rPr>
        <w:t xml:space="preserve">all Serious Adverse Patient Safety Events (SAPSE) </w:t>
      </w:r>
    </w:p>
    <w:p w14:paraId="11893D47" w14:textId="77777777" w:rsidR="00817104" w:rsidRPr="001813F3" w:rsidRDefault="00817104" w:rsidP="00817104">
      <w:pPr>
        <w:pStyle w:val="Bullet1"/>
        <w:numPr>
          <w:ilvl w:val="0"/>
          <w:numId w:val="2"/>
        </w:numPr>
        <w:rPr>
          <w:lang w:val="en-US"/>
        </w:rPr>
      </w:pPr>
      <w:r w:rsidRPr="001813F3">
        <w:rPr>
          <w:lang w:val="en-US"/>
        </w:rPr>
        <w:t xml:space="preserve">all information necessary to enable the department to discharge its obligations under the </w:t>
      </w:r>
      <w:r w:rsidRPr="000E25EA">
        <w:rPr>
          <w:i/>
          <w:iCs/>
          <w:lang w:val="en-US"/>
        </w:rPr>
        <w:t>Freedom of Information Act 1982</w:t>
      </w:r>
      <w:r w:rsidRPr="001813F3">
        <w:rPr>
          <w:lang w:val="en-US"/>
        </w:rPr>
        <w:t xml:space="preserve"> (Vic) in relation to matters of this arrangement.</w:t>
      </w:r>
    </w:p>
    <w:p w14:paraId="59008450" w14:textId="77777777" w:rsidR="00817104" w:rsidRPr="000E25EA" w:rsidRDefault="00817104" w:rsidP="00590EBB">
      <w:pPr>
        <w:pStyle w:val="Heading4"/>
        <w:rPr>
          <w:lang w:val="en-US"/>
        </w:rPr>
      </w:pPr>
      <w:r w:rsidRPr="000E25EA">
        <w:rPr>
          <w:lang w:val="en-US"/>
        </w:rPr>
        <w:t>Indemnity</w:t>
      </w:r>
    </w:p>
    <w:p w14:paraId="03E0E1C2" w14:textId="77777777" w:rsidR="00817104" w:rsidRPr="00652072" w:rsidRDefault="00817104" w:rsidP="00817104">
      <w:pPr>
        <w:pStyle w:val="Body"/>
        <w:rPr>
          <w:rFonts w:eastAsia="Arial" w:cs="Arial"/>
          <w:lang w:val="en-US"/>
        </w:rPr>
      </w:pPr>
      <w:r w:rsidRPr="00494220">
        <w:rPr>
          <w:rFonts w:eastAsia="Arial" w:cs="Arial"/>
          <w:lang w:val="en-US"/>
        </w:rPr>
        <w:t>Health services indemnify the department</w:t>
      </w:r>
      <w:r w:rsidRPr="008B0C86">
        <w:rPr>
          <w:rFonts w:eastAsia="Arial" w:cs="Arial"/>
          <w:lang w:val="en-US"/>
        </w:rPr>
        <w:t xml:space="preserve"> against all loss the department may incur in respect of any claim, including claims in respect of</w:t>
      </w:r>
      <w:r w:rsidRPr="00494220">
        <w:rPr>
          <w:rFonts w:eastAsia="Arial" w:cs="Arial"/>
          <w:lang w:val="en-US"/>
        </w:rPr>
        <w:t>:</w:t>
      </w:r>
    </w:p>
    <w:p w14:paraId="65418A25" w14:textId="77777777" w:rsidR="00817104" w:rsidRPr="00652072" w:rsidRDefault="00817104" w:rsidP="00817104">
      <w:pPr>
        <w:pStyle w:val="Bullet1"/>
        <w:numPr>
          <w:ilvl w:val="0"/>
          <w:numId w:val="2"/>
        </w:numPr>
        <w:rPr>
          <w:lang w:val="en-US"/>
        </w:rPr>
      </w:pPr>
      <w:r w:rsidRPr="00652072">
        <w:rPr>
          <w:lang w:val="en-US"/>
        </w:rPr>
        <w:t>personal injury or the death of any person</w:t>
      </w:r>
    </w:p>
    <w:p w14:paraId="1E5D8FE6" w14:textId="77777777" w:rsidR="00817104" w:rsidRPr="00652072" w:rsidRDefault="00817104" w:rsidP="00817104">
      <w:pPr>
        <w:pStyle w:val="Bullet1"/>
        <w:numPr>
          <w:ilvl w:val="0"/>
          <w:numId w:val="2"/>
        </w:numPr>
        <w:rPr>
          <w:lang w:val="en-US"/>
        </w:rPr>
      </w:pPr>
      <w:r w:rsidRPr="00652072">
        <w:rPr>
          <w:lang w:val="en-US"/>
        </w:rPr>
        <w:t>loss of or damage to any property</w:t>
      </w:r>
    </w:p>
    <w:p w14:paraId="066637F6" w14:textId="77777777" w:rsidR="00817104" w:rsidRPr="00652072" w:rsidRDefault="00817104" w:rsidP="00817104">
      <w:pPr>
        <w:pStyle w:val="Bullet1"/>
        <w:numPr>
          <w:ilvl w:val="0"/>
          <w:numId w:val="2"/>
        </w:numPr>
        <w:rPr>
          <w:lang w:val="en-US"/>
        </w:rPr>
      </w:pPr>
      <w:r w:rsidRPr="00652072">
        <w:rPr>
          <w:lang w:val="en-US"/>
        </w:rPr>
        <w:t>breach of a person's Intellectual Property</w:t>
      </w:r>
    </w:p>
    <w:p w14:paraId="1A7D7DD5" w14:textId="77777777" w:rsidR="00817104" w:rsidRPr="001813F3" w:rsidRDefault="00817104" w:rsidP="00817104">
      <w:pPr>
        <w:pStyle w:val="Bullet1"/>
        <w:numPr>
          <w:ilvl w:val="0"/>
          <w:numId w:val="2"/>
        </w:numPr>
        <w:rPr>
          <w:lang w:val="en-US"/>
        </w:rPr>
      </w:pPr>
      <w:r w:rsidRPr="001813F3">
        <w:rPr>
          <w:lang w:val="en-US"/>
        </w:rPr>
        <w:t xml:space="preserve">a contravention of the requirements of any applicable privacy legislation. </w:t>
      </w:r>
    </w:p>
    <w:p w14:paraId="5B512753" w14:textId="77777777" w:rsidR="00817104" w:rsidRPr="001813F3" w:rsidRDefault="00817104" w:rsidP="00817104">
      <w:pPr>
        <w:pStyle w:val="Body"/>
        <w:rPr>
          <w:lang w:val="en-US"/>
        </w:rPr>
      </w:pPr>
      <w:r w:rsidRPr="001813F3">
        <w:rPr>
          <w:lang w:val="en-US"/>
        </w:rPr>
        <w:t xml:space="preserve">arising in any manner out of: </w:t>
      </w:r>
    </w:p>
    <w:p w14:paraId="535E77EA" w14:textId="77777777" w:rsidR="00817104" w:rsidRPr="001813F3" w:rsidRDefault="00817104" w:rsidP="00817104">
      <w:pPr>
        <w:pStyle w:val="Bullet1"/>
        <w:numPr>
          <w:ilvl w:val="0"/>
          <w:numId w:val="2"/>
        </w:numPr>
        <w:rPr>
          <w:lang w:val="en-US"/>
        </w:rPr>
      </w:pPr>
      <w:r w:rsidRPr="001813F3">
        <w:rPr>
          <w:lang w:val="en-US"/>
        </w:rPr>
        <w:t xml:space="preserve">a breach by the health service of its obligations under this Agreement </w:t>
      </w:r>
    </w:p>
    <w:p w14:paraId="6A2B20E6" w14:textId="77777777" w:rsidR="00817104" w:rsidRPr="00494220" w:rsidRDefault="00817104" w:rsidP="00817104">
      <w:pPr>
        <w:pStyle w:val="Bullet1"/>
        <w:numPr>
          <w:ilvl w:val="0"/>
          <w:numId w:val="2"/>
        </w:numPr>
        <w:rPr>
          <w:lang w:val="en-US"/>
        </w:rPr>
      </w:pPr>
      <w:r w:rsidRPr="009856AA">
        <w:rPr>
          <w:lang w:val="en-US"/>
        </w:rPr>
        <w:t>any negligent or unlawful act</w:t>
      </w:r>
      <w:r>
        <w:rPr>
          <w:lang w:val="en-US"/>
        </w:rPr>
        <w:t>,</w:t>
      </w:r>
      <w:r w:rsidRPr="009856AA">
        <w:rPr>
          <w:lang w:val="en-US"/>
        </w:rPr>
        <w:t xml:space="preserve"> or omission or </w:t>
      </w:r>
      <w:r w:rsidRPr="00494220">
        <w:rPr>
          <w:lang w:val="en-US"/>
        </w:rPr>
        <w:t xml:space="preserve">wilful misconduct of the health service or any personnel employed or engaged by the health service in the course of providing the TCP. </w:t>
      </w:r>
    </w:p>
    <w:p w14:paraId="139A100B" w14:textId="77777777" w:rsidR="00817104" w:rsidRPr="009856AA" w:rsidRDefault="00817104" w:rsidP="00817104">
      <w:pPr>
        <w:pStyle w:val="Bodyafterbullets"/>
        <w:rPr>
          <w:szCs w:val="21"/>
          <w:lang w:val="en-US"/>
        </w:rPr>
      </w:pPr>
      <w:r w:rsidRPr="009856AA">
        <w:rPr>
          <w:lang w:val="en-US"/>
        </w:rPr>
        <w:t xml:space="preserve">The </w:t>
      </w:r>
      <w:r>
        <w:rPr>
          <w:lang w:val="en-US"/>
        </w:rPr>
        <w:t>D</w:t>
      </w:r>
      <w:r w:rsidRPr="009856AA">
        <w:rPr>
          <w:lang w:val="en-US"/>
        </w:rPr>
        <w:t>epartment</w:t>
      </w:r>
      <w:r>
        <w:rPr>
          <w:lang w:val="en-US"/>
        </w:rPr>
        <w:t xml:space="preserve"> of Health</w:t>
      </w:r>
      <w:r w:rsidRPr="009856AA">
        <w:rPr>
          <w:lang w:val="en-US"/>
        </w:rPr>
        <w:t xml:space="preserve"> includes the Secretary to the department, the Secretary Body Corporate, and its officers and employees.</w:t>
      </w:r>
    </w:p>
    <w:p w14:paraId="18662C79" w14:textId="77777777" w:rsidR="00817104" w:rsidRPr="00494220" w:rsidRDefault="00817104" w:rsidP="00817104">
      <w:pPr>
        <w:pStyle w:val="Body"/>
        <w:rPr>
          <w:rFonts w:eastAsia="Arial" w:cs="Arial"/>
          <w:szCs w:val="21"/>
          <w:lang w:val="en-US"/>
        </w:rPr>
      </w:pPr>
      <w:r w:rsidRPr="00494220">
        <w:rPr>
          <w:rFonts w:eastAsia="Arial" w:cs="Arial"/>
          <w:szCs w:val="21"/>
          <w:lang w:val="en-US"/>
        </w:rPr>
        <w:t>The health service’s liability will be reduced to the extent that loss is caused or contributed to by the negligent or unlawful act or omission of the department.</w:t>
      </w:r>
    </w:p>
    <w:p w14:paraId="22C4D375" w14:textId="21857149" w:rsidR="00817104" w:rsidRPr="0005792B" w:rsidRDefault="00817104" w:rsidP="00817104">
      <w:pPr>
        <w:pStyle w:val="Body"/>
        <w:rPr>
          <w:rFonts w:eastAsia="Arial" w:cs="Arial"/>
          <w:szCs w:val="21"/>
          <w:lang w:val="en-US"/>
        </w:rPr>
      </w:pPr>
      <w:r w:rsidRPr="00494220">
        <w:rPr>
          <w:rFonts w:eastAsia="Arial" w:cs="Arial"/>
          <w:szCs w:val="21"/>
          <w:lang w:val="en-US"/>
        </w:rPr>
        <w:t xml:space="preserve">This indemnity is in addition to, and does not limit or exclude, any other rights or remedies that the department may have. Indemnity is a continuing obligation, separate and independent from the other obligations of the health service and </w:t>
      </w:r>
      <w:r w:rsidR="00855122" w:rsidRPr="00494220">
        <w:rPr>
          <w:rFonts w:eastAsia="Arial" w:cs="Arial"/>
          <w:szCs w:val="21"/>
          <w:lang w:val="en-US"/>
        </w:rPr>
        <w:t>department</w:t>
      </w:r>
      <w:r w:rsidR="00855122">
        <w:rPr>
          <w:rFonts w:eastAsia="Arial" w:cs="Arial"/>
          <w:szCs w:val="21"/>
          <w:lang w:val="en-US"/>
        </w:rPr>
        <w:t xml:space="preserve"> and</w:t>
      </w:r>
      <w:r w:rsidRPr="00494220">
        <w:rPr>
          <w:rFonts w:eastAsia="Arial" w:cs="Arial"/>
          <w:szCs w:val="21"/>
          <w:lang w:val="en-US"/>
        </w:rPr>
        <w:t xml:space="preserve"> survives termination of this agreement. It is not necessary for a party to incur expense or make payment before enforcing a right of indemnity conferred by this agreement.</w:t>
      </w:r>
    </w:p>
    <w:p w14:paraId="73F0FD80" w14:textId="77777777" w:rsidR="00817104" w:rsidRDefault="00817104" w:rsidP="00817104">
      <w:pPr>
        <w:pStyle w:val="Body"/>
      </w:pPr>
      <w:r>
        <w:lastRenderedPageBreak/>
        <w:t>For more information, visit:</w:t>
      </w:r>
    </w:p>
    <w:p w14:paraId="7F3A1B12" w14:textId="77777777" w:rsidR="00817104" w:rsidRDefault="00817104" w:rsidP="00817104">
      <w:pPr>
        <w:pStyle w:val="Bullet1"/>
        <w:numPr>
          <w:ilvl w:val="0"/>
          <w:numId w:val="2"/>
        </w:numPr>
      </w:pPr>
      <w:hyperlink r:id="rId258" w:history="1">
        <w:r>
          <w:rPr>
            <w:rStyle w:val="Hyperlink"/>
          </w:rPr>
          <w:t>TCP (Victoria)</w:t>
        </w:r>
      </w:hyperlink>
      <w:r>
        <w:t xml:space="preserve"> &lt;</w:t>
      </w:r>
      <w:r w:rsidRPr="00AD4315">
        <w:t>https://www.health.vic.gov.au/patient-care/transition-care-program</w:t>
      </w:r>
      <w:r>
        <w:t xml:space="preserve">&gt; </w:t>
      </w:r>
    </w:p>
    <w:p w14:paraId="732D803D" w14:textId="77777777" w:rsidR="00817104" w:rsidRPr="005A77EB" w:rsidRDefault="00817104" w:rsidP="00817104">
      <w:pPr>
        <w:pStyle w:val="Bullet1"/>
        <w:numPr>
          <w:ilvl w:val="0"/>
          <w:numId w:val="2"/>
        </w:numPr>
      </w:pPr>
      <w:hyperlink r:id="rId259" w:history="1">
        <w:r>
          <w:rPr>
            <w:rStyle w:val="Hyperlink"/>
          </w:rPr>
          <w:t>TCP (Australian Government)</w:t>
        </w:r>
      </w:hyperlink>
      <w:r>
        <w:t xml:space="preserve"> </w:t>
      </w:r>
      <w:r w:rsidRPr="007B0358">
        <w:t>&lt;https://www.health.gov.au/our-work/transition-care-program&gt;.</w:t>
      </w:r>
    </w:p>
    <w:p w14:paraId="339DAA5C" w14:textId="77777777" w:rsidR="00817104" w:rsidRPr="005A77EB" w:rsidRDefault="00817104" w:rsidP="00817104">
      <w:pPr>
        <w:pStyle w:val="Heading3"/>
        <w:numPr>
          <w:ilvl w:val="2"/>
          <w:numId w:val="0"/>
        </w:numPr>
        <w:tabs>
          <w:tab w:val="num" w:pos="794"/>
        </w:tabs>
        <w:ind w:left="1134" w:hanging="1134"/>
      </w:pPr>
      <w:r>
        <w:t>18.2.3</w:t>
      </w:r>
      <w:r>
        <w:tab/>
        <w:t>Health Independence Program</w:t>
      </w:r>
    </w:p>
    <w:p w14:paraId="429D4B30" w14:textId="77777777" w:rsidR="00817104" w:rsidRPr="00220AA4" w:rsidRDefault="00817104" w:rsidP="00817104">
      <w:pPr>
        <w:pStyle w:val="Body"/>
      </w:pPr>
      <w:r w:rsidRPr="00220AA4">
        <w:t xml:space="preserve">Health Independence Program services aim to provide hospital substitution and diversion services by supporting people in the community, in ambulatory settings and in their homes, which may include residential facilities. Health Independence Program services focus on improving and optimising people’s function and participation in activities of daily living, to allow them to maximise their independence and return to, or remain in, their usual place of residence. </w:t>
      </w:r>
    </w:p>
    <w:p w14:paraId="275A3A05" w14:textId="77777777" w:rsidR="00817104" w:rsidRPr="00220AA4" w:rsidRDefault="00817104" w:rsidP="00817104">
      <w:pPr>
        <w:pStyle w:val="Body"/>
      </w:pPr>
      <w:r w:rsidRPr="00220AA4">
        <w:t>Home-delivered and telehealth (video or telephone) delivered care should be provided whenever it is safe, appropriate and consistent with consumer preference.</w:t>
      </w:r>
    </w:p>
    <w:p w14:paraId="4B709387" w14:textId="77777777" w:rsidR="00817104" w:rsidRDefault="00817104" w:rsidP="00817104">
      <w:pPr>
        <w:pStyle w:val="Body"/>
      </w:pPr>
      <w:r>
        <w:t xml:space="preserve">All Victorian public health services delivering health independence programs are expected to meet the requirements of the </w:t>
      </w:r>
      <w:hyperlink r:id="rId260">
        <w:r w:rsidRPr="002D6AE5">
          <w:rPr>
            <w:rStyle w:val="Hyperlink"/>
            <w:rFonts w:cs="Arial"/>
          </w:rPr>
          <w:t>Managing referrals to non-admitted specialist services in Victorian public health services policy</w:t>
        </w:r>
      </w:hyperlink>
      <w:r>
        <w:t xml:space="preserve"> &lt;https://www.health.vic.gov.au/publications/managing-referrals-to-non-admitted-specialist-services-in-victorian-public-health&gt;. </w:t>
      </w:r>
    </w:p>
    <w:p w14:paraId="38D88759" w14:textId="77777777" w:rsidR="00817104" w:rsidRDefault="00817104" w:rsidP="00817104">
      <w:pPr>
        <w:pStyle w:val="Body"/>
      </w:pPr>
      <w:r>
        <w:t xml:space="preserve">For more information, visit </w:t>
      </w:r>
      <w:hyperlink r:id="rId261">
        <w:r w:rsidRPr="002D6AE5">
          <w:rPr>
            <w:rStyle w:val="Hyperlink"/>
            <w:i/>
            <w:iCs/>
          </w:rPr>
          <w:t>Health Independence Program guidelines</w:t>
        </w:r>
      </w:hyperlink>
      <w:r>
        <w:t xml:space="preserve"> &lt;https://www.health.vic.gov.au/patient-care/health-independence-program-guidelines&gt;.</w:t>
      </w:r>
    </w:p>
    <w:p w14:paraId="65CD2AFC" w14:textId="77777777" w:rsidR="00817104" w:rsidRDefault="00817104" w:rsidP="00817104">
      <w:pPr>
        <w:pStyle w:val="Heading4"/>
      </w:pPr>
      <w:r>
        <w:t xml:space="preserve">Health </w:t>
      </w:r>
      <w:r w:rsidRPr="00220AA4">
        <w:t>Independence</w:t>
      </w:r>
      <w:r>
        <w:t xml:space="preserve"> Program service delivery components</w:t>
      </w:r>
    </w:p>
    <w:p w14:paraId="0AF6F498" w14:textId="77777777" w:rsidR="00817104" w:rsidRDefault="00817104" w:rsidP="00817104">
      <w:pPr>
        <w:pStyle w:val="Body"/>
      </w:pPr>
      <w:r>
        <w:t>The components of the program that a consumer receives will be based on their assessed needs and will assist them to meet their identified goals.</w:t>
      </w:r>
    </w:p>
    <w:p w14:paraId="3F12260A" w14:textId="77777777" w:rsidR="00817104" w:rsidRDefault="00817104" w:rsidP="00817104">
      <w:pPr>
        <w:pStyle w:val="Body"/>
      </w:pPr>
      <w:r>
        <w:t>This may consist of one or more of:</w:t>
      </w:r>
    </w:p>
    <w:p w14:paraId="364A17AA" w14:textId="77777777" w:rsidR="00817104" w:rsidRDefault="00817104" w:rsidP="00817104">
      <w:pPr>
        <w:pStyle w:val="Bullet1"/>
        <w:numPr>
          <w:ilvl w:val="0"/>
          <w:numId w:val="2"/>
        </w:numPr>
      </w:pPr>
      <w:r>
        <w:t>non-admitted rehabilitation (such as rehabilitation at home or in a community rehabilitation centre)</w:t>
      </w:r>
    </w:p>
    <w:p w14:paraId="537A99EA" w14:textId="77777777" w:rsidR="00817104" w:rsidRDefault="00817104" w:rsidP="00817104">
      <w:pPr>
        <w:pStyle w:val="Bullet1"/>
        <w:numPr>
          <w:ilvl w:val="0"/>
          <w:numId w:val="2"/>
        </w:numPr>
      </w:pPr>
      <w:r>
        <w:t>care coordination – short-term or complex</w:t>
      </w:r>
    </w:p>
    <w:p w14:paraId="216F98F3" w14:textId="77777777" w:rsidR="00817104" w:rsidRDefault="00817104" w:rsidP="00817104">
      <w:pPr>
        <w:pStyle w:val="Bullet1"/>
        <w:numPr>
          <w:ilvl w:val="0"/>
          <w:numId w:val="2"/>
        </w:numPr>
      </w:pPr>
      <w:r>
        <w:t>consumer self-management, education and support</w:t>
      </w:r>
    </w:p>
    <w:p w14:paraId="514B6E2E" w14:textId="77777777" w:rsidR="00817104" w:rsidRDefault="00817104" w:rsidP="00817104">
      <w:pPr>
        <w:pStyle w:val="Bullet1"/>
        <w:numPr>
          <w:ilvl w:val="0"/>
          <w:numId w:val="2"/>
        </w:numPr>
      </w:pPr>
      <w:r>
        <w:t>access to specialist services, including specialist assessment (such as linking to residential in-reach services, a specialist medical clinic or specialist subacute clinic, such as chronic pain management, falls and balance, or continence clinics)</w:t>
      </w:r>
    </w:p>
    <w:p w14:paraId="55CEB4A0" w14:textId="77777777" w:rsidR="00817104" w:rsidRDefault="00817104" w:rsidP="00817104">
      <w:pPr>
        <w:pStyle w:val="Bullet1"/>
        <w:numPr>
          <w:ilvl w:val="0"/>
          <w:numId w:val="2"/>
        </w:numPr>
      </w:pPr>
      <w:r>
        <w:t>short-term supports (such as post-acute care)</w:t>
      </w:r>
    </w:p>
    <w:p w14:paraId="75F436C3" w14:textId="77777777" w:rsidR="00817104" w:rsidRDefault="00817104" w:rsidP="00817104">
      <w:pPr>
        <w:pStyle w:val="Bullet1"/>
        <w:numPr>
          <w:ilvl w:val="0"/>
          <w:numId w:val="2"/>
        </w:numPr>
      </w:pPr>
      <w:r>
        <w:t>complex psychosocial issues management.</w:t>
      </w:r>
    </w:p>
    <w:p w14:paraId="34E5D279" w14:textId="77777777" w:rsidR="00817104" w:rsidRPr="00220AA4" w:rsidRDefault="00817104" w:rsidP="00817104">
      <w:pPr>
        <w:pStyle w:val="Heading4"/>
      </w:pPr>
      <w:r>
        <w:t>Reporting requirements</w:t>
      </w:r>
    </w:p>
    <w:p w14:paraId="6FC83AB4" w14:textId="77777777" w:rsidR="00817104" w:rsidRDefault="00817104" w:rsidP="00817104">
      <w:pPr>
        <w:pStyle w:val="Body"/>
      </w:pPr>
      <w:r>
        <w:t>Organisations must transmit data to the VINAH MDS if they receive funding under the Health Independence Program for:</w:t>
      </w:r>
    </w:p>
    <w:p w14:paraId="6F8107EB" w14:textId="77777777" w:rsidR="00817104" w:rsidRPr="00220AA4" w:rsidRDefault="00817104" w:rsidP="00817104">
      <w:pPr>
        <w:pStyle w:val="Bullet1"/>
        <w:numPr>
          <w:ilvl w:val="0"/>
          <w:numId w:val="2"/>
        </w:numPr>
      </w:pPr>
      <w:r w:rsidRPr="00220AA4">
        <w:t>subacute ambulatory care services (including paediatric rehabilitation)</w:t>
      </w:r>
    </w:p>
    <w:p w14:paraId="4419BE61" w14:textId="77777777" w:rsidR="00817104" w:rsidRPr="00220AA4" w:rsidRDefault="00817104" w:rsidP="00817104">
      <w:pPr>
        <w:pStyle w:val="Bullet1"/>
        <w:numPr>
          <w:ilvl w:val="0"/>
          <w:numId w:val="2"/>
        </w:numPr>
      </w:pPr>
      <w:r w:rsidRPr="00220AA4">
        <w:t>Hospital Admission Risk Program</w:t>
      </w:r>
    </w:p>
    <w:p w14:paraId="2AA95A65" w14:textId="77777777" w:rsidR="00817104" w:rsidRPr="00220AA4" w:rsidRDefault="00817104" w:rsidP="00817104">
      <w:pPr>
        <w:pStyle w:val="Bullet1"/>
        <w:numPr>
          <w:ilvl w:val="0"/>
          <w:numId w:val="2"/>
        </w:numPr>
      </w:pPr>
      <w:r w:rsidRPr="00220AA4">
        <w:t>post-acute care</w:t>
      </w:r>
    </w:p>
    <w:p w14:paraId="3DFD8F49" w14:textId="77777777" w:rsidR="00817104" w:rsidRPr="00220AA4" w:rsidRDefault="00817104" w:rsidP="00817104">
      <w:pPr>
        <w:pStyle w:val="Bullet1"/>
        <w:numPr>
          <w:ilvl w:val="0"/>
          <w:numId w:val="2"/>
        </w:numPr>
      </w:pPr>
      <w:r w:rsidRPr="00220AA4">
        <w:t>residential in-reach service</w:t>
      </w:r>
      <w:r>
        <w:t>.</w:t>
      </w:r>
    </w:p>
    <w:p w14:paraId="436EBF02" w14:textId="77777777" w:rsidR="00817104" w:rsidRDefault="00817104" w:rsidP="00817104">
      <w:pPr>
        <w:pStyle w:val="Bodyafterbullets"/>
      </w:pPr>
      <w:r>
        <w:t>The definition of a Health Independence Program contact is provided in the VINAH MDS business rules. The program’s counting unit will be ‘direct non-admitted contacts’, which are defined as contacts where all of the following VINAH MDS characteristics are met, including:</w:t>
      </w:r>
    </w:p>
    <w:p w14:paraId="0AA28141" w14:textId="77777777" w:rsidR="00817104" w:rsidRDefault="00817104" w:rsidP="00817104">
      <w:pPr>
        <w:pStyle w:val="Bullet1"/>
        <w:numPr>
          <w:ilvl w:val="0"/>
          <w:numId w:val="2"/>
        </w:numPr>
      </w:pPr>
      <w:r>
        <w:lastRenderedPageBreak/>
        <w:t>contact account class Public Eligible (MP) or Reciprocal Health Care Agreement (MA)</w:t>
      </w:r>
    </w:p>
    <w:p w14:paraId="17453FB5" w14:textId="77777777" w:rsidR="00817104" w:rsidRDefault="00817104" w:rsidP="00817104">
      <w:pPr>
        <w:pStyle w:val="Bullet1"/>
        <w:numPr>
          <w:ilvl w:val="0"/>
          <w:numId w:val="2"/>
        </w:numPr>
      </w:pPr>
      <w:r>
        <w:t>contact client present status where either the patient, their carer, or both, are present (10, 11, 12, 13 or 20)</w:t>
      </w:r>
    </w:p>
    <w:p w14:paraId="56A9B2DB" w14:textId="77777777" w:rsidR="00817104" w:rsidRDefault="00817104" w:rsidP="00817104">
      <w:pPr>
        <w:pStyle w:val="Bullet1"/>
        <w:numPr>
          <w:ilvl w:val="0"/>
          <w:numId w:val="2"/>
        </w:numPr>
      </w:pPr>
      <w:r>
        <w:t>contact delivery mode that is direct (1, 2, 3, 4,5 or 8)</w:t>
      </w:r>
    </w:p>
    <w:p w14:paraId="473F6CED" w14:textId="77777777" w:rsidR="00817104" w:rsidRDefault="00817104" w:rsidP="00817104">
      <w:pPr>
        <w:pStyle w:val="Bullet1"/>
        <w:numPr>
          <w:ilvl w:val="0"/>
          <w:numId w:val="2"/>
        </w:numPr>
      </w:pPr>
      <w:r>
        <w:t>contact delivery setting that is not the ED (13)</w:t>
      </w:r>
    </w:p>
    <w:p w14:paraId="6742931E" w14:textId="77777777" w:rsidR="00817104" w:rsidRDefault="00817104" w:rsidP="00817104">
      <w:pPr>
        <w:pStyle w:val="Bullet1"/>
        <w:numPr>
          <w:ilvl w:val="0"/>
          <w:numId w:val="2"/>
        </w:numPr>
      </w:pPr>
      <w:r>
        <w:t>contact inpatient flag does not equal I (Inpatient/Admitted).</w:t>
      </w:r>
    </w:p>
    <w:p w14:paraId="0012C9A2" w14:textId="77777777" w:rsidR="00817104" w:rsidRDefault="00817104" w:rsidP="00817104">
      <w:pPr>
        <w:pStyle w:val="Bodyafterbullets"/>
      </w:pPr>
      <w:r>
        <w:t xml:space="preserve">Health services not reporting subacute non-admitted activity to the VINAH MDS or NADC must continue to report aggregate data for 2026–27 using the AIMS S11 form. </w:t>
      </w:r>
    </w:p>
    <w:p w14:paraId="6BCDF642" w14:textId="77777777" w:rsidR="00817104" w:rsidRDefault="00817104" w:rsidP="00817104">
      <w:pPr>
        <w:pStyle w:val="Body"/>
      </w:pPr>
      <w:r>
        <w:t xml:space="preserve">Hospitals are expected to report patient-level cost data (or aggregate where patient-level cannot be obtained) for all subacute and non-acute activity to the VCDC, as detailed in </w:t>
      </w:r>
      <w:hyperlink w:anchor="_VCDC" w:history="1">
        <w:r w:rsidRPr="0057521A">
          <w:rPr>
            <w:rStyle w:val="Hyperlink"/>
          </w:rPr>
          <w:t>section 29.1.8</w:t>
        </w:r>
      </w:hyperlink>
      <w:r>
        <w:t>.</w:t>
      </w:r>
    </w:p>
    <w:p w14:paraId="576D3AD6" w14:textId="77777777" w:rsidR="00817104" w:rsidRDefault="00817104" w:rsidP="00817104">
      <w:pPr>
        <w:pStyle w:val="Body"/>
      </w:pPr>
      <w:r>
        <w:t>For more information, visit:</w:t>
      </w:r>
    </w:p>
    <w:p w14:paraId="14770AC6" w14:textId="77777777" w:rsidR="00817104" w:rsidRDefault="00817104" w:rsidP="00817104">
      <w:pPr>
        <w:pStyle w:val="Bullet1"/>
        <w:numPr>
          <w:ilvl w:val="0"/>
          <w:numId w:val="2"/>
        </w:numPr>
      </w:pPr>
      <w:hyperlink r:id="rId262">
        <w:r w:rsidRPr="002D6AE5">
          <w:rPr>
            <w:rStyle w:val="Hyperlink"/>
            <w:i/>
            <w:iCs/>
          </w:rPr>
          <w:t>Planning the future of Victoria’s subacute service system: a capability and access planning framework – 2013</w:t>
        </w:r>
      </w:hyperlink>
      <w:r>
        <w:t xml:space="preserve"> &lt;https://www.health.vic.gov.au/publications/planning-the-future-of-victorias-subacute-service-system-a-capability-and-access&gt;</w:t>
      </w:r>
    </w:p>
    <w:p w14:paraId="35E4F80A" w14:textId="77777777" w:rsidR="00817104" w:rsidRDefault="00817104" w:rsidP="00817104">
      <w:pPr>
        <w:pStyle w:val="Bullet1"/>
        <w:numPr>
          <w:ilvl w:val="0"/>
          <w:numId w:val="2"/>
        </w:numPr>
      </w:pPr>
      <w:r>
        <w:t>&lt;https://www.health.vic.gov.au/patient-care/health-independence-program-guidelines&gt; – these will continue to guide health service and departmental directions for these services in 2025–26.</w:t>
      </w:r>
    </w:p>
    <w:p w14:paraId="2C0C749F" w14:textId="77777777" w:rsidR="00817104" w:rsidRDefault="00817104" w:rsidP="00817104">
      <w:pPr>
        <w:pStyle w:val="Heading3"/>
        <w:numPr>
          <w:ilvl w:val="2"/>
          <w:numId w:val="0"/>
        </w:numPr>
        <w:tabs>
          <w:tab w:val="num" w:pos="794"/>
        </w:tabs>
        <w:ind w:left="1134" w:hanging="1134"/>
      </w:pPr>
      <w:r>
        <w:t>18.2.4</w:t>
      </w:r>
      <w:r>
        <w:tab/>
        <w:t>Community palliative care</w:t>
      </w:r>
    </w:p>
    <w:p w14:paraId="74E2BB32" w14:textId="77777777" w:rsidR="00817104" w:rsidRDefault="00817104" w:rsidP="00817104">
      <w:pPr>
        <w:pStyle w:val="Body"/>
      </w:pPr>
      <w:r>
        <w:t xml:space="preserve">Designated community palliative care services provide palliative and end-of-life care to clients that is responsive, multidisciplinary and evidence-based. Care is tailored to the preferences, values and goals of the individual, and to their stage of illness, and can be early or late in the illness trajectory. </w:t>
      </w:r>
    </w:p>
    <w:p w14:paraId="39345949" w14:textId="77777777" w:rsidR="00817104" w:rsidRDefault="00817104" w:rsidP="00817104">
      <w:pPr>
        <w:pStyle w:val="Body"/>
      </w:pPr>
      <w:r>
        <w:t xml:space="preserve">Care includes complex pain and symptom management, and assistance with physical, spiritual, social and cultural concerns related to life-limiting illness and bereavement. </w:t>
      </w:r>
      <w:r w:rsidRPr="001813F3">
        <w:t>In addition, services provide p</w:t>
      </w:r>
      <w:r w:rsidRPr="007803B1">
        <w:t>ractical</w:t>
      </w:r>
      <w:r w:rsidRPr="001813F3">
        <w:t xml:space="preserve"> support</w:t>
      </w:r>
      <w:r>
        <w:t xml:space="preserve"> </w:t>
      </w:r>
      <w:r w:rsidRPr="001813F3">
        <w:t>to help clients</w:t>
      </w:r>
      <w:r>
        <w:t>, carers</w:t>
      </w:r>
      <w:r w:rsidRPr="001813F3">
        <w:t xml:space="preserve"> and families access and coordinate</w:t>
      </w:r>
      <w:r w:rsidRPr="007803B1">
        <w:t xml:space="preserve"> </w:t>
      </w:r>
      <w:r w:rsidRPr="001813F3">
        <w:t>appropriate equipment,</w:t>
      </w:r>
      <w:r>
        <w:t xml:space="preserve"> respite, and financial assistance</w:t>
      </w:r>
      <w:r w:rsidRPr="001813F3">
        <w:t xml:space="preserve">, </w:t>
      </w:r>
      <w:r w:rsidRPr="007803B1">
        <w:t>support</w:t>
      </w:r>
      <w:r w:rsidRPr="001813F3">
        <w:t>ing</w:t>
      </w:r>
      <w:r>
        <w:t xml:space="preserve"> the safety </w:t>
      </w:r>
      <w:r w:rsidRPr="001813F3">
        <w:t>and wellbeing</w:t>
      </w:r>
      <w:r w:rsidRPr="007803B1">
        <w:t xml:space="preserve"> </w:t>
      </w:r>
      <w:r>
        <w:t>of clients, carers, family members and staff in the home.</w:t>
      </w:r>
    </w:p>
    <w:p w14:paraId="2852238E" w14:textId="77777777" w:rsidR="00817104" w:rsidRPr="005A77EB" w:rsidRDefault="00817104" w:rsidP="00817104">
      <w:pPr>
        <w:pStyle w:val="Body"/>
      </w:pPr>
      <w:r>
        <w:t xml:space="preserve">These services must provide care in line with the </w:t>
      </w:r>
      <w:hyperlink r:id="rId263">
        <w:r w:rsidRPr="0670E279">
          <w:rPr>
            <w:rStyle w:val="Hyperlink"/>
          </w:rPr>
          <w:t>Conditions of funding for palliative care</w:t>
        </w:r>
      </w:hyperlink>
      <w:r>
        <w:t xml:space="preserve"> &lt;</w:t>
      </w:r>
      <w:r w:rsidRPr="00293C9D">
        <w:t>https://www.health.vic.gov.au/patient-care/conditions-of-funding-for-palliative-care</w:t>
      </w:r>
      <w:r>
        <w:t xml:space="preserve">&gt; and system and service improvement work should align with the priority directions and actions in </w:t>
      </w:r>
      <w:r w:rsidRPr="00293C9D">
        <w:t xml:space="preserve">Victoria’s </w:t>
      </w:r>
      <w:r>
        <w:t>P</w:t>
      </w:r>
      <w:r w:rsidRPr="00293C9D">
        <w:t xml:space="preserve">alliative and </w:t>
      </w:r>
      <w:r>
        <w:t>E</w:t>
      </w:r>
      <w:r w:rsidRPr="00293C9D">
        <w:t>nd</w:t>
      </w:r>
      <w:r>
        <w:t>-</w:t>
      </w:r>
      <w:r w:rsidRPr="00293C9D">
        <w:t>of</w:t>
      </w:r>
      <w:r>
        <w:t>-L</w:t>
      </w:r>
      <w:r w:rsidRPr="00293C9D">
        <w:t xml:space="preserve">ife </w:t>
      </w:r>
      <w:r>
        <w:t>C</w:t>
      </w:r>
      <w:r w:rsidRPr="00293C9D">
        <w:t xml:space="preserve">are </w:t>
      </w:r>
      <w:r>
        <w:t>F</w:t>
      </w:r>
      <w:r w:rsidRPr="00293C9D">
        <w:t>ramework 2026-2036.</w:t>
      </w:r>
    </w:p>
    <w:p w14:paraId="722AD6D9" w14:textId="1A1D3891" w:rsidR="00817104" w:rsidRDefault="00817104" w:rsidP="00817104">
      <w:pPr>
        <w:pStyle w:val="Bodyafterbullets"/>
      </w:pPr>
      <w:r>
        <w:t xml:space="preserve">The department will monitor community palliative care services’ progress against episode targets </w:t>
      </w:r>
      <w:r w:rsidRPr="004E28A0">
        <w:t xml:space="preserve">(see Funding rules, </w:t>
      </w:r>
      <w:r>
        <w:t>P</w:t>
      </w:r>
      <w:r w:rsidRPr="004E28A0">
        <w:t xml:space="preserve">art 2: Funding and </w:t>
      </w:r>
      <w:r w:rsidR="00DC5CFE">
        <w:t>A</w:t>
      </w:r>
      <w:r w:rsidRPr="004E28A0">
        <w:t xml:space="preserve">ctivity </w:t>
      </w:r>
      <w:r w:rsidR="00DC5CFE">
        <w:t>L</w:t>
      </w:r>
      <w:r w:rsidRPr="004E28A0">
        <w:t>evels).</w:t>
      </w:r>
    </w:p>
    <w:p w14:paraId="708141FC" w14:textId="77777777" w:rsidR="00817104" w:rsidRPr="00220AA4" w:rsidRDefault="00817104" w:rsidP="00817104">
      <w:pPr>
        <w:pStyle w:val="Heading4"/>
      </w:pPr>
      <w:r>
        <w:t>After hours</w:t>
      </w:r>
    </w:p>
    <w:p w14:paraId="29CD43D4" w14:textId="77777777" w:rsidR="00817104" w:rsidRPr="00A95BE2" w:rsidRDefault="00817104" w:rsidP="00817104">
      <w:pPr>
        <w:pStyle w:val="Body"/>
      </w:pPr>
      <w:r>
        <w:t>Outside business hours (usually between 7 am and 5 pm Monday to Friday, excluding public holidays), all designated community palliative care services must provide or arrange a minimum level of service to their clients that includes:</w:t>
      </w:r>
    </w:p>
    <w:p w14:paraId="42AFE96B" w14:textId="77777777" w:rsidR="00817104" w:rsidRPr="007B222E" w:rsidRDefault="00817104" w:rsidP="00817104">
      <w:pPr>
        <w:pStyle w:val="Bullet1"/>
        <w:numPr>
          <w:ilvl w:val="0"/>
          <w:numId w:val="2"/>
        </w:numPr>
      </w:pPr>
      <w:r>
        <w:t>specialist palliative care telephone advice to clients, carers and families, primarily (but not only) about symptom management if required – this may include secondary consultation with a specialist palliative care provider where relevant</w:t>
      </w:r>
    </w:p>
    <w:p w14:paraId="719A79B2" w14:textId="77777777" w:rsidR="00817104" w:rsidRPr="007B222E" w:rsidRDefault="00817104" w:rsidP="00817104">
      <w:pPr>
        <w:pStyle w:val="Bullet1"/>
        <w:numPr>
          <w:ilvl w:val="0"/>
          <w:numId w:val="2"/>
        </w:numPr>
      </w:pPr>
      <w:r>
        <w:t>a health professional visit if required, based on the client’s, carer’s or family’s needs (if it is safe for staff to undertake the visit)</w:t>
      </w:r>
    </w:p>
    <w:p w14:paraId="4E3B9AF9" w14:textId="77777777" w:rsidR="00817104" w:rsidRDefault="00817104" w:rsidP="00817104">
      <w:pPr>
        <w:pStyle w:val="Bullet1"/>
        <w:numPr>
          <w:ilvl w:val="0"/>
          <w:numId w:val="2"/>
        </w:numPr>
      </w:pPr>
      <w:r>
        <w:t>any other after-hours care negotiated between clients, their carers or families, and the community palliative care service on an individual basis.</w:t>
      </w:r>
    </w:p>
    <w:p w14:paraId="5FB51F4B" w14:textId="77777777" w:rsidR="00817104" w:rsidRPr="00220AA4" w:rsidRDefault="00817104" w:rsidP="00817104">
      <w:pPr>
        <w:pStyle w:val="Heading4"/>
      </w:pPr>
      <w:r>
        <w:lastRenderedPageBreak/>
        <w:t>Reporting requirements</w:t>
      </w:r>
    </w:p>
    <w:p w14:paraId="427E5C1C" w14:textId="77777777" w:rsidR="00817104" w:rsidRDefault="00817104" w:rsidP="00817104">
      <w:pPr>
        <w:pStyle w:val="Body"/>
      </w:pPr>
      <w:r>
        <w:t>All designated community palliative care services must report activity using the program and stream element, as described in the VINAH MDS, which includes that:</w:t>
      </w:r>
    </w:p>
    <w:p w14:paraId="04A06C2D" w14:textId="77777777" w:rsidR="00817104" w:rsidRPr="007B222E" w:rsidRDefault="00817104" w:rsidP="00817104">
      <w:pPr>
        <w:pStyle w:val="Bullet1"/>
        <w:numPr>
          <w:ilvl w:val="0"/>
          <w:numId w:val="2"/>
        </w:numPr>
      </w:pPr>
      <w:r>
        <w:t>contacts will be reported to the VINAH MDS as per the standard VINAH MDS reporting requirements</w:t>
      </w:r>
    </w:p>
    <w:p w14:paraId="1962B133" w14:textId="77777777" w:rsidR="00817104" w:rsidRPr="007B222E" w:rsidRDefault="00817104" w:rsidP="00817104">
      <w:pPr>
        <w:pStyle w:val="Bullet1"/>
        <w:numPr>
          <w:ilvl w:val="0"/>
          <w:numId w:val="2"/>
        </w:numPr>
      </w:pPr>
      <w:r>
        <w:t>only health services not reporting data to the VINAH MDS must continue reporting aggregate data for 2026–27 using the AIMS S11 form (ceased for all other services in 2025–26)</w:t>
      </w:r>
    </w:p>
    <w:p w14:paraId="7A34A380" w14:textId="77777777" w:rsidR="00817104" w:rsidRPr="007B222E" w:rsidRDefault="00817104" w:rsidP="00817104">
      <w:pPr>
        <w:pStyle w:val="Bullet1"/>
        <w:numPr>
          <w:ilvl w:val="0"/>
          <w:numId w:val="2"/>
        </w:numPr>
      </w:pPr>
      <w:r>
        <w:t xml:space="preserve">funded services must participate in the annual palliative care experience module of the </w:t>
      </w:r>
      <w:r w:rsidRPr="003E5F25">
        <w:t xml:space="preserve">Victorian Healthcare Experience Survey </w:t>
      </w:r>
      <w:r>
        <w:t>(VHES)</w:t>
      </w:r>
    </w:p>
    <w:p w14:paraId="50716B9F" w14:textId="77777777" w:rsidR="00817104" w:rsidRPr="007B222E" w:rsidRDefault="00817104" w:rsidP="00817104">
      <w:pPr>
        <w:pStyle w:val="Bullet1"/>
        <w:numPr>
          <w:ilvl w:val="0"/>
          <w:numId w:val="2"/>
        </w:numPr>
      </w:pPr>
      <w:r>
        <w:t>patient-level cost data (or aggregate where patient-level cannot be obtained) for community palliative care activity is to be reported to the VCDC.</w:t>
      </w:r>
    </w:p>
    <w:p w14:paraId="2A3A91FF" w14:textId="77777777" w:rsidR="00817104" w:rsidRDefault="00817104" w:rsidP="00817104">
      <w:pPr>
        <w:pStyle w:val="Heading3"/>
        <w:numPr>
          <w:ilvl w:val="2"/>
          <w:numId w:val="0"/>
        </w:numPr>
        <w:tabs>
          <w:tab w:val="num" w:pos="794"/>
        </w:tabs>
        <w:ind w:left="1134" w:hanging="1134"/>
      </w:pPr>
      <w:r>
        <w:t>18.2.5</w:t>
      </w:r>
      <w:r>
        <w:tab/>
        <w:t>Palliative care consultancy teams</w:t>
      </w:r>
    </w:p>
    <w:p w14:paraId="23FFB84F" w14:textId="77777777" w:rsidR="00817104" w:rsidRDefault="00817104" w:rsidP="00817104">
      <w:pPr>
        <w:pStyle w:val="Body"/>
      </w:pPr>
      <w:r>
        <w:t>Funding allocations for hospital-based and regional specialist palliative care consultancy form part of the health service modelled budgets in their acute and subacute allocation.</w:t>
      </w:r>
    </w:p>
    <w:p w14:paraId="244E6BEB" w14:textId="77777777" w:rsidR="00817104" w:rsidRPr="00220AA4" w:rsidRDefault="00817104" w:rsidP="00817104">
      <w:pPr>
        <w:pStyle w:val="Heading4"/>
      </w:pPr>
      <w:r>
        <w:t>Hospital-based palliative care consultancy teams</w:t>
      </w:r>
    </w:p>
    <w:p w14:paraId="6F8ED934" w14:textId="77777777" w:rsidR="00817104" w:rsidRDefault="00817104" w:rsidP="00817104">
      <w:pPr>
        <w:pStyle w:val="Body"/>
      </w:pPr>
      <w:r>
        <w:t xml:space="preserve">Hospital-based palliative care consultancy teams provide specialist advice and support to other clinicians in their hospital and, in certain instances, direct care. They are to report patient-level data to the VINAH MDS. </w:t>
      </w:r>
    </w:p>
    <w:p w14:paraId="562FA0FE" w14:textId="77777777" w:rsidR="00817104" w:rsidRPr="00220AA4" w:rsidRDefault="00817104" w:rsidP="00817104">
      <w:pPr>
        <w:pStyle w:val="Heading4"/>
      </w:pPr>
      <w:r>
        <w:t>Regional palliative care consultancy teams</w:t>
      </w:r>
    </w:p>
    <w:p w14:paraId="7C4008E9" w14:textId="77777777" w:rsidR="00817104" w:rsidRDefault="00817104" w:rsidP="00817104">
      <w:pPr>
        <w:pStyle w:val="Body"/>
      </w:pPr>
      <w:r>
        <w:t xml:space="preserve">Regional palliative care consultancy teams provide a combination of direct care and secondary consultations to other clinicians within their designated rural region or subregion. </w:t>
      </w:r>
    </w:p>
    <w:p w14:paraId="3FA2CE47" w14:textId="77777777" w:rsidR="00817104" w:rsidRPr="00220AA4" w:rsidRDefault="00817104" w:rsidP="00817104">
      <w:pPr>
        <w:pStyle w:val="Heading4"/>
      </w:pPr>
      <w:r>
        <w:t>Reporting requirements</w:t>
      </w:r>
    </w:p>
    <w:p w14:paraId="63D0488A" w14:textId="77777777" w:rsidR="00817104" w:rsidRDefault="00817104" w:rsidP="00817104">
      <w:pPr>
        <w:pStyle w:val="Body"/>
      </w:pPr>
      <w:r>
        <w:t>All hospital-based and regional palliative care consultancy services must report activity using the program and stream element, as described in the VINAH MDS manual, which includes that:</w:t>
      </w:r>
    </w:p>
    <w:p w14:paraId="487BD2AA" w14:textId="77777777" w:rsidR="00817104" w:rsidRDefault="00817104" w:rsidP="00817104">
      <w:pPr>
        <w:pStyle w:val="Bullet1"/>
        <w:numPr>
          <w:ilvl w:val="0"/>
          <w:numId w:val="2"/>
        </w:numPr>
      </w:pPr>
      <w:r>
        <w:t>contacts will be reported to the VINAH MDS as per the standard VINAH MDS reporting requirements</w:t>
      </w:r>
    </w:p>
    <w:p w14:paraId="514D9940" w14:textId="77777777" w:rsidR="00817104" w:rsidRDefault="00817104" w:rsidP="00817104">
      <w:pPr>
        <w:pStyle w:val="Bullet1"/>
        <w:numPr>
          <w:ilvl w:val="0"/>
          <w:numId w:val="2"/>
        </w:numPr>
      </w:pPr>
      <w:r>
        <w:t>only health services not reporting data to the VINAH MDS must continue reporting aggregate data for 2026–27 using the AIMS S11 form (ceased for all other services in 2025–26)</w:t>
      </w:r>
    </w:p>
    <w:p w14:paraId="28FD0FC2" w14:textId="77777777" w:rsidR="00817104" w:rsidRDefault="00817104" w:rsidP="00817104">
      <w:pPr>
        <w:pStyle w:val="Bullet1"/>
        <w:numPr>
          <w:ilvl w:val="0"/>
          <w:numId w:val="2"/>
        </w:numPr>
      </w:pPr>
      <w:r>
        <w:t>the AIMS Palliative Care Consultancy Program (PCCP) form will continue to be required to report for accountability and service planning (number of contacts, number of referrals, active episodes, number of episodes opened and closed, and number of patients). The department will review in 2026–27 the ongoing requirement for the AIMS PCCP form</w:t>
      </w:r>
    </w:p>
    <w:p w14:paraId="0F524159" w14:textId="77777777" w:rsidR="00817104" w:rsidRDefault="00817104" w:rsidP="00817104">
      <w:pPr>
        <w:pStyle w:val="Bullet1"/>
        <w:numPr>
          <w:ilvl w:val="0"/>
          <w:numId w:val="2"/>
        </w:numPr>
      </w:pPr>
      <w:r>
        <w:t>palliative care consultancy teams are to work closely with costing personnel in their service so that their activity is correctly recorded and apportioned within the service, and appropriately captured and attributed in the VCDC.</w:t>
      </w:r>
    </w:p>
    <w:p w14:paraId="61A1ABD4" w14:textId="77777777" w:rsidR="00817104" w:rsidRDefault="00817104" w:rsidP="00817104">
      <w:pPr>
        <w:pStyle w:val="Heading3"/>
        <w:numPr>
          <w:ilvl w:val="2"/>
          <w:numId w:val="0"/>
        </w:numPr>
        <w:tabs>
          <w:tab w:val="num" w:pos="794"/>
        </w:tabs>
        <w:ind w:left="1134" w:hanging="1134"/>
      </w:pPr>
      <w:r>
        <w:t>18.2.6</w:t>
      </w:r>
      <w:r>
        <w:tab/>
        <w:t>Statewide consultancy services</w:t>
      </w:r>
    </w:p>
    <w:p w14:paraId="1249BC36" w14:textId="77777777" w:rsidR="00817104" w:rsidRDefault="00817104" w:rsidP="00817104">
      <w:pPr>
        <w:pStyle w:val="Body"/>
      </w:pPr>
      <w:r>
        <w:t>A range of statewide services are funded to provide specialist advice in relation to particular diagnoses or population groups, including:</w:t>
      </w:r>
    </w:p>
    <w:p w14:paraId="31C60F14" w14:textId="77777777" w:rsidR="00817104" w:rsidRDefault="00817104" w:rsidP="00817104">
      <w:pPr>
        <w:pStyle w:val="Bullet1"/>
        <w:numPr>
          <w:ilvl w:val="0"/>
          <w:numId w:val="2"/>
        </w:numPr>
      </w:pPr>
      <w:r>
        <w:t>the Victorian Paediatric Palliative Care Program</w:t>
      </w:r>
    </w:p>
    <w:p w14:paraId="163D333B" w14:textId="77777777" w:rsidR="00817104" w:rsidRDefault="00817104" w:rsidP="00817104">
      <w:pPr>
        <w:pStyle w:val="Bullet1"/>
        <w:numPr>
          <w:ilvl w:val="0"/>
          <w:numId w:val="2"/>
        </w:numPr>
      </w:pPr>
      <w:r>
        <w:t>Very Special Kids</w:t>
      </w:r>
    </w:p>
    <w:p w14:paraId="44E3246B" w14:textId="77777777" w:rsidR="00817104" w:rsidRDefault="00817104" w:rsidP="00817104">
      <w:pPr>
        <w:pStyle w:val="Bullet1"/>
        <w:numPr>
          <w:ilvl w:val="0"/>
          <w:numId w:val="2"/>
        </w:numPr>
      </w:pPr>
      <w:r>
        <w:lastRenderedPageBreak/>
        <w:t>the Statewide Specialist Bereavement Service provided through Grief Australia</w:t>
      </w:r>
    </w:p>
    <w:p w14:paraId="58F8E95F" w14:textId="77777777" w:rsidR="00817104" w:rsidRDefault="00817104" w:rsidP="00817104">
      <w:pPr>
        <w:pStyle w:val="Bullet1"/>
        <w:numPr>
          <w:ilvl w:val="0"/>
          <w:numId w:val="2"/>
        </w:numPr>
      </w:pPr>
      <w:r>
        <w:t>MND Victoria.</w:t>
      </w:r>
    </w:p>
    <w:p w14:paraId="601DCCCF" w14:textId="77777777" w:rsidR="00817104" w:rsidRDefault="00817104" w:rsidP="00817104">
      <w:pPr>
        <w:pStyle w:val="Heading4"/>
      </w:pPr>
      <w:r>
        <w:t>Reporting requirements</w:t>
      </w:r>
    </w:p>
    <w:p w14:paraId="7246FF3B" w14:textId="77777777" w:rsidR="00817104" w:rsidRDefault="00817104" w:rsidP="00817104">
      <w:pPr>
        <w:pStyle w:val="Body"/>
      </w:pPr>
      <w:r>
        <w:t xml:space="preserve">Statewide palliative care </w:t>
      </w:r>
      <w:r w:rsidRPr="003D7B73">
        <w:t>services are to report patient-level data to the VINAH MDS or the NADC (</w:t>
      </w:r>
      <w:r w:rsidRPr="005D2ED4">
        <w:t xml:space="preserve">see </w:t>
      </w:r>
      <w:hyperlink w:anchor="_Key_systems" w:history="1">
        <w:r w:rsidRPr="005D2ED4">
          <w:rPr>
            <w:rStyle w:val="Hyperlink"/>
          </w:rPr>
          <w:t>section 29.1</w:t>
        </w:r>
      </w:hyperlink>
      <w:r w:rsidRPr="003D7B73">
        <w:t>).</w:t>
      </w:r>
    </w:p>
    <w:p w14:paraId="28BA7910" w14:textId="77777777" w:rsidR="00817104" w:rsidRPr="00A6488C" w:rsidRDefault="00817104" w:rsidP="00817104">
      <w:pPr>
        <w:pStyle w:val="Body"/>
      </w:pPr>
      <w:r w:rsidRPr="00A6488C">
        <w:t>The AIMS PCCP form will continue to be required to report for accountability and service planning (number of contacts, number of referrals, active episodes, number of episodes opened and closed, and number of patients). The department will review in 2026–27 the ongoing requirement for the AIMS PCCP form.</w:t>
      </w:r>
    </w:p>
    <w:p w14:paraId="14C333C1" w14:textId="77777777" w:rsidR="00817104" w:rsidRDefault="00817104" w:rsidP="00817104">
      <w:pPr>
        <w:pStyle w:val="Body"/>
      </w:pPr>
      <w:r>
        <w:t>Only health services not reporting data to the VINAH MDS must continue reporting aggregate data for 2026–27 using the AIMS S11 form (ceased for all other services in 2025–26).</w:t>
      </w:r>
    </w:p>
    <w:p w14:paraId="1FA53DE5" w14:textId="77777777" w:rsidR="00817104" w:rsidRDefault="00817104" w:rsidP="00817104">
      <w:pPr>
        <w:pStyle w:val="Body"/>
      </w:pPr>
      <w:r>
        <w:t xml:space="preserve">For more information about palliative care consultancy services, including the Victorian Paediatric Palliative Care Program, visit the </w:t>
      </w:r>
      <w:hyperlink r:id="rId264">
        <w:r w:rsidRPr="0670E279">
          <w:rPr>
            <w:rStyle w:val="Hyperlink"/>
          </w:rPr>
          <w:t>Palliative Care Program</w:t>
        </w:r>
      </w:hyperlink>
      <w:r>
        <w:t xml:space="preserve"> &lt;https://www.health.vic.gov.au/patient-care/palliative-care-program&gt;.</w:t>
      </w:r>
    </w:p>
    <w:p w14:paraId="2144384F" w14:textId="77777777" w:rsidR="00817104" w:rsidRDefault="00817104" w:rsidP="00817104">
      <w:pPr>
        <w:pStyle w:val="Heading3"/>
        <w:numPr>
          <w:ilvl w:val="2"/>
          <w:numId w:val="0"/>
        </w:numPr>
        <w:tabs>
          <w:tab w:val="num" w:pos="794"/>
        </w:tabs>
        <w:ind w:left="1134" w:hanging="1134"/>
      </w:pPr>
      <w:r>
        <w:t>18.2.7</w:t>
      </w:r>
      <w:r>
        <w:tab/>
      </w:r>
      <w:r w:rsidRPr="00220AA4">
        <w:t>Palliative</w:t>
      </w:r>
      <w:r>
        <w:t xml:space="preserve"> care consortia</w:t>
      </w:r>
    </w:p>
    <w:p w14:paraId="5130F86E" w14:textId="77777777" w:rsidR="00817104" w:rsidRDefault="00817104" w:rsidP="00817104">
      <w:pPr>
        <w:pStyle w:val="Body"/>
      </w:pPr>
      <w:r>
        <w:t xml:space="preserve">Palliative care consortia support the department and service providers across the state to implement the actions and embed the priority directions laid out in </w:t>
      </w:r>
      <w:r w:rsidRPr="00F5457B">
        <w:t>Victoria’s Palliative and End-of-Life Care Framework 2026–2036</w:t>
      </w:r>
      <w:r>
        <w:t>. The consortia play an important role in regional education and training activities, and linking palliative care into the regional health and community care system.</w:t>
      </w:r>
    </w:p>
    <w:p w14:paraId="5EB7639C" w14:textId="77777777" w:rsidR="00817104" w:rsidRDefault="00817104" w:rsidP="00817104">
      <w:pPr>
        <w:pStyle w:val="Body"/>
      </w:pPr>
      <w:r>
        <w:t>Each consortium receives funding to support the manager role and contribute to consortium activities. One member organisation of each consortium acts as the fund holder, noting that:</w:t>
      </w:r>
    </w:p>
    <w:p w14:paraId="3C7534BC" w14:textId="77777777" w:rsidR="00817104" w:rsidRPr="009C3886" w:rsidRDefault="00817104" w:rsidP="00817104">
      <w:pPr>
        <w:pStyle w:val="Bullet1"/>
        <w:numPr>
          <w:ilvl w:val="0"/>
          <w:numId w:val="2"/>
        </w:numPr>
      </w:pPr>
      <w:r>
        <w:t>all funding grants for consortia are allocated to the nominated fund holder organisations</w:t>
      </w:r>
    </w:p>
    <w:p w14:paraId="7774DAB3" w14:textId="77777777" w:rsidR="00817104" w:rsidRPr="009C3886" w:rsidRDefault="00817104" w:rsidP="00817104">
      <w:pPr>
        <w:pStyle w:val="Bullet1"/>
        <w:numPr>
          <w:ilvl w:val="0"/>
          <w:numId w:val="2"/>
        </w:numPr>
      </w:pPr>
      <w:r>
        <w:t>each Consortium Executive Committee is responsible for allocating funds to consortium activities in its region.</w:t>
      </w:r>
    </w:p>
    <w:p w14:paraId="58F6ED07" w14:textId="77777777" w:rsidR="00817104" w:rsidRDefault="00817104" w:rsidP="00817104">
      <w:pPr>
        <w:pStyle w:val="Bodyafterbullets"/>
      </w:pPr>
      <w:r>
        <w:t>Each consortium is required to submit an annual report to the department before 30 September 2026. The report should outline their key achievements and activities for 2025–26 and include a financial statement that accounts for expenditure throughout the financial year.</w:t>
      </w:r>
    </w:p>
    <w:p w14:paraId="13F003E1" w14:textId="77777777" w:rsidR="00817104" w:rsidRDefault="00817104" w:rsidP="00817104">
      <w:pPr>
        <w:pStyle w:val="Bodyafterbullets"/>
      </w:pPr>
      <w:r w:rsidRPr="00D635C3">
        <w:t>With the establishment of the Local Health Service Networks, the department will revisit the role of consortia so that people continue to receive consistently well-planned care closer to home that reflects both local needs and statewide priorities.</w:t>
      </w:r>
    </w:p>
    <w:p w14:paraId="79D19C83" w14:textId="77777777" w:rsidR="00817104" w:rsidRPr="005A77EB" w:rsidRDefault="00817104" w:rsidP="00817104">
      <w:pPr>
        <w:pStyle w:val="Bodyafterbullets"/>
      </w:pPr>
      <w:r>
        <w:t xml:space="preserve">For more information about palliative care consortia, visit the </w:t>
      </w:r>
      <w:hyperlink r:id="rId265">
        <w:r w:rsidRPr="0670E279">
          <w:rPr>
            <w:rStyle w:val="Hyperlink"/>
          </w:rPr>
          <w:t>Palliative Care Program</w:t>
        </w:r>
      </w:hyperlink>
      <w:r>
        <w:t xml:space="preserve"> &lt;https://www.health.vic.gov.au/patient-care/palliative-care-program&gt;.</w:t>
      </w:r>
    </w:p>
    <w:p w14:paraId="796E3C41" w14:textId="77777777" w:rsidR="00817104" w:rsidRPr="005A77EB" w:rsidRDefault="00817104" w:rsidP="00817104">
      <w:pPr>
        <w:pStyle w:val="Heading3"/>
        <w:numPr>
          <w:ilvl w:val="2"/>
          <w:numId w:val="0"/>
        </w:numPr>
        <w:tabs>
          <w:tab w:val="num" w:pos="794"/>
        </w:tabs>
        <w:ind w:left="1134" w:hanging="1134"/>
      </w:pPr>
      <w:r>
        <w:t>18.2.8</w:t>
      </w:r>
      <w:r>
        <w:tab/>
        <w:t>Victorian Artificial Limb Program</w:t>
      </w:r>
    </w:p>
    <w:p w14:paraId="150A94C2" w14:textId="77777777" w:rsidR="00817104" w:rsidRDefault="00817104" w:rsidP="00817104">
      <w:pPr>
        <w:pStyle w:val="Body"/>
      </w:pPr>
      <w:r>
        <w:t>Victorian Artificial Limb Program services must report as a non-admitted subacute service to the VINAH MDS. Health services not reporting data to the VINAH MDS must continue reporting aggregate data for 2026–27 using the AIMS S11 form.</w:t>
      </w:r>
      <w:r w:rsidRPr="00987F07">
        <w:t xml:space="preserve"> </w:t>
      </w:r>
    </w:p>
    <w:p w14:paraId="51F995CA" w14:textId="77777777" w:rsidR="00817104" w:rsidRDefault="00817104" w:rsidP="00817104">
      <w:pPr>
        <w:pStyle w:val="Body"/>
      </w:pPr>
      <w:r>
        <w:t>Hospitals are expected to report patient-level cost data (or aggregate where patient-level cannot be obtained) for all Victorian Artificial Limb Program activity to the VCDC.</w:t>
      </w:r>
    </w:p>
    <w:p w14:paraId="6EF452E0" w14:textId="77777777" w:rsidR="00817104" w:rsidRDefault="00817104" w:rsidP="00817104">
      <w:pPr>
        <w:pStyle w:val="Bodyafterbullets"/>
      </w:pPr>
      <w:r>
        <w:t xml:space="preserve">People accessing the Victorian Artificial Limb Program service and equipment may be eligible for the NDIS. Health services are expected to identify NDIS participants, or those eligible to become </w:t>
      </w:r>
      <w:r>
        <w:lastRenderedPageBreak/>
        <w:t>participants, who are accessing their Victorian Artificial Limb Program services, and ensure NDIS-eligible activity and equipment is billed to the NDIS.</w:t>
      </w:r>
    </w:p>
    <w:p w14:paraId="2E1C5C2E" w14:textId="77777777" w:rsidR="00817104" w:rsidRDefault="00817104" w:rsidP="00817104">
      <w:pPr>
        <w:pStyle w:val="Heading3"/>
        <w:numPr>
          <w:ilvl w:val="2"/>
          <w:numId w:val="0"/>
        </w:numPr>
        <w:tabs>
          <w:tab w:val="num" w:pos="794"/>
        </w:tabs>
        <w:ind w:left="1134" w:hanging="1134"/>
      </w:pPr>
      <w:r>
        <w:t>18.2.9</w:t>
      </w:r>
      <w:r>
        <w:tab/>
        <w:t xml:space="preserve">Victorian Respiratory </w:t>
      </w:r>
      <w:r w:rsidRPr="00FA2E64">
        <w:t>Support</w:t>
      </w:r>
      <w:r>
        <w:t xml:space="preserve"> Service</w:t>
      </w:r>
    </w:p>
    <w:p w14:paraId="11090D7B" w14:textId="77777777" w:rsidR="00817104" w:rsidRDefault="00817104" w:rsidP="00817104">
      <w:pPr>
        <w:pStyle w:val="Body"/>
      </w:pPr>
      <w:r>
        <w:t>The Victorian Respiratory Support Service is required to report contacts to the VINAH MDS. Only health services not reporting data to the VINAH MDS must continue reporting aggregate data for 2026–27 using AIMS S11 and S12.</w:t>
      </w:r>
    </w:p>
    <w:p w14:paraId="2356E713" w14:textId="77777777" w:rsidR="00817104" w:rsidRDefault="00817104" w:rsidP="00817104">
      <w:pPr>
        <w:pStyle w:val="Body"/>
      </w:pPr>
      <w:r>
        <w:t>Health services are expected to report patient-level cost data (or aggregate where patient-level cannot be obtained) for all Victorian Respiratory Support Service activity to the VCDC.</w:t>
      </w:r>
    </w:p>
    <w:p w14:paraId="57EB9101" w14:textId="77777777" w:rsidR="00817104" w:rsidRDefault="00817104" w:rsidP="00817104">
      <w:pPr>
        <w:pStyle w:val="Heading3"/>
        <w:numPr>
          <w:ilvl w:val="2"/>
          <w:numId w:val="0"/>
        </w:numPr>
        <w:tabs>
          <w:tab w:val="num" w:pos="794"/>
        </w:tabs>
        <w:ind w:left="1134" w:hanging="1134"/>
      </w:pPr>
      <w:r>
        <w:t>18.2.10</w:t>
      </w:r>
      <w:r>
        <w:tab/>
        <w:t>Total parenteral nutrition</w:t>
      </w:r>
    </w:p>
    <w:p w14:paraId="0326A9AF" w14:textId="77777777" w:rsidR="00817104" w:rsidRDefault="00817104" w:rsidP="00817104">
      <w:pPr>
        <w:pStyle w:val="Body"/>
      </w:pPr>
      <w:r>
        <w:t>Services providing total parenteral nutrition services for non-admitted consumers who self-administer total parenteral nutrition at home are required to report activity to the VINAH MDS. Health services not reporting data to the VINAH MDS must continue reporting aggregate data for 2026–27 using the AIMS S12 form (ceased for all other services in 2025–26).</w:t>
      </w:r>
    </w:p>
    <w:p w14:paraId="7D485BA3" w14:textId="77777777" w:rsidR="00817104" w:rsidRDefault="00817104" w:rsidP="00817104">
      <w:pPr>
        <w:pStyle w:val="Body"/>
      </w:pPr>
      <w:r>
        <w:t xml:space="preserve">Cost data reported must be reported via the VCDC and should consider the cost of consumables, equipment, maintenance and overheads. It should not include the cost of consultations with a health professional. </w:t>
      </w:r>
    </w:p>
    <w:p w14:paraId="5BF07DD7" w14:textId="77777777" w:rsidR="00817104" w:rsidRDefault="00817104" w:rsidP="00817104">
      <w:pPr>
        <w:pStyle w:val="Body"/>
      </w:pPr>
      <w:r>
        <w:t>Health services should count and report consultations with health professionals separately.</w:t>
      </w:r>
    </w:p>
    <w:p w14:paraId="34189B2A" w14:textId="77777777" w:rsidR="00817104" w:rsidRDefault="00817104" w:rsidP="00817104">
      <w:pPr>
        <w:pStyle w:val="Heading3"/>
        <w:numPr>
          <w:ilvl w:val="2"/>
          <w:numId w:val="0"/>
        </w:numPr>
        <w:tabs>
          <w:tab w:val="num" w:pos="794"/>
        </w:tabs>
        <w:ind w:left="1134" w:hanging="1134"/>
      </w:pPr>
      <w:r>
        <w:t>18.2.11</w:t>
      </w:r>
      <w:r>
        <w:tab/>
        <w:t xml:space="preserve">Home </w:t>
      </w:r>
      <w:r w:rsidRPr="00FA2E64">
        <w:t>enteral</w:t>
      </w:r>
      <w:r>
        <w:t xml:space="preserve"> nutrition</w:t>
      </w:r>
    </w:p>
    <w:p w14:paraId="2F056FFA" w14:textId="77777777" w:rsidR="00817104" w:rsidRDefault="00817104" w:rsidP="00817104">
      <w:pPr>
        <w:pStyle w:val="Body"/>
      </w:pPr>
      <w:r>
        <w:t>Activity is to be reported to the VINAH MDS. Health services not reporting data to the VINAH MDS must continue reporting aggregate data for 2026–27 using the AIMS S12 form</w:t>
      </w:r>
      <w:r w:rsidRPr="00DF343B">
        <w:t xml:space="preserve"> </w:t>
      </w:r>
      <w:r>
        <w:t>(ceased for all other services in 2025–26).</w:t>
      </w:r>
    </w:p>
    <w:p w14:paraId="7EA59BDD" w14:textId="77777777" w:rsidR="00817104" w:rsidRDefault="00817104" w:rsidP="00817104">
      <w:pPr>
        <w:pStyle w:val="Body"/>
      </w:pPr>
      <w:r>
        <w:t xml:space="preserve">Cost data must be reported via the VCDC and should consider the cost of consumables, equipment, maintenance and overheads. It should not include the cost of consultations with a health professional. </w:t>
      </w:r>
    </w:p>
    <w:p w14:paraId="32596984" w14:textId="77777777" w:rsidR="00817104" w:rsidRDefault="00817104" w:rsidP="00817104">
      <w:pPr>
        <w:pStyle w:val="Body"/>
      </w:pPr>
      <w:r>
        <w:t>Health services should count and report consultations with health professionals separately.</w:t>
      </w:r>
    </w:p>
    <w:p w14:paraId="2B31CD16" w14:textId="14ABD4C3" w:rsidR="00817104" w:rsidRPr="005A77EB" w:rsidRDefault="00817104" w:rsidP="00817104">
      <w:pPr>
        <w:pStyle w:val="Heading2"/>
      </w:pPr>
      <w:bookmarkStart w:id="2363" w:name="_Toc165964706"/>
      <w:bookmarkStart w:id="2364" w:name="_Toc167174568"/>
      <w:bookmarkStart w:id="2365" w:name="_Toc229127708"/>
      <w:bookmarkStart w:id="2366" w:name="_Toc231982320"/>
      <w:r>
        <w:t>System improvements</w:t>
      </w:r>
      <w:bookmarkEnd w:id="2363"/>
      <w:bookmarkEnd w:id="2364"/>
      <w:bookmarkEnd w:id="2365"/>
      <w:bookmarkEnd w:id="2366"/>
    </w:p>
    <w:p w14:paraId="3095A08E" w14:textId="77777777" w:rsidR="00817104" w:rsidRDefault="00817104" w:rsidP="00817104">
      <w:pPr>
        <w:pStyle w:val="Heading3"/>
        <w:numPr>
          <w:ilvl w:val="2"/>
          <w:numId w:val="0"/>
        </w:numPr>
        <w:tabs>
          <w:tab w:val="num" w:pos="794"/>
        </w:tabs>
        <w:ind w:left="1134" w:hanging="1134"/>
      </w:pPr>
      <w:r>
        <w:t>18.3.1</w:t>
      </w:r>
      <w:r>
        <w:tab/>
        <w:t xml:space="preserve">Strengthening Hospital </w:t>
      </w:r>
      <w:r w:rsidRPr="00FA2E64">
        <w:t>Responses</w:t>
      </w:r>
      <w:r>
        <w:t xml:space="preserve"> to Family Violence </w:t>
      </w:r>
    </w:p>
    <w:p w14:paraId="773D4013" w14:textId="77777777" w:rsidR="00817104" w:rsidRDefault="00817104" w:rsidP="00817104">
      <w:pPr>
        <w:pStyle w:val="Body"/>
        <w:rPr>
          <w:rFonts w:eastAsia="Arial" w:cs="Arial"/>
          <w:szCs w:val="21"/>
        </w:rPr>
      </w:pPr>
      <w:r w:rsidRPr="00315B73">
        <w:t>Prescribed health services</w:t>
      </w:r>
      <w:r>
        <w:t xml:space="preserve"> are expected to embed a whole-of-hospital model for responding to family violence to meet the requirements of the </w:t>
      </w:r>
      <w:r w:rsidRPr="00BB336B">
        <w:t>Child Information Sharing Scheme</w:t>
      </w:r>
      <w:r>
        <w:t xml:space="preserve"> (</w:t>
      </w:r>
      <w:r w:rsidRPr="002D23AC">
        <w:t>CISS</w:t>
      </w:r>
      <w:r>
        <w:t xml:space="preserve">) and the </w:t>
      </w:r>
      <w:r w:rsidRPr="00BB336B">
        <w:t xml:space="preserve">Family Violence Information Sharing Scheme </w:t>
      </w:r>
      <w:r>
        <w:t>(</w:t>
      </w:r>
      <w:r w:rsidRPr="002714FC">
        <w:t>FVISS</w:t>
      </w:r>
      <w:r>
        <w:t xml:space="preserve">), and align to the </w:t>
      </w:r>
      <w:r w:rsidRPr="00D54511">
        <w:t>Family Violence Multi-Agency Risk Assessment and Management Framework</w:t>
      </w:r>
      <w:r>
        <w:t xml:space="preserve"> (MARAM) </w:t>
      </w:r>
    </w:p>
    <w:p w14:paraId="03D0069A" w14:textId="77777777" w:rsidR="00817104" w:rsidRPr="0063387C" w:rsidRDefault="00817104" w:rsidP="00817104">
      <w:pPr>
        <w:pStyle w:val="Body"/>
      </w:pPr>
      <w:r>
        <w:t xml:space="preserve">The Royal Women’s Hospital and Bendigo Health are the statewide leads for the Strengthening Hospital </w:t>
      </w:r>
      <w:r w:rsidRPr="00FA2E64">
        <w:t>Responses</w:t>
      </w:r>
      <w:r>
        <w:t xml:space="preserve"> to Family Violence (SHRFV) initiative in 2026–2027. SHRFV statewide leads will work to embed the SHRFV initiative at their health services and build partnerships to support other health services in the region to implement the SHRFV whole-of-hospital service model to meet the requirements of FVISS and CISS and align to MARAM. </w:t>
      </w:r>
    </w:p>
    <w:p w14:paraId="5E99F26C" w14:textId="77777777" w:rsidR="00817104" w:rsidRPr="0063387C" w:rsidRDefault="00817104" w:rsidP="00817104">
      <w:pPr>
        <w:pStyle w:val="Body"/>
      </w:pPr>
      <w:r>
        <w:lastRenderedPageBreak/>
        <w:t>SHRFV statewide leads are required to promote access to appropriate training and resources for the health services they support. Public-funded hospitals are expected to actively participate in the SHRFV community of practice, and provide quarterly data to SHRFV and the department, as part of the program reporting requirements.</w:t>
      </w:r>
    </w:p>
    <w:p w14:paraId="52F60714" w14:textId="77777777" w:rsidR="00817104" w:rsidRPr="0063387C" w:rsidRDefault="00817104" w:rsidP="00817104">
      <w:pPr>
        <w:pStyle w:val="Body"/>
      </w:pPr>
      <w:r>
        <w:t xml:space="preserve">SHRFV statewide lead health services are required to actively mentor health services they support to roll out and embed FVISS, CISS and MARAM reforms, inclusive of the family violence workplace support. They are also required to report funding expenditure on a biannual basis to the department and to acquit SHRFV funds at the end of the financial year. </w:t>
      </w:r>
    </w:p>
    <w:p w14:paraId="437A6F0B" w14:textId="77777777" w:rsidR="00817104" w:rsidRDefault="00817104" w:rsidP="00817104">
      <w:pPr>
        <w:pStyle w:val="Body"/>
      </w:pPr>
      <w:r w:rsidRPr="0063387C">
        <w:t>For more information, visit</w:t>
      </w:r>
      <w:r>
        <w:t>:</w:t>
      </w:r>
    </w:p>
    <w:p w14:paraId="4B02DE99" w14:textId="77777777" w:rsidR="00817104" w:rsidRDefault="00817104" w:rsidP="00817104">
      <w:pPr>
        <w:pStyle w:val="Bullet1"/>
        <w:numPr>
          <w:ilvl w:val="0"/>
          <w:numId w:val="2"/>
        </w:numPr>
      </w:pPr>
      <w:hyperlink r:id="rId266" w:history="1">
        <w:r w:rsidRPr="008B7A6E">
          <w:rPr>
            <w:rStyle w:val="Hyperlink"/>
          </w:rPr>
          <w:t>CISS</w:t>
        </w:r>
      </w:hyperlink>
      <w:r>
        <w:t xml:space="preserve"> &lt;</w:t>
      </w:r>
      <w:r w:rsidRPr="00315B73">
        <w:t>https://www.vic.gov.au/child-information-sharing-scheme</w:t>
      </w:r>
      <w:r>
        <w:t>&gt;</w:t>
      </w:r>
    </w:p>
    <w:p w14:paraId="4822791C" w14:textId="77777777" w:rsidR="00817104" w:rsidRDefault="00817104" w:rsidP="00817104">
      <w:pPr>
        <w:pStyle w:val="Bullet1"/>
        <w:numPr>
          <w:ilvl w:val="0"/>
          <w:numId w:val="2"/>
        </w:numPr>
      </w:pPr>
      <w:hyperlink r:id="rId267" w:history="1">
        <w:r w:rsidRPr="00197725">
          <w:rPr>
            <w:rStyle w:val="Hyperlink"/>
          </w:rPr>
          <w:t>FVISS</w:t>
        </w:r>
      </w:hyperlink>
      <w:r>
        <w:t xml:space="preserve"> &lt;</w:t>
      </w:r>
      <w:r w:rsidRPr="00315B73">
        <w:t>https://www.vic.gov.au/family-violence-information-sharing-scheme</w:t>
      </w:r>
      <w:r>
        <w:t>&gt;</w:t>
      </w:r>
    </w:p>
    <w:p w14:paraId="6D8D05BB" w14:textId="77777777" w:rsidR="00817104" w:rsidRDefault="00817104" w:rsidP="00817104">
      <w:pPr>
        <w:pStyle w:val="Bullet1"/>
        <w:numPr>
          <w:ilvl w:val="0"/>
          <w:numId w:val="2"/>
        </w:numPr>
      </w:pPr>
      <w:hyperlink r:id="rId268" w:history="1">
        <w:r w:rsidRPr="002714FC">
          <w:rPr>
            <w:rStyle w:val="Hyperlink"/>
          </w:rPr>
          <w:t>MARAM</w:t>
        </w:r>
      </w:hyperlink>
      <w:r>
        <w:t xml:space="preserve"> &lt;https://www.vic.gov.au/family-violence-multi-agency-risk-assessment-and-management&gt;</w:t>
      </w:r>
    </w:p>
    <w:p w14:paraId="5621B99D" w14:textId="77777777" w:rsidR="00817104" w:rsidRDefault="00817104" w:rsidP="00817104">
      <w:pPr>
        <w:pStyle w:val="Bullet1"/>
        <w:numPr>
          <w:ilvl w:val="0"/>
          <w:numId w:val="2"/>
        </w:numPr>
      </w:pPr>
      <w:hyperlink r:id="rId269">
        <w:r w:rsidRPr="0063387C">
          <w:rPr>
            <w:rStyle w:val="Hyperlink"/>
          </w:rPr>
          <w:t>Information sharing and MARAM reforms</w:t>
        </w:r>
      </w:hyperlink>
      <w:r w:rsidRPr="0063387C">
        <w:t xml:space="preserve"> &lt;</w:t>
      </w:r>
      <w:hyperlink r:id="rId270">
        <w:r w:rsidRPr="0063387C">
          <w:rPr>
            <w:rStyle w:val="Hyperlink"/>
            <w:color w:val="auto"/>
            <w:u w:val="none"/>
          </w:rPr>
          <w:t>https://www.vic.gov.au/information-sharing-schemes-and-the-maram-framework</w:t>
        </w:r>
      </w:hyperlink>
      <w:r w:rsidRPr="0063387C">
        <w:t>&gt;</w:t>
      </w:r>
    </w:p>
    <w:p w14:paraId="66DA9E6A" w14:textId="77777777" w:rsidR="00817104" w:rsidRDefault="00817104" w:rsidP="00817104">
      <w:pPr>
        <w:pStyle w:val="Bullet1"/>
        <w:numPr>
          <w:ilvl w:val="0"/>
          <w:numId w:val="2"/>
        </w:numPr>
      </w:pPr>
      <w:hyperlink r:id="rId271" w:history="1">
        <w:r>
          <w:rPr>
            <w:rStyle w:val="Hyperlink"/>
          </w:rPr>
          <w:t>Appendix 1: P</w:t>
        </w:r>
        <w:r w:rsidRPr="00E46D7D">
          <w:rPr>
            <w:rStyle w:val="Hyperlink"/>
          </w:rPr>
          <w:t xml:space="preserve">rescribed </w:t>
        </w:r>
        <w:r>
          <w:rPr>
            <w:rStyle w:val="Hyperlink"/>
          </w:rPr>
          <w:t>organisations</w:t>
        </w:r>
      </w:hyperlink>
      <w:r>
        <w:t xml:space="preserve"> &lt;https://www.vic.gov.au/report-implementation-family-violence-risk-assessment-and-management-framework-2021-22/appendix-1&gt;</w:t>
      </w:r>
    </w:p>
    <w:p w14:paraId="6BFC354D" w14:textId="77777777" w:rsidR="00817104" w:rsidRPr="0063387C" w:rsidRDefault="00817104" w:rsidP="00817104">
      <w:pPr>
        <w:pStyle w:val="Bullet1"/>
        <w:numPr>
          <w:ilvl w:val="0"/>
          <w:numId w:val="2"/>
        </w:numPr>
      </w:pPr>
      <w:hyperlink r:id="rId272">
        <w:r w:rsidRPr="00FA6FD6">
          <w:rPr>
            <w:rStyle w:val="Hyperlink"/>
          </w:rPr>
          <w:t>SHRFV Tool Kit</w:t>
        </w:r>
      </w:hyperlink>
      <w:r>
        <w:t xml:space="preserve"> &lt;https://www.thewomens.org.au/health-professionals/clinical-resources/strengthening-hospitals-response-to-family-violence&gt; to access the SHRFV Tool Kit.</w:t>
      </w:r>
    </w:p>
    <w:p w14:paraId="4595C149" w14:textId="77777777" w:rsidR="00817104" w:rsidRDefault="00817104" w:rsidP="00817104">
      <w:pPr>
        <w:pStyle w:val="Heading3"/>
        <w:numPr>
          <w:ilvl w:val="2"/>
          <w:numId w:val="0"/>
        </w:numPr>
        <w:tabs>
          <w:tab w:val="num" w:pos="794"/>
        </w:tabs>
        <w:ind w:left="1134" w:hanging="1134"/>
      </w:pPr>
      <w:r>
        <w:t>18.3.2</w:t>
      </w:r>
      <w:r>
        <w:tab/>
        <w:t xml:space="preserve">Prevent and </w:t>
      </w:r>
      <w:r w:rsidRPr="00D57776">
        <w:t>respond</w:t>
      </w:r>
      <w:r>
        <w:t xml:space="preserve"> to risks of occupational violence and aggression, and bullying and harassment</w:t>
      </w:r>
    </w:p>
    <w:p w14:paraId="1D24E02B" w14:textId="77777777" w:rsidR="00817104" w:rsidRPr="00D57776" w:rsidRDefault="00817104" w:rsidP="00817104">
      <w:pPr>
        <w:pStyle w:val="Body"/>
      </w:pPr>
      <w:r w:rsidRPr="0063387C">
        <w:t xml:space="preserve">All funded organisations are responsible for the </w:t>
      </w:r>
      <w:r>
        <w:t xml:space="preserve">physical and psychological </w:t>
      </w:r>
      <w:r w:rsidRPr="0063387C">
        <w:t xml:space="preserve">safety of their staff, patients and visitors. Funded organisations must have the systems and processes in place to enable them to identify, assess and control occupational health and safety risks, in accordance with their obligations under the </w:t>
      </w:r>
      <w:r w:rsidRPr="00843484">
        <w:rPr>
          <w:i/>
          <w:iCs/>
        </w:rPr>
        <w:t>Occupational Health and Safety Act (2004).</w:t>
      </w:r>
    </w:p>
    <w:p w14:paraId="2AB89283" w14:textId="77777777" w:rsidR="00817104" w:rsidRPr="0063387C" w:rsidRDefault="00817104" w:rsidP="00817104">
      <w:pPr>
        <w:pStyle w:val="Body"/>
      </w:pPr>
      <w:r>
        <w:t>The department will continue to work with health services in 2026–27 to implement strategies to better predict, prevent and respond to risks of occupational violence and aggression, and bullying and harassment.</w:t>
      </w:r>
    </w:p>
    <w:p w14:paraId="05D96A9C" w14:textId="77777777" w:rsidR="00817104" w:rsidRDefault="00817104" w:rsidP="00817104">
      <w:pPr>
        <w:pStyle w:val="Body"/>
      </w:pPr>
      <w:r>
        <w:t xml:space="preserve">For more information about these strategies, visit </w:t>
      </w:r>
      <w:hyperlink r:id="rId273">
        <w:r w:rsidRPr="5229941D">
          <w:rPr>
            <w:rStyle w:val="Hyperlink"/>
          </w:rPr>
          <w:t xml:space="preserve">Worker </w:t>
        </w:r>
        <w:bookmarkStart w:id="2367" w:name="_Hlt227762621"/>
        <w:bookmarkEnd w:id="2367"/>
        <w:r w:rsidRPr="5229941D">
          <w:rPr>
            <w:rStyle w:val="Hyperlink"/>
          </w:rPr>
          <w:t>health and wellbeing in Victorian health services</w:t>
        </w:r>
      </w:hyperlink>
      <w:r>
        <w:t xml:space="preserve"> &lt;https://www.health.vic.gov.au/health-workforce/worker-health-and-wellbeing-in-victorian-health-services&gt;. Health services are expected to regularly refer to this information.</w:t>
      </w:r>
    </w:p>
    <w:p w14:paraId="00DB8CF0" w14:textId="77777777" w:rsidR="00817104" w:rsidRDefault="00817104" w:rsidP="00817104">
      <w:pPr>
        <w:pStyle w:val="Body"/>
      </w:pPr>
      <w:r>
        <w:t>They are also expected to implement and align with the guidance and resources, including the:</w:t>
      </w:r>
    </w:p>
    <w:p w14:paraId="01BA7163" w14:textId="77777777" w:rsidR="00817104" w:rsidRDefault="00817104" w:rsidP="00817104">
      <w:pPr>
        <w:pStyle w:val="Bullet1"/>
        <w:numPr>
          <w:ilvl w:val="0"/>
          <w:numId w:val="2"/>
        </w:numPr>
      </w:pPr>
      <w:hyperlink r:id="rId274" w:history="1">
        <w:r w:rsidRPr="001A1792">
          <w:rPr>
            <w:rStyle w:val="Hyperlink"/>
            <w:i/>
            <w:iCs/>
          </w:rPr>
          <w:t>Framework for preventing and managing occupational violence and aggression</w:t>
        </w:r>
      </w:hyperlink>
      <w:r w:rsidRPr="001A1792">
        <w:rPr>
          <w:i/>
          <w:iCs/>
        </w:rPr>
        <w:t xml:space="preserve"> </w:t>
      </w:r>
      <w:r>
        <w:t>&lt;</w:t>
      </w:r>
      <w:r w:rsidRPr="00214B81">
        <w:t>https://www.health.vic.gov.au/publications/framework-for-preventing-and-managing-occupational-violence-and-aggression-2017</w:t>
      </w:r>
      <w:r>
        <w:t>&gt;, as well as minimum standards for training and security</w:t>
      </w:r>
    </w:p>
    <w:p w14:paraId="689C9E28" w14:textId="77777777" w:rsidR="00817104" w:rsidRPr="00D57776" w:rsidRDefault="00817104" w:rsidP="00817104">
      <w:pPr>
        <w:pStyle w:val="Bullet1"/>
        <w:numPr>
          <w:ilvl w:val="0"/>
          <w:numId w:val="2"/>
        </w:numPr>
      </w:pPr>
      <w:hyperlink r:id="rId275" w:history="1">
        <w:r w:rsidRPr="001A1792">
          <w:rPr>
            <w:rStyle w:val="Hyperlink"/>
            <w:i/>
            <w:iCs/>
          </w:rPr>
          <w:t>Framework for promoting a positive workplace culture: preventing bullying, harassment and discrimination in health services</w:t>
        </w:r>
      </w:hyperlink>
      <w:r>
        <w:t xml:space="preserve"> &lt;</w:t>
      </w:r>
      <w:r w:rsidRPr="006B223D">
        <w:t>https://www.health.vic.gov.au/publications/framework-for-promoting-a-positive-workplace-culture-preventing-bullying-harassment</w:t>
      </w:r>
      <w:r>
        <w:t xml:space="preserve">&gt; </w:t>
      </w:r>
    </w:p>
    <w:p w14:paraId="5B6C5CE6" w14:textId="77777777" w:rsidR="00817104" w:rsidRPr="00D57776" w:rsidRDefault="00817104" w:rsidP="00817104">
      <w:pPr>
        <w:pStyle w:val="Bodyafterbullets"/>
      </w:pPr>
      <w:r>
        <w:t>The department requires that all Victorian public health services undertake the Victorian Public Sector Commission’s People Matter Survey in 2027, including the ‘Negative behaviour’ section. </w:t>
      </w:r>
    </w:p>
    <w:p w14:paraId="6734D884" w14:textId="77777777" w:rsidR="00817104" w:rsidRPr="00D57776" w:rsidRDefault="00817104" w:rsidP="00817104">
      <w:pPr>
        <w:pStyle w:val="Body"/>
      </w:pPr>
      <w:r>
        <w:lastRenderedPageBreak/>
        <w:t>Health services must publicly report all incidents of occupational violence and aggression in their annual report. The department will continue to work with health services and boards in 2026–27 to improve reporting and support risk management. </w:t>
      </w:r>
    </w:p>
    <w:p w14:paraId="71632E8B" w14:textId="77777777" w:rsidR="00817104" w:rsidRPr="0000419C" w:rsidRDefault="00817104" w:rsidP="00817104">
      <w:pPr>
        <w:pStyle w:val="Heading3"/>
        <w:numPr>
          <w:ilvl w:val="2"/>
          <w:numId w:val="0"/>
        </w:numPr>
        <w:tabs>
          <w:tab w:val="num" w:pos="794"/>
        </w:tabs>
        <w:ind w:left="1134" w:hanging="1134"/>
      </w:pPr>
      <w:r>
        <w:t>18.3.3</w:t>
      </w:r>
      <w:r>
        <w:tab/>
        <w:t xml:space="preserve">Medical treatment </w:t>
      </w:r>
      <w:r w:rsidRPr="00D57776">
        <w:t>planning</w:t>
      </w:r>
      <w:r>
        <w:t xml:space="preserve"> and decisions, and advance care planning</w:t>
      </w:r>
    </w:p>
    <w:p w14:paraId="04FD8E99" w14:textId="77777777" w:rsidR="00817104" w:rsidRDefault="00817104" w:rsidP="00817104">
      <w:pPr>
        <w:pStyle w:val="Body"/>
      </w:pPr>
      <w:bookmarkStart w:id="2368" w:name="_Toc165461743"/>
      <w:bookmarkStart w:id="2369" w:name="_Toc165461744"/>
      <w:bookmarkStart w:id="2370" w:name="_Toc165461745"/>
      <w:bookmarkStart w:id="2371" w:name="_Toc165461746"/>
      <w:bookmarkStart w:id="2372" w:name="_Toc165461747"/>
      <w:bookmarkStart w:id="2373" w:name="_Toc165461748"/>
      <w:bookmarkStart w:id="2374" w:name="_Toc165461749"/>
      <w:bookmarkStart w:id="2375" w:name="_Toc165461750"/>
      <w:bookmarkStart w:id="2376" w:name="_Toc165964707"/>
      <w:bookmarkStart w:id="2377" w:name="_Toc167174569"/>
      <w:bookmarkEnd w:id="2368"/>
      <w:bookmarkEnd w:id="2369"/>
      <w:bookmarkEnd w:id="2370"/>
      <w:bookmarkEnd w:id="2371"/>
      <w:bookmarkEnd w:id="2372"/>
      <w:bookmarkEnd w:id="2373"/>
      <w:bookmarkEnd w:id="2374"/>
      <w:bookmarkEnd w:id="2375"/>
      <w:r>
        <w:t xml:space="preserve">The </w:t>
      </w:r>
      <w:r w:rsidRPr="0670E279">
        <w:rPr>
          <w:i/>
          <w:iCs/>
        </w:rPr>
        <w:t>Medical Treatment Planning and Decisions Act 2016</w:t>
      </w:r>
      <w:r>
        <w:t xml:space="preserve"> ensures people are provided with medical treatment that is consistent with their preferences and values. It clarifies the legal effect of an advance care directive and provides a single process for identifying who should make decisions on behalf of a person and a process for making these decisions.</w:t>
      </w:r>
    </w:p>
    <w:p w14:paraId="0E54400D" w14:textId="77777777" w:rsidR="00817104" w:rsidRDefault="00817104" w:rsidP="00817104">
      <w:pPr>
        <w:pStyle w:val="Body"/>
      </w:pPr>
      <w:r>
        <w:t>If a registered health practitioner fails to act in accordance with relevant provisions of this Act, it will constitute unprofessional conduct.</w:t>
      </w:r>
    </w:p>
    <w:p w14:paraId="5129FC9A" w14:textId="77777777" w:rsidR="00817104" w:rsidRDefault="00817104" w:rsidP="00817104">
      <w:pPr>
        <w:pStyle w:val="Body"/>
      </w:pPr>
      <w:r>
        <w:t>Health services are required to have processes in place that:</w:t>
      </w:r>
    </w:p>
    <w:p w14:paraId="52CC7D88" w14:textId="77777777" w:rsidR="00817104" w:rsidRDefault="00817104" w:rsidP="00817104">
      <w:pPr>
        <w:pStyle w:val="Bullet1"/>
        <w:numPr>
          <w:ilvl w:val="0"/>
          <w:numId w:val="2"/>
        </w:numPr>
      </w:pPr>
      <w:r>
        <w:t>include systematic implementation of advance care planning and identification of medical treatment decision-makers</w:t>
      </w:r>
    </w:p>
    <w:p w14:paraId="09F89F3B" w14:textId="77777777" w:rsidR="00817104" w:rsidRDefault="00817104" w:rsidP="00817104">
      <w:pPr>
        <w:pStyle w:val="Bullet1"/>
        <w:numPr>
          <w:ilvl w:val="0"/>
          <w:numId w:val="2"/>
        </w:numPr>
      </w:pPr>
      <w:r>
        <w:t>include advance care planning as a parameter in assessment of outcomes, such as mortality and morbidity review reports, patient experience and other routine data collection</w:t>
      </w:r>
    </w:p>
    <w:p w14:paraId="22013F3A" w14:textId="77777777" w:rsidR="00817104" w:rsidRDefault="00817104" w:rsidP="00817104">
      <w:pPr>
        <w:pStyle w:val="Bullet1"/>
        <w:numPr>
          <w:ilvl w:val="0"/>
          <w:numId w:val="2"/>
        </w:numPr>
      </w:pPr>
      <w:r>
        <w:t>enable and promote the use of My Health Record to support communication of advance care plans.</w:t>
      </w:r>
    </w:p>
    <w:p w14:paraId="24E34EAB" w14:textId="77777777" w:rsidR="00817104" w:rsidRDefault="00817104" w:rsidP="00817104">
      <w:pPr>
        <w:pStyle w:val="Bodyafterbullets"/>
      </w:pPr>
      <w:r>
        <w:t xml:space="preserve">Advance care planning should be embedded into the usual care that health services provide, resulting in an increase in the number of both admitted and non-admitted consumers with an advance care directive or plan alert, and an identified medical treatment decision-maker. This will be measured through mandatory VAED, </w:t>
      </w:r>
      <w:r w:rsidRPr="00265FE7">
        <w:t xml:space="preserve">Victorian Emergency Minimum Dataset </w:t>
      </w:r>
      <w:r>
        <w:t>(VEMD) and VINAH MDS items.</w:t>
      </w:r>
    </w:p>
    <w:p w14:paraId="3F4DAB3F" w14:textId="77777777" w:rsidR="00817104" w:rsidRDefault="00817104" w:rsidP="00817104">
      <w:pPr>
        <w:pStyle w:val="Body"/>
      </w:pPr>
      <w:r>
        <w:t xml:space="preserve">For more information, visit </w:t>
      </w:r>
      <w:hyperlink r:id="rId276">
        <w:r w:rsidRPr="0670E279">
          <w:rPr>
            <w:rStyle w:val="Hyperlink"/>
          </w:rPr>
          <w:t>Advan</w:t>
        </w:r>
        <w:bookmarkStart w:id="2378" w:name="_Hlt227849899"/>
        <w:r w:rsidRPr="0670E279">
          <w:rPr>
            <w:rStyle w:val="Hyperlink"/>
          </w:rPr>
          <w:t>c</w:t>
        </w:r>
        <w:bookmarkEnd w:id="2378"/>
        <w:r w:rsidRPr="0670E279">
          <w:rPr>
            <w:rStyle w:val="Hyperlink"/>
          </w:rPr>
          <w:t>e care planning</w:t>
        </w:r>
      </w:hyperlink>
      <w:r>
        <w:t xml:space="preserve"> &lt;https://www.health.vic.gov.au/patient-care/advance-care-planning-1&gt;.</w:t>
      </w:r>
    </w:p>
    <w:p w14:paraId="21AF6169" w14:textId="77777777" w:rsidR="00817104" w:rsidRPr="00ED791F" w:rsidRDefault="00817104" w:rsidP="00817104">
      <w:pPr>
        <w:pStyle w:val="Heading3"/>
        <w:numPr>
          <w:ilvl w:val="2"/>
          <w:numId w:val="0"/>
        </w:numPr>
        <w:tabs>
          <w:tab w:val="num" w:pos="794"/>
        </w:tabs>
        <w:ind w:left="1134" w:hanging="1134"/>
      </w:pPr>
      <w:r>
        <w:t>18.3.4</w:t>
      </w:r>
      <w:r>
        <w:tab/>
      </w:r>
      <w:r w:rsidRPr="00ED791F">
        <w:t xml:space="preserve">Voluntary </w:t>
      </w:r>
      <w:r>
        <w:t>a</w:t>
      </w:r>
      <w:r w:rsidRPr="00ED791F">
        <w:t xml:space="preserve">ssisted </w:t>
      </w:r>
      <w:r>
        <w:t>d</w:t>
      </w:r>
      <w:r w:rsidRPr="00ED791F">
        <w:t>ying (VAD)</w:t>
      </w:r>
    </w:p>
    <w:p w14:paraId="6038C498" w14:textId="77777777" w:rsidR="00817104" w:rsidRDefault="00817104" w:rsidP="00817104">
      <w:r>
        <w:t xml:space="preserve">Amendments to the </w:t>
      </w:r>
      <w:r>
        <w:rPr>
          <w:i/>
          <w:iCs/>
        </w:rPr>
        <w:t>Voluntary Assisted Dying Act 2017,</w:t>
      </w:r>
      <w:r>
        <w:t xml:space="preserve"> passed in November 2025 and coming into effect from April 2027, seek to improve access to and the experience of VAD for Victorians.</w:t>
      </w:r>
    </w:p>
    <w:p w14:paraId="7CDAF80C" w14:textId="77777777" w:rsidR="00817104" w:rsidRDefault="00817104" w:rsidP="00817104">
      <w:r>
        <w:t>Key changes that health services and practitioners will need to understand and comply with include:</w:t>
      </w:r>
    </w:p>
    <w:p w14:paraId="776AD5B9" w14:textId="77777777" w:rsidR="00817104" w:rsidRDefault="00817104" w:rsidP="00817104">
      <w:pPr>
        <w:pStyle w:val="Bullet1"/>
        <w:numPr>
          <w:ilvl w:val="0"/>
          <w:numId w:val="2"/>
        </w:numPr>
      </w:pPr>
      <w:r>
        <w:t>new patient and practitioner eligibility criteria</w:t>
      </w:r>
    </w:p>
    <w:p w14:paraId="589613AA" w14:textId="77777777" w:rsidR="00817104" w:rsidRDefault="00817104" w:rsidP="00817104">
      <w:pPr>
        <w:pStyle w:val="Bullet1"/>
        <w:numPr>
          <w:ilvl w:val="0"/>
          <w:numId w:val="2"/>
        </w:numPr>
      </w:pPr>
      <w:r>
        <w:t>a lifting of the restriction on some practitioners being able to raise VAD with their patients</w:t>
      </w:r>
    </w:p>
    <w:p w14:paraId="107D4B89" w14:textId="77777777" w:rsidR="00817104" w:rsidRDefault="00817104" w:rsidP="00817104">
      <w:pPr>
        <w:pStyle w:val="Bullet1"/>
        <w:numPr>
          <w:ilvl w:val="0"/>
          <w:numId w:val="2"/>
        </w:numPr>
      </w:pPr>
      <w:r>
        <w:t>new conscientious objection minimum information requirements.</w:t>
      </w:r>
    </w:p>
    <w:p w14:paraId="31C77407" w14:textId="77777777" w:rsidR="00817104" w:rsidRPr="003F79FC" w:rsidRDefault="00817104" w:rsidP="00817104">
      <w:pPr>
        <w:pStyle w:val="Bodyafterbullets"/>
      </w:pPr>
      <w:r w:rsidRPr="003F79FC">
        <w:t>For more information</w:t>
      </w:r>
      <w:r>
        <w:t>,</w:t>
      </w:r>
      <w:r w:rsidRPr="003F79FC">
        <w:t xml:space="preserve"> visit </w:t>
      </w:r>
      <w:hyperlink r:id="rId277" w:history="1">
        <w:r w:rsidRPr="00A042B7">
          <w:rPr>
            <w:rStyle w:val="Hyperlink"/>
          </w:rPr>
          <w:t>Voluntary assisted dying</w:t>
        </w:r>
      </w:hyperlink>
      <w:r w:rsidRPr="003F79FC">
        <w:t xml:space="preserve"> </w:t>
      </w:r>
      <w:r>
        <w:t>&lt;</w:t>
      </w:r>
      <w:r w:rsidRPr="003F79FC">
        <w:t>https://www.health.vic.gov.au/patient-care/voluntary-assisted-dying</w:t>
      </w:r>
      <w:r>
        <w:t>&gt;.</w:t>
      </w:r>
    </w:p>
    <w:p w14:paraId="4BBAFF4B" w14:textId="77777777" w:rsidR="00817104" w:rsidRDefault="00817104" w:rsidP="00817104">
      <w:r>
        <w:t xml:space="preserve">The Act provides the legal framework for eligible people in the late stages of advanced disease to apply to receive a substance prescribed by a doctor that will bring about their death. </w:t>
      </w:r>
    </w:p>
    <w:p w14:paraId="5FE0B669" w14:textId="77777777" w:rsidR="00817104" w:rsidRDefault="00817104" w:rsidP="00817104">
      <w:pPr>
        <w:rPr>
          <w:rFonts w:ascii="Aptos" w:hAnsi="Aptos"/>
          <w:sz w:val="24"/>
        </w:rPr>
      </w:pPr>
      <w:r>
        <w:t>Eligible medical practitioners can choose to provide VAD and, from April 2027, eligible registered nurses and nurse practitioners will be able to support the administration of a VAD substance. While the Act protects the right of practitioners to conscientiously object to participating in VAD, the amended Act requires that patients asking about VAD are provided with, at a minimum, details about the statewide care navigator service and the department’s VAD webpage.</w:t>
      </w:r>
    </w:p>
    <w:p w14:paraId="4AC2D600" w14:textId="77777777" w:rsidR="00817104" w:rsidRDefault="00817104" w:rsidP="00817104">
      <w:r>
        <w:lastRenderedPageBreak/>
        <w:t xml:space="preserve">Health services can decide whether they deliver VAD and the types of services offered, depending on factors such as staff capacity and alignment with the health service’s values. All health services, including Public Residential Aged Care Services (PSRACS), should have transparent policies in place about facilitating patient access to VAD (including, if necessary, though partnership models with other providers). The VAD statewide care navigator service is available to provide information, support and advice. </w:t>
      </w:r>
    </w:p>
    <w:p w14:paraId="2F98A182" w14:textId="77777777" w:rsidR="00817104" w:rsidRPr="005A77EB" w:rsidRDefault="00817104" w:rsidP="00817104">
      <w:pPr>
        <w:pStyle w:val="Heading3"/>
        <w:numPr>
          <w:ilvl w:val="2"/>
          <w:numId w:val="0"/>
        </w:numPr>
        <w:tabs>
          <w:tab w:val="num" w:pos="426"/>
          <w:tab w:val="left" w:pos="1134"/>
        </w:tabs>
        <w:ind w:left="426" w:hanging="397"/>
      </w:pPr>
      <w:bookmarkStart w:id="2379" w:name="_Toc229127709"/>
      <w:r>
        <w:t>18.3.5</w:t>
      </w:r>
      <w:r>
        <w:tab/>
        <w:t xml:space="preserve">Perinatal services performance </w:t>
      </w:r>
      <w:r w:rsidRPr="00D57776">
        <w:t>indicators</w:t>
      </w:r>
    </w:p>
    <w:p w14:paraId="0D78B419" w14:textId="77777777" w:rsidR="00817104" w:rsidRPr="0079405B" w:rsidRDefault="00817104" w:rsidP="00817104">
      <w:pPr>
        <w:pStyle w:val="Body"/>
      </w:pPr>
      <w:r>
        <w:t xml:space="preserve">SCV publishes a report of Victorian perinatal services performance indicators. The report contains individual hospital (or campus) level data, allowing comparison with the statewide average. The report aims to improve outcomes for Victorian women and babies by reporting on benchmarking data. SCV works directly with health services to understand their results to improve outcomes. </w:t>
      </w:r>
    </w:p>
    <w:p w14:paraId="6AA1DB93" w14:textId="77777777" w:rsidR="00817104" w:rsidRPr="0079405B" w:rsidRDefault="00817104" w:rsidP="00817104">
      <w:pPr>
        <w:pStyle w:val="Body"/>
      </w:pPr>
      <w:r>
        <w:t>Health services use this report to:</w:t>
      </w:r>
    </w:p>
    <w:p w14:paraId="5E7194F4" w14:textId="77777777" w:rsidR="00817104" w:rsidRPr="0079405B" w:rsidRDefault="00817104" w:rsidP="00817104">
      <w:pPr>
        <w:pStyle w:val="Bullet1"/>
        <w:numPr>
          <w:ilvl w:val="0"/>
          <w:numId w:val="2"/>
        </w:numPr>
      </w:pPr>
      <w:r>
        <w:t>track their own performance and trends, using raw local health service data, as required</w:t>
      </w:r>
    </w:p>
    <w:p w14:paraId="466C4CD3" w14:textId="77777777" w:rsidR="00817104" w:rsidRPr="0079405B" w:rsidRDefault="00817104" w:rsidP="00817104">
      <w:pPr>
        <w:pStyle w:val="Bullet1"/>
        <w:numPr>
          <w:ilvl w:val="0"/>
          <w:numId w:val="2"/>
        </w:numPr>
      </w:pPr>
      <w:r>
        <w:t>compare results with services of a similar profile (size and capability)</w:t>
      </w:r>
    </w:p>
    <w:p w14:paraId="43CC21FB" w14:textId="77777777" w:rsidR="00817104" w:rsidRPr="0079405B" w:rsidRDefault="00817104" w:rsidP="00817104">
      <w:pPr>
        <w:pStyle w:val="Bullet1"/>
        <w:numPr>
          <w:ilvl w:val="0"/>
          <w:numId w:val="2"/>
        </w:numPr>
      </w:pPr>
      <w:r>
        <w:t>undertake ongoing local audits, including adverse event reviews, through their perinatal mortality and morbidity committees</w:t>
      </w:r>
    </w:p>
    <w:p w14:paraId="0940602C" w14:textId="77777777" w:rsidR="00817104" w:rsidRPr="0079405B" w:rsidRDefault="00817104" w:rsidP="00817104">
      <w:pPr>
        <w:pStyle w:val="Bullet1"/>
        <w:numPr>
          <w:ilvl w:val="0"/>
          <w:numId w:val="2"/>
        </w:numPr>
      </w:pPr>
      <w:r>
        <w:t>perform local analysis of specific groups or cohorts of cases, such as age profiles</w:t>
      </w:r>
    </w:p>
    <w:p w14:paraId="05B61E20" w14:textId="77777777" w:rsidR="00817104" w:rsidRPr="00CD3D37" w:rsidRDefault="00817104" w:rsidP="00817104">
      <w:pPr>
        <w:pStyle w:val="Bullet1"/>
        <w:numPr>
          <w:ilvl w:val="0"/>
          <w:numId w:val="2"/>
        </w:numPr>
      </w:pPr>
      <w:r>
        <w:t>identify priority areas for focus and plan for performance improvement within a continuous framework</w:t>
      </w:r>
    </w:p>
    <w:p w14:paraId="36AE768F" w14:textId="77777777" w:rsidR="00817104" w:rsidRPr="009A5443" w:rsidRDefault="00817104" w:rsidP="00817104">
      <w:pPr>
        <w:pStyle w:val="Bullet1"/>
        <w:numPr>
          <w:ilvl w:val="0"/>
          <w:numId w:val="2"/>
        </w:numPr>
      </w:pPr>
      <w:r>
        <w:t>evaluate improvement programs and provide feedback to relevant stakeholders</w:t>
      </w:r>
    </w:p>
    <w:p w14:paraId="5E0729FC" w14:textId="77777777" w:rsidR="00817104" w:rsidRPr="009738BE" w:rsidRDefault="00817104" w:rsidP="00817104">
      <w:pPr>
        <w:pStyle w:val="Bullet1"/>
        <w:numPr>
          <w:ilvl w:val="0"/>
          <w:numId w:val="2"/>
        </w:numPr>
      </w:pPr>
      <w:r>
        <w:t>disseminate results internally to build engagement with the maternity team</w:t>
      </w:r>
    </w:p>
    <w:p w14:paraId="53E280D0" w14:textId="77777777" w:rsidR="00817104" w:rsidRPr="0079405B" w:rsidRDefault="00817104" w:rsidP="00817104">
      <w:pPr>
        <w:pStyle w:val="Bullet1"/>
        <w:numPr>
          <w:ilvl w:val="0"/>
          <w:numId w:val="2"/>
        </w:numPr>
      </w:pPr>
      <w:r>
        <w:t>provide education and support to staff and local communities</w:t>
      </w:r>
    </w:p>
    <w:p w14:paraId="3374845B" w14:textId="77777777" w:rsidR="00817104" w:rsidRDefault="00817104" w:rsidP="00817104">
      <w:pPr>
        <w:pStyle w:val="Bullet1"/>
        <w:numPr>
          <w:ilvl w:val="0"/>
          <w:numId w:val="2"/>
        </w:numPr>
      </w:pPr>
      <w:r>
        <w:t>collaborate with neighbouring health services and community-based healthcare providers to improve local practice, referral systems and performance.</w:t>
      </w:r>
    </w:p>
    <w:p w14:paraId="180653E7" w14:textId="77777777" w:rsidR="00817104" w:rsidRDefault="00817104" w:rsidP="00817104">
      <w:pPr>
        <w:pStyle w:val="Bodyafterbullets"/>
      </w:pPr>
      <w:r>
        <w:t>Selected indicators have recommended strategies for improvement, which should be undertaken by health services that are looking to improve or have suboptimal outcomes.</w:t>
      </w:r>
    </w:p>
    <w:p w14:paraId="45CD8B47" w14:textId="77777777" w:rsidR="00817104" w:rsidRPr="00D57776" w:rsidRDefault="00817104" w:rsidP="00817104">
      <w:pPr>
        <w:spacing w:after="0" w:line="240" w:lineRule="auto"/>
      </w:pPr>
      <w:r>
        <w:t>These strategies include:</w:t>
      </w:r>
    </w:p>
    <w:p w14:paraId="7964EBC5" w14:textId="77777777" w:rsidR="00817104" w:rsidRPr="005F7F6D" w:rsidRDefault="00817104" w:rsidP="00817104">
      <w:pPr>
        <w:pStyle w:val="Bullet1"/>
        <w:numPr>
          <w:ilvl w:val="0"/>
          <w:numId w:val="2"/>
        </w:numPr>
      </w:pPr>
      <w:r>
        <w:t>an assessment of their capability and the processes to support regular clinical audits, and the provision of performance data feedback to clinicians</w:t>
      </w:r>
    </w:p>
    <w:p w14:paraId="2FB5E1A0" w14:textId="77777777" w:rsidR="00817104" w:rsidRPr="0079405B" w:rsidRDefault="00817104" w:rsidP="00817104">
      <w:pPr>
        <w:pStyle w:val="Bullet1"/>
        <w:numPr>
          <w:ilvl w:val="0"/>
          <w:numId w:val="2"/>
        </w:numPr>
      </w:pPr>
      <w:r>
        <w:t>a multidisciplinary review of local clinical practice guidelines and protocols, to ensure they are based on current evidence and research</w:t>
      </w:r>
    </w:p>
    <w:p w14:paraId="6F9D70BE" w14:textId="77777777" w:rsidR="00817104" w:rsidRPr="0079405B" w:rsidRDefault="00817104" w:rsidP="00817104">
      <w:pPr>
        <w:pStyle w:val="Bullet1"/>
        <w:numPr>
          <w:ilvl w:val="0"/>
          <w:numId w:val="2"/>
        </w:numPr>
      </w:pPr>
      <w:r>
        <w:t>a review of organisational barriers that constrain continual practice improvement</w:t>
      </w:r>
    </w:p>
    <w:p w14:paraId="05FB1D04" w14:textId="77777777" w:rsidR="00817104" w:rsidRDefault="00817104" w:rsidP="00817104">
      <w:pPr>
        <w:pStyle w:val="Bullet1"/>
        <w:numPr>
          <w:ilvl w:val="0"/>
          <w:numId w:val="2"/>
        </w:numPr>
      </w:pPr>
      <w:r>
        <w:t>benchmarking with peer group services</w:t>
      </w:r>
    </w:p>
    <w:p w14:paraId="0D94DCD3" w14:textId="77777777" w:rsidR="00817104" w:rsidRDefault="00817104" w:rsidP="00817104">
      <w:pPr>
        <w:pStyle w:val="Bullet1"/>
        <w:numPr>
          <w:ilvl w:val="0"/>
          <w:numId w:val="2"/>
        </w:numPr>
      </w:pPr>
      <w:r>
        <w:t>engaging with other health services to achieve better outcomes that support local and regional improvement (this may include referral of results to their regional perinatal morbidity and mortality committee for expert multidisciplinary consideration)</w:t>
      </w:r>
    </w:p>
    <w:p w14:paraId="22E8513D" w14:textId="77777777" w:rsidR="00817104" w:rsidRPr="00226C69" w:rsidRDefault="00817104" w:rsidP="00817104">
      <w:pPr>
        <w:pStyle w:val="Bullet1"/>
        <w:numPr>
          <w:ilvl w:val="0"/>
          <w:numId w:val="2"/>
        </w:numPr>
      </w:pPr>
      <w:r>
        <w:t>identifying improvement goals, including timelines, and working with SCV to monitor performance and improvement initiatives over time.</w:t>
      </w:r>
    </w:p>
    <w:p w14:paraId="458148AF" w14:textId="77777777" w:rsidR="00817104" w:rsidRDefault="00817104" w:rsidP="00817104">
      <w:pPr>
        <w:pStyle w:val="Bodyafterbullets"/>
      </w:pPr>
      <w:r w:rsidRPr="00B35D55">
        <w:t xml:space="preserve">Victorian perinatal services performance indicators are developed in consideration of the Victorian Perinatal Data </w:t>
      </w:r>
      <w:r>
        <w:t>C</w:t>
      </w:r>
      <w:r w:rsidRPr="00B35D55">
        <w:t>ollection (VPDC). VPDC is collected by eHealth and is further explained below</w:t>
      </w:r>
      <w:r>
        <w:t>,</w:t>
      </w:r>
      <w:r w:rsidRPr="00B35D55">
        <w:t xml:space="preserve"> including the specific data requirements.</w:t>
      </w:r>
    </w:p>
    <w:p w14:paraId="0BCE2BE8" w14:textId="77777777" w:rsidR="00817104" w:rsidRDefault="00817104" w:rsidP="00817104">
      <w:pPr>
        <w:pStyle w:val="Body"/>
      </w:pPr>
      <w:r>
        <w:lastRenderedPageBreak/>
        <w:t xml:space="preserve">For more information, visit </w:t>
      </w:r>
      <w:hyperlink r:id="rId278">
        <w:r w:rsidRPr="0670E279">
          <w:rPr>
            <w:rStyle w:val="Hyperlink"/>
          </w:rPr>
          <w:t>Victorian perinatal services performance indicators 2020–21</w:t>
        </w:r>
      </w:hyperlink>
      <w:r>
        <w:t xml:space="preserve"> &lt;https://www.safercare.vic.gov.au/publications/victorian-perinatal-services-performance-indicators-2020-21&gt;. </w:t>
      </w:r>
    </w:p>
    <w:p w14:paraId="7F771DF2" w14:textId="77777777" w:rsidR="00817104" w:rsidRPr="00FE74EA" w:rsidRDefault="00817104" w:rsidP="00817104">
      <w:pPr>
        <w:pStyle w:val="Heading3"/>
        <w:numPr>
          <w:ilvl w:val="2"/>
          <w:numId w:val="0"/>
        </w:numPr>
        <w:ind w:left="1134" w:hanging="1134"/>
        <w:rPr>
          <w:lang w:eastAsia="en-AU"/>
        </w:rPr>
      </w:pPr>
      <w:r>
        <w:rPr>
          <w:lang w:eastAsia="en-AU"/>
        </w:rPr>
        <w:t>18.3.6</w:t>
      </w:r>
      <w:r>
        <w:rPr>
          <w:lang w:eastAsia="en-AU"/>
        </w:rPr>
        <w:tab/>
      </w:r>
      <w:r w:rsidRPr="00FE74EA">
        <w:rPr>
          <w:lang w:eastAsia="en-AU"/>
        </w:rPr>
        <w:t xml:space="preserve">Mandated use of the </w:t>
      </w:r>
      <w:r w:rsidRPr="00416CF5">
        <w:rPr>
          <w:lang w:eastAsia="en-AU"/>
        </w:rPr>
        <w:t xml:space="preserve">Victorian Children’s Tool for Observation and Response </w:t>
      </w:r>
      <w:r w:rsidRPr="00FE74EA">
        <w:rPr>
          <w:lang w:eastAsia="en-AU"/>
        </w:rPr>
        <w:t xml:space="preserve">chart </w:t>
      </w:r>
    </w:p>
    <w:p w14:paraId="17C4D5BC" w14:textId="77777777" w:rsidR="00817104" w:rsidRDefault="00817104" w:rsidP="00817104">
      <w:pPr>
        <w:pStyle w:val="Body"/>
        <w:rPr>
          <w:lang w:eastAsia="en-AU"/>
        </w:rPr>
      </w:pPr>
      <w:r w:rsidRPr="00D83FE4">
        <w:rPr>
          <w:lang w:eastAsia="en-AU"/>
        </w:rPr>
        <w:t>To improve paediatric patient safety,</w:t>
      </w:r>
      <w:r>
        <w:rPr>
          <w:lang w:eastAsia="en-AU"/>
        </w:rPr>
        <w:t xml:space="preserve"> </w:t>
      </w:r>
      <w:r w:rsidRPr="165ADF1D">
        <w:rPr>
          <w:lang w:eastAsia="en-AU"/>
        </w:rPr>
        <w:t xml:space="preserve">Victorian health services </w:t>
      </w:r>
      <w:r>
        <w:rPr>
          <w:lang w:eastAsia="en-AU"/>
        </w:rPr>
        <w:t xml:space="preserve">that provide care to children and young people must </w:t>
      </w:r>
      <w:r w:rsidRPr="165ADF1D">
        <w:rPr>
          <w:lang w:eastAsia="en-AU"/>
        </w:rPr>
        <w:t xml:space="preserve">use the </w:t>
      </w:r>
      <w:r>
        <w:rPr>
          <w:lang w:eastAsia="en-AU"/>
        </w:rPr>
        <w:t xml:space="preserve">refined </w:t>
      </w:r>
      <w:r w:rsidRPr="00416CF5">
        <w:rPr>
          <w:lang w:eastAsia="en-AU"/>
        </w:rPr>
        <w:t>Victorian Children’s Tool for Observation and Response</w:t>
      </w:r>
      <w:r w:rsidRPr="165ADF1D">
        <w:rPr>
          <w:lang w:eastAsia="en-AU"/>
        </w:rPr>
        <w:t xml:space="preserve"> </w:t>
      </w:r>
      <w:r>
        <w:rPr>
          <w:lang w:eastAsia="en-AU"/>
        </w:rPr>
        <w:t>(</w:t>
      </w:r>
      <w:r w:rsidRPr="165ADF1D">
        <w:rPr>
          <w:lang w:eastAsia="en-AU"/>
        </w:rPr>
        <w:t>ViCTOR</w:t>
      </w:r>
      <w:r>
        <w:rPr>
          <w:lang w:eastAsia="en-AU"/>
        </w:rPr>
        <w:t>)</w:t>
      </w:r>
      <w:r w:rsidRPr="165ADF1D">
        <w:rPr>
          <w:lang w:eastAsia="en-AU"/>
        </w:rPr>
        <w:t xml:space="preserve"> chart </w:t>
      </w:r>
      <w:r>
        <w:rPr>
          <w:lang w:eastAsia="en-AU"/>
        </w:rPr>
        <w:t xml:space="preserve">or equivalent, as outlined in the implementation guide by </w:t>
      </w:r>
      <w:r w:rsidRPr="00D334E5">
        <w:rPr>
          <w:b/>
          <w:lang w:eastAsia="en-AU"/>
        </w:rPr>
        <w:t>1 July 2026</w:t>
      </w:r>
      <w:r>
        <w:rPr>
          <w:lang w:eastAsia="en-AU"/>
        </w:rPr>
        <w:t>.</w:t>
      </w:r>
    </w:p>
    <w:p w14:paraId="75485AD8" w14:textId="77777777" w:rsidR="00817104" w:rsidRDefault="00817104" w:rsidP="00817104">
      <w:pPr>
        <w:pStyle w:val="Body"/>
        <w:rPr>
          <w:lang w:eastAsia="en-AU"/>
        </w:rPr>
      </w:pPr>
      <w:r>
        <w:rPr>
          <w:lang w:eastAsia="en-AU"/>
        </w:rPr>
        <w:t>The chart was successfully piloted and released in 2025</w:t>
      </w:r>
      <w:r w:rsidRPr="165ADF1D">
        <w:rPr>
          <w:lang w:eastAsia="en-AU"/>
        </w:rPr>
        <w:t xml:space="preserve"> </w:t>
      </w:r>
      <w:r>
        <w:rPr>
          <w:lang w:eastAsia="en-AU"/>
        </w:rPr>
        <w:t xml:space="preserve">and </w:t>
      </w:r>
      <w:r w:rsidRPr="165ADF1D">
        <w:rPr>
          <w:lang w:eastAsia="en-AU"/>
        </w:rPr>
        <w:t xml:space="preserve">now includes a question </w:t>
      </w:r>
      <w:r>
        <w:rPr>
          <w:lang w:eastAsia="en-AU"/>
        </w:rPr>
        <w:t>for</w:t>
      </w:r>
      <w:r w:rsidRPr="165ADF1D">
        <w:rPr>
          <w:lang w:eastAsia="en-AU"/>
        </w:rPr>
        <w:t xml:space="preserve"> famil</w:t>
      </w:r>
      <w:r>
        <w:rPr>
          <w:lang w:eastAsia="en-AU"/>
        </w:rPr>
        <w:t>ies</w:t>
      </w:r>
      <w:r w:rsidRPr="165ADF1D">
        <w:rPr>
          <w:lang w:eastAsia="en-AU"/>
        </w:rPr>
        <w:t xml:space="preserve"> and carer</w:t>
      </w:r>
      <w:r>
        <w:rPr>
          <w:lang w:eastAsia="en-AU"/>
        </w:rPr>
        <w:t>s,</w:t>
      </w:r>
      <w:r w:rsidRPr="165ADF1D">
        <w:rPr>
          <w:lang w:eastAsia="en-AU"/>
        </w:rPr>
        <w:t xml:space="preserve"> </w:t>
      </w:r>
      <w:r>
        <w:rPr>
          <w:i/>
          <w:lang w:eastAsia="en-AU"/>
        </w:rPr>
        <w:t>‘</w:t>
      </w:r>
      <w:r w:rsidRPr="00D334E5">
        <w:rPr>
          <w:i/>
          <w:lang w:eastAsia="en-AU"/>
        </w:rPr>
        <w:t>Are you worried your child is getting worse?</w:t>
      </w:r>
      <w:r>
        <w:rPr>
          <w:i/>
          <w:lang w:eastAsia="en-AU"/>
        </w:rPr>
        <w:t>’</w:t>
      </w:r>
      <w:r w:rsidRPr="003718EC">
        <w:rPr>
          <w:lang w:eastAsia="en-AU"/>
        </w:rPr>
        <w:t>.</w:t>
      </w:r>
      <w:r w:rsidRPr="165ADF1D">
        <w:rPr>
          <w:lang w:eastAsia="en-AU"/>
        </w:rPr>
        <w:t xml:space="preserve"> </w:t>
      </w:r>
      <w:r>
        <w:rPr>
          <w:lang w:eastAsia="en-AU"/>
        </w:rPr>
        <w:t xml:space="preserve">This </w:t>
      </w:r>
      <w:r w:rsidRPr="165ADF1D">
        <w:rPr>
          <w:lang w:eastAsia="en-AU"/>
        </w:rPr>
        <w:t xml:space="preserve">question </w:t>
      </w:r>
      <w:r>
        <w:rPr>
          <w:lang w:eastAsia="en-AU"/>
        </w:rPr>
        <w:t>must</w:t>
      </w:r>
      <w:r w:rsidRPr="165ADF1D">
        <w:rPr>
          <w:lang w:eastAsia="en-AU"/>
        </w:rPr>
        <w:t xml:space="preserve"> be asked </w:t>
      </w:r>
      <w:r>
        <w:rPr>
          <w:lang w:eastAsia="en-AU"/>
        </w:rPr>
        <w:t xml:space="preserve">and recorded </w:t>
      </w:r>
      <w:r w:rsidRPr="165ADF1D">
        <w:rPr>
          <w:lang w:eastAsia="en-AU"/>
        </w:rPr>
        <w:t>when</w:t>
      </w:r>
      <w:r>
        <w:rPr>
          <w:lang w:eastAsia="en-AU"/>
        </w:rPr>
        <w:t>ever</w:t>
      </w:r>
      <w:r w:rsidRPr="165ADF1D">
        <w:rPr>
          <w:lang w:eastAsia="en-AU"/>
        </w:rPr>
        <w:t xml:space="preserve"> vital signs are </w:t>
      </w:r>
      <w:r>
        <w:rPr>
          <w:lang w:eastAsia="en-AU"/>
        </w:rPr>
        <w:t xml:space="preserve">taken. </w:t>
      </w:r>
      <w:r w:rsidRPr="00E61D5F">
        <w:rPr>
          <w:lang w:eastAsia="en-AU"/>
        </w:rPr>
        <w:t xml:space="preserve">If the answer is </w:t>
      </w:r>
      <w:r>
        <w:rPr>
          <w:lang w:eastAsia="en-AU"/>
        </w:rPr>
        <w:t>‘</w:t>
      </w:r>
      <w:r w:rsidRPr="002D6AE5">
        <w:rPr>
          <w:i/>
          <w:iCs/>
          <w:lang w:eastAsia="en-AU"/>
        </w:rPr>
        <w:t>yes</w:t>
      </w:r>
      <w:r>
        <w:rPr>
          <w:lang w:eastAsia="en-AU"/>
        </w:rPr>
        <w:t>’</w:t>
      </w:r>
      <w:r w:rsidRPr="00E61D5F">
        <w:rPr>
          <w:lang w:eastAsia="en-AU"/>
        </w:rPr>
        <w:t xml:space="preserve">, the clinical team will listen and respond, ensuring parents’ and carers’ concerns are heard and care </w:t>
      </w:r>
      <w:r>
        <w:rPr>
          <w:lang w:eastAsia="en-AU"/>
        </w:rPr>
        <w:t xml:space="preserve">is </w:t>
      </w:r>
      <w:r w:rsidRPr="00E61D5F">
        <w:rPr>
          <w:lang w:eastAsia="en-AU"/>
        </w:rPr>
        <w:t>escalated accordingly</w:t>
      </w:r>
      <w:r>
        <w:rPr>
          <w:lang w:eastAsia="en-AU"/>
        </w:rPr>
        <w:t>.</w:t>
      </w:r>
    </w:p>
    <w:p w14:paraId="73D21098" w14:textId="77777777" w:rsidR="00817104" w:rsidRDefault="00817104" w:rsidP="00817104">
      <w:pPr>
        <w:pStyle w:val="Body"/>
        <w:rPr>
          <w:lang w:eastAsia="en-AU"/>
        </w:rPr>
      </w:pPr>
      <w:r w:rsidRPr="002F27F5">
        <w:rPr>
          <w:rFonts w:cs="Arial"/>
          <w:color w:val="000000"/>
        </w:rPr>
        <w:t>Health services must demonstrate compliance with the ViCTOR chart requirement through regular audit and governance processes that systematically monitor chart usage, documentation of family and carer concerns, and appropriate escalation in response to abnormal vital signs</w:t>
      </w:r>
      <w:r>
        <w:rPr>
          <w:rFonts w:cs="Arial"/>
          <w:color w:val="000000"/>
        </w:rPr>
        <w:t>.</w:t>
      </w:r>
      <w:r w:rsidRPr="00E61D5F">
        <w:rPr>
          <w:lang w:eastAsia="en-AU"/>
        </w:rPr>
        <w:t xml:space="preserve"> </w:t>
      </w:r>
    </w:p>
    <w:p w14:paraId="5CD3886F" w14:textId="10A55384" w:rsidR="00817104" w:rsidRDefault="00817104" w:rsidP="00817104">
      <w:pPr>
        <w:pStyle w:val="Body"/>
      </w:pPr>
      <w:r w:rsidRPr="165ADF1D">
        <w:rPr>
          <w:lang w:eastAsia="en-AU"/>
        </w:rPr>
        <w:t xml:space="preserve">This </w:t>
      </w:r>
      <w:r>
        <w:rPr>
          <w:lang w:eastAsia="en-AU"/>
        </w:rPr>
        <w:t xml:space="preserve">requirement </w:t>
      </w:r>
      <w:r w:rsidRPr="165ADF1D">
        <w:rPr>
          <w:lang w:eastAsia="en-AU"/>
        </w:rPr>
        <w:t>align</w:t>
      </w:r>
      <w:r>
        <w:rPr>
          <w:lang w:eastAsia="en-AU"/>
        </w:rPr>
        <w:t>s</w:t>
      </w:r>
      <w:r w:rsidRPr="165ADF1D">
        <w:rPr>
          <w:lang w:eastAsia="en-AU"/>
        </w:rPr>
        <w:t xml:space="preserve"> with the mandate </w:t>
      </w:r>
      <w:r>
        <w:rPr>
          <w:lang w:eastAsia="en-AU"/>
        </w:rPr>
        <w:t xml:space="preserve">set out </w:t>
      </w:r>
      <w:r w:rsidRPr="165ADF1D">
        <w:rPr>
          <w:lang w:eastAsia="en-AU"/>
        </w:rPr>
        <w:t xml:space="preserve">in the </w:t>
      </w:r>
      <w:r>
        <w:rPr>
          <w:lang w:eastAsia="en-AU"/>
        </w:rPr>
        <w:t xml:space="preserve">2026–27 SoP. </w:t>
      </w:r>
      <w:r w:rsidRPr="165ADF1D">
        <w:t xml:space="preserve">Reporting </w:t>
      </w:r>
      <w:r>
        <w:t xml:space="preserve">on </w:t>
      </w:r>
      <w:r w:rsidRPr="165ADF1D">
        <w:t xml:space="preserve">ViCTOR </w:t>
      </w:r>
      <w:r>
        <w:t xml:space="preserve">chart </w:t>
      </w:r>
      <w:r w:rsidRPr="165ADF1D">
        <w:t>us</w:t>
      </w:r>
      <w:r>
        <w:t>e</w:t>
      </w:r>
      <w:r w:rsidRPr="165ADF1D">
        <w:t xml:space="preserve"> </w:t>
      </w:r>
      <w:r w:rsidR="006A20EB">
        <w:t xml:space="preserve">is </w:t>
      </w:r>
      <w:r w:rsidR="008610B9">
        <w:t xml:space="preserve">outlined in the SoP Part A deliverables. </w:t>
      </w:r>
    </w:p>
    <w:p w14:paraId="3A25F5D9" w14:textId="77777777" w:rsidR="00817104" w:rsidRPr="004327FD" w:rsidRDefault="00817104" w:rsidP="00817104">
      <w:pPr>
        <w:tabs>
          <w:tab w:val="left" w:pos="2520"/>
        </w:tabs>
        <w:rPr>
          <w:bCs/>
          <w:szCs w:val="21"/>
        </w:rPr>
      </w:pPr>
      <w:r w:rsidRPr="004327FD">
        <w:rPr>
          <w:bCs/>
          <w:szCs w:val="21"/>
        </w:rPr>
        <w:t>To find out more, visit:</w:t>
      </w:r>
    </w:p>
    <w:p w14:paraId="5D555268" w14:textId="77777777" w:rsidR="00817104" w:rsidRPr="004327FD" w:rsidRDefault="00817104" w:rsidP="00817104">
      <w:pPr>
        <w:tabs>
          <w:tab w:val="left" w:pos="2520"/>
        </w:tabs>
        <w:rPr>
          <w:szCs w:val="21"/>
        </w:rPr>
      </w:pPr>
      <w:hyperlink r:id="rId279" w:history="1">
        <w:r w:rsidRPr="001A1792">
          <w:rPr>
            <w:rStyle w:val="Hyperlink"/>
            <w:rFonts w:cs="Arial"/>
            <w:bCs/>
            <w:szCs w:val="21"/>
          </w:rPr>
          <w:t>Safer Care for Kids: ViCTOR</w:t>
        </w:r>
      </w:hyperlink>
      <w:r w:rsidRPr="004327FD">
        <w:rPr>
          <w:bCs/>
          <w:szCs w:val="21"/>
        </w:rPr>
        <w:t xml:space="preserve"> </w:t>
      </w:r>
      <w:r w:rsidRPr="004327FD">
        <w:rPr>
          <w:szCs w:val="21"/>
        </w:rPr>
        <w:t>&lt;</w:t>
      </w:r>
      <w:r w:rsidRPr="004327FD">
        <w:rPr>
          <w:rFonts w:eastAsia="Arial"/>
          <w:szCs w:val="21"/>
        </w:rPr>
        <w:t>https://www.safercare.vic.gov.au/improvement/projects/safer-care-for-kids-victor</w:t>
      </w:r>
      <w:r w:rsidRPr="004327FD">
        <w:rPr>
          <w:szCs w:val="21"/>
        </w:rPr>
        <w:t xml:space="preserve">&gt; or </w:t>
      </w:r>
      <w:hyperlink r:id="rId280" w:history="1">
        <w:r w:rsidRPr="004327FD">
          <w:rPr>
            <w:rStyle w:val="Hyperlink"/>
            <w:szCs w:val="21"/>
          </w:rPr>
          <w:t>email ViCTOR</w:t>
        </w:r>
      </w:hyperlink>
      <w:r w:rsidRPr="004327FD">
        <w:rPr>
          <w:szCs w:val="21"/>
        </w:rPr>
        <w:t xml:space="preserve"> &lt;victor@safercare.vic.gov.au&gt;</w:t>
      </w:r>
    </w:p>
    <w:p w14:paraId="24237046" w14:textId="2446F89B" w:rsidR="00817104" w:rsidRDefault="00817104" w:rsidP="00817104">
      <w:pPr>
        <w:pStyle w:val="Heading3"/>
        <w:numPr>
          <w:ilvl w:val="0"/>
          <w:numId w:val="0"/>
        </w:numPr>
        <w:tabs>
          <w:tab w:val="num" w:pos="1134"/>
        </w:tabs>
        <w:ind w:left="1134" w:hanging="1134"/>
        <w:rPr>
          <w:lang w:eastAsia="en-AU"/>
        </w:rPr>
      </w:pPr>
      <w:r>
        <w:t>18.3.7</w:t>
      </w:r>
      <w:r w:rsidR="4DC9A851">
        <w:t xml:space="preserve"> </w:t>
      </w:r>
      <w:r>
        <w:tab/>
      </w:r>
      <w:r w:rsidRPr="00FE74EA">
        <w:t>Implement a 24/7 system of virtual paediatric emergency consultation</w:t>
      </w:r>
    </w:p>
    <w:p w14:paraId="7E970611" w14:textId="77777777" w:rsidR="00817104" w:rsidRDefault="00817104" w:rsidP="00817104">
      <w:pPr>
        <w:pStyle w:val="Body"/>
        <w:rPr>
          <w:lang w:eastAsia="en-AU"/>
        </w:rPr>
      </w:pPr>
      <w:r w:rsidRPr="006C5AEE">
        <w:rPr>
          <w:lang w:eastAsia="en-AU"/>
        </w:rPr>
        <w:t>SCV and the department will progress plans in tandem with ongoing system reforms to ensure this recommendation is met.</w:t>
      </w:r>
    </w:p>
    <w:p w14:paraId="02D0B5D0" w14:textId="77777777" w:rsidR="00817104" w:rsidRPr="006C5AEE" w:rsidRDefault="00817104" w:rsidP="00817104">
      <w:pPr>
        <w:pStyle w:val="Body"/>
        <w:rPr>
          <w:lang w:eastAsia="en-AU"/>
        </w:rPr>
      </w:pPr>
      <w:r w:rsidRPr="006C5AEE">
        <w:rPr>
          <w:lang w:eastAsia="en-AU"/>
        </w:rPr>
        <w:t>This includes progressing opportunities to:</w:t>
      </w:r>
    </w:p>
    <w:p w14:paraId="1BDB94F4" w14:textId="2173A912" w:rsidR="00817104" w:rsidRDefault="00817104" w:rsidP="00817104">
      <w:pPr>
        <w:pStyle w:val="Bullet1"/>
        <w:numPr>
          <w:ilvl w:val="0"/>
          <w:numId w:val="2"/>
        </w:numPr>
        <w:rPr>
          <w:lang w:eastAsia="en-AU"/>
        </w:rPr>
      </w:pPr>
      <w:r>
        <w:rPr>
          <w:lang w:eastAsia="en-AU"/>
        </w:rPr>
        <w:t>e</w:t>
      </w:r>
      <w:r w:rsidRPr="006C7BB6">
        <w:rPr>
          <w:lang w:eastAsia="en-AU"/>
        </w:rPr>
        <w:t>nhanc</w:t>
      </w:r>
      <w:r>
        <w:rPr>
          <w:lang w:eastAsia="en-AU"/>
        </w:rPr>
        <w:t>e</w:t>
      </w:r>
      <w:r w:rsidRPr="006C7BB6">
        <w:rPr>
          <w:lang w:eastAsia="en-AU"/>
        </w:rPr>
        <w:t xml:space="preserve"> awareness of the paediatric consultation</w:t>
      </w:r>
      <w:r w:rsidRPr="00B01213">
        <w:rPr>
          <w:lang w:eastAsia="en-AU"/>
        </w:rPr>
        <w:t xml:space="preserve"> services currently available </w:t>
      </w:r>
      <w:r>
        <w:rPr>
          <w:lang w:eastAsia="en-AU"/>
        </w:rPr>
        <w:t xml:space="preserve">at </w:t>
      </w:r>
      <w:hyperlink r:id="rId281" w:history="1">
        <w:r w:rsidRPr="00D41989">
          <w:rPr>
            <w:rStyle w:val="Hyperlink"/>
            <w:lang w:eastAsia="en-AU"/>
          </w:rPr>
          <w:t>VVED</w:t>
        </w:r>
      </w:hyperlink>
      <w:r>
        <w:rPr>
          <w:lang w:eastAsia="en-AU"/>
        </w:rPr>
        <w:t xml:space="preserve"> &lt;</w:t>
      </w:r>
      <w:r w:rsidRPr="002B2115">
        <w:rPr>
          <w:lang w:eastAsia="en-AU"/>
        </w:rPr>
        <w:t>https://www.vved.org.au/</w:t>
      </w:r>
      <w:r>
        <w:rPr>
          <w:lang w:eastAsia="en-AU"/>
        </w:rPr>
        <w:t>&gt;</w:t>
      </w:r>
      <w:r w:rsidRPr="00B01213">
        <w:rPr>
          <w:lang w:eastAsia="en-AU"/>
        </w:rPr>
        <w:t xml:space="preserve"> and </w:t>
      </w:r>
      <w:hyperlink r:id="rId282" w:history="1">
        <w:r w:rsidRPr="006B7283">
          <w:rPr>
            <w:rStyle w:val="Hyperlink"/>
            <w:lang w:eastAsia="en-AU"/>
          </w:rPr>
          <w:t>Paediatric Infant Perinatal Emergency Retrieval</w:t>
        </w:r>
      </w:hyperlink>
      <w:r>
        <w:rPr>
          <w:lang w:eastAsia="en-AU"/>
        </w:rPr>
        <w:t xml:space="preserve"> &lt;</w:t>
      </w:r>
      <w:r w:rsidRPr="002B2115">
        <w:rPr>
          <w:lang w:eastAsia="en-AU"/>
        </w:rPr>
        <w:t>https://www.health.vic.gov.au/patient-care/emergency-referral-and-retrieval-for-pregnant-women-newborns-and-children</w:t>
      </w:r>
      <w:r>
        <w:rPr>
          <w:lang w:eastAsia="en-AU"/>
        </w:rPr>
        <w:t>&gt;</w:t>
      </w:r>
    </w:p>
    <w:p w14:paraId="51EE0472" w14:textId="77777777" w:rsidR="00817104" w:rsidRDefault="00817104" w:rsidP="00817104">
      <w:pPr>
        <w:pStyle w:val="Bullet1"/>
        <w:numPr>
          <w:ilvl w:val="0"/>
          <w:numId w:val="2"/>
        </w:numPr>
        <w:rPr>
          <w:lang w:eastAsia="en-AU"/>
        </w:rPr>
      </w:pPr>
      <w:r>
        <w:rPr>
          <w:lang w:eastAsia="en-AU"/>
        </w:rPr>
        <w:t>p</w:t>
      </w:r>
      <w:r w:rsidRPr="00B01213">
        <w:rPr>
          <w:lang w:eastAsia="en-AU"/>
        </w:rPr>
        <w:t>romote escalation pathways</w:t>
      </w:r>
      <w:r>
        <w:rPr>
          <w:lang w:eastAsia="en-AU"/>
        </w:rPr>
        <w:t>, including</w:t>
      </w:r>
      <w:r w:rsidRPr="00B01213">
        <w:rPr>
          <w:lang w:eastAsia="en-AU"/>
        </w:rPr>
        <w:t xml:space="preserve">: </w:t>
      </w:r>
    </w:p>
    <w:p w14:paraId="332D75E9" w14:textId="77777777" w:rsidR="00817104" w:rsidRPr="006C5AEE" w:rsidRDefault="00817104" w:rsidP="00817104">
      <w:pPr>
        <w:pStyle w:val="Bullet2"/>
        <w:numPr>
          <w:ilvl w:val="1"/>
          <w:numId w:val="2"/>
        </w:numPr>
      </w:pPr>
      <w:r>
        <w:t>UCCs</w:t>
      </w:r>
      <w:r w:rsidRPr="006C5AEE">
        <w:t xml:space="preserve"> continuing to access VVED for virtual consultation for less unwell to moderately unwell child</w:t>
      </w:r>
      <w:r>
        <w:t>ren</w:t>
      </w:r>
      <w:r w:rsidRPr="006C5AEE">
        <w:t xml:space="preserve">, with clear escalation pathways to </w:t>
      </w:r>
      <w:r w:rsidRPr="00CB1100">
        <w:t>Paediatric Infant Perinatal Emergency Retrieval</w:t>
      </w:r>
      <w:r w:rsidRPr="00CB1100" w:rsidDel="00CB1100">
        <w:t xml:space="preserve"> </w:t>
      </w:r>
    </w:p>
    <w:p w14:paraId="72114615" w14:textId="77777777" w:rsidR="00817104" w:rsidRPr="006C5AEE" w:rsidRDefault="00817104" w:rsidP="00817104">
      <w:pPr>
        <w:pStyle w:val="Bullet2"/>
        <w:numPr>
          <w:ilvl w:val="1"/>
          <w:numId w:val="2"/>
        </w:numPr>
      </w:pPr>
      <w:r>
        <w:t>that c</w:t>
      </w:r>
      <w:r w:rsidRPr="006C5AEE">
        <w:t xml:space="preserve">are of critically unwell children is escalated via </w:t>
      </w:r>
      <w:r w:rsidRPr="00CB1100">
        <w:t>Paediatric Infant Perinatal Emergency Retrieval</w:t>
      </w:r>
      <w:r w:rsidRPr="006C5AEE">
        <w:t>.</w:t>
      </w:r>
    </w:p>
    <w:p w14:paraId="1BBA76B0" w14:textId="77777777" w:rsidR="00817104" w:rsidRPr="00FE74EA" w:rsidRDefault="00817104" w:rsidP="00817104">
      <w:pPr>
        <w:pStyle w:val="Heading3"/>
        <w:numPr>
          <w:ilvl w:val="2"/>
          <w:numId w:val="0"/>
        </w:numPr>
        <w:tabs>
          <w:tab w:val="num" w:pos="1134"/>
        </w:tabs>
        <w:ind w:left="1134" w:hanging="1134"/>
      </w:pPr>
      <w:r>
        <w:t>18.3.8</w:t>
      </w:r>
      <w:r>
        <w:tab/>
      </w:r>
      <w:r w:rsidRPr="00FE74EA">
        <w:t>Deliver a statewide family and carer escalation of patient deterioration process</w:t>
      </w:r>
    </w:p>
    <w:p w14:paraId="5B67F682" w14:textId="77777777" w:rsidR="00817104" w:rsidRDefault="00817104" w:rsidP="00817104">
      <w:pPr>
        <w:pStyle w:val="Body"/>
      </w:pPr>
      <w:r w:rsidRPr="00D557AA">
        <w:t xml:space="preserve">The </w:t>
      </w:r>
      <w:r>
        <w:t>Kids</w:t>
      </w:r>
      <w:r w:rsidRPr="00D557AA">
        <w:t xml:space="preserve"> Urgent Concern Helpline aims to reduce preventable harms and deaths of children </w:t>
      </w:r>
      <w:r>
        <w:t>in hospital</w:t>
      </w:r>
      <w:r w:rsidRPr="00D557AA">
        <w:t xml:space="preserve">. </w:t>
      </w:r>
      <w:r>
        <w:t>It provides a statewide independent escalation process for families and carers in hospital to raise their concerns if they are worried their child is deteriorating.</w:t>
      </w:r>
      <w:r w:rsidRPr="00D557AA">
        <w:t xml:space="preserve"> The </w:t>
      </w:r>
      <w:r>
        <w:t>h</w:t>
      </w:r>
      <w:r w:rsidRPr="00D557AA">
        <w:t xml:space="preserve">elpline </w:t>
      </w:r>
      <w:r>
        <w:t xml:space="preserve">is designed to be </w:t>
      </w:r>
      <w:r>
        <w:lastRenderedPageBreak/>
        <w:t xml:space="preserve">integrated with existing local escalation systems, providing a safety net when local responses have been exhausted. </w:t>
      </w:r>
    </w:p>
    <w:p w14:paraId="3E68B863" w14:textId="77777777" w:rsidR="00817104" w:rsidRPr="00D557AA" w:rsidRDefault="00817104" w:rsidP="00817104">
      <w:pPr>
        <w:pStyle w:val="Body"/>
      </w:pPr>
      <w:r>
        <w:t xml:space="preserve">Following a successful pilot in 2025, the helpline will be available statewide across all Victorian public hospitals and UCCs from 1 July 2026. It </w:t>
      </w:r>
      <w:r>
        <w:rPr>
          <w:lang w:eastAsia="en-AU"/>
        </w:rPr>
        <w:t>is staffed by clinicians from the VVED,</w:t>
      </w:r>
      <w:r>
        <w:t xml:space="preserve"> operates 24/7 and is accessible via phone or video call. </w:t>
      </w:r>
    </w:p>
    <w:p w14:paraId="52767BAA" w14:textId="77777777" w:rsidR="00817104" w:rsidRDefault="00817104" w:rsidP="00817104">
      <w:pPr>
        <w:pStyle w:val="Body"/>
      </w:pPr>
      <w:r w:rsidRPr="006C5AEE">
        <w:t xml:space="preserve">For more information, visit </w:t>
      </w:r>
      <w:hyperlink r:id="rId283" w:history="1">
        <w:r w:rsidRPr="006C5AEE">
          <w:rPr>
            <w:rStyle w:val="Hyperlink"/>
          </w:rPr>
          <w:t>Safer Care for Kids</w:t>
        </w:r>
      </w:hyperlink>
      <w:r w:rsidRPr="006C5AEE">
        <w:rPr>
          <w:rStyle w:val="Hyperlink"/>
        </w:rPr>
        <w:t xml:space="preserve"> </w:t>
      </w:r>
      <w:r w:rsidRPr="006C5AEE">
        <w:t xml:space="preserve">&lt;https://www.safercare.vic.gov.au/safer-care-for-kids&gt;, or </w:t>
      </w:r>
      <w:hyperlink r:id="rId284" w:history="1">
        <w:r w:rsidRPr="007B779D">
          <w:rPr>
            <w:rStyle w:val="Hyperlink"/>
          </w:rPr>
          <w:t>email</w:t>
        </w:r>
      </w:hyperlink>
      <w:r w:rsidRPr="006C5AEE">
        <w:t xml:space="preserve"> </w:t>
      </w:r>
      <w:r>
        <w:t>&lt;</w:t>
      </w:r>
      <w:hyperlink r:id="rId285" w:history="1">
        <w:r w:rsidRPr="006C5AEE">
          <w:rPr>
            <w:rStyle w:val="Hyperlink"/>
            <w:color w:val="auto"/>
            <w:u w:val="none"/>
          </w:rPr>
          <w:t>culture.capability@safercare.vic.gov.au</w:t>
        </w:r>
      </w:hyperlink>
      <w:r>
        <w:rPr>
          <w:rStyle w:val="Hyperlink"/>
          <w:color w:val="auto"/>
          <w:u w:val="none"/>
        </w:rPr>
        <w:t>&gt;</w:t>
      </w:r>
      <w:r w:rsidRPr="006C5AEE">
        <w:t>.</w:t>
      </w:r>
    </w:p>
    <w:p w14:paraId="26731076" w14:textId="1F0E03CD" w:rsidR="00817104" w:rsidRPr="0036555E" w:rsidRDefault="00817104" w:rsidP="00817104">
      <w:pPr>
        <w:pStyle w:val="Heading2"/>
      </w:pPr>
      <w:bookmarkStart w:id="2380" w:name="_Toc231982321"/>
      <w:r>
        <w:t>Integrated cancer services</w:t>
      </w:r>
      <w:bookmarkEnd w:id="2376"/>
      <w:bookmarkEnd w:id="2377"/>
      <w:bookmarkEnd w:id="2379"/>
      <w:bookmarkEnd w:id="2380"/>
    </w:p>
    <w:p w14:paraId="274B4155" w14:textId="77777777" w:rsidR="00817104" w:rsidRDefault="00817104" w:rsidP="00817104">
      <w:pPr>
        <w:pStyle w:val="Body"/>
      </w:pPr>
      <w:bookmarkStart w:id="2381" w:name="_Toc165461752"/>
      <w:bookmarkStart w:id="2382" w:name="_Toc165461753"/>
      <w:bookmarkStart w:id="2383" w:name="_Toc165461754"/>
      <w:bookmarkStart w:id="2384" w:name="_Toc165461755"/>
      <w:bookmarkStart w:id="2385" w:name="_Toc165461756"/>
      <w:bookmarkStart w:id="2386" w:name="_Toc165461757"/>
      <w:bookmarkStart w:id="2387" w:name="_Toc165461758"/>
      <w:bookmarkStart w:id="2388" w:name="_Toc165461759"/>
      <w:bookmarkStart w:id="2389" w:name="_Toc165461760"/>
      <w:bookmarkStart w:id="2390" w:name="_Toc165461761"/>
      <w:bookmarkStart w:id="2391" w:name="_Toc165461762"/>
      <w:bookmarkStart w:id="2392" w:name="_Toc165461763"/>
      <w:bookmarkStart w:id="2393" w:name="_Toc165461764"/>
      <w:bookmarkStart w:id="2394" w:name="_Toc165461765"/>
      <w:bookmarkStart w:id="2395" w:name="_Toc165461766"/>
      <w:bookmarkStart w:id="2396" w:name="_Toc165461767"/>
      <w:bookmarkStart w:id="2397" w:name="_Toc165461768"/>
      <w:bookmarkStart w:id="2398" w:name="_Toc165461769"/>
      <w:bookmarkStart w:id="2399" w:name="_Toc165461770"/>
      <w:bookmarkStart w:id="2400" w:name="_Toc165461771"/>
      <w:bookmarkStart w:id="2401" w:name="_Toc165461772"/>
      <w:bookmarkStart w:id="2402" w:name="_Toc165461773"/>
      <w:bookmarkStart w:id="2403" w:name="_Toc165964708"/>
      <w:bookmarkStart w:id="2404" w:name="_Toc16717457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r>
        <w:t>All health services that treat cancer patients are expected to be active members of the Integrated Cancer Service (ICS) for their region, and to support the implementation of the ICS purpose to promote the development of a cohesive, integrated and multidisciplinary approach to the provision of cancer care.</w:t>
      </w:r>
    </w:p>
    <w:p w14:paraId="0D1611C7" w14:textId="77777777" w:rsidR="00817104" w:rsidRDefault="00817104" w:rsidP="00817104">
      <w:pPr>
        <w:pStyle w:val="Body"/>
      </w:pPr>
      <w:r>
        <w:t xml:space="preserve">ICSs will help achieve the goals stated in the </w:t>
      </w:r>
      <w:r w:rsidRPr="001A1792">
        <w:rPr>
          <w:i/>
          <w:iCs/>
        </w:rPr>
        <w:t>Victorian cancer plan 2024–2028</w:t>
      </w:r>
      <w:r>
        <w:t>, which include to:</w:t>
      </w:r>
    </w:p>
    <w:p w14:paraId="22B4C61A" w14:textId="77777777" w:rsidR="00817104" w:rsidRDefault="00817104" w:rsidP="00817104">
      <w:pPr>
        <w:pStyle w:val="Bullet1"/>
        <w:numPr>
          <w:ilvl w:val="0"/>
          <w:numId w:val="2"/>
        </w:numPr>
      </w:pPr>
      <w:r>
        <w:t>achieve equitable outcomes for all Victorians</w:t>
      </w:r>
    </w:p>
    <w:p w14:paraId="0C209FE0" w14:textId="77777777" w:rsidR="00817104" w:rsidRDefault="00817104" w:rsidP="00817104">
      <w:pPr>
        <w:pStyle w:val="Bullet1"/>
        <w:numPr>
          <w:ilvl w:val="0"/>
          <w:numId w:val="2"/>
        </w:numPr>
      </w:pPr>
      <w:r>
        <w:t xml:space="preserve">halve the proportion of Victorians diagnosed with potentially preventable cancers </w:t>
      </w:r>
    </w:p>
    <w:p w14:paraId="5AA21257" w14:textId="77777777" w:rsidR="00817104" w:rsidRDefault="00817104" w:rsidP="00817104">
      <w:pPr>
        <w:pStyle w:val="Bullet1"/>
        <w:numPr>
          <w:ilvl w:val="0"/>
          <w:numId w:val="2"/>
        </w:numPr>
      </w:pPr>
      <w:r>
        <w:t xml:space="preserve">ensure Victorians have the best possible experience of the cancer treatment and care system </w:t>
      </w:r>
    </w:p>
    <w:p w14:paraId="16A675C4" w14:textId="77777777" w:rsidR="00817104" w:rsidRDefault="00817104" w:rsidP="00817104">
      <w:pPr>
        <w:pStyle w:val="Bullet1"/>
        <w:numPr>
          <w:ilvl w:val="0"/>
          <w:numId w:val="2"/>
        </w:numPr>
      </w:pPr>
      <w:r>
        <w:t>increase one- and five-year survival of Victorians with cancer.</w:t>
      </w:r>
    </w:p>
    <w:p w14:paraId="0B0091BC" w14:textId="77777777" w:rsidR="00817104" w:rsidRDefault="00817104" w:rsidP="00817104">
      <w:pPr>
        <w:pStyle w:val="Bodyafterbullets"/>
      </w:pPr>
      <w:r>
        <w:t xml:space="preserve">A continuing focus for </w:t>
      </w:r>
      <w:r w:rsidRPr="00C65EA9">
        <w:t xml:space="preserve">the </w:t>
      </w:r>
      <w:r>
        <w:t>ICSs in 2026</w:t>
      </w:r>
      <w:r w:rsidRPr="00C65EA9">
        <w:t>–2</w:t>
      </w:r>
      <w:r>
        <w:t xml:space="preserve">7 is to work in collaboration with relevant cancer services to </w:t>
      </w:r>
      <w:r w:rsidRPr="00C65EA9">
        <w:t xml:space="preserve">progress and </w:t>
      </w:r>
      <w:r>
        <w:t xml:space="preserve">streamline service improvement priorities within and across the ICS regions. The </w:t>
      </w:r>
      <w:r w:rsidRPr="00C65EA9">
        <w:t>ICS</w:t>
      </w:r>
      <w:r>
        <w:t>s</w:t>
      </w:r>
      <w:r w:rsidRPr="00C65EA9">
        <w:t xml:space="preserve"> are expected to participate</w:t>
      </w:r>
      <w:r>
        <w:t xml:space="preserve"> in statewide initiatives to support improvement in cancer outcomes</w:t>
      </w:r>
      <w:r w:rsidRPr="00C65EA9">
        <w:t xml:space="preserve"> and progress priorities under the Victorian cancer plan 2024</w:t>
      </w:r>
      <w:r>
        <w:t>–</w:t>
      </w:r>
      <w:r w:rsidRPr="00C65EA9">
        <w:t xml:space="preserve">2028. </w:t>
      </w:r>
    </w:p>
    <w:p w14:paraId="2FE38F3F" w14:textId="11491C12" w:rsidR="00817104" w:rsidRDefault="00817104" w:rsidP="00817104">
      <w:pPr>
        <w:pStyle w:val="Bodyafterbullets"/>
      </w:pPr>
      <w:r w:rsidRPr="00C65EA9">
        <w:t xml:space="preserve">This includes working with the department to ensure </w:t>
      </w:r>
      <w:r w:rsidRPr="00060991">
        <w:t xml:space="preserve">successful continuation of the National Lung Cancer Screening </w:t>
      </w:r>
      <w:r w:rsidR="0073665C" w:rsidRPr="00060991">
        <w:t>Program</w:t>
      </w:r>
      <w:r w:rsidR="0073665C">
        <w:t xml:space="preserve"> and</w:t>
      </w:r>
      <w:r w:rsidRPr="00060991">
        <w:t xml:space="preserve"> having</w:t>
      </w:r>
      <w:r>
        <w:t xml:space="preserve"> a greater focus on improving access and timeliness of cancer care, in accordance with the nationally endorsed </w:t>
      </w:r>
      <w:hyperlink r:id="rId286">
        <w:r w:rsidRPr="0670E279">
          <w:rPr>
            <w:rStyle w:val="Hyperlink"/>
          </w:rPr>
          <w:t>Optimal Care Pathways</w:t>
        </w:r>
      </w:hyperlink>
      <w:r>
        <w:t xml:space="preserve"> &lt;https://www.cancervic.org.au/get-support/for-health-professionals/optimal-care-pathways&gt;.</w:t>
      </w:r>
    </w:p>
    <w:p w14:paraId="47FB3555" w14:textId="77777777" w:rsidR="00817104" w:rsidRDefault="00817104" w:rsidP="00817104">
      <w:pPr>
        <w:pStyle w:val="Bodyafterbullets"/>
      </w:pPr>
      <w:r>
        <w:t>Host organisations are required to hold funds on behalf of the ICS and act as employers for ICS program staff. Host organisations need to ensure appropriate human resource management (including annual performance appraisals), fiscal management processes and accounting procedures are in place. A senior executive should be nominated as the key management contact regarding these matters.</w:t>
      </w:r>
    </w:p>
    <w:p w14:paraId="0B39E8BB" w14:textId="77777777" w:rsidR="00817104" w:rsidRDefault="00817104" w:rsidP="00817104">
      <w:pPr>
        <w:pStyle w:val="Body"/>
      </w:pPr>
      <w:r>
        <w:t>The ICS governance committees, with clinician and consumer input, are responsible for:</w:t>
      </w:r>
    </w:p>
    <w:p w14:paraId="47A20229" w14:textId="77777777" w:rsidR="00817104" w:rsidRDefault="00817104" w:rsidP="00817104">
      <w:pPr>
        <w:pStyle w:val="Bullet1"/>
        <w:numPr>
          <w:ilvl w:val="0"/>
          <w:numId w:val="2"/>
        </w:numPr>
      </w:pPr>
      <w:r>
        <w:t>decision-making about using funds in accordance with both local and statewide priorities for cancer reform</w:t>
      </w:r>
    </w:p>
    <w:p w14:paraId="2D39A986" w14:textId="77777777" w:rsidR="00817104" w:rsidRDefault="00817104" w:rsidP="00817104">
      <w:pPr>
        <w:pStyle w:val="Bullet1"/>
        <w:numPr>
          <w:ilvl w:val="0"/>
          <w:numId w:val="2"/>
        </w:numPr>
      </w:pPr>
      <w:r>
        <w:t>accountability for ICS funding, and delivery and outcomes of ICS activities</w:t>
      </w:r>
    </w:p>
    <w:p w14:paraId="1829503A" w14:textId="77777777" w:rsidR="00817104" w:rsidRDefault="00817104" w:rsidP="00817104">
      <w:pPr>
        <w:pStyle w:val="Bullet1"/>
        <w:numPr>
          <w:ilvl w:val="0"/>
          <w:numId w:val="2"/>
        </w:numPr>
      </w:pPr>
      <w:r>
        <w:t>ensuring value for money</w:t>
      </w:r>
    </w:p>
    <w:p w14:paraId="03F76CAF" w14:textId="77777777" w:rsidR="00817104" w:rsidRDefault="00817104" w:rsidP="00817104">
      <w:pPr>
        <w:pStyle w:val="Bullet1"/>
        <w:numPr>
          <w:ilvl w:val="0"/>
          <w:numId w:val="2"/>
        </w:numPr>
      </w:pPr>
      <w:r>
        <w:t>ensuring sound project management and evaluation processes are employed.</w:t>
      </w:r>
    </w:p>
    <w:p w14:paraId="46111E1C" w14:textId="77777777" w:rsidR="00817104" w:rsidRDefault="00817104" w:rsidP="00817104">
      <w:pPr>
        <w:pStyle w:val="Bodyafterbullets"/>
      </w:pPr>
      <w:r>
        <w:t xml:space="preserve">Host organisations and the ICS governance committees must agree to any charges levied by the host for infrastructure support. These charges must be reflective of actual costs incurred and should be reported in the ICS budget. </w:t>
      </w:r>
    </w:p>
    <w:p w14:paraId="19BCFC47" w14:textId="77777777" w:rsidR="00817104" w:rsidRDefault="00817104" w:rsidP="00817104">
      <w:pPr>
        <w:pStyle w:val="Body"/>
      </w:pPr>
      <w:r>
        <w:t>The accountability requirements of the ICS governance committees are to:</w:t>
      </w:r>
    </w:p>
    <w:p w14:paraId="0226FD0C" w14:textId="77777777" w:rsidR="00817104" w:rsidRDefault="00817104" w:rsidP="00817104">
      <w:pPr>
        <w:pStyle w:val="Bullet1"/>
        <w:numPr>
          <w:ilvl w:val="0"/>
          <w:numId w:val="2"/>
        </w:numPr>
      </w:pPr>
      <w:r>
        <w:t>report progress against the current Victorian ICS workplan and their local workplan</w:t>
      </w:r>
    </w:p>
    <w:p w14:paraId="2CC67340" w14:textId="77777777" w:rsidR="00817104" w:rsidRDefault="00817104" w:rsidP="00817104">
      <w:pPr>
        <w:pStyle w:val="Bullet1"/>
        <w:numPr>
          <w:ilvl w:val="0"/>
          <w:numId w:val="2"/>
        </w:numPr>
      </w:pPr>
      <w:r>
        <w:lastRenderedPageBreak/>
        <w:t>provide half-yearly financial statements (for periods ending 31 December and 30 June)</w:t>
      </w:r>
    </w:p>
    <w:p w14:paraId="54403970" w14:textId="77777777" w:rsidR="00817104" w:rsidRDefault="00817104" w:rsidP="00817104">
      <w:pPr>
        <w:pStyle w:val="Bullet1"/>
        <w:numPr>
          <w:ilvl w:val="0"/>
          <w:numId w:val="2"/>
        </w:numPr>
      </w:pPr>
      <w:r>
        <w:t>participate in the department’s cancer reform meetings and workshops as directed</w:t>
      </w:r>
    </w:p>
    <w:p w14:paraId="3EE870B4" w14:textId="77777777" w:rsidR="00817104" w:rsidRDefault="00817104" w:rsidP="00817104">
      <w:pPr>
        <w:pStyle w:val="Bullet1"/>
        <w:numPr>
          <w:ilvl w:val="0"/>
          <w:numId w:val="2"/>
        </w:numPr>
      </w:pPr>
      <w:r>
        <w:t xml:space="preserve">provide a report annually that details the ICS’s local and statewide activities, and alignment with the </w:t>
      </w:r>
      <w:r w:rsidRPr="00C65EA9">
        <w:t>Victorian cancer plan 2024</w:t>
      </w:r>
      <w:r>
        <w:t>–</w:t>
      </w:r>
      <w:r w:rsidRPr="00C65EA9">
        <w:t>2028</w:t>
      </w:r>
    </w:p>
    <w:p w14:paraId="76387C42" w14:textId="77777777" w:rsidR="00817104" w:rsidRDefault="00817104" w:rsidP="00817104">
      <w:pPr>
        <w:pStyle w:val="Bullet1"/>
        <w:numPr>
          <w:ilvl w:val="0"/>
          <w:numId w:val="2"/>
        </w:numPr>
      </w:pPr>
      <w:r>
        <w:t>submit a quarterly log of clinical indicator outliers identified via the Statewide Cancer Indicator Platform application</w:t>
      </w:r>
    </w:p>
    <w:p w14:paraId="7003EC21" w14:textId="77777777" w:rsidR="00817104" w:rsidRDefault="00817104" w:rsidP="00817104">
      <w:pPr>
        <w:pStyle w:val="Bullet1"/>
        <w:numPr>
          <w:ilvl w:val="0"/>
          <w:numId w:val="2"/>
        </w:numPr>
      </w:pPr>
      <w:r>
        <w:t>participate in processes to evaluate the impact of cancer reform activities, including reporting outcomes against targets and milestones.</w:t>
      </w:r>
    </w:p>
    <w:p w14:paraId="6186AD71" w14:textId="77777777" w:rsidR="00817104" w:rsidRDefault="00817104" w:rsidP="00817104">
      <w:pPr>
        <w:pStyle w:val="Bodyafterbullets"/>
      </w:pPr>
      <w:r>
        <w:t>The department reserves the right to conduct an ICS program office performance and financial audit.</w:t>
      </w:r>
    </w:p>
    <w:p w14:paraId="06B8A0D8" w14:textId="77777777" w:rsidR="00817104" w:rsidRDefault="00817104" w:rsidP="00817104">
      <w:pPr>
        <w:pStyle w:val="Body"/>
      </w:pPr>
      <w:r>
        <w:t xml:space="preserve">For more information, visit </w:t>
      </w:r>
      <w:hyperlink r:id="rId287">
        <w:r w:rsidRPr="0670E279">
          <w:rPr>
            <w:rStyle w:val="Hyperlink"/>
          </w:rPr>
          <w:t>Integrated Cancer Services</w:t>
        </w:r>
      </w:hyperlink>
      <w:r>
        <w:t xml:space="preserve"> &lt;https://www.health.vic.gov.au/health-strategies/integrated-cancer-services&gt;.</w:t>
      </w:r>
    </w:p>
    <w:p w14:paraId="73FF3B4F" w14:textId="77B48378" w:rsidR="00817104" w:rsidRPr="005A77EB" w:rsidRDefault="00817104" w:rsidP="00817104">
      <w:pPr>
        <w:pStyle w:val="Heading2"/>
      </w:pPr>
      <w:bookmarkStart w:id="2405" w:name="_Perinatal_services_performance"/>
      <w:bookmarkStart w:id="2406" w:name="_Toc165964709"/>
      <w:bookmarkStart w:id="2407" w:name="_Toc167174571"/>
      <w:bookmarkStart w:id="2408" w:name="_Toc229127711"/>
      <w:bookmarkStart w:id="2409" w:name="_Toc231982322"/>
      <w:bookmarkEnd w:id="2403"/>
      <w:bookmarkEnd w:id="2404"/>
      <w:bookmarkEnd w:id="2405"/>
      <w:r>
        <w:t xml:space="preserve">Blood </w:t>
      </w:r>
      <w:r w:rsidRPr="00D57776">
        <w:t>Matters</w:t>
      </w:r>
      <w:r>
        <w:t xml:space="preserve"> Program</w:t>
      </w:r>
      <w:bookmarkEnd w:id="2406"/>
      <w:bookmarkEnd w:id="2407"/>
      <w:bookmarkEnd w:id="2408"/>
      <w:bookmarkEnd w:id="2409"/>
    </w:p>
    <w:p w14:paraId="2193326C" w14:textId="77777777" w:rsidR="00817104" w:rsidRPr="00B61A4E" w:rsidRDefault="00817104" w:rsidP="00817104">
      <w:pPr>
        <w:pStyle w:val="Body"/>
      </w:pPr>
      <w:bookmarkStart w:id="2410" w:name="_Toc165964710"/>
      <w:bookmarkStart w:id="2411" w:name="_Toc167174572"/>
      <w:r>
        <w:t>The Blood Matters Program assists health services to monitor patient blood management and transfusion practices, in line with guidelines and standards, to provide recommendations and support for best practice.</w:t>
      </w:r>
    </w:p>
    <w:p w14:paraId="2702224B" w14:textId="77777777" w:rsidR="00817104" w:rsidRDefault="00817104" w:rsidP="00817104">
      <w:pPr>
        <w:pStyle w:val="Body"/>
      </w:pPr>
      <w:r>
        <w:t>Health service performance reporting is required through participation in audits and surveys on practice and governance.</w:t>
      </w:r>
    </w:p>
    <w:p w14:paraId="17EA4E8C" w14:textId="77777777" w:rsidR="00817104" w:rsidRDefault="00817104" w:rsidP="00817104">
      <w:pPr>
        <w:pStyle w:val="Body"/>
      </w:pPr>
      <w:r>
        <w:t>Participation in the Blood Matters Program’s Serious Transfusion Incident Reporting program is expected, as it supports national healthcare standards. Reporting of serious adverse events related to blood or blood components is required, including clinical reactions and procedural events.</w:t>
      </w:r>
    </w:p>
    <w:p w14:paraId="12D40649" w14:textId="77777777" w:rsidR="00817104" w:rsidRDefault="00817104" w:rsidP="00817104">
      <w:pPr>
        <w:pStyle w:val="Body"/>
      </w:pPr>
      <w:r>
        <w:t>These include:</w:t>
      </w:r>
    </w:p>
    <w:p w14:paraId="6B01E58D" w14:textId="77777777" w:rsidR="00817104" w:rsidRPr="009C3886" w:rsidRDefault="00817104" w:rsidP="00817104">
      <w:pPr>
        <w:pStyle w:val="Bullet1"/>
        <w:numPr>
          <w:ilvl w:val="0"/>
          <w:numId w:val="2"/>
        </w:numPr>
      </w:pPr>
      <w:r>
        <w:t>near-miss incidents</w:t>
      </w:r>
    </w:p>
    <w:p w14:paraId="42D0338E" w14:textId="77777777" w:rsidR="00817104" w:rsidRPr="009C3886" w:rsidRDefault="00817104" w:rsidP="00817104">
      <w:pPr>
        <w:pStyle w:val="Bullet1"/>
        <w:numPr>
          <w:ilvl w:val="0"/>
          <w:numId w:val="2"/>
        </w:numPr>
      </w:pPr>
      <w:r>
        <w:t>events related to RhD immunoglobulin</w:t>
      </w:r>
    </w:p>
    <w:p w14:paraId="4856A6A0" w14:textId="77777777" w:rsidR="00817104" w:rsidRPr="009C3886" w:rsidRDefault="00817104" w:rsidP="00817104">
      <w:pPr>
        <w:pStyle w:val="Bullet1"/>
        <w:numPr>
          <w:ilvl w:val="0"/>
          <w:numId w:val="2"/>
        </w:numPr>
      </w:pPr>
      <w:r>
        <w:t>cell salvage.</w:t>
      </w:r>
    </w:p>
    <w:p w14:paraId="3F433260" w14:textId="77777777" w:rsidR="00817104" w:rsidRDefault="00817104" w:rsidP="00817104">
      <w:pPr>
        <w:pStyle w:val="Bodyafterbullets"/>
      </w:pPr>
      <w:r>
        <w:t>Health services are expected to align blood management and transfusion practices with national guidelines, standards and strategies, including the:</w:t>
      </w:r>
    </w:p>
    <w:p w14:paraId="0FF05615" w14:textId="77777777" w:rsidR="00817104" w:rsidRPr="00EF4EB6" w:rsidRDefault="00817104" w:rsidP="00817104">
      <w:pPr>
        <w:pStyle w:val="Bullet1"/>
        <w:numPr>
          <w:ilvl w:val="0"/>
          <w:numId w:val="2"/>
        </w:numPr>
      </w:pPr>
      <w:hyperlink r:id="rId288">
        <w:r w:rsidRPr="0670E279">
          <w:rPr>
            <w:rStyle w:val="Hyperlink"/>
          </w:rPr>
          <w:t xml:space="preserve">National </w:t>
        </w:r>
        <w:r>
          <w:rPr>
            <w:rStyle w:val="Hyperlink"/>
          </w:rPr>
          <w:t>S</w:t>
        </w:r>
        <w:r w:rsidRPr="0670E279">
          <w:rPr>
            <w:rStyle w:val="Hyperlink"/>
          </w:rPr>
          <w:t xml:space="preserve">tewardship </w:t>
        </w:r>
        <w:r>
          <w:rPr>
            <w:rStyle w:val="Hyperlink"/>
          </w:rPr>
          <w:t>Program</w:t>
        </w:r>
      </w:hyperlink>
      <w:r>
        <w:t xml:space="preserve"> &lt;</w:t>
      </w:r>
      <w:r w:rsidRPr="005616B1">
        <w:t>https://www.blood.gov.au/supply-system/managing-blood-supply/national-stewardship-program</w:t>
      </w:r>
      <w:r>
        <w:t xml:space="preserve">&gt; </w:t>
      </w:r>
    </w:p>
    <w:p w14:paraId="122328DE" w14:textId="77777777" w:rsidR="00817104" w:rsidRPr="00F63DAE" w:rsidRDefault="00817104" w:rsidP="00817104">
      <w:pPr>
        <w:pStyle w:val="Bullet1"/>
        <w:numPr>
          <w:ilvl w:val="0"/>
          <w:numId w:val="2"/>
        </w:numPr>
      </w:pPr>
      <w:hyperlink r:id="rId289">
        <w:r>
          <w:rPr>
            <w:rStyle w:val="Hyperlink"/>
          </w:rPr>
          <w:t>Patient blood management</w:t>
        </w:r>
      </w:hyperlink>
      <w:r w:rsidRPr="0670E279">
        <w:t xml:space="preserve"> </w:t>
      </w:r>
      <w:r>
        <w:t>&lt;</w:t>
      </w:r>
      <w:r w:rsidRPr="00404433">
        <w:t>https://www.blood.gov.au/clinical-guidance/patient-blood-management</w:t>
      </w:r>
      <w:r>
        <w:t>&gt;</w:t>
      </w:r>
    </w:p>
    <w:p w14:paraId="69E379D4" w14:textId="77777777" w:rsidR="00817104" w:rsidRDefault="00817104" w:rsidP="00817104">
      <w:pPr>
        <w:pStyle w:val="Bullet1"/>
        <w:numPr>
          <w:ilvl w:val="0"/>
          <w:numId w:val="2"/>
        </w:numPr>
      </w:pPr>
      <w:hyperlink r:id="rId290" w:history="1">
        <w:r w:rsidRPr="00E1454E">
          <w:rPr>
            <w:rStyle w:val="Hyperlink"/>
          </w:rPr>
          <w:t>National Statement for the Emergency Use of Group O Red Blood Cells</w:t>
        </w:r>
      </w:hyperlink>
      <w:r>
        <w:t xml:space="preserve"> &lt;</w:t>
      </w:r>
      <w:r w:rsidRPr="00580E31">
        <w:t>https://www.blood.gov.au/blood-products/blood-product-management/inventory-management-blood-and-blood-products#managing-group-o-rhd-negative-red-blood-cells</w:t>
      </w:r>
      <w:r>
        <w:t>&gt;</w:t>
      </w:r>
    </w:p>
    <w:p w14:paraId="56C5A829" w14:textId="77777777" w:rsidR="00817104" w:rsidRDefault="00817104" w:rsidP="00817104">
      <w:pPr>
        <w:pStyle w:val="Bullet1"/>
        <w:numPr>
          <w:ilvl w:val="0"/>
          <w:numId w:val="2"/>
        </w:numPr>
      </w:pPr>
      <w:hyperlink r:id="rId291" w:history="1">
        <w:r w:rsidRPr="0070067E">
          <w:rPr>
            <w:rStyle w:val="Hyperlink"/>
          </w:rPr>
          <w:t>National Guidance for the Management of Red Blood Cell Inventory</w:t>
        </w:r>
      </w:hyperlink>
      <w:r>
        <w:t xml:space="preserve"> &lt;</w:t>
      </w:r>
      <w:r w:rsidRPr="00404433">
        <w:t>https://www.blood.gov.au/blood-products/blood-product-management/inventory-management-blood-and-blood-products</w:t>
      </w:r>
      <w:r>
        <w:t xml:space="preserve">&gt; </w:t>
      </w:r>
    </w:p>
    <w:p w14:paraId="77D1072E" w14:textId="77777777" w:rsidR="00817104" w:rsidRPr="00F63DAE" w:rsidRDefault="00817104" w:rsidP="00817104">
      <w:pPr>
        <w:pStyle w:val="Bullet1"/>
        <w:numPr>
          <w:ilvl w:val="0"/>
          <w:numId w:val="2"/>
        </w:numPr>
      </w:pPr>
      <w:hyperlink r:id="rId292" w:history="1">
        <w:r w:rsidRPr="000D6200">
          <w:rPr>
            <w:rStyle w:val="Hyperlink"/>
          </w:rPr>
          <w:t>National Statement for the Emergency Use of Clinical Plasma</w:t>
        </w:r>
      </w:hyperlink>
      <w:r>
        <w:t xml:space="preserve"> &lt;</w:t>
      </w:r>
      <w:r w:rsidRPr="002A26AA">
        <w:t>https://www.blood.gov.au/blood-products/blood-product-management/inventory-management-blood-and-blood-products#national-statement-for-the-emergency-use-of-clinical-plasma</w:t>
      </w:r>
      <w:r>
        <w:t>&gt;</w:t>
      </w:r>
    </w:p>
    <w:p w14:paraId="290D6B32" w14:textId="77777777" w:rsidR="00817104" w:rsidRPr="00F63DAE" w:rsidRDefault="00817104" w:rsidP="00817104">
      <w:pPr>
        <w:pStyle w:val="Bullet1"/>
        <w:numPr>
          <w:ilvl w:val="0"/>
          <w:numId w:val="2"/>
        </w:numPr>
      </w:pPr>
      <w:hyperlink r:id="rId293" w:history="1">
        <w:r w:rsidRPr="00A446BC">
          <w:rPr>
            <w:rStyle w:val="Hyperlink"/>
          </w:rPr>
          <w:t>NSQHS Standards</w:t>
        </w:r>
      </w:hyperlink>
      <w:r w:rsidRPr="0670E279">
        <w:rPr>
          <w:i/>
          <w:iCs/>
        </w:rPr>
        <w:t xml:space="preserve"> </w:t>
      </w:r>
      <w:r w:rsidRPr="0670E279">
        <w:rPr>
          <w:rFonts w:eastAsia="Yu Gothic Light"/>
        </w:rPr>
        <w:t>&lt;https://www.safetyandquality.gov.au/standards/nsqhs-standards&gt;</w:t>
      </w:r>
      <w:r w:rsidRPr="0670E279">
        <w:rPr>
          <w:rStyle w:val="Hyperlink"/>
          <w:rFonts w:eastAsia="Yu Gothic Light" w:cs="Calibri"/>
        </w:rPr>
        <w:t xml:space="preserve"> </w:t>
      </w:r>
    </w:p>
    <w:p w14:paraId="02D61DD5" w14:textId="77777777" w:rsidR="00817104" w:rsidRPr="00004018" w:rsidRDefault="00817104" w:rsidP="00817104">
      <w:pPr>
        <w:pStyle w:val="Bullet1"/>
        <w:numPr>
          <w:ilvl w:val="0"/>
          <w:numId w:val="2"/>
        </w:numPr>
      </w:pPr>
      <w:hyperlink r:id="rId294">
        <w:r w:rsidRPr="00004018">
          <w:rPr>
            <w:rStyle w:val="Hyperlink"/>
          </w:rPr>
          <w:t>National Blood Management Improvement Strategy 2018–2024</w:t>
        </w:r>
      </w:hyperlink>
      <w:r w:rsidRPr="00004018">
        <w:t xml:space="preserve"> </w:t>
      </w:r>
      <w:r w:rsidRPr="009A526C">
        <w:t>&lt;https://www.blood.gov.au/national-blood-management-improvement-strategy-2018-2024&gt;.</w:t>
      </w:r>
    </w:p>
    <w:p w14:paraId="6B431E7C" w14:textId="77777777" w:rsidR="00817104" w:rsidRPr="00F54ED4" w:rsidRDefault="00817104" w:rsidP="00817104">
      <w:pPr>
        <w:pStyle w:val="Bodyafterbullets"/>
      </w:pPr>
      <w:r>
        <w:t>The department established the transfusion nurse/trainer/safety officer and patient blood management role across Victoria. It continues to financially support these positions. Health services are expected to have roles in place to ensure compliance with national guidelines and the NSQHS Standards. Services are funded to achieve this through acute admitted funding.</w:t>
      </w:r>
    </w:p>
    <w:p w14:paraId="08F57E67" w14:textId="77777777" w:rsidR="00817104" w:rsidRPr="00474A18" w:rsidRDefault="00817104" w:rsidP="00817104">
      <w:pPr>
        <w:pStyle w:val="Body"/>
      </w:pPr>
      <w:r w:rsidRPr="00474A18">
        <w:t>Health services are expected to support compliance with the national guidelines and the NSQHS Standards through activities that include:</w:t>
      </w:r>
    </w:p>
    <w:p w14:paraId="4CFEE97E" w14:textId="77777777" w:rsidR="00817104" w:rsidRPr="009C3886" w:rsidRDefault="00817104" w:rsidP="00817104">
      <w:pPr>
        <w:pStyle w:val="Bullet1"/>
        <w:numPr>
          <w:ilvl w:val="0"/>
          <w:numId w:val="2"/>
        </w:numPr>
      </w:pPr>
      <w:r>
        <w:t>employing an appropriately trained nurse or scientist who, where able, holds a Specialist Certificate in Blood Management Foundations and/or Graduate Certificate of Transfusion Practice</w:t>
      </w:r>
    </w:p>
    <w:p w14:paraId="6A5069D4" w14:textId="77777777" w:rsidR="00817104" w:rsidRPr="009C3886" w:rsidRDefault="00817104" w:rsidP="00817104">
      <w:pPr>
        <w:pStyle w:val="Bullet1"/>
        <w:numPr>
          <w:ilvl w:val="0"/>
          <w:numId w:val="2"/>
        </w:numPr>
      </w:pPr>
      <w:r>
        <w:t>ensuring the role operates within an effective health service blood management and quality governance structure</w:t>
      </w:r>
    </w:p>
    <w:p w14:paraId="29F8C8CD" w14:textId="77777777" w:rsidR="00817104" w:rsidRPr="009C3886" w:rsidRDefault="00817104" w:rsidP="00817104">
      <w:pPr>
        <w:pStyle w:val="Bullet1"/>
        <w:numPr>
          <w:ilvl w:val="0"/>
          <w:numId w:val="2"/>
        </w:numPr>
      </w:pPr>
      <w:r>
        <w:t>incorporating patient blood management practices – that is, a patient-centred approach to safe and appropriate transfusion practice, in line with national clinical guidelines, standards and strategies (NSQHS blood management standard 7)</w:t>
      </w:r>
    </w:p>
    <w:p w14:paraId="483C31B2" w14:textId="77777777" w:rsidR="00817104" w:rsidRPr="009C3886" w:rsidRDefault="00817104" w:rsidP="00817104">
      <w:pPr>
        <w:pStyle w:val="Bullet1"/>
        <w:numPr>
          <w:ilvl w:val="0"/>
          <w:numId w:val="2"/>
        </w:numPr>
      </w:pPr>
      <w:r>
        <w:t>participating in Blood Matters Program audits, educational forums and other activities.</w:t>
      </w:r>
    </w:p>
    <w:p w14:paraId="484B4F9B" w14:textId="77777777" w:rsidR="00817104" w:rsidRPr="00F54ED4" w:rsidRDefault="00817104" w:rsidP="00817104">
      <w:pPr>
        <w:pStyle w:val="Bodyafterbullets"/>
      </w:pPr>
      <w:r>
        <w:t xml:space="preserve">For more information, visit </w:t>
      </w:r>
      <w:hyperlink r:id="rId295">
        <w:r w:rsidRPr="0670E279">
          <w:rPr>
            <w:rStyle w:val="Hyperlink"/>
          </w:rPr>
          <w:t>About the Blood Matters Program</w:t>
        </w:r>
      </w:hyperlink>
      <w:r>
        <w:t xml:space="preserve"> &lt;https://www.health.vic.gov.au/patient-care/about-the-blood-matters-program&gt;.</w:t>
      </w:r>
    </w:p>
    <w:p w14:paraId="0C39D443" w14:textId="0D76A9FB" w:rsidR="00817104" w:rsidRDefault="00817104" w:rsidP="00817104">
      <w:pPr>
        <w:pStyle w:val="Heading2"/>
      </w:pPr>
      <w:bookmarkStart w:id="2412" w:name="_Toc229127712"/>
      <w:bookmarkStart w:id="2413" w:name="_Toc231982323"/>
      <w:r>
        <w:t xml:space="preserve">Pathology </w:t>
      </w:r>
      <w:r w:rsidRPr="00D57776">
        <w:t>reform</w:t>
      </w:r>
      <w:bookmarkEnd w:id="2410"/>
      <w:bookmarkEnd w:id="2411"/>
      <w:bookmarkEnd w:id="2412"/>
      <w:bookmarkEnd w:id="2413"/>
    </w:p>
    <w:p w14:paraId="2190D7D9" w14:textId="77777777" w:rsidR="00817104" w:rsidRDefault="00817104" w:rsidP="00817104">
      <w:pPr>
        <w:pStyle w:val="Body"/>
      </w:pPr>
      <w:bookmarkStart w:id="2414" w:name="_Toc165461777"/>
      <w:bookmarkStart w:id="2415" w:name="_Toc165461778"/>
      <w:bookmarkStart w:id="2416" w:name="_Toc165461779"/>
      <w:bookmarkStart w:id="2417" w:name="_Toc165461780"/>
      <w:bookmarkStart w:id="2418" w:name="_Toc165964711"/>
      <w:bookmarkStart w:id="2419" w:name="_Toc167174573"/>
      <w:bookmarkEnd w:id="2414"/>
      <w:bookmarkEnd w:id="2415"/>
      <w:bookmarkEnd w:id="2416"/>
      <w:bookmarkEnd w:id="2417"/>
      <w:r w:rsidRPr="0670E279">
        <w:t>Victoria</w:t>
      </w:r>
      <w:r>
        <w:t>’s public pathology system is moving to a new model that brings services together into two Public Pathology Networks – one led by Melbourne Health, and one led by Bayside Health.</w:t>
      </w:r>
      <w:r w:rsidRPr="0670E279">
        <w:t xml:space="preserve"> </w:t>
      </w:r>
      <w:r>
        <w:t xml:space="preserve">The purpose of this consolidation is to </w:t>
      </w:r>
      <w:r w:rsidRPr="0670E279">
        <w:t xml:space="preserve">ensure Victoria’s public pathology system can continue </w:t>
      </w:r>
      <w:r>
        <w:t xml:space="preserve">delivering high-quality </w:t>
      </w:r>
      <w:r w:rsidRPr="0670E279">
        <w:t xml:space="preserve">services </w:t>
      </w:r>
      <w:r>
        <w:t xml:space="preserve">while also </w:t>
      </w:r>
      <w:r w:rsidRPr="0670E279">
        <w:t>meeting</w:t>
      </w:r>
      <w:r>
        <w:t xml:space="preserve"> </w:t>
      </w:r>
      <w:r w:rsidRPr="0670E279">
        <w:t>increasing demand.</w:t>
      </w:r>
    </w:p>
    <w:p w14:paraId="4CB55A93" w14:textId="77777777" w:rsidR="00817104" w:rsidRDefault="00817104" w:rsidP="00817104">
      <w:pPr>
        <w:pStyle w:val="Body"/>
      </w:pPr>
      <w:r>
        <w:t xml:space="preserve">Each lead service will manage and deliver pathology services across the network, with member health services transitioning their pathology services and pathology staff to one of the lead health services. The establishment of the networks is being guided by the </w:t>
      </w:r>
      <w:r w:rsidRPr="00496E74">
        <w:t>Pathology Framework</w:t>
      </w:r>
      <w:r>
        <w:t>, which defines roles and responsibilities, and the minimum requirements for networks to be formally established.</w:t>
      </w:r>
    </w:p>
    <w:p w14:paraId="6460A2D3" w14:textId="77777777" w:rsidR="00817104" w:rsidRDefault="00817104" w:rsidP="00817104">
      <w:pPr>
        <w:pStyle w:val="Body"/>
      </w:pPr>
      <w:r w:rsidRPr="0046522D" w:rsidDel="0045462A">
        <w:t xml:space="preserve">Implementation </w:t>
      </w:r>
      <w:r w:rsidRPr="0670E279">
        <w:t xml:space="preserve">of </w:t>
      </w:r>
      <w:r>
        <w:t>an</w:t>
      </w:r>
      <w:r w:rsidRPr="0670E279">
        <w:t xml:space="preserve"> integrated laboratory information system</w:t>
      </w:r>
      <w:r>
        <w:t xml:space="preserve"> for each network is also underway</w:t>
      </w:r>
      <w:r w:rsidRPr="0670E279">
        <w:t xml:space="preserve">, </w:t>
      </w:r>
      <w:r>
        <w:t>to</w:t>
      </w:r>
      <w:r w:rsidRPr="0670E279">
        <w:t xml:space="preserve"> facilitate the sharing of pathology information between laboratories and offer advanced decision</w:t>
      </w:r>
      <w:r>
        <w:t>-</w:t>
      </w:r>
      <w:r w:rsidRPr="0670E279">
        <w:t>making support to clinicians.</w:t>
      </w:r>
    </w:p>
    <w:p w14:paraId="6A53684B" w14:textId="77777777" w:rsidR="00817104" w:rsidRDefault="00817104" w:rsidP="00817104">
      <w:pPr>
        <w:pStyle w:val="Body"/>
      </w:pPr>
      <w:r>
        <w:t xml:space="preserve">For more information, visit </w:t>
      </w:r>
      <w:hyperlink r:id="rId296" w:history="1">
        <w:r w:rsidRPr="00A32490">
          <w:rPr>
            <w:rStyle w:val="Hyperlink"/>
          </w:rPr>
          <w:t>Pathology reform</w:t>
        </w:r>
      </w:hyperlink>
      <w:r>
        <w:t xml:space="preserve"> &lt;</w:t>
      </w:r>
      <w:r w:rsidRPr="00820050">
        <w:t>https://www.health.vic.gov.au/hospitals-and-health-services/pathology-reform</w:t>
      </w:r>
      <w:r>
        <w:t>&gt;.</w:t>
      </w:r>
    </w:p>
    <w:p w14:paraId="1CD4F7D0" w14:textId="7106B76D" w:rsidR="00817104" w:rsidRPr="007A03B0" w:rsidRDefault="00817104" w:rsidP="00817104">
      <w:pPr>
        <w:pStyle w:val="Heading2"/>
      </w:pPr>
      <w:bookmarkStart w:id="2420" w:name="_Toc165461782"/>
      <w:bookmarkStart w:id="2421" w:name="_Toc165461783"/>
      <w:bookmarkStart w:id="2422" w:name="_Toc165461784"/>
      <w:bookmarkStart w:id="2423" w:name="_Toc165461785"/>
      <w:bookmarkStart w:id="2424" w:name="_Toc165461786"/>
      <w:bookmarkStart w:id="2425" w:name="_Toc165461787"/>
      <w:bookmarkStart w:id="2426" w:name="_Toc165461788"/>
      <w:bookmarkStart w:id="2427" w:name="_Toc165461789"/>
      <w:bookmarkStart w:id="2428" w:name="_Toc165461790"/>
      <w:bookmarkStart w:id="2429" w:name="_Toc229127714"/>
      <w:bookmarkStart w:id="2430" w:name="_Toc231982324"/>
      <w:bookmarkEnd w:id="2418"/>
      <w:bookmarkEnd w:id="2419"/>
      <w:bookmarkEnd w:id="2420"/>
      <w:bookmarkEnd w:id="2421"/>
      <w:bookmarkEnd w:id="2422"/>
      <w:bookmarkEnd w:id="2423"/>
      <w:bookmarkEnd w:id="2424"/>
      <w:bookmarkEnd w:id="2425"/>
      <w:bookmarkEnd w:id="2426"/>
      <w:bookmarkEnd w:id="2427"/>
      <w:bookmarkEnd w:id="2428"/>
      <w:r>
        <w:t>VVED</w:t>
      </w:r>
      <w:bookmarkEnd w:id="2429"/>
      <w:bookmarkEnd w:id="2430"/>
    </w:p>
    <w:p w14:paraId="3133B5FD" w14:textId="77777777" w:rsidR="00817104" w:rsidRPr="00703D7C" w:rsidRDefault="00817104" w:rsidP="00817104">
      <w:pPr>
        <w:pStyle w:val="Body"/>
      </w:pPr>
      <w:bookmarkStart w:id="2431" w:name="_Toc165461792"/>
      <w:bookmarkStart w:id="2432" w:name="_Toc165461793"/>
      <w:bookmarkStart w:id="2433" w:name="_Toc165461794"/>
      <w:bookmarkStart w:id="2434" w:name="_Toc165461795"/>
      <w:bookmarkStart w:id="2435" w:name="_Toc165461796"/>
      <w:bookmarkStart w:id="2436" w:name="_Toc165461797"/>
      <w:bookmarkStart w:id="2437" w:name="_Toc165461798"/>
      <w:bookmarkStart w:id="2438" w:name="_Toc165461799"/>
      <w:bookmarkStart w:id="2439" w:name="_Toc165964713"/>
      <w:bookmarkStart w:id="2440" w:name="_Toc167174575"/>
      <w:bookmarkEnd w:id="2431"/>
      <w:bookmarkEnd w:id="2432"/>
      <w:bookmarkEnd w:id="2433"/>
      <w:bookmarkEnd w:id="2434"/>
      <w:bookmarkEnd w:id="2435"/>
      <w:bookmarkEnd w:id="2436"/>
      <w:bookmarkEnd w:id="2437"/>
      <w:bookmarkEnd w:id="2438"/>
      <w:r w:rsidRPr="00703D7C">
        <w:t xml:space="preserve">The </w:t>
      </w:r>
      <w:r w:rsidRPr="00B203BD">
        <w:t xml:space="preserve">Victorian Virtual </w:t>
      </w:r>
      <w:r>
        <w:t>Emergency Department</w:t>
      </w:r>
      <w:r w:rsidRPr="00B203BD">
        <w:t xml:space="preserve"> </w:t>
      </w:r>
      <w:r>
        <w:t>(</w:t>
      </w:r>
      <w:r w:rsidRPr="00703D7C">
        <w:t>VVED</w:t>
      </w:r>
      <w:r>
        <w:t>)</w:t>
      </w:r>
      <w:r w:rsidRPr="00703D7C">
        <w:t xml:space="preserve"> is delivered by Northern Health</w:t>
      </w:r>
      <w:r>
        <w:t>, who work</w:t>
      </w:r>
      <w:r w:rsidRPr="00703D7C">
        <w:t xml:space="preserve"> in collaboration with other health services. It allows any person in Victoria to receive virtual video assessments, 24</w:t>
      </w:r>
      <w:r>
        <w:t>/7</w:t>
      </w:r>
      <w:r w:rsidRPr="00703D7C">
        <w:t xml:space="preserve">, from emergency doctors and nurses. </w:t>
      </w:r>
    </w:p>
    <w:p w14:paraId="27D97311" w14:textId="77777777" w:rsidR="00817104" w:rsidRPr="00703D7C" w:rsidRDefault="00817104" w:rsidP="00817104">
      <w:pPr>
        <w:pStyle w:val="Body"/>
      </w:pPr>
      <w:r w:rsidRPr="00703D7C">
        <w:t xml:space="preserve">The VVED improves access to emergency care across Victoria and plays a critical role in reducing unnecessary </w:t>
      </w:r>
      <w:r>
        <w:t>ED</w:t>
      </w:r>
      <w:r w:rsidRPr="00703D7C">
        <w:t xml:space="preserve"> presentations at Victorian hospitals. </w:t>
      </w:r>
      <w:r>
        <w:t>It</w:t>
      </w:r>
      <w:r w:rsidRPr="00703D7C">
        <w:t xml:space="preserve"> provides virtual emergency care services through four core pathways</w:t>
      </w:r>
      <w:r>
        <w:t xml:space="preserve"> of</w:t>
      </w:r>
      <w:r w:rsidRPr="00703D7C">
        <w:t>:</w:t>
      </w:r>
    </w:p>
    <w:p w14:paraId="5C2029F1" w14:textId="77777777" w:rsidR="00817104" w:rsidRPr="00703D7C" w:rsidRDefault="00817104" w:rsidP="00817104">
      <w:pPr>
        <w:pStyle w:val="Bullet1"/>
        <w:numPr>
          <w:ilvl w:val="0"/>
          <w:numId w:val="2"/>
        </w:numPr>
      </w:pPr>
      <w:r>
        <w:rPr>
          <w:b/>
        </w:rPr>
        <w:lastRenderedPageBreak/>
        <w:t>s</w:t>
      </w:r>
      <w:r w:rsidRPr="00703D7C">
        <w:rPr>
          <w:b/>
        </w:rPr>
        <w:t>elf-referral</w:t>
      </w:r>
      <w:r>
        <w:rPr>
          <w:b/>
        </w:rPr>
        <w:t xml:space="preserve"> </w:t>
      </w:r>
      <w:r w:rsidRPr="00C26F7F">
        <w:rPr>
          <w:bCs/>
        </w:rPr>
        <w:t xml:space="preserve">– </w:t>
      </w:r>
      <w:r>
        <w:t>a</w:t>
      </w:r>
      <w:r w:rsidRPr="00703D7C">
        <w:t>ny person in Victoria can self-refer for non-life-threatening emergencies via the online web portal and receive a virtual consultation with an emergency trained nurse or doctor</w:t>
      </w:r>
    </w:p>
    <w:p w14:paraId="58F5E96D" w14:textId="77777777" w:rsidR="00817104" w:rsidRPr="00703D7C" w:rsidRDefault="00817104" w:rsidP="00817104">
      <w:pPr>
        <w:pStyle w:val="Bullet1"/>
        <w:numPr>
          <w:ilvl w:val="0"/>
          <w:numId w:val="2"/>
        </w:numPr>
      </w:pPr>
      <w:r w:rsidRPr="00703D7C">
        <w:rPr>
          <w:b/>
          <w:bCs/>
          <w:szCs w:val="21"/>
        </w:rPr>
        <w:t>Ambulance Victoria</w:t>
      </w:r>
      <w:r>
        <w:rPr>
          <w:b/>
          <w:bCs/>
          <w:szCs w:val="21"/>
        </w:rPr>
        <w:t xml:space="preserve"> </w:t>
      </w:r>
      <w:r w:rsidRPr="00C26F7F">
        <w:rPr>
          <w:szCs w:val="21"/>
        </w:rPr>
        <w:t>–</w:t>
      </w:r>
      <w:r w:rsidRPr="000C4ADA">
        <w:rPr>
          <w:szCs w:val="21"/>
        </w:rPr>
        <w:t xml:space="preserve"> </w:t>
      </w:r>
      <w:r>
        <w:rPr>
          <w:szCs w:val="21"/>
        </w:rPr>
        <w:t>p</w:t>
      </w:r>
      <w:r w:rsidRPr="00703D7C">
        <w:rPr>
          <w:szCs w:val="21"/>
        </w:rPr>
        <w:t>aramedics and other Ambulance Victoria staff can access clinical assessment, medical advice, treatment and, when required</w:t>
      </w:r>
      <w:r>
        <w:rPr>
          <w:szCs w:val="21"/>
        </w:rPr>
        <w:t>,</w:t>
      </w:r>
      <w:r w:rsidRPr="00703D7C">
        <w:rPr>
          <w:szCs w:val="21"/>
        </w:rPr>
        <w:t xml:space="preserve"> local referrals to appropriate services for patients when infield or via Secondary Triage Services</w:t>
      </w:r>
    </w:p>
    <w:p w14:paraId="6D08E37F" w14:textId="77777777" w:rsidR="00817104" w:rsidRPr="00703D7C" w:rsidRDefault="00817104" w:rsidP="00817104">
      <w:pPr>
        <w:pStyle w:val="Bullet1"/>
        <w:numPr>
          <w:ilvl w:val="0"/>
          <w:numId w:val="2"/>
        </w:numPr>
      </w:pPr>
      <w:r>
        <w:rPr>
          <w:b/>
          <w:bCs/>
          <w:szCs w:val="21"/>
        </w:rPr>
        <w:t>r</w:t>
      </w:r>
      <w:r w:rsidRPr="00703D7C">
        <w:rPr>
          <w:b/>
          <w:bCs/>
          <w:szCs w:val="21"/>
        </w:rPr>
        <w:t xml:space="preserve">esidential </w:t>
      </w:r>
      <w:r>
        <w:rPr>
          <w:b/>
          <w:bCs/>
          <w:szCs w:val="21"/>
        </w:rPr>
        <w:t>a</w:t>
      </w:r>
      <w:r w:rsidRPr="00703D7C">
        <w:rPr>
          <w:b/>
          <w:bCs/>
          <w:szCs w:val="21"/>
        </w:rPr>
        <w:t xml:space="preserve">ged </w:t>
      </w:r>
      <w:r>
        <w:rPr>
          <w:b/>
          <w:bCs/>
          <w:szCs w:val="21"/>
        </w:rPr>
        <w:t>c</w:t>
      </w:r>
      <w:r w:rsidRPr="00703D7C">
        <w:rPr>
          <w:b/>
          <w:bCs/>
          <w:szCs w:val="21"/>
        </w:rPr>
        <w:t xml:space="preserve">are </w:t>
      </w:r>
      <w:r>
        <w:rPr>
          <w:b/>
          <w:bCs/>
          <w:szCs w:val="21"/>
        </w:rPr>
        <w:t>f</w:t>
      </w:r>
      <w:r w:rsidRPr="00703D7C">
        <w:rPr>
          <w:b/>
          <w:bCs/>
          <w:szCs w:val="21"/>
        </w:rPr>
        <w:t>acilities</w:t>
      </w:r>
      <w:r>
        <w:rPr>
          <w:b/>
          <w:bCs/>
          <w:szCs w:val="21"/>
        </w:rPr>
        <w:t xml:space="preserve"> </w:t>
      </w:r>
      <w:r w:rsidRPr="00C26F7F">
        <w:rPr>
          <w:szCs w:val="21"/>
        </w:rPr>
        <w:t>–</w:t>
      </w:r>
      <w:r w:rsidRPr="000C4ADA">
        <w:t xml:space="preserve"> </w:t>
      </w:r>
      <w:r>
        <w:t>t</w:t>
      </w:r>
      <w:r w:rsidRPr="00703D7C">
        <w:t xml:space="preserve">he VVED </w:t>
      </w:r>
      <w:r w:rsidRPr="00703D7C">
        <w:rPr>
          <w:szCs w:val="21"/>
        </w:rPr>
        <w:t>provides assessments</w:t>
      </w:r>
      <w:r>
        <w:rPr>
          <w:szCs w:val="21"/>
        </w:rPr>
        <w:t xml:space="preserve"> and</w:t>
      </w:r>
      <w:r w:rsidRPr="00703D7C">
        <w:rPr>
          <w:szCs w:val="21"/>
        </w:rPr>
        <w:t xml:space="preserve"> treatment</w:t>
      </w:r>
      <w:r>
        <w:rPr>
          <w:szCs w:val="21"/>
        </w:rPr>
        <w:t>,</w:t>
      </w:r>
      <w:r w:rsidRPr="00703D7C">
        <w:rPr>
          <w:szCs w:val="21"/>
        </w:rPr>
        <w:t xml:space="preserve"> and develops management plans for ongoing treatment while patients remain at their residence</w:t>
      </w:r>
    </w:p>
    <w:p w14:paraId="090C645E" w14:textId="77777777" w:rsidR="00817104" w:rsidRPr="00703D7C" w:rsidRDefault="00817104" w:rsidP="00817104">
      <w:pPr>
        <w:pStyle w:val="Bullet1"/>
        <w:numPr>
          <w:ilvl w:val="0"/>
          <w:numId w:val="2"/>
        </w:numPr>
      </w:pPr>
      <w:r>
        <w:rPr>
          <w:b/>
          <w:bCs/>
          <w:szCs w:val="21"/>
        </w:rPr>
        <w:t>h</w:t>
      </w:r>
      <w:r w:rsidRPr="00703D7C">
        <w:rPr>
          <w:b/>
          <w:bCs/>
          <w:szCs w:val="21"/>
        </w:rPr>
        <w:t>ealthcare professionals</w:t>
      </w:r>
      <w:r>
        <w:rPr>
          <w:b/>
          <w:bCs/>
          <w:szCs w:val="21"/>
        </w:rPr>
        <w:t xml:space="preserve"> </w:t>
      </w:r>
      <w:r w:rsidRPr="00C26F7F">
        <w:rPr>
          <w:szCs w:val="21"/>
        </w:rPr>
        <w:t xml:space="preserve">– </w:t>
      </w:r>
      <w:r>
        <w:rPr>
          <w:szCs w:val="21"/>
        </w:rPr>
        <w:t>t</w:t>
      </w:r>
      <w:r w:rsidRPr="00C26F7F">
        <w:rPr>
          <w:szCs w:val="21"/>
        </w:rPr>
        <w:t>he</w:t>
      </w:r>
      <w:r>
        <w:rPr>
          <w:b/>
          <w:bCs/>
          <w:szCs w:val="21"/>
        </w:rPr>
        <w:t xml:space="preserve"> </w:t>
      </w:r>
      <w:r w:rsidRPr="00703D7C">
        <w:rPr>
          <w:szCs w:val="21"/>
        </w:rPr>
        <w:t xml:space="preserve">VVED also supports a range of other health professional pathways including </w:t>
      </w:r>
      <w:r w:rsidRPr="0015791E">
        <w:t>Nurse-on-Call</w:t>
      </w:r>
      <w:r w:rsidRPr="00703D7C">
        <w:rPr>
          <w:szCs w:val="21"/>
        </w:rPr>
        <w:t>, U</w:t>
      </w:r>
      <w:r>
        <w:rPr>
          <w:szCs w:val="21"/>
        </w:rPr>
        <w:t>CCs</w:t>
      </w:r>
      <w:r w:rsidRPr="00703D7C">
        <w:rPr>
          <w:szCs w:val="21"/>
        </w:rPr>
        <w:t xml:space="preserve">, </w:t>
      </w:r>
      <w:r>
        <w:rPr>
          <w:szCs w:val="21"/>
        </w:rPr>
        <w:t>NEPT</w:t>
      </w:r>
      <w:r w:rsidRPr="00703D7C">
        <w:rPr>
          <w:szCs w:val="21"/>
        </w:rPr>
        <w:t xml:space="preserve"> and Remote Area Nurse services.</w:t>
      </w:r>
    </w:p>
    <w:p w14:paraId="3B732CE9" w14:textId="77777777" w:rsidR="00817104" w:rsidRPr="00703D7C" w:rsidRDefault="00817104" w:rsidP="00817104">
      <w:pPr>
        <w:pStyle w:val="Bodyafterbullets"/>
        <w:rPr>
          <w:rFonts w:cs="Arial"/>
        </w:rPr>
      </w:pPr>
      <w:r w:rsidRPr="00D617E5">
        <w:t xml:space="preserve">Alongside these core pathways, the VVED continues </w:t>
      </w:r>
      <w:r>
        <w:t>to identify new priority pathways to support</w:t>
      </w:r>
      <w:r w:rsidRPr="00D617E5">
        <w:t xml:space="preserve"> strategic growth of the </w:t>
      </w:r>
      <w:r>
        <w:t>service and deliver</w:t>
      </w:r>
      <w:r w:rsidRPr="00D617E5">
        <w:t xml:space="preserve"> system</w:t>
      </w:r>
      <w:r>
        <w:t>-</w:t>
      </w:r>
      <w:r w:rsidRPr="00D617E5">
        <w:t>wide benefits for the Victorian community and health sector stakeholders</w:t>
      </w:r>
      <w:r w:rsidRPr="00823B07">
        <w:rPr>
          <w:rFonts w:cs="Arial"/>
          <w:b/>
          <w:bCs/>
          <w:szCs w:val="21"/>
        </w:rPr>
        <w:t>.</w:t>
      </w:r>
    </w:p>
    <w:p w14:paraId="4C8EBA6A" w14:textId="77777777" w:rsidR="00817104" w:rsidRPr="008D159C" w:rsidRDefault="00817104" w:rsidP="00817104">
      <w:pPr>
        <w:pStyle w:val="Body"/>
      </w:pPr>
      <w:r w:rsidRPr="00703D7C">
        <w:t xml:space="preserve">The service is funded to </w:t>
      </w:r>
      <w:r>
        <w:t xml:space="preserve">respond to </w:t>
      </w:r>
      <w:r w:rsidRPr="00703D7C">
        <w:t>1,</w:t>
      </w:r>
      <w:r>
        <w:t>250</w:t>
      </w:r>
      <w:r w:rsidRPr="00703D7C">
        <w:t xml:space="preserve"> </w:t>
      </w:r>
      <w:r>
        <w:t>calls</w:t>
      </w:r>
      <w:r w:rsidRPr="008D159C">
        <w:t xml:space="preserve"> every day in </w:t>
      </w:r>
      <w:r>
        <w:t>2026–27</w:t>
      </w:r>
      <w:r w:rsidRPr="008D159C">
        <w:t>.</w:t>
      </w:r>
    </w:p>
    <w:p w14:paraId="1A925132" w14:textId="77777777" w:rsidR="00817104" w:rsidRPr="00D57776" w:rsidRDefault="00817104" w:rsidP="00817104">
      <w:pPr>
        <w:pStyle w:val="Body"/>
      </w:pPr>
      <w:r w:rsidRPr="008D159C">
        <w:t xml:space="preserve">For more information, visit </w:t>
      </w:r>
      <w:hyperlink r:id="rId297" w:history="1">
        <w:r w:rsidRPr="008D159C">
          <w:rPr>
            <w:rStyle w:val="Hyperlink"/>
          </w:rPr>
          <w:t>VVED</w:t>
        </w:r>
      </w:hyperlink>
      <w:r w:rsidRPr="008D159C">
        <w:t xml:space="preserve"> &lt;https://www.vved.org.au&gt;.</w:t>
      </w:r>
    </w:p>
    <w:p w14:paraId="7A41B916" w14:textId="29B7C629" w:rsidR="00817104" w:rsidRDefault="00817104" w:rsidP="00817104">
      <w:pPr>
        <w:pStyle w:val="Heading2"/>
      </w:pPr>
      <w:bookmarkStart w:id="2441" w:name="_Toc229127715"/>
      <w:bookmarkStart w:id="2442" w:name="_Toc231982325"/>
      <w:r>
        <w:t>Local Health Service Networks</w:t>
      </w:r>
      <w:bookmarkEnd w:id="2439"/>
      <w:bookmarkEnd w:id="2440"/>
      <w:bookmarkEnd w:id="2441"/>
      <w:bookmarkEnd w:id="2442"/>
    </w:p>
    <w:p w14:paraId="46667D99" w14:textId="77777777" w:rsidR="00817104" w:rsidRDefault="00817104" w:rsidP="00817104">
      <w:pPr>
        <w:pStyle w:val="Body"/>
      </w:pPr>
      <w:bookmarkStart w:id="2443" w:name="_Toc165461801"/>
      <w:bookmarkStart w:id="2444" w:name="_Toc165461802"/>
      <w:bookmarkStart w:id="2445" w:name="_Toc165461803"/>
      <w:bookmarkStart w:id="2446" w:name="_Toc165461804"/>
      <w:bookmarkStart w:id="2447" w:name="_Toc165461805"/>
      <w:bookmarkStart w:id="2448" w:name="_Toc165461806"/>
      <w:bookmarkStart w:id="2449" w:name="_Toc165461807"/>
      <w:bookmarkStart w:id="2450" w:name="_Toc165461808"/>
      <w:bookmarkStart w:id="2451" w:name="_Toc165461809"/>
      <w:bookmarkStart w:id="2452" w:name="_Toc165461810"/>
      <w:bookmarkStart w:id="2453" w:name="_Toc165461811"/>
      <w:bookmarkStart w:id="2454" w:name="_Toc165461812"/>
      <w:bookmarkStart w:id="2455" w:name="_Toc165461813"/>
      <w:bookmarkStart w:id="2456" w:name="_Toc165461814"/>
      <w:bookmarkStart w:id="2457" w:name="_Toc165461815"/>
      <w:bookmarkStart w:id="2458" w:name="_Toc165461816"/>
      <w:bookmarkStart w:id="2459" w:name="_Toc165461817"/>
      <w:bookmarkStart w:id="2460" w:name="_Toc165461818"/>
      <w:bookmarkStart w:id="2461" w:name="_Toc165461819"/>
      <w:bookmarkStart w:id="2462" w:name="_Toc165461820"/>
      <w:bookmarkStart w:id="2463" w:name="_Toc165461821"/>
      <w:bookmarkStart w:id="2464" w:name="_Toc165964714"/>
      <w:bookmarkStart w:id="2465" w:name="_Toc167174576"/>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r w:rsidRPr="00FE16E0">
        <w:t>Local Health Service Networks (Networks) group health services within a geographical region and are responsible for supporting collaborative care for their community, as close to home as possible.</w:t>
      </w:r>
    </w:p>
    <w:p w14:paraId="64ED331E" w14:textId="77777777" w:rsidR="00817104" w:rsidRDefault="00817104" w:rsidP="00817104">
      <w:pPr>
        <w:pStyle w:val="Body"/>
      </w:pPr>
      <w:r w:rsidRPr="0063371E">
        <w:t>Network</w:t>
      </w:r>
      <w:r>
        <w:t>s</w:t>
      </w:r>
      <w:r w:rsidRPr="0063371E">
        <w:t xml:space="preserve"> are initially deliver</w:t>
      </w:r>
      <w:r>
        <w:t>ing</w:t>
      </w:r>
      <w:r w:rsidRPr="0063371E">
        <w:t xml:space="preserve"> initiatives across four priority areas</w:t>
      </w:r>
      <w:r>
        <w:t xml:space="preserve"> of</w:t>
      </w:r>
      <w:r w:rsidRPr="0063371E">
        <w:t>:</w:t>
      </w:r>
    </w:p>
    <w:p w14:paraId="7ACEEC3F" w14:textId="77777777" w:rsidR="00817104" w:rsidRDefault="00817104" w:rsidP="00817104">
      <w:pPr>
        <w:pStyle w:val="Bullet1"/>
        <w:numPr>
          <w:ilvl w:val="0"/>
          <w:numId w:val="2"/>
        </w:numPr>
      </w:pPr>
      <w:r w:rsidRPr="0063371E">
        <w:t>access, equity and flow</w:t>
      </w:r>
    </w:p>
    <w:p w14:paraId="6F4A31BB" w14:textId="77777777" w:rsidR="00817104" w:rsidRDefault="00817104" w:rsidP="00817104">
      <w:pPr>
        <w:pStyle w:val="Bullet1"/>
        <w:numPr>
          <w:ilvl w:val="0"/>
          <w:numId w:val="2"/>
        </w:numPr>
      </w:pPr>
      <w:r w:rsidRPr="0063371E">
        <w:t>workforce</w:t>
      </w:r>
    </w:p>
    <w:p w14:paraId="0C62D516" w14:textId="77777777" w:rsidR="00817104" w:rsidRDefault="00817104" w:rsidP="00817104">
      <w:pPr>
        <w:pStyle w:val="Bullet1"/>
        <w:numPr>
          <w:ilvl w:val="0"/>
          <w:numId w:val="2"/>
        </w:numPr>
      </w:pPr>
      <w:r w:rsidRPr="0063371E">
        <w:t>safety and quality</w:t>
      </w:r>
    </w:p>
    <w:p w14:paraId="46957419" w14:textId="77777777" w:rsidR="00817104" w:rsidRDefault="00817104" w:rsidP="00817104">
      <w:pPr>
        <w:pStyle w:val="Bullet1"/>
        <w:numPr>
          <w:ilvl w:val="0"/>
          <w:numId w:val="2"/>
        </w:numPr>
      </w:pPr>
      <w:r w:rsidRPr="0063371E">
        <w:t>shared services.</w:t>
      </w:r>
      <w:r>
        <w:t xml:space="preserve"> </w:t>
      </w:r>
    </w:p>
    <w:p w14:paraId="6E93CB61" w14:textId="77777777" w:rsidR="00817104" w:rsidRPr="0063371E" w:rsidRDefault="00817104" w:rsidP="00817104">
      <w:pPr>
        <w:pStyle w:val="Bodyafterbullets"/>
        <w:rPr>
          <w:rFonts w:eastAsia="Aptos" w:cs="Arial"/>
          <w:kern w:val="2"/>
          <w:szCs w:val="21"/>
          <w14:ligatures w14:val="standardContextual"/>
        </w:rPr>
      </w:pPr>
      <w:r w:rsidRPr="0063371E">
        <w:rPr>
          <w:rFonts w:eastAsia="Aptos" w:cs="Arial"/>
          <w:kern w:val="2"/>
          <w:szCs w:val="21"/>
          <w14:ligatures w14:val="standardContextual"/>
        </w:rPr>
        <w:t>As Networks mature, they will be expected to focus on additional priority areas</w:t>
      </w:r>
      <w:r>
        <w:rPr>
          <w:rFonts w:eastAsia="Aptos" w:cs="Arial"/>
          <w:kern w:val="2"/>
          <w:szCs w:val="21"/>
          <w14:ligatures w14:val="standardContextual"/>
        </w:rPr>
        <w:t>,</w:t>
      </w:r>
      <w:r w:rsidRPr="0063371E">
        <w:rPr>
          <w:rFonts w:eastAsia="Aptos" w:cs="Arial"/>
          <w:kern w:val="2"/>
          <w:szCs w:val="21"/>
          <w14:ligatures w14:val="standardContextual"/>
        </w:rPr>
        <w:t xml:space="preserve"> including population health</w:t>
      </w:r>
      <w:r>
        <w:rPr>
          <w:rFonts w:eastAsia="Aptos" w:cs="Arial"/>
          <w:kern w:val="2"/>
          <w:szCs w:val="21"/>
          <w14:ligatures w14:val="standardContextual"/>
        </w:rPr>
        <w:t>,</w:t>
      </w:r>
      <w:r w:rsidRPr="0063371E">
        <w:rPr>
          <w:rFonts w:eastAsia="Aptos" w:cs="Arial"/>
          <w:kern w:val="2"/>
          <w:szCs w:val="21"/>
          <w14:ligatures w14:val="standardContextual"/>
        </w:rPr>
        <w:t xml:space="preserve"> research and innovation</w:t>
      </w:r>
      <w:r>
        <w:rPr>
          <w:rFonts w:eastAsia="Aptos" w:cs="Arial"/>
          <w:kern w:val="2"/>
          <w:szCs w:val="21"/>
          <w14:ligatures w14:val="standardContextual"/>
        </w:rPr>
        <w:t>,</w:t>
      </w:r>
      <w:r w:rsidRPr="0063371E">
        <w:rPr>
          <w:rFonts w:eastAsia="Aptos" w:cs="Arial"/>
          <w:kern w:val="2"/>
          <w:szCs w:val="21"/>
          <w14:ligatures w14:val="standardContextual"/>
        </w:rPr>
        <w:t xml:space="preserve"> and integrating care across the continuum. </w:t>
      </w:r>
    </w:p>
    <w:p w14:paraId="36EE4272" w14:textId="77777777" w:rsidR="00817104" w:rsidRPr="0063371E" w:rsidRDefault="00817104" w:rsidP="00817104">
      <w:pPr>
        <w:spacing w:after="160" w:line="259" w:lineRule="auto"/>
      </w:pPr>
      <w:r w:rsidRPr="0063371E">
        <w:t xml:space="preserve">Overarching guidelines for Networks are set out in the </w:t>
      </w:r>
      <w:r w:rsidRPr="0063371E">
        <w:rPr>
          <w:i/>
        </w:rPr>
        <w:t>Local Health Service Network Policy Framework</w:t>
      </w:r>
      <w:r w:rsidRPr="0063371E">
        <w:t xml:space="preserve">. Detailed requirements for each Local Health Service Network are outlined in </w:t>
      </w:r>
      <w:r w:rsidRPr="00C26F7F">
        <w:t>Statement</w:t>
      </w:r>
      <w:r>
        <w:t>s</w:t>
      </w:r>
      <w:r w:rsidRPr="00C26F7F">
        <w:t xml:space="preserve"> of Expectations</w:t>
      </w:r>
      <w:r w:rsidRPr="0063371E">
        <w:t xml:space="preserve">. </w:t>
      </w:r>
    </w:p>
    <w:p w14:paraId="6D77F324" w14:textId="77777777" w:rsidR="00817104" w:rsidRPr="0063371E" w:rsidRDefault="00817104" w:rsidP="00817104">
      <w:pPr>
        <w:spacing w:after="160" w:line="259" w:lineRule="auto"/>
      </w:pPr>
      <w:r w:rsidRPr="0063371E">
        <w:t xml:space="preserve">All health services are expected to implement the </w:t>
      </w:r>
      <w:r>
        <w:rPr>
          <w:iCs/>
        </w:rPr>
        <w:t>framework</w:t>
      </w:r>
      <w:r w:rsidRPr="0063371E">
        <w:t>, including</w:t>
      </w:r>
      <w:r>
        <w:t xml:space="preserve"> to</w:t>
      </w:r>
      <w:r w:rsidRPr="0063371E">
        <w:t>:</w:t>
      </w:r>
    </w:p>
    <w:p w14:paraId="2DB7A337" w14:textId="77777777" w:rsidR="00817104" w:rsidRPr="00474A18" w:rsidRDefault="00817104" w:rsidP="00817104">
      <w:pPr>
        <w:pStyle w:val="Bullet1"/>
        <w:numPr>
          <w:ilvl w:val="0"/>
          <w:numId w:val="2"/>
        </w:numPr>
      </w:pPr>
      <w:r w:rsidRPr="00474A18">
        <w:t>sign the Network’s Statement of Expectations</w:t>
      </w:r>
    </w:p>
    <w:p w14:paraId="78FD47A0" w14:textId="77777777" w:rsidR="00817104" w:rsidRPr="00474A18" w:rsidRDefault="00817104" w:rsidP="00817104">
      <w:pPr>
        <w:pStyle w:val="Bullet1"/>
        <w:numPr>
          <w:ilvl w:val="0"/>
          <w:numId w:val="2"/>
        </w:numPr>
      </w:pPr>
      <w:r w:rsidRPr="00474A18" w:rsidDel="00C44DCA">
        <w:t xml:space="preserve">collaboratively develop and </w:t>
      </w:r>
      <w:r w:rsidRPr="00474A18">
        <w:t xml:space="preserve">agree to an annual implementation plan outlining activities, outputs and milestones to support delivery of objectives in the Statement of Expectations </w:t>
      </w:r>
    </w:p>
    <w:p w14:paraId="27B1AC61" w14:textId="77777777" w:rsidR="00817104" w:rsidRPr="00474A18" w:rsidRDefault="00817104" w:rsidP="00817104">
      <w:pPr>
        <w:pStyle w:val="Bullet1"/>
        <w:numPr>
          <w:ilvl w:val="0"/>
          <w:numId w:val="2"/>
        </w:numPr>
      </w:pPr>
      <w:r w:rsidRPr="00474A18">
        <w:t xml:space="preserve">demonstrate progress towards implementation plan milestones in the Network’s half-year and annual reports </w:t>
      </w:r>
    </w:p>
    <w:p w14:paraId="662EC467" w14:textId="77777777" w:rsidR="00817104" w:rsidRPr="00474A18" w:rsidRDefault="00817104" w:rsidP="00817104">
      <w:pPr>
        <w:pStyle w:val="Bullet1"/>
        <w:numPr>
          <w:ilvl w:val="0"/>
          <w:numId w:val="2"/>
        </w:numPr>
      </w:pPr>
      <w:r w:rsidRPr="00474A18">
        <w:t xml:space="preserve">actively partner with other Network members to drive a collaborative approach in meeting the community’s health needs. </w:t>
      </w:r>
    </w:p>
    <w:p w14:paraId="2B3181FB" w14:textId="77777777" w:rsidR="00817104" w:rsidRPr="0063371E" w:rsidRDefault="00817104" w:rsidP="00817104">
      <w:pPr>
        <w:pStyle w:val="Bodyafterbullets"/>
        <w:rPr>
          <w:rFonts w:eastAsia="Aptos" w:cs="Arial"/>
          <w:kern w:val="2"/>
          <w:szCs w:val="21"/>
          <w14:ligatures w14:val="standardContextual"/>
        </w:rPr>
      </w:pPr>
      <w:r>
        <w:rPr>
          <w:rFonts w:eastAsia="Aptos" w:cs="Arial"/>
          <w:kern w:val="2"/>
          <w:szCs w:val="21"/>
          <w14:ligatures w14:val="standardContextual"/>
        </w:rPr>
        <w:t xml:space="preserve">For more information, visit </w:t>
      </w:r>
      <w:hyperlink r:id="rId298" w:history="1">
        <w:r w:rsidRPr="0063371E">
          <w:rPr>
            <w:rStyle w:val="Hyperlink"/>
            <w:rFonts w:eastAsia="Aptos" w:cs="Arial"/>
            <w:kern w:val="2"/>
            <w:szCs w:val="21"/>
            <w14:ligatures w14:val="standardContextual"/>
          </w:rPr>
          <w:t>Local Health Service Networks</w:t>
        </w:r>
      </w:hyperlink>
      <w:r w:rsidRPr="0063371E">
        <w:rPr>
          <w:rFonts w:eastAsia="Aptos" w:cs="Arial"/>
          <w:kern w:val="2"/>
          <w:szCs w:val="21"/>
          <w14:ligatures w14:val="standardContextual"/>
        </w:rPr>
        <w:t xml:space="preserve"> </w:t>
      </w:r>
      <w:r>
        <w:rPr>
          <w:rFonts w:eastAsia="Aptos" w:cs="Arial"/>
          <w:kern w:val="2"/>
          <w:szCs w:val="21"/>
          <w14:ligatures w14:val="standardContextual"/>
        </w:rPr>
        <w:t>&lt;</w:t>
      </w:r>
      <w:r w:rsidRPr="00850AD4">
        <w:rPr>
          <w:rFonts w:eastAsia="Aptos" w:cs="Arial"/>
          <w:kern w:val="2"/>
          <w:szCs w:val="21"/>
          <w14:ligatures w14:val="standardContextual"/>
        </w:rPr>
        <w:t>https://www.health.vic.gov.au/health-services-plan-reform/local-health-service-networks</w:t>
      </w:r>
      <w:r>
        <w:rPr>
          <w:rFonts w:eastAsia="Aptos" w:cs="Arial"/>
          <w:kern w:val="2"/>
          <w:szCs w:val="21"/>
          <w14:ligatures w14:val="standardContextual"/>
        </w:rPr>
        <w:t>&gt;.</w:t>
      </w:r>
    </w:p>
    <w:p w14:paraId="25543681" w14:textId="40CB6CB4" w:rsidR="00817104" w:rsidRDefault="00817104" w:rsidP="00817104">
      <w:pPr>
        <w:pStyle w:val="Heading2"/>
      </w:pPr>
      <w:bookmarkStart w:id="2466" w:name="_Toc198386550"/>
      <w:bookmarkStart w:id="2467" w:name="_Toc198386747"/>
      <w:bookmarkStart w:id="2468" w:name="_Toc229127718"/>
      <w:bookmarkStart w:id="2469" w:name="_Toc231982326"/>
      <w:bookmarkEnd w:id="2464"/>
      <w:bookmarkEnd w:id="2465"/>
      <w:bookmarkEnd w:id="2466"/>
      <w:bookmarkEnd w:id="2467"/>
      <w:r>
        <w:t>Timely Emergency Care Program</w:t>
      </w:r>
      <w:bookmarkEnd w:id="2468"/>
      <w:bookmarkEnd w:id="2469"/>
    </w:p>
    <w:p w14:paraId="2ABBAECF" w14:textId="77777777" w:rsidR="00817104" w:rsidRDefault="00817104" w:rsidP="00817104">
      <w:pPr>
        <w:pStyle w:val="Body"/>
      </w:pPr>
      <w:r w:rsidRPr="00A94502">
        <w:t xml:space="preserve">The </w:t>
      </w:r>
      <w:r w:rsidRPr="00DF7633">
        <w:t xml:space="preserve">Timely Emergency Care </w:t>
      </w:r>
      <w:r>
        <w:t>(</w:t>
      </w:r>
      <w:r w:rsidRPr="00A94502">
        <w:t>TEC</w:t>
      </w:r>
      <w:r>
        <w:t>)</w:t>
      </w:r>
      <w:r w:rsidRPr="00A94502">
        <w:t xml:space="preserve"> Program aims to enhance hospital</w:t>
      </w:r>
      <w:r>
        <w:t>-</w:t>
      </w:r>
      <w:r w:rsidRPr="00A94502">
        <w:t xml:space="preserve">wide patient flow and reduce delays in emergency care across Victoria. Building on the success of the initial TEC Collaborative </w:t>
      </w:r>
      <w:r w:rsidRPr="00A94502">
        <w:lastRenderedPageBreak/>
        <w:t xml:space="preserve">and the TEC2 Program (concluded March 2026), TEC 2026 integrates the </w:t>
      </w:r>
      <w:r>
        <w:t xml:space="preserve">implementation of the </w:t>
      </w:r>
      <w:r w:rsidRPr="003B0E64">
        <w:rPr>
          <w:i/>
          <w:iCs/>
        </w:rPr>
        <w:t>Standards for Safe and Timely Ambulance and Emergency Care for Victorians</w:t>
      </w:r>
      <w:r w:rsidRPr="00A94502">
        <w:t xml:space="preserve"> (the Standards) into a single aligned program.</w:t>
      </w:r>
    </w:p>
    <w:p w14:paraId="7D2DFAA9" w14:textId="77777777" w:rsidR="00817104" w:rsidRPr="00A94502" w:rsidRDefault="00817104" w:rsidP="00817104">
      <w:pPr>
        <w:pStyle w:val="Body"/>
      </w:pPr>
      <w:r w:rsidRPr="00A94502">
        <w:t>The program supports health services through strengthening improvement capability, performance oversight and implementation of the Standards.</w:t>
      </w:r>
    </w:p>
    <w:p w14:paraId="67F61FD3" w14:textId="77777777" w:rsidR="00817104" w:rsidRDefault="00817104" w:rsidP="00817104">
      <w:pPr>
        <w:pStyle w:val="Body"/>
      </w:pPr>
      <w:r w:rsidRPr="00A94502">
        <w:t>The Standards define shared and respective responsibilities for hospitals and Ambulance Victoria, with a primary focus on safe and timely transfer of care at the ambulance</w:t>
      </w:r>
      <w:r>
        <w:t>-</w:t>
      </w:r>
      <w:r w:rsidRPr="00A94502">
        <w:t>hospital interface and early emergency care.</w:t>
      </w:r>
    </w:p>
    <w:p w14:paraId="682FDA5C" w14:textId="77777777" w:rsidR="00817104" w:rsidRPr="00A94502" w:rsidRDefault="00817104" w:rsidP="00817104">
      <w:pPr>
        <w:pStyle w:val="Body"/>
      </w:pPr>
      <w:r w:rsidRPr="00A94502">
        <w:t xml:space="preserve">The Standards set clear expectations and best practice for public hospitals with </w:t>
      </w:r>
      <w:r>
        <w:t>ED</w:t>
      </w:r>
      <w:r w:rsidRPr="00A94502">
        <w:t>s, particularly in relation to:</w:t>
      </w:r>
    </w:p>
    <w:p w14:paraId="0ED8ED2B" w14:textId="77777777" w:rsidR="00817104" w:rsidRPr="00474A18" w:rsidRDefault="00817104" w:rsidP="00817104">
      <w:pPr>
        <w:pStyle w:val="Bullet1"/>
        <w:numPr>
          <w:ilvl w:val="0"/>
          <w:numId w:val="2"/>
        </w:numPr>
      </w:pPr>
      <w:r>
        <w:t>t</w:t>
      </w:r>
      <w:r w:rsidRPr="00474A18">
        <w:t>he period before paramedics transport patients and arrive at hospital</w:t>
      </w:r>
    </w:p>
    <w:p w14:paraId="330F33C2" w14:textId="77777777" w:rsidR="00817104" w:rsidRPr="00474A18" w:rsidRDefault="00817104" w:rsidP="00817104">
      <w:pPr>
        <w:pStyle w:val="Bullet1"/>
        <w:numPr>
          <w:ilvl w:val="0"/>
          <w:numId w:val="2"/>
        </w:numPr>
      </w:pPr>
      <w:r>
        <w:t>t</w:t>
      </w:r>
      <w:r w:rsidRPr="00474A18">
        <w:t>he critical transfer of patient care from paramedics to hospital staff</w:t>
      </w:r>
    </w:p>
    <w:p w14:paraId="69416899" w14:textId="77777777" w:rsidR="00817104" w:rsidRPr="00474A18" w:rsidRDefault="00817104" w:rsidP="00817104">
      <w:pPr>
        <w:pStyle w:val="Bullet1"/>
        <w:numPr>
          <w:ilvl w:val="0"/>
          <w:numId w:val="2"/>
        </w:numPr>
      </w:pPr>
      <w:r>
        <w:t>e</w:t>
      </w:r>
      <w:r w:rsidRPr="00474A18">
        <w:t xml:space="preserve">arly patient care within the </w:t>
      </w:r>
      <w:r>
        <w:t>ED</w:t>
      </w:r>
      <w:r w:rsidRPr="00474A18">
        <w:t>, including processes that support timely offload and flow</w:t>
      </w:r>
      <w:r>
        <w:t>.</w:t>
      </w:r>
    </w:p>
    <w:p w14:paraId="0D56AE98" w14:textId="77777777" w:rsidR="00817104" w:rsidRPr="00A94502" w:rsidRDefault="00817104" w:rsidP="00817104">
      <w:pPr>
        <w:pStyle w:val="Bodyafterbullets"/>
      </w:pPr>
      <w:r w:rsidRPr="00A94502">
        <w:t>Through TEC, implementation of the Standards is supported within a broader whole</w:t>
      </w:r>
      <w:r>
        <w:t>-</w:t>
      </w:r>
      <w:r w:rsidRPr="00A94502">
        <w:t>of</w:t>
      </w:r>
      <w:r>
        <w:t>-</w:t>
      </w:r>
      <w:r w:rsidRPr="00A94502">
        <w:t>hospital improvement approach to patient flow, access and emergency care performance.</w:t>
      </w:r>
    </w:p>
    <w:p w14:paraId="5174BE1B" w14:textId="77777777" w:rsidR="00817104" w:rsidRPr="00A94502" w:rsidRDefault="00817104" w:rsidP="00817104">
      <w:pPr>
        <w:pStyle w:val="Body"/>
      </w:pPr>
      <w:r w:rsidRPr="00CD1F27">
        <w:t>Key objectives of the TEC Program include:</w:t>
      </w:r>
    </w:p>
    <w:p w14:paraId="06ADF731" w14:textId="77777777" w:rsidR="00817104" w:rsidRPr="00474A18" w:rsidRDefault="00817104" w:rsidP="00817104">
      <w:pPr>
        <w:pStyle w:val="Bullet1"/>
        <w:numPr>
          <w:ilvl w:val="0"/>
          <w:numId w:val="2"/>
        </w:numPr>
      </w:pPr>
      <w:r>
        <w:t>e</w:t>
      </w:r>
      <w:r w:rsidRPr="00474A18">
        <w:t>nabling deeper engagement and clearer accountability for system</w:t>
      </w:r>
      <w:r>
        <w:t>-</w:t>
      </w:r>
      <w:r w:rsidRPr="00474A18">
        <w:t>wide flow improvement, embedding this as core business</w:t>
      </w:r>
    </w:p>
    <w:p w14:paraId="5AF0BD0F" w14:textId="77777777" w:rsidR="00817104" w:rsidRPr="00474A18" w:rsidRDefault="00817104" w:rsidP="00817104">
      <w:pPr>
        <w:pStyle w:val="Bullet1"/>
        <w:numPr>
          <w:ilvl w:val="0"/>
          <w:numId w:val="2"/>
        </w:numPr>
      </w:pPr>
      <w:r>
        <w:t>i</w:t>
      </w:r>
      <w:r w:rsidRPr="00474A18">
        <w:t xml:space="preserve">mproving access to emergency care, measured by reduced waiting times in </w:t>
      </w:r>
      <w:r>
        <w:t>ED</w:t>
      </w:r>
      <w:r w:rsidRPr="00474A18">
        <w:t>s and across the hospital journey</w:t>
      </w:r>
    </w:p>
    <w:p w14:paraId="6091D35F" w14:textId="77777777" w:rsidR="00817104" w:rsidRPr="00474A18" w:rsidRDefault="00817104" w:rsidP="00817104">
      <w:pPr>
        <w:pStyle w:val="Bullet1"/>
        <w:numPr>
          <w:ilvl w:val="0"/>
          <w:numId w:val="2"/>
        </w:numPr>
      </w:pPr>
      <w:r>
        <w:t>e</w:t>
      </w:r>
      <w:r w:rsidRPr="00474A18">
        <w:t>xtending the successful TEC2 Innovation in Flow weekend discharge work through the Towards 7</w:t>
      </w:r>
      <w:r w:rsidRPr="00474A18">
        <w:noBreakHyphen/>
        <w:t>day Flow initiative, supporting improved weekend discharge capability, senior clinical decision</w:t>
      </w:r>
      <w:r w:rsidRPr="00474A18">
        <w:noBreakHyphen/>
        <w:t>making and multidisciplinary support across participating sites</w:t>
      </w:r>
    </w:p>
    <w:p w14:paraId="5566C511" w14:textId="77777777" w:rsidR="00817104" w:rsidRPr="00474A18" w:rsidRDefault="00817104" w:rsidP="00817104">
      <w:pPr>
        <w:pStyle w:val="Bullet1"/>
        <w:numPr>
          <w:ilvl w:val="0"/>
          <w:numId w:val="2"/>
        </w:numPr>
      </w:pPr>
      <w:r>
        <w:t>p</w:t>
      </w:r>
      <w:r w:rsidRPr="00474A18">
        <w:t>romoting collaborative improvement by bringing together health service teams to share best practice and innovations, supported by local and international expertise in patient flow and improvement science</w:t>
      </w:r>
    </w:p>
    <w:p w14:paraId="62A30A0B" w14:textId="77777777" w:rsidR="00817104" w:rsidRPr="00474A18" w:rsidRDefault="00817104" w:rsidP="00817104">
      <w:pPr>
        <w:pStyle w:val="Bullet1"/>
        <w:numPr>
          <w:ilvl w:val="0"/>
          <w:numId w:val="2"/>
        </w:numPr>
      </w:pPr>
      <w:r>
        <w:t>r</w:t>
      </w:r>
      <w:r w:rsidRPr="00474A18">
        <w:t>einforcing shared accountability at the ambulance–hospital interface, supporting improved transfer of care and system</w:t>
      </w:r>
      <w:r>
        <w:t>-</w:t>
      </w:r>
      <w:r w:rsidRPr="00474A18">
        <w:t>wide patient flow outcomes in partnership with Ambulance Victoria</w:t>
      </w:r>
      <w:r>
        <w:t>.</w:t>
      </w:r>
    </w:p>
    <w:p w14:paraId="23C54547" w14:textId="77777777" w:rsidR="00817104" w:rsidRDefault="00817104" w:rsidP="00817104">
      <w:pPr>
        <w:pStyle w:val="Bodyafterbullets"/>
      </w:pPr>
      <w:r w:rsidRPr="00A94502">
        <w:t>The TEC 2026 Program is delivered in partnership with the Institute for Healthcare Improvement and involves 22 Victorian health service sites and Ambulance Victoria.</w:t>
      </w:r>
    </w:p>
    <w:p w14:paraId="61FF833E" w14:textId="77777777" w:rsidR="00817104" w:rsidRPr="00A94502" w:rsidRDefault="00817104" w:rsidP="00817104">
      <w:pPr>
        <w:pStyle w:val="Bodyafterbullets"/>
      </w:pPr>
      <w:r w:rsidRPr="00A94502">
        <w:t>F</w:t>
      </w:r>
      <w:r>
        <w:t>o</w:t>
      </w:r>
      <w:r w:rsidRPr="00A94502">
        <w:t xml:space="preserve">r </w:t>
      </w:r>
      <w:r>
        <w:t xml:space="preserve">more </w:t>
      </w:r>
      <w:r w:rsidRPr="00A94502">
        <w:t>information on the Standards</w:t>
      </w:r>
      <w:r>
        <w:t>, visit</w:t>
      </w:r>
      <w:r w:rsidRPr="00A94502">
        <w:t xml:space="preserve"> </w:t>
      </w:r>
      <w:hyperlink r:id="rId299" w:history="1">
        <w:r w:rsidRPr="00D12D3A">
          <w:rPr>
            <w:rStyle w:val="Hyperlink"/>
          </w:rPr>
          <w:t>Standards for safe and timely ambulance and emergency care for Victorians</w:t>
        </w:r>
      </w:hyperlink>
      <w:r w:rsidRPr="00D12D3A">
        <w:t xml:space="preserve"> </w:t>
      </w:r>
      <w:r>
        <w:t>&lt;</w:t>
      </w:r>
      <w:r w:rsidRPr="00A94502">
        <w:t>https://www.health.vic.gov.au/patient-care/standards-for-safe-and-timely-ambulance-and-emergency-care-for-victorians</w:t>
      </w:r>
      <w:r>
        <w:t xml:space="preserve">&gt; or </w:t>
      </w:r>
      <w:r w:rsidRPr="00A94502">
        <w:t xml:space="preserve">contact the department by </w:t>
      </w:r>
      <w:hyperlink r:id="rId300" w:history="1">
        <w:r w:rsidRPr="004E4BFF">
          <w:rPr>
            <w:rStyle w:val="Hyperlink"/>
          </w:rPr>
          <w:t>emailing</w:t>
        </w:r>
      </w:hyperlink>
      <w:r w:rsidRPr="00A94502">
        <w:t xml:space="preserve"> &lt;tec@health.vic.gov.au&gt;.</w:t>
      </w:r>
    </w:p>
    <w:p w14:paraId="225AC22F" w14:textId="549370AE" w:rsidR="00817104" w:rsidRDefault="00817104" w:rsidP="00817104">
      <w:pPr>
        <w:pStyle w:val="Heading2"/>
      </w:pPr>
      <w:bookmarkStart w:id="2470" w:name="_Toc143080930"/>
      <w:bookmarkStart w:id="2471" w:name="_Toc229127719"/>
      <w:bookmarkStart w:id="2472" w:name="_Toc231982327"/>
      <w:r>
        <w:t xml:space="preserve">Mental </w:t>
      </w:r>
      <w:r w:rsidRPr="00AF2785">
        <w:t>health</w:t>
      </w:r>
      <w:r>
        <w:t xml:space="preserve"> and wellbeing services</w:t>
      </w:r>
      <w:bookmarkEnd w:id="2470"/>
      <w:bookmarkEnd w:id="2471"/>
      <w:bookmarkEnd w:id="2472"/>
    </w:p>
    <w:p w14:paraId="0ED844B1" w14:textId="77777777" w:rsidR="00817104" w:rsidRPr="00255515" w:rsidRDefault="00817104" w:rsidP="00817104">
      <w:pPr>
        <w:pStyle w:val="Heading3"/>
        <w:numPr>
          <w:ilvl w:val="2"/>
          <w:numId w:val="0"/>
        </w:numPr>
        <w:tabs>
          <w:tab w:val="num" w:pos="794"/>
        </w:tabs>
        <w:ind w:left="1134" w:hanging="1134"/>
        <w:rPr>
          <w:lang w:eastAsia="en-AU"/>
        </w:rPr>
      </w:pPr>
      <w:r>
        <w:rPr>
          <w:lang w:eastAsia="en-AU"/>
        </w:rPr>
        <w:t>18.10.1</w:t>
      </w:r>
      <w:r>
        <w:rPr>
          <w:lang w:eastAsia="en-AU"/>
        </w:rPr>
        <w:tab/>
      </w:r>
      <w:r w:rsidRPr="00255515">
        <w:rPr>
          <w:lang w:eastAsia="en-AU"/>
        </w:rPr>
        <w:t>Mental Health and Wellbeing Act</w:t>
      </w:r>
    </w:p>
    <w:p w14:paraId="19CFF5F2" w14:textId="77777777" w:rsidR="00817104" w:rsidRDefault="00817104" w:rsidP="00817104">
      <w:pPr>
        <w:pStyle w:val="Body"/>
      </w:pPr>
      <w:r>
        <w:t>The</w:t>
      </w:r>
      <w:r w:rsidRPr="00941115">
        <w:t xml:space="preserve"> </w:t>
      </w:r>
      <w:r w:rsidRPr="00B34F9F">
        <w:rPr>
          <w:i/>
        </w:rPr>
        <w:t>Mental Health and Wellbeing Act 2022</w:t>
      </w:r>
      <w:r>
        <w:t xml:space="preserve"> </w:t>
      </w:r>
      <w:r w:rsidRPr="00462B5F">
        <w:rPr>
          <w:rFonts w:cs="Arial"/>
          <w:color w:val="1A1A1A"/>
        </w:rPr>
        <w:t xml:space="preserve">is the </w:t>
      </w:r>
      <w:r w:rsidRPr="00AC5FE4">
        <w:t>key legislation covering mental health and wellbeing treatment and support</w:t>
      </w:r>
      <w:r>
        <w:rPr>
          <w:rFonts w:cs="Arial"/>
        </w:rPr>
        <w:t xml:space="preserve"> in Victoria</w:t>
      </w:r>
      <w:r w:rsidRPr="00AC5FE4">
        <w:t>.</w:t>
      </w:r>
      <w:r>
        <w:t xml:space="preserve"> All mental health and wellbeing service providers are required understand and comply with their obligations under the Act, its regulations and other supporting instruments.</w:t>
      </w:r>
    </w:p>
    <w:p w14:paraId="5A1B0EDE" w14:textId="77777777" w:rsidR="00817104" w:rsidRDefault="00817104" w:rsidP="00817104">
      <w:pPr>
        <w:pStyle w:val="Body"/>
      </w:pPr>
      <w:r>
        <w:lastRenderedPageBreak/>
        <w:t>For more information for mental health and wellbeing service providers about their obligations under the Act, visit:</w:t>
      </w:r>
    </w:p>
    <w:p w14:paraId="5B163F33" w14:textId="77777777" w:rsidR="00817104" w:rsidRDefault="00817104" w:rsidP="00817104">
      <w:pPr>
        <w:pStyle w:val="Bullet1"/>
        <w:numPr>
          <w:ilvl w:val="0"/>
          <w:numId w:val="2"/>
        </w:numPr>
      </w:pPr>
      <w:hyperlink r:id="rId301" w:history="1">
        <w:r w:rsidRPr="005D2D92">
          <w:rPr>
            <w:rStyle w:val="Hyperlink"/>
          </w:rPr>
          <w:t>Mental Health and Wellbeing Act resources</w:t>
        </w:r>
      </w:hyperlink>
      <w:r>
        <w:t xml:space="preserve"> &lt;</w:t>
      </w:r>
      <w:r w:rsidRPr="0012499B">
        <w:t>https://www.health.vic.gov.au/mental-health-and-wellbeing-act-handbook/resources</w:t>
      </w:r>
      <w:r>
        <w:t>&gt;</w:t>
      </w:r>
    </w:p>
    <w:p w14:paraId="7F837E96" w14:textId="77777777" w:rsidR="00817104" w:rsidRPr="00941115" w:rsidRDefault="00817104" w:rsidP="00817104">
      <w:pPr>
        <w:pStyle w:val="Bullet1"/>
        <w:numPr>
          <w:ilvl w:val="0"/>
          <w:numId w:val="2"/>
        </w:numPr>
      </w:pPr>
      <w:hyperlink r:id="rId302" w:history="1">
        <w:r w:rsidRPr="00331D84">
          <w:rPr>
            <w:rStyle w:val="Hyperlink"/>
          </w:rPr>
          <w:t>Mental Health and Wellbeing Act 2022 Handbook</w:t>
        </w:r>
      </w:hyperlink>
      <w:r>
        <w:t xml:space="preserve"> &lt;</w:t>
      </w:r>
      <w:r w:rsidRPr="0012499B">
        <w:t>https://www.health.vic.gov.au/mental-health-and-wellbeing-act-handbook</w:t>
      </w:r>
      <w:r>
        <w:t>&gt;.</w:t>
      </w:r>
    </w:p>
    <w:p w14:paraId="729C3261" w14:textId="77777777" w:rsidR="00817104" w:rsidRDefault="00817104" w:rsidP="00817104">
      <w:pPr>
        <w:pStyle w:val="Bodyafterbullets"/>
      </w:pPr>
      <w:r>
        <w:t>The Act creates obligations</w:t>
      </w:r>
      <w:r w:rsidRPr="00941115">
        <w:t xml:space="preserve"> and </w:t>
      </w:r>
      <w:r>
        <w:t xml:space="preserve">guiding </w:t>
      </w:r>
      <w:r w:rsidRPr="00941115">
        <w:t xml:space="preserve">principles </w:t>
      </w:r>
      <w:r>
        <w:t xml:space="preserve">that promote and protect human rights. It supports culturally safe holistic care, </w:t>
      </w:r>
      <w:r w:rsidRPr="00941115">
        <w:t>put</w:t>
      </w:r>
      <w:r>
        <w:t>ting</w:t>
      </w:r>
      <w:r w:rsidRPr="00941115">
        <w:t xml:space="preserve"> the views, preferences and values of people living with mental illness or psychological distress, </w:t>
      </w:r>
      <w:r>
        <w:t xml:space="preserve">and their </w:t>
      </w:r>
      <w:r w:rsidRPr="00941115">
        <w:t>families, carers and supporters</w:t>
      </w:r>
      <w:r>
        <w:t>,</w:t>
      </w:r>
      <w:r w:rsidRPr="00941115">
        <w:t xml:space="preserve"> at the forefront of service design and delivery.</w:t>
      </w:r>
    </w:p>
    <w:p w14:paraId="6D45B709" w14:textId="77777777" w:rsidR="00817104" w:rsidRDefault="00817104" w:rsidP="00817104">
      <w:pPr>
        <w:pStyle w:val="Body"/>
      </w:pPr>
      <w:r>
        <w:t xml:space="preserve">This includes that all mental health and wellbeing service providers: </w:t>
      </w:r>
    </w:p>
    <w:p w14:paraId="268BC197" w14:textId="77777777" w:rsidR="00817104" w:rsidRDefault="00817104" w:rsidP="00817104">
      <w:pPr>
        <w:pStyle w:val="Bullet1"/>
        <w:numPr>
          <w:ilvl w:val="0"/>
          <w:numId w:val="2"/>
        </w:numPr>
      </w:pPr>
      <w:r>
        <w:t xml:space="preserve">and any person that performs a function under the Act, should aim to reduce the use of </w:t>
      </w:r>
      <w:r w:rsidRPr="00116B4F">
        <w:t>restrictive interventions</w:t>
      </w:r>
      <w:r>
        <w:t>, such as seclusion, and bodily and chemical restraint, and actively work towards eliminating the use of restrictive interventions in mental health treatment</w:t>
      </w:r>
    </w:p>
    <w:p w14:paraId="5A8E984B" w14:textId="77777777" w:rsidR="00817104" w:rsidRDefault="00817104" w:rsidP="00817104">
      <w:pPr>
        <w:pStyle w:val="Bullet1"/>
        <w:numPr>
          <w:ilvl w:val="0"/>
          <w:numId w:val="2"/>
        </w:numPr>
      </w:pPr>
      <w:r>
        <w:t>must make</w:t>
      </w:r>
      <w:r w:rsidRPr="009F20E0">
        <w:t xml:space="preserve"> all reasonable efforts to comply with the mental health and wellbeing principles and </w:t>
      </w:r>
      <w:r>
        <w:t>give proper consideration to</w:t>
      </w:r>
      <w:r w:rsidRPr="009F20E0">
        <w:t xml:space="preserve"> those principles when making a decision</w:t>
      </w:r>
      <w:r>
        <w:t xml:space="preserve">, including the: </w:t>
      </w:r>
    </w:p>
    <w:p w14:paraId="2B75584E" w14:textId="77777777" w:rsidR="00817104" w:rsidRDefault="00817104" w:rsidP="00817104">
      <w:pPr>
        <w:pStyle w:val="Bullet2"/>
        <w:numPr>
          <w:ilvl w:val="1"/>
          <w:numId w:val="2"/>
        </w:numPr>
      </w:pPr>
      <w:r w:rsidRPr="008A552D">
        <w:rPr>
          <w:b/>
        </w:rPr>
        <w:t xml:space="preserve">Least </w:t>
      </w:r>
      <w:r>
        <w:rPr>
          <w:b/>
        </w:rPr>
        <w:t>R</w:t>
      </w:r>
      <w:r w:rsidRPr="008A552D">
        <w:rPr>
          <w:b/>
        </w:rPr>
        <w:t xml:space="preserve">estrictive </w:t>
      </w:r>
      <w:r>
        <w:rPr>
          <w:b/>
        </w:rPr>
        <w:t>P</w:t>
      </w:r>
      <w:r w:rsidRPr="008A552D">
        <w:rPr>
          <w:b/>
        </w:rPr>
        <w:t>rinciple</w:t>
      </w:r>
      <w:r>
        <w:t xml:space="preserve"> – services are to be provided to </w:t>
      </w:r>
      <w:r w:rsidRPr="00C660EC">
        <w:t>a person living with mental illness or psychological distress with the least possible restriction of their rights, dignity and autonomy with the aim of promoting their recovery and full participation in community life. The views and preferences of the person should be key determinants of the nature of this recovery and participation</w:t>
      </w:r>
    </w:p>
    <w:p w14:paraId="4FC960C2" w14:textId="77777777" w:rsidR="00817104" w:rsidRDefault="00817104" w:rsidP="00817104">
      <w:pPr>
        <w:pStyle w:val="Bullet2"/>
        <w:numPr>
          <w:ilvl w:val="1"/>
          <w:numId w:val="2"/>
        </w:numPr>
      </w:pPr>
      <w:r w:rsidRPr="008A552D">
        <w:rPr>
          <w:b/>
        </w:rPr>
        <w:t>Family and Carers Principle</w:t>
      </w:r>
      <w:r>
        <w:t xml:space="preserve"> – f</w:t>
      </w:r>
      <w:r w:rsidRPr="00A43538">
        <w:t>amilies, carers and supporters (including children) of a person receiving mental health and wellbeing services are to be supported in their role in decisions about the person's assessment, treatment and recovery</w:t>
      </w:r>
      <w:r>
        <w:t xml:space="preserve"> </w:t>
      </w:r>
    </w:p>
    <w:p w14:paraId="7B91C3B2" w14:textId="77777777" w:rsidR="00817104" w:rsidRDefault="00817104" w:rsidP="00817104">
      <w:pPr>
        <w:pStyle w:val="Bullet2"/>
        <w:numPr>
          <w:ilvl w:val="1"/>
          <w:numId w:val="2"/>
        </w:numPr>
      </w:pPr>
      <w:r w:rsidRPr="008A552D">
        <w:rPr>
          <w:b/>
        </w:rPr>
        <w:t>Cultural Safety Principle</w:t>
      </w:r>
      <w:r>
        <w:t xml:space="preserve"> – treatment and care is to be appropriate for, and consistent with, the cultural and spiritual beliefs and practices of a person living with mental illness or psychological distress. </w:t>
      </w:r>
    </w:p>
    <w:p w14:paraId="220D7FF9" w14:textId="77777777" w:rsidR="00817104" w:rsidRDefault="00817104" w:rsidP="00817104">
      <w:pPr>
        <w:pStyle w:val="Bodyafterbullets"/>
      </w:pPr>
      <w:r>
        <w:t xml:space="preserve">Regard is to be given to the views of the person's family and, to the extent that it is practicable and appropriate to do so, the views of significant members of the person's community. Regard is to be given to Aboriginal and Torres Strait Islander people's unique culture and identity, including connections to family and kinship, community, Country and waters. </w:t>
      </w:r>
    </w:p>
    <w:p w14:paraId="7AF3341E" w14:textId="77777777" w:rsidR="00817104" w:rsidRDefault="00817104" w:rsidP="00817104">
      <w:pPr>
        <w:pStyle w:val="Body"/>
      </w:pPr>
      <w:r>
        <w:t>Treatment and care for Aboriginal and Torres Strait Islander peoples is, to the extent that it is practicable and appropriate to do so, to be decided and given having regard to the views of elders, traditional healers and Aboriginal and Torres Strait Islander mental health workers.</w:t>
      </w:r>
    </w:p>
    <w:p w14:paraId="5F2359BC" w14:textId="77777777" w:rsidR="00817104" w:rsidRDefault="00817104" w:rsidP="00817104">
      <w:pPr>
        <w:pStyle w:val="Body"/>
      </w:pPr>
      <w:r>
        <w:t>For more information, visit:</w:t>
      </w:r>
    </w:p>
    <w:p w14:paraId="6A365E6E" w14:textId="77777777" w:rsidR="00817104" w:rsidRDefault="00817104" w:rsidP="00817104">
      <w:pPr>
        <w:pStyle w:val="Bullet1"/>
        <w:numPr>
          <w:ilvl w:val="0"/>
          <w:numId w:val="2"/>
        </w:numPr>
      </w:pPr>
      <w:hyperlink r:id="rId303" w:history="1">
        <w:r>
          <w:rPr>
            <w:rStyle w:val="Hyperlink"/>
          </w:rPr>
          <w:t>R</w:t>
        </w:r>
        <w:r w:rsidRPr="00213EAE">
          <w:rPr>
            <w:rStyle w:val="Hyperlink"/>
          </w:rPr>
          <w:t>estrictive interventions</w:t>
        </w:r>
      </w:hyperlink>
      <w:r>
        <w:t xml:space="preserve"> &lt;</w:t>
      </w:r>
      <w:r w:rsidRPr="00B41EBC">
        <w:t>https://www.health.vic.gov.au/mental-health-and-wellbeing-act-handbook/treatments-and-interventions/restrictive-interventions</w:t>
      </w:r>
      <w:r>
        <w:t xml:space="preserve">&gt; </w:t>
      </w:r>
    </w:p>
    <w:p w14:paraId="42D199B2" w14:textId="5822743D" w:rsidR="00817104" w:rsidRDefault="00817104" w:rsidP="00817104">
      <w:pPr>
        <w:pStyle w:val="Bullet1"/>
        <w:numPr>
          <w:ilvl w:val="0"/>
          <w:numId w:val="2"/>
        </w:numPr>
      </w:pPr>
      <w:hyperlink r:id="rId304" w:history="1">
        <w:r w:rsidRPr="00004018">
          <w:rPr>
            <w:rStyle w:val="Hyperlink"/>
          </w:rPr>
          <w:t>Mental Health and Wellbeing Principles</w:t>
        </w:r>
      </w:hyperlink>
      <w:r>
        <w:t xml:space="preserve"> &lt;</w:t>
      </w:r>
      <w:r w:rsidRPr="00B41EBC">
        <w:t>https://www.health.vic.gov.au/mental-health-and-wellbeing-act-handbook/context-of-the-act/mental-health-and-wellbeing-principles</w:t>
      </w:r>
      <w:r>
        <w:t>&gt; for a complete list of the mental health principles and information about their application</w:t>
      </w:r>
    </w:p>
    <w:p w14:paraId="7E02258A" w14:textId="77777777" w:rsidR="00817104" w:rsidRPr="00941115" w:rsidRDefault="00817104" w:rsidP="00817104">
      <w:pPr>
        <w:pStyle w:val="Bullet1"/>
        <w:numPr>
          <w:ilvl w:val="0"/>
          <w:numId w:val="2"/>
        </w:numPr>
      </w:pPr>
      <w:hyperlink r:id="rId305" w:history="1">
        <w:r w:rsidRPr="001B3A60">
          <w:rPr>
            <w:rStyle w:val="Hyperlink"/>
          </w:rPr>
          <w:t>Working with consumers and carers</w:t>
        </w:r>
      </w:hyperlink>
      <w:r w:rsidRPr="001B3A60">
        <w:t xml:space="preserve"> </w:t>
      </w:r>
      <w:r>
        <w:t>&lt;</w:t>
      </w:r>
      <w:r w:rsidRPr="001B3A60">
        <w:t>https://www.health.vic.gov.au/mental-health/working-with-consumers-and-carers</w:t>
      </w:r>
      <w:r>
        <w:t xml:space="preserve">&gt; </w:t>
      </w:r>
    </w:p>
    <w:p w14:paraId="33672435" w14:textId="77777777" w:rsidR="00817104" w:rsidRDefault="00817104" w:rsidP="00817104">
      <w:pPr>
        <w:pStyle w:val="Bullet1"/>
        <w:numPr>
          <w:ilvl w:val="0"/>
          <w:numId w:val="2"/>
        </w:numPr>
      </w:pPr>
      <w:hyperlink r:id="rId306" w:history="1">
        <w:r>
          <w:rPr>
            <w:rStyle w:val="Hyperlink"/>
          </w:rPr>
          <w:t>C</w:t>
        </w:r>
        <w:r w:rsidRPr="006548C7">
          <w:rPr>
            <w:rStyle w:val="Hyperlink"/>
          </w:rPr>
          <w:t>omplaint procedures</w:t>
        </w:r>
      </w:hyperlink>
      <w:r w:rsidRPr="004450E0">
        <w:t xml:space="preserve"> </w:t>
      </w:r>
      <w:r>
        <w:t>&lt;</w:t>
      </w:r>
      <w:r w:rsidRPr="00C37A69">
        <w:t>https://www.health.vic.gov.au/mental-health-and-wellbeing-act-handbook/safeguards-protection-of-rights-complaints/complaints</w:t>
      </w:r>
      <w:r>
        <w:t>&gt;, which a</w:t>
      </w:r>
      <w:r w:rsidRPr="004450E0">
        <w:t>ll mental health and wellbeing service providers must have for receiving, managing and resolving complaints.</w:t>
      </w:r>
      <w:r>
        <w:t xml:space="preserve"> </w:t>
      </w:r>
      <w:r w:rsidRPr="004450E0">
        <w:lastRenderedPageBreak/>
        <w:t>Complaints can also be made to the Mental Health and Wellbeing Commission</w:t>
      </w:r>
      <w:r>
        <w:t xml:space="preserve"> (discussed further below)</w:t>
      </w:r>
      <w:r w:rsidRPr="004450E0">
        <w:t>.</w:t>
      </w:r>
    </w:p>
    <w:p w14:paraId="16E4CF83" w14:textId="77777777" w:rsidR="00817104" w:rsidRDefault="00817104" w:rsidP="00817104">
      <w:pPr>
        <w:pStyle w:val="Heading4"/>
      </w:pPr>
      <w:r w:rsidRPr="00DF003F">
        <w:t>Designated mental health services</w:t>
      </w:r>
      <w:r>
        <w:t xml:space="preserve"> (Area Mental Health and Wellbeing Services)</w:t>
      </w:r>
    </w:p>
    <w:p w14:paraId="62F9884A" w14:textId="77777777" w:rsidR="00817104" w:rsidRDefault="00817104" w:rsidP="00817104">
      <w:pPr>
        <w:pStyle w:val="Body"/>
      </w:pPr>
      <w:r>
        <w:t>A sub-set of mental health and wellbeing service providers are designated mental health services (A</w:t>
      </w:r>
      <w:r w:rsidRPr="00D16A5D">
        <w:t xml:space="preserve">rea </w:t>
      </w:r>
      <w:r>
        <w:t>M</w:t>
      </w:r>
      <w:r w:rsidRPr="00D16A5D">
        <w:t xml:space="preserve">ental </w:t>
      </w:r>
      <w:r>
        <w:t>H</w:t>
      </w:r>
      <w:r w:rsidRPr="00D16A5D">
        <w:t xml:space="preserve">ealth and </w:t>
      </w:r>
      <w:r>
        <w:t>W</w:t>
      </w:r>
      <w:r w:rsidRPr="00D16A5D">
        <w:t xml:space="preserve">ellbeing </w:t>
      </w:r>
      <w:r>
        <w:t>S</w:t>
      </w:r>
      <w:r w:rsidRPr="00D16A5D">
        <w:t>ervices</w:t>
      </w:r>
      <w:r>
        <w:t>). These are services that may provide compulsory assessment and treatment.</w:t>
      </w:r>
    </w:p>
    <w:p w14:paraId="19EE6576" w14:textId="77777777" w:rsidR="00817104" w:rsidRDefault="00817104" w:rsidP="00817104">
      <w:pPr>
        <w:pStyle w:val="Body"/>
      </w:pPr>
      <w:r>
        <w:t>Designated mental health services have additional obligations under the Mental Health and Wellbeing Act, including giving proper consideration of the</w:t>
      </w:r>
      <w:r w:rsidRPr="000415A0">
        <w:t xml:space="preserve"> Decision-making principles for treatment and interventions</w:t>
      </w:r>
      <w:r>
        <w:t xml:space="preserve">, and following the strict authorisation and reporting processes for the use of </w:t>
      </w:r>
      <w:r w:rsidRPr="00D41989">
        <w:t>restrictive interventions</w:t>
      </w:r>
      <w:r>
        <w:t xml:space="preserve">. </w:t>
      </w:r>
    </w:p>
    <w:p w14:paraId="69B72CE4" w14:textId="77777777" w:rsidR="00817104" w:rsidRDefault="00817104" w:rsidP="00817104">
      <w:pPr>
        <w:pStyle w:val="Body"/>
      </w:pPr>
      <w:r w:rsidRPr="005B6739">
        <w:t xml:space="preserve">The Act also includes several </w:t>
      </w:r>
      <w:r>
        <w:t>safeguards to help protect the rights and dignity of people living with mental illness and to promote supported decision-making practices.</w:t>
      </w:r>
    </w:p>
    <w:p w14:paraId="33421C8B" w14:textId="77777777" w:rsidR="00817104" w:rsidRDefault="00817104" w:rsidP="00817104">
      <w:pPr>
        <w:pStyle w:val="Body"/>
      </w:pPr>
      <w:r>
        <w:t xml:space="preserve">Services must understand and comply with their obligations with respect to these safeguards, including the: </w:t>
      </w:r>
    </w:p>
    <w:p w14:paraId="0A4DC1B0" w14:textId="77777777" w:rsidR="00817104" w:rsidRDefault="00817104" w:rsidP="00817104">
      <w:pPr>
        <w:pStyle w:val="Bullet1"/>
        <w:numPr>
          <w:ilvl w:val="0"/>
          <w:numId w:val="2"/>
        </w:numPr>
      </w:pPr>
      <w:hyperlink r:id="rId307" w:history="1">
        <w:r w:rsidRPr="000757DA">
          <w:rPr>
            <w:rStyle w:val="Hyperlink"/>
          </w:rPr>
          <w:t xml:space="preserve">Mental </w:t>
        </w:r>
        <w:r>
          <w:rPr>
            <w:rStyle w:val="Hyperlink"/>
          </w:rPr>
          <w:t>h</w:t>
        </w:r>
        <w:r w:rsidRPr="000757DA">
          <w:rPr>
            <w:rStyle w:val="Hyperlink"/>
          </w:rPr>
          <w:t xml:space="preserve">ealth </w:t>
        </w:r>
        <w:r>
          <w:rPr>
            <w:rStyle w:val="Hyperlink"/>
          </w:rPr>
          <w:t>a</w:t>
        </w:r>
        <w:r w:rsidRPr="000757DA">
          <w:rPr>
            <w:rStyle w:val="Hyperlink"/>
          </w:rPr>
          <w:t>dvocacy (non-legal)</w:t>
        </w:r>
      </w:hyperlink>
      <w:r>
        <w:t xml:space="preserve"> &lt;</w:t>
      </w:r>
      <w:r w:rsidRPr="00CF7F85">
        <w:t>https://www.health.vic.gov.au/mental-health-and-wellbeing-act-handbook/supported-decision-making/mental-health-advocacy-non-legal</w:t>
      </w:r>
      <w:r>
        <w:t>&gt;</w:t>
      </w:r>
    </w:p>
    <w:p w14:paraId="640C3176" w14:textId="77777777" w:rsidR="00817104" w:rsidRDefault="00817104" w:rsidP="00817104">
      <w:pPr>
        <w:pStyle w:val="Bullet1"/>
        <w:numPr>
          <w:ilvl w:val="0"/>
          <w:numId w:val="2"/>
        </w:numPr>
      </w:pPr>
      <w:hyperlink r:id="rId308" w:history="1">
        <w:r w:rsidRPr="00A2521A">
          <w:rPr>
            <w:rStyle w:val="Hyperlink"/>
          </w:rPr>
          <w:t>nominated support persons</w:t>
        </w:r>
      </w:hyperlink>
      <w:r>
        <w:t xml:space="preserve"> &lt;</w:t>
      </w:r>
      <w:r w:rsidRPr="005C1128">
        <w:t>https://www.health.vic.gov.au/mental-health-and-wellbeing-act-handbook/supported-decision-making/nominated-support-persons</w:t>
      </w:r>
      <w:r>
        <w:t>&gt;</w:t>
      </w:r>
    </w:p>
    <w:p w14:paraId="42D2625F" w14:textId="77777777" w:rsidR="00817104" w:rsidRDefault="00817104" w:rsidP="00817104">
      <w:pPr>
        <w:pStyle w:val="Bullet1"/>
        <w:numPr>
          <w:ilvl w:val="0"/>
          <w:numId w:val="2"/>
        </w:numPr>
      </w:pPr>
      <w:hyperlink r:id="rId309" w:history="1">
        <w:r w:rsidRPr="00B23506">
          <w:rPr>
            <w:rStyle w:val="Hyperlink"/>
          </w:rPr>
          <w:t>advance statements of preferences</w:t>
        </w:r>
      </w:hyperlink>
      <w:r>
        <w:t xml:space="preserve"> &lt;</w:t>
      </w:r>
      <w:r w:rsidRPr="005C1128">
        <w:t>https://www.health.vic.gov.au/mental-health-and-wellbeing-act-handbook/advance-statements-of-preferences</w:t>
      </w:r>
      <w:r>
        <w:t>&gt;</w:t>
      </w:r>
    </w:p>
    <w:p w14:paraId="1C149C92" w14:textId="77777777" w:rsidR="00817104" w:rsidRDefault="00817104" w:rsidP="00817104">
      <w:pPr>
        <w:pStyle w:val="Bullet1"/>
        <w:numPr>
          <w:ilvl w:val="0"/>
          <w:numId w:val="2"/>
        </w:numPr>
      </w:pPr>
      <w:hyperlink r:id="rId310" w:history="1">
        <w:r w:rsidRPr="005666FE">
          <w:rPr>
            <w:rStyle w:val="Hyperlink"/>
          </w:rPr>
          <w:t>provision of a statement of rights</w:t>
        </w:r>
      </w:hyperlink>
      <w:r>
        <w:t xml:space="preserve"> &lt;</w:t>
      </w:r>
      <w:r w:rsidRPr="005C1128">
        <w:t>https://www.health.vic.gov.au/mental-health-and-wellbeing-act-handbook/statement-of-rights</w:t>
      </w:r>
      <w:r>
        <w:t>&gt;</w:t>
      </w:r>
    </w:p>
    <w:p w14:paraId="5DC76082" w14:textId="77777777" w:rsidR="00817104" w:rsidRDefault="00817104" w:rsidP="00817104">
      <w:pPr>
        <w:pStyle w:val="Bullet1"/>
        <w:numPr>
          <w:ilvl w:val="0"/>
          <w:numId w:val="2"/>
        </w:numPr>
      </w:pPr>
      <w:hyperlink r:id="rId311" w:history="1">
        <w:r w:rsidRPr="00653FF4">
          <w:rPr>
            <w:rStyle w:val="Hyperlink"/>
          </w:rPr>
          <w:t>second psychiatric opinions</w:t>
        </w:r>
      </w:hyperlink>
      <w:r>
        <w:t xml:space="preserve"> &lt;</w:t>
      </w:r>
      <w:r w:rsidRPr="005C1128">
        <w:t>https://www.health.vic.gov.au/mental-health-and-wellbeing-act-handbook/second-psychiatric-opinions</w:t>
      </w:r>
      <w:r>
        <w:t xml:space="preserve">&gt; </w:t>
      </w:r>
    </w:p>
    <w:p w14:paraId="44CE4267" w14:textId="62748906" w:rsidR="00817104" w:rsidRDefault="00817104" w:rsidP="00817104">
      <w:pPr>
        <w:pStyle w:val="Bullet1"/>
        <w:numPr>
          <w:ilvl w:val="0"/>
          <w:numId w:val="2"/>
        </w:numPr>
      </w:pPr>
      <w:hyperlink r:id="rId312" w:history="1">
        <w:r w:rsidRPr="00A106A7">
          <w:rPr>
            <w:rStyle w:val="Hyperlink"/>
          </w:rPr>
          <w:t>Mental Health Tribunal</w:t>
        </w:r>
      </w:hyperlink>
      <w:r>
        <w:t xml:space="preserve"> &lt;</w:t>
      </w:r>
      <w:r w:rsidRPr="005C1128">
        <w:t>https://www.mht.vic.gov.au/</w:t>
      </w:r>
      <w:r>
        <w:t>&gt;.</w:t>
      </w:r>
    </w:p>
    <w:p w14:paraId="37D647D4" w14:textId="77777777" w:rsidR="00817104" w:rsidRDefault="00817104" w:rsidP="00817104">
      <w:pPr>
        <w:pStyle w:val="Bodyafterbullets"/>
      </w:pPr>
      <w:r>
        <w:t xml:space="preserve">Designated mental health services are within scope of oversight by the Chief Psychiatrist. Services that fall within scope of the Office of the Chief psychiatrist must </w:t>
      </w:r>
      <w:r w:rsidRPr="00EA109E">
        <w:t>observe</w:t>
      </w:r>
      <w:r>
        <w:t xml:space="preserve"> </w:t>
      </w:r>
      <w:r w:rsidRPr="00EA109E">
        <w:t xml:space="preserve">standards, guidelines and practice directions </w:t>
      </w:r>
      <w:r>
        <w:t>issued by the Chief Psychiatrist</w:t>
      </w:r>
      <w:r w:rsidRPr="00EA109E">
        <w:t xml:space="preserve"> to address any aspect of mental health</w:t>
      </w:r>
      <w:r>
        <w:t xml:space="preserve"> </w:t>
      </w:r>
      <w:r w:rsidRPr="00EA109E">
        <w:t>and wellbeing service delivery</w:t>
      </w:r>
      <w:r>
        <w:t>.</w:t>
      </w:r>
      <w:r w:rsidRPr="00EA109E">
        <w:t xml:space="preserve"> </w:t>
      </w:r>
      <w:r>
        <w:t xml:space="preserve">This </w:t>
      </w:r>
      <w:r w:rsidRPr="00EA109E">
        <w:t>includ</w:t>
      </w:r>
      <w:r>
        <w:t>es</w:t>
      </w:r>
      <w:r w:rsidRPr="00EA109E">
        <w:t xml:space="preserve"> any systemic issues or issues identified during the course of a clinical review. </w:t>
      </w:r>
    </w:p>
    <w:p w14:paraId="328E64C3" w14:textId="77777777" w:rsidR="00817104" w:rsidRDefault="00817104" w:rsidP="00817104">
      <w:pPr>
        <w:pStyle w:val="Bodyafterbullets"/>
        <w:rPr>
          <w:rFonts w:eastAsia="Aptos" w:cs="Arial"/>
          <w:szCs w:val="21"/>
        </w:rPr>
      </w:pPr>
      <w:r>
        <w:rPr>
          <w:rFonts w:eastAsia="Aptos" w:cs="Arial"/>
          <w:szCs w:val="21"/>
        </w:rPr>
        <w:t>The Office of the Chief Psychiatrist also provides operat</w:t>
      </w:r>
      <w:r w:rsidRPr="00ED3517">
        <w:rPr>
          <w:rFonts w:eastAsia="Aptos" w:cs="Arial"/>
          <w:szCs w:val="21"/>
        </w:rPr>
        <w:t xml:space="preserve">ional support regarding the requirements of the </w:t>
      </w:r>
      <w:r w:rsidRPr="00A96B5C">
        <w:rPr>
          <w:iCs/>
        </w:rPr>
        <w:t xml:space="preserve">Mental Health and Wellbeing </w:t>
      </w:r>
      <w:r w:rsidRPr="00ED3517">
        <w:rPr>
          <w:rFonts w:eastAsia="Aptos" w:cs="Arial"/>
          <w:szCs w:val="21"/>
        </w:rPr>
        <w:t>Act</w:t>
      </w:r>
      <w:r>
        <w:rPr>
          <w:rFonts w:eastAsia="Aptos" w:cs="Arial"/>
          <w:szCs w:val="21"/>
        </w:rPr>
        <w:t>.</w:t>
      </w:r>
      <w:r w:rsidRPr="00ED3517">
        <w:rPr>
          <w:rFonts w:eastAsia="Aptos" w:cs="Arial"/>
          <w:szCs w:val="21"/>
        </w:rPr>
        <w:t xml:space="preserve"> </w:t>
      </w:r>
    </w:p>
    <w:p w14:paraId="1BBC5107" w14:textId="77777777" w:rsidR="00817104" w:rsidRDefault="00817104" w:rsidP="00817104">
      <w:pPr>
        <w:pStyle w:val="Bodyafterbullets"/>
      </w:pPr>
      <w:r>
        <w:t>For more information, visit:</w:t>
      </w:r>
    </w:p>
    <w:p w14:paraId="227D3843" w14:textId="77777777" w:rsidR="00817104" w:rsidRDefault="00817104" w:rsidP="00817104">
      <w:pPr>
        <w:pStyle w:val="Bullet1"/>
        <w:numPr>
          <w:ilvl w:val="0"/>
          <w:numId w:val="2"/>
        </w:numPr>
      </w:pPr>
      <w:hyperlink r:id="rId313" w:history="1">
        <w:r w:rsidRPr="000415A0">
          <w:rPr>
            <w:rStyle w:val="Hyperlink"/>
          </w:rPr>
          <w:t>Decision-making principles for treatment and interventions</w:t>
        </w:r>
      </w:hyperlink>
      <w:r>
        <w:t xml:space="preserve"> &lt;</w:t>
      </w:r>
      <w:r w:rsidRPr="00357EB3">
        <w:t>https://www.health.vic.gov.au/chief-psychiatrist/decision-making-principles-for-treatment-and-interventions-mental-health-and-wellbeing-act-2022</w:t>
      </w:r>
      <w:r>
        <w:t>&gt;</w:t>
      </w:r>
    </w:p>
    <w:p w14:paraId="38E41717" w14:textId="3B402952" w:rsidR="00817104" w:rsidRDefault="00817104" w:rsidP="00817104">
      <w:pPr>
        <w:pStyle w:val="Bullet1"/>
        <w:numPr>
          <w:ilvl w:val="0"/>
          <w:numId w:val="2"/>
        </w:numPr>
      </w:pPr>
      <w:hyperlink r:id="rId314" w:history="1">
        <w:r w:rsidRPr="00004018">
          <w:rPr>
            <w:rStyle w:val="Hyperlink"/>
          </w:rPr>
          <w:t>Restrictive interventions</w:t>
        </w:r>
      </w:hyperlink>
      <w:r>
        <w:t xml:space="preserve"> &lt;</w:t>
      </w:r>
      <w:r w:rsidRPr="00CF7F85">
        <w:t>https://www.health.vic.gov.au/mental-health-and-wellbeing-act-handbook/treatments-and-interventions/restrictive-interventions</w:t>
      </w:r>
      <w:r>
        <w:t xml:space="preserve">&gt; </w:t>
      </w:r>
    </w:p>
    <w:p w14:paraId="2156A267" w14:textId="50A595BD" w:rsidR="00817104" w:rsidRDefault="00817104" w:rsidP="00817104">
      <w:pPr>
        <w:pStyle w:val="Bullet1"/>
        <w:numPr>
          <w:ilvl w:val="0"/>
          <w:numId w:val="2"/>
        </w:numPr>
      </w:pPr>
      <w:hyperlink r:id="rId315" w:history="1">
        <w:r w:rsidRPr="00004018">
          <w:rPr>
            <w:rStyle w:val="Hyperlink"/>
          </w:rPr>
          <w:t>Mental Health and Wellbeing Act</w:t>
        </w:r>
      </w:hyperlink>
      <w:r>
        <w:t xml:space="preserve"> &lt;</w:t>
      </w:r>
      <w:r w:rsidRPr="000250B8">
        <w:t>https://www.health.vic.gov.au/mental-health-and-wellbeing-act</w:t>
      </w:r>
      <w:r>
        <w:t>&gt;</w:t>
      </w:r>
    </w:p>
    <w:p w14:paraId="13A1031E" w14:textId="164D66D4" w:rsidR="00817104" w:rsidRDefault="00DB06F9" w:rsidP="00817104">
      <w:pPr>
        <w:pStyle w:val="Bullet1"/>
        <w:numPr>
          <w:ilvl w:val="0"/>
          <w:numId w:val="2"/>
        </w:numPr>
      </w:pPr>
      <w:hyperlink r:id="rId316" w:history="1">
        <w:r>
          <w:rPr>
            <w:rStyle w:val="Hyperlink"/>
            <w:rFonts w:eastAsia="Aptos" w:cs="Arial"/>
            <w:szCs w:val="21"/>
          </w:rPr>
          <w:t>https://www.health.vic.gov.au/chief-psychiatrist</w:t>
        </w:r>
      </w:hyperlink>
      <w:r w:rsidR="00817104">
        <w:rPr>
          <w:rFonts w:eastAsia="Aptos" w:cs="Arial"/>
          <w:szCs w:val="21"/>
        </w:rPr>
        <w:t xml:space="preserve"> &lt;</w:t>
      </w:r>
      <w:r w:rsidR="00817104" w:rsidRPr="0012499B">
        <w:rPr>
          <w:rFonts w:eastAsia="Aptos" w:cs="Arial"/>
          <w:szCs w:val="21"/>
        </w:rPr>
        <w:t>https://www.health.vic.gov.au/chief-psychiatrist</w:t>
      </w:r>
      <w:r w:rsidR="00817104">
        <w:rPr>
          <w:rFonts w:eastAsia="Aptos" w:cs="Arial"/>
          <w:szCs w:val="21"/>
        </w:rPr>
        <w:t>&gt;.</w:t>
      </w:r>
    </w:p>
    <w:p w14:paraId="23014422" w14:textId="77777777" w:rsidR="00817104" w:rsidRPr="00A832E0" w:rsidRDefault="00817104" w:rsidP="00C77BFC">
      <w:pPr>
        <w:pStyle w:val="Heading3"/>
        <w:numPr>
          <w:ilvl w:val="2"/>
          <w:numId w:val="0"/>
        </w:numPr>
        <w:tabs>
          <w:tab w:val="num" w:pos="794"/>
        </w:tabs>
        <w:ind w:left="1361" w:hanging="1361"/>
        <w:rPr>
          <w:lang w:eastAsia="en-AU"/>
        </w:rPr>
      </w:pPr>
      <w:r>
        <w:rPr>
          <w:lang w:eastAsia="en-AU"/>
        </w:rPr>
        <w:lastRenderedPageBreak/>
        <w:t>18.10.2</w:t>
      </w:r>
      <w:r>
        <w:rPr>
          <w:lang w:eastAsia="en-AU"/>
        </w:rPr>
        <w:tab/>
      </w:r>
      <w:r w:rsidRPr="00A832E0">
        <w:rPr>
          <w:lang w:eastAsia="en-AU"/>
        </w:rPr>
        <w:t>Embedding lived experience in leadership, design and delivery</w:t>
      </w:r>
    </w:p>
    <w:p w14:paraId="029F829B" w14:textId="77777777" w:rsidR="00817104" w:rsidRPr="00943310" w:rsidRDefault="00817104" w:rsidP="00817104">
      <w:pPr>
        <w:pStyle w:val="Body"/>
      </w:pPr>
      <w:r w:rsidDel="00DF2791">
        <w:t xml:space="preserve">Mental Health </w:t>
      </w:r>
      <w:r>
        <w:t>and wellbeing services are expected to establish policies, processes and procedures that ensure</w:t>
      </w:r>
      <w:r w:rsidRPr="00943310">
        <w:t xml:space="preserve"> </w:t>
      </w:r>
      <w:r>
        <w:t>lived and living experience is</w:t>
      </w:r>
      <w:r w:rsidRPr="00943310">
        <w:t xml:space="preserve"> central to the decision-making processes, including: </w:t>
      </w:r>
    </w:p>
    <w:p w14:paraId="3C6214E7" w14:textId="77777777" w:rsidR="00817104" w:rsidRPr="00474A18" w:rsidRDefault="00817104" w:rsidP="00817104">
      <w:pPr>
        <w:pStyle w:val="Bullet1"/>
        <w:numPr>
          <w:ilvl w:val="0"/>
          <w:numId w:val="2"/>
        </w:numPr>
      </w:pPr>
      <w:r w:rsidRPr="00474A18">
        <w:t xml:space="preserve">service planning, design, delivery and evaluation </w:t>
      </w:r>
    </w:p>
    <w:p w14:paraId="19C8BC49" w14:textId="77777777" w:rsidR="00817104" w:rsidRPr="00474A18" w:rsidRDefault="00817104" w:rsidP="00817104">
      <w:pPr>
        <w:pStyle w:val="Bullet1"/>
        <w:numPr>
          <w:ilvl w:val="0"/>
          <w:numId w:val="2"/>
        </w:numPr>
      </w:pPr>
      <w:r w:rsidRPr="00474A18">
        <w:t xml:space="preserve">being employed in senior leadership roles, including governance and boards </w:t>
      </w:r>
    </w:p>
    <w:p w14:paraId="44EC093F" w14:textId="77777777" w:rsidR="00817104" w:rsidRPr="00474A18" w:rsidRDefault="00817104" w:rsidP="00817104">
      <w:pPr>
        <w:pStyle w:val="Bullet1"/>
        <w:numPr>
          <w:ilvl w:val="0"/>
          <w:numId w:val="2"/>
        </w:numPr>
      </w:pPr>
      <w:r w:rsidRPr="00474A18">
        <w:t xml:space="preserve">being supported to thrive in these roles. </w:t>
      </w:r>
    </w:p>
    <w:p w14:paraId="2E2B8FBA" w14:textId="77777777" w:rsidR="00817104" w:rsidRPr="00943310" w:rsidRDefault="00817104" w:rsidP="00817104">
      <w:pPr>
        <w:pStyle w:val="Bodyafterbullets"/>
      </w:pPr>
      <w:r w:rsidRPr="00943310">
        <w:t xml:space="preserve">Area Mental Health and Wellbeing Services </w:t>
      </w:r>
      <w:r>
        <w:t xml:space="preserve">are required to: </w:t>
      </w:r>
    </w:p>
    <w:p w14:paraId="5835A43E" w14:textId="77777777" w:rsidR="00817104" w:rsidRPr="00474A18" w:rsidRDefault="00817104" w:rsidP="00817104">
      <w:pPr>
        <w:pStyle w:val="Bullet1"/>
        <w:numPr>
          <w:ilvl w:val="0"/>
          <w:numId w:val="2"/>
        </w:numPr>
      </w:pPr>
      <w:r w:rsidRPr="00474A18">
        <w:t>expand lived experience system and policy leadership roles, consumer and family/carer consultants, and peer support workforces</w:t>
      </w:r>
    </w:p>
    <w:p w14:paraId="1CEAB7EA" w14:textId="77777777" w:rsidR="00817104" w:rsidRPr="00474A18" w:rsidRDefault="00817104" w:rsidP="00817104">
      <w:pPr>
        <w:pStyle w:val="Bullet1"/>
        <w:numPr>
          <w:ilvl w:val="0"/>
          <w:numId w:val="2"/>
        </w:numPr>
      </w:pPr>
      <w:r w:rsidRPr="00474A18">
        <w:t xml:space="preserve">ensure diversity across lived and living experience roles, which reflect the local community </w:t>
      </w:r>
    </w:p>
    <w:p w14:paraId="739E5A3B" w14:textId="77777777" w:rsidR="00817104" w:rsidRPr="00474A18" w:rsidRDefault="00817104" w:rsidP="00817104">
      <w:pPr>
        <w:pStyle w:val="Bullet1"/>
        <w:numPr>
          <w:ilvl w:val="0"/>
          <w:numId w:val="2"/>
        </w:numPr>
      </w:pPr>
      <w:r w:rsidRPr="00474A18">
        <w:t xml:space="preserve">ensure people with lived experience who work from a lived and living experience perspective are represented across senior management and executive teams, including discipline leads, management and executive roles </w:t>
      </w:r>
    </w:p>
    <w:p w14:paraId="1CF87B8D" w14:textId="77777777" w:rsidR="00817104" w:rsidRPr="00474A18" w:rsidRDefault="00817104" w:rsidP="00817104">
      <w:pPr>
        <w:pStyle w:val="Bullet1"/>
        <w:numPr>
          <w:ilvl w:val="0"/>
          <w:numId w:val="2"/>
        </w:numPr>
      </w:pPr>
      <w:r w:rsidRPr="00474A18">
        <w:t xml:space="preserve">ensure the expanding lived experience workforce is provided access to discipline-specific supports and professional development, such as discipline-specific supervision, communities of practice and relevant training </w:t>
      </w:r>
    </w:p>
    <w:p w14:paraId="03A89C47" w14:textId="77777777" w:rsidR="00817104" w:rsidRPr="00474A18" w:rsidRDefault="00817104" w:rsidP="00817104">
      <w:pPr>
        <w:pStyle w:val="Bullet1"/>
        <w:numPr>
          <w:ilvl w:val="0"/>
          <w:numId w:val="2"/>
        </w:numPr>
      </w:pPr>
      <w:r w:rsidRPr="00474A18">
        <w:t xml:space="preserve">review organisational governance structures and membership to ensure meaningful numbers of lived and living experience positions are embedded across the strategic and operational planning, design, delivery and evaluation of each service. This will ensure lived and living experience perspectives are meaningfully included in decision making around models of care, capital works and allocation of funding </w:t>
      </w:r>
    </w:p>
    <w:p w14:paraId="76801147" w14:textId="77777777" w:rsidR="00817104" w:rsidRPr="00474A18" w:rsidRDefault="00817104" w:rsidP="00817104">
      <w:pPr>
        <w:pStyle w:val="Bullet1"/>
        <w:numPr>
          <w:ilvl w:val="0"/>
          <w:numId w:val="2"/>
        </w:numPr>
      </w:pPr>
      <w:r w:rsidRPr="00474A18">
        <w:t xml:space="preserve">centre lived and living experience leadership in the evaluation of services and identification of continuous improvement priorities and actions. This includes strengthening feedback loops between the service, consumers, families, carers and supporters, and monitoring lived experience outcome measures within local outcomes frameworks </w:t>
      </w:r>
    </w:p>
    <w:p w14:paraId="2A23C78E" w14:textId="77777777" w:rsidR="00817104" w:rsidRPr="00474A18" w:rsidRDefault="00817104" w:rsidP="00817104">
      <w:pPr>
        <w:pStyle w:val="Bullet1"/>
        <w:numPr>
          <w:ilvl w:val="0"/>
          <w:numId w:val="2"/>
        </w:numPr>
      </w:pPr>
      <w:r w:rsidRPr="00474A18">
        <w:t xml:space="preserve">increase service capability and use of co-design and co-production with consumers, families, carers and supporters, to ensure service improvements are informed by lived experience perspectives. This includes provision of training for people with lived experience to participate in service improvement projects. </w:t>
      </w:r>
    </w:p>
    <w:p w14:paraId="39AB68AE" w14:textId="77777777" w:rsidR="00817104" w:rsidRPr="00943310" w:rsidRDefault="00817104" w:rsidP="00817104">
      <w:pPr>
        <w:pStyle w:val="Bodyafterbullets"/>
      </w:pPr>
      <w:r w:rsidRPr="00943310">
        <w:t xml:space="preserve">The department will </w:t>
      </w:r>
      <w:r>
        <w:t xml:space="preserve">continue to </w:t>
      </w:r>
      <w:r w:rsidRPr="00943310">
        <w:t xml:space="preserve">work with services to support plans to embed lived experience leadership and workforce throughout </w:t>
      </w:r>
      <w:r>
        <w:t>2026–27</w:t>
      </w:r>
      <w:r w:rsidRPr="00943310">
        <w:t xml:space="preserve">. </w:t>
      </w:r>
    </w:p>
    <w:p w14:paraId="7FDBA9BB" w14:textId="77777777" w:rsidR="00817104" w:rsidRDefault="00817104" w:rsidP="00C77BFC">
      <w:pPr>
        <w:pStyle w:val="Heading3"/>
        <w:numPr>
          <w:ilvl w:val="2"/>
          <w:numId w:val="0"/>
        </w:numPr>
        <w:tabs>
          <w:tab w:val="num" w:pos="794"/>
        </w:tabs>
        <w:ind w:left="1361" w:hanging="1361"/>
      </w:pPr>
      <w:r>
        <w:t>18.10.3</w:t>
      </w:r>
      <w:r>
        <w:tab/>
        <w:t>Key mental health policies and guidelines</w:t>
      </w:r>
    </w:p>
    <w:p w14:paraId="290B78ED" w14:textId="77777777" w:rsidR="00817104" w:rsidRPr="006E39A6" w:rsidRDefault="00817104" w:rsidP="00817104">
      <w:pPr>
        <w:pStyle w:val="Body"/>
      </w:pPr>
      <w:r w:rsidRPr="006E39A6">
        <w:rPr>
          <w:rFonts w:cs="Calibri"/>
        </w:rPr>
        <w:t xml:space="preserve">The </w:t>
      </w:r>
      <w:r w:rsidRPr="0019607C">
        <w:t xml:space="preserve">Chief </w:t>
      </w:r>
      <w:r>
        <w:rPr>
          <w:rFonts w:cs="Calibri"/>
        </w:rPr>
        <w:t>P</w:t>
      </w:r>
      <w:r w:rsidRPr="004962CD">
        <w:rPr>
          <w:rFonts w:cs="Calibri"/>
        </w:rPr>
        <w:t>sychiatrist guidelines</w:t>
      </w:r>
      <w:r w:rsidRPr="006E39A6">
        <w:rPr>
          <w:rFonts w:cs="Calibri"/>
        </w:rPr>
        <w:t xml:space="preserve"> provide specialist advice on operational and clinical practice in relation to the </w:t>
      </w:r>
      <w:r w:rsidRPr="004B6089">
        <w:rPr>
          <w:i/>
          <w:iCs/>
        </w:rPr>
        <w:t>Mental Health and Wellbeing Act 2022</w:t>
      </w:r>
      <w:r w:rsidRPr="00E7006E">
        <w:rPr>
          <w:rFonts w:cs="Calibri"/>
          <w:iCs/>
        </w:rPr>
        <w:t>.</w:t>
      </w:r>
      <w:r w:rsidRPr="006E39A6">
        <w:rPr>
          <w:rFonts w:cs="Calibri"/>
        </w:rPr>
        <w:t xml:space="preserve"> </w:t>
      </w:r>
    </w:p>
    <w:p w14:paraId="382AD7AB" w14:textId="77777777" w:rsidR="00817104" w:rsidRDefault="00817104" w:rsidP="00817104">
      <w:pPr>
        <w:pStyle w:val="Body"/>
      </w:pPr>
      <w:r w:rsidRPr="00157A2C">
        <w:t>On 1 September 2023</w:t>
      </w:r>
      <w:r>
        <w:t>,</w:t>
      </w:r>
      <w:r w:rsidRPr="00157A2C">
        <w:t xml:space="preserve"> new </w:t>
      </w:r>
      <w:r>
        <w:t>compliance</w:t>
      </w:r>
      <w:r w:rsidRPr="00157A2C">
        <w:t xml:space="preserve"> requirements </w:t>
      </w:r>
      <w:r>
        <w:t>took effect</w:t>
      </w:r>
      <w:r w:rsidRPr="00157A2C">
        <w:t xml:space="preserve"> in specific areas of clinical practice overseen by the Chief Psychiatrist. These changes </w:t>
      </w:r>
      <w:r>
        <w:t>respond</w:t>
      </w:r>
      <w:r w:rsidRPr="00157A2C">
        <w:t xml:space="preserve"> to the expanded jurisdiction of the Chief Psychiatrist under the </w:t>
      </w:r>
      <w:r w:rsidRPr="006243A2">
        <w:t>Mental Health and Wellbeing Act</w:t>
      </w:r>
      <w:r>
        <w:rPr>
          <w:i/>
        </w:rPr>
        <w:t>.</w:t>
      </w:r>
      <w:r w:rsidRPr="00157A2C">
        <w:t xml:space="preserve"> </w:t>
      </w:r>
      <w:r>
        <w:t>They</w:t>
      </w:r>
      <w:r w:rsidRPr="00157A2C">
        <w:t xml:space="preserve"> relate to the oversight of chemical restraint and mental health and wellbeing services in custodial settings.</w:t>
      </w:r>
    </w:p>
    <w:p w14:paraId="5EA07E1B" w14:textId="77777777" w:rsidR="00817104" w:rsidRPr="006E39A6" w:rsidRDefault="00817104" w:rsidP="00817104">
      <w:pPr>
        <w:pStyle w:val="Body"/>
      </w:pPr>
      <w:r>
        <w:t xml:space="preserve">On 1 April 2024, new compliance requirements also took effect in EDs and urgent care centres of designated mental health services. These requirements relate to the oversight of restrictive interventions in those settings. </w:t>
      </w:r>
    </w:p>
    <w:p w14:paraId="4E12BA7C" w14:textId="77777777" w:rsidR="00817104" w:rsidRPr="00F021C2" w:rsidRDefault="00817104" w:rsidP="00817104">
      <w:pPr>
        <w:pStyle w:val="Body"/>
      </w:pPr>
      <w:r w:rsidRPr="00F021C2">
        <w:lastRenderedPageBreak/>
        <w:t>Program management circulars articulate or clarify departmental policy on key aspects of service provision</w:t>
      </w:r>
      <w:r>
        <w:t xml:space="preserve"> and are</w:t>
      </w:r>
      <w:r w:rsidRPr="00F021C2">
        <w:t xml:space="preserve"> available from the </w:t>
      </w:r>
      <w:hyperlink r:id="rId317" w:history="1">
        <w:r w:rsidRPr="00554FEA">
          <w:rPr>
            <w:rStyle w:val="Hyperlink"/>
            <w:rFonts w:cs="Calibri"/>
          </w:rPr>
          <w:t>Office of Chief Psychiatrist</w:t>
        </w:r>
      </w:hyperlink>
      <w:r w:rsidRPr="00F021C2">
        <w:t xml:space="preserve"> &lt;https://www.health.vic.gov.au/practice-and-service-quality/chief-psychiatrist&gt;.</w:t>
      </w:r>
    </w:p>
    <w:p w14:paraId="3F88F75F" w14:textId="77777777" w:rsidR="00817104" w:rsidRPr="00F021C2" w:rsidRDefault="00817104" w:rsidP="00817104">
      <w:pPr>
        <w:pStyle w:val="Body"/>
        <w:rPr>
          <w:highlight w:val="yellow"/>
        </w:rPr>
      </w:pPr>
      <w:r w:rsidRPr="00F021C2">
        <w:t xml:space="preserve">All funded clinical mental health services must be accredited against </w:t>
      </w:r>
      <w:r w:rsidRPr="00115A34">
        <w:t xml:space="preserve">the </w:t>
      </w:r>
      <w:r w:rsidRPr="006244BB">
        <w:t>NSQHS Standards (</w:t>
      </w:r>
      <w:r>
        <w:t>seco</w:t>
      </w:r>
      <w:r w:rsidRPr="006244BB">
        <w:t>nd edition)</w:t>
      </w:r>
      <w:r w:rsidRPr="00F021C2">
        <w:t xml:space="preserve"> in </w:t>
      </w:r>
      <w:r w:rsidRPr="006657DD">
        <w:t>202</w:t>
      </w:r>
      <w:r>
        <w:t>6</w:t>
      </w:r>
      <w:r w:rsidRPr="006657DD">
        <w:t>–2</w:t>
      </w:r>
      <w:r>
        <w:t>7</w:t>
      </w:r>
      <w:r w:rsidRPr="006657DD">
        <w:t>.</w:t>
      </w:r>
    </w:p>
    <w:p w14:paraId="0486C691" w14:textId="77777777" w:rsidR="00817104" w:rsidRPr="0019607C" w:rsidRDefault="00817104" w:rsidP="00817104">
      <w:pPr>
        <w:pStyle w:val="Body"/>
      </w:pPr>
      <w:r w:rsidRPr="00D12772">
        <w:t>As a condition of funding, organisations must adhere to all relevant regulation</w:t>
      </w:r>
      <w:r>
        <w:t>s</w:t>
      </w:r>
      <w:r w:rsidRPr="00D12772">
        <w:t xml:space="preserve">, safety and quality standards, and Chief </w:t>
      </w:r>
      <w:r>
        <w:t>P</w:t>
      </w:r>
      <w:r w:rsidRPr="00D12772">
        <w:t xml:space="preserve">sychiatrist guidelines relating to the funded activity. All funded clinical mental health services </w:t>
      </w:r>
      <w:r>
        <w:t>must</w:t>
      </w:r>
      <w:r w:rsidRPr="00D12772">
        <w:t xml:space="preserve"> </w:t>
      </w:r>
      <w:r>
        <w:t xml:space="preserve">also </w:t>
      </w:r>
      <w:r w:rsidRPr="00D12772">
        <w:t xml:space="preserve">comply with the </w:t>
      </w:r>
      <w:r>
        <w:t>d</w:t>
      </w:r>
      <w:r w:rsidRPr="00F021C2">
        <w:t>epartment</w:t>
      </w:r>
      <w:r>
        <w:t>’s</w:t>
      </w:r>
      <w:r w:rsidRPr="00D12772">
        <w:t xml:space="preserve"> program guidelines</w:t>
      </w:r>
      <w:r>
        <w:t>,</w:t>
      </w:r>
      <w:r w:rsidRPr="00D12772">
        <w:t xml:space="preserve"> which are available from the Mental Health and Wellbeing Division. </w:t>
      </w:r>
    </w:p>
    <w:p w14:paraId="417C4DFE" w14:textId="77777777" w:rsidR="00817104" w:rsidRPr="00F021C2" w:rsidRDefault="00817104" w:rsidP="00817104">
      <w:pPr>
        <w:pStyle w:val="Body"/>
      </w:pPr>
      <w:r w:rsidRPr="00F021C2">
        <w:t xml:space="preserve">Organisations can obtain copies of the relevant standards and guidelines from their department program and service advisor or, in some instances, through the department’s </w:t>
      </w:r>
      <w:hyperlink r:id="rId318" w:history="1">
        <w:r w:rsidRPr="007B24B7">
          <w:rPr>
            <w:rStyle w:val="Hyperlink"/>
            <w:rFonts w:cs="Calibri"/>
          </w:rPr>
          <w:t>Funded Agency Channel</w:t>
        </w:r>
        <w:r w:rsidRPr="007B24B7">
          <w:rPr>
            <w:rStyle w:val="Hyperlink"/>
            <w:rFonts w:cs="Calibri"/>
            <w:vertAlign w:val="superscript"/>
          </w:rPr>
          <w:footnoteReference w:id="13"/>
        </w:r>
      </w:hyperlink>
      <w:r w:rsidRPr="00F021C2">
        <w:t xml:space="preserve"> &lt;https://fac.dffh.vic.gov.au&gt;.</w:t>
      </w:r>
    </w:p>
    <w:p w14:paraId="58C8CE48" w14:textId="77777777" w:rsidR="00817104" w:rsidRDefault="00817104" w:rsidP="00817104">
      <w:pPr>
        <w:pStyle w:val="Body"/>
      </w:pPr>
      <w:r>
        <w:t>For m</w:t>
      </w:r>
      <w:r w:rsidRPr="00F021C2">
        <w:t>ore information</w:t>
      </w:r>
      <w:r>
        <w:t>, visit:</w:t>
      </w:r>
    </w:p>
    <w:p w14:paraId="2A9E8529" w14:textId="32637BEF" w:rsidR="00817104" w:rsidRDefault="00817104" w:rsidP="00817104">
      <w:pPr>
        <w:pStyle w:val="Bullet1"/>
        <w:numPr>
          <w:ilvl w:val="0"/>
          <w:numId w:val="2"/>
        </w:numPr>
      </w:pPr>
      <w:hyperlink r:id="rId319" w:history="1">
        <w:r w:rsidRPr="002C181C">
          <w:rPr>
            <w:rStyle w:val="Hyperlink"/>
            <w:rFonts w:eastAsia="Aptos" w:cs="Arial"/>
            <w:szCs w:val="21"/>
          </w:rPr>
          <w:t>Chief Psychiatrist</w:t>
        </w:r>
      </w:hyperlink>
      <w:r>
        <w:rPr>
          <w:rFonts w:eastAsia="Aptos" w:cs="Arial"/>
          <w:szCs w:val="21"/>
        </w:rPr>
        <w:t xml:space="preserve"> </w:t>
      </w:r>
      <w:r w:rsidR="00506A97">
        <w:rPr>
          <w:rFonts w:eastAsia="Aptos" w:cs="Arial"/>
          <w:szCs w:val="21"/>
        </w:rPr>
        <w:t>&lt;</w:t>
      </w:r>
      <w:r w:rsidR="00506A97" w:rsidRPr="00506A97">
        <w:rPr>
          <w:rFonts w:eastAsia="Aptos" w:cs="Arial"/>
          <w:szCs w:val="21"/>
        </w:rPr>
        <w:t>https://www.health.vic.gov.au/chief-psychiatrist</w:t>
      </w:r>
      <w:r w:rsidR="00506A97">
        <w:t>&gt;</w:t>
      </w:r>
      <w:r>
        <w:rPr>
          <w:rFonts w:eastAsia="Aptos" w:cs="Arial"/>
          <w:szCs w:val="21"/>
        </w:rPr>
        <w:t xml:space="preserve"> for changes to </w:t>
      </w:r>
      <w:r>
        <w:t>requirements relating to the oversight of restrictive interventions</w:t>
      </w:r>
    </w:p>
    <w:p w14:paraId="1E674A0B" w14:textId="77777777" w:rsidR="00817104" w:rsidRDefault="00817104" w:rsidP="00817104">
      <w:pPr>
        <w:pStyle w:val="Bullet1"/>
        <w:numPr>
          <w:ilvl w:val="0"/>
          <w:numId w:val="2"/>
        </w:numPr>
      </w:pPr>
      <w:hyperlink r:id="rId320" w:history="1">
        <w:r w:rsidRPr="004962CD">
          <w:rPr>
            <w:rStyle w:val="Hyperlink"/>
            <w:rFonts w:cs="Calibri"/>
          </w:rPr>
          <w:t xml:space="preserve">Chief </w:t>
        </w:r>
        <w:r w:rsidRPr="006E39A6">
          <w:rPr>
            <w:rStyle w:val="Hyperlink"/>
            <w:rFonts w:cs="Calibri"/>
          </w:rPr>
          <w:t>P</w:t>
        </w:r>
        <w:r w:rsidRPr="004962CD">
          <w:rPr>
            <w:rStyle w:val="Hyperlink"/>
            <w:rFonts w:cs="Calibri"/>
          </w:rPr>
          <w:t>sychiatrist guidelines</w:t>
        </w:r>
      </w:hyperlink>
      <w:r w:rsidRPr="006E39A6">
        <w:t xml:space="preserve"> </w:t>
      </w:r>
      <w:r>
        <w:t>&lt;</w:t>
      </w:r>
      <w:r w:rsidRPr="00E021A6">
        <w:t>https://www.health.vic.gov.au/key-staff/chief-psychiatrist-guidelines</w:t>
      </w:r>
      <w:r>
        <w:t>&gt;</w:t>
      </w:r>
    </w:p>
    <w:p w14:paraId="7B903ACB" w14:textId="26A695AF" w:rsidR="00817104" w:rsidRPr="00F021C2" w:rsidRDefault="00817104" w:rsidP="00817104">
      <w:pPr>
        <w:pStyle w:val="Bullet1"/>
        <w:numPr>
          <w:ilvl w:val="0"/>
          <w:numId w:val="2"/>
        </w:numPr>
      </w:pPr>
      <w:hyperlink r:id="rId321" w:history="1">
        <w:r>
          <w:rPr>
            <w:rStyle w:val="Hyperlink"/>
            <w:rFonts w:cs="Calibri"/>
          </w:rPr>
          <w:t>Mental health and wellbeing</w:t>
        </w:r>
      </w:hyperlink>
      <w:r w:rsidRPr="00F021C2">
        <w:t xml:space="preserve"> &lt;https://www.health.vic.gov.au/mental-health&gt;</w:t>
      </w:r>
      <w:r>
        <w:t xml:space="preserve"> for </w:t>
      </w:r>
      <w:r w:rsidRPr="00F021C2">
        <w:t>mental health service</w:t>
      </w:r>
      <w:r>
        <w:t>s</w:t>
      </w:r>
      <w:r w:rsidRPr="00F021C2">
        <w:t>, programs and program guidelines</w:t>
      </w:r>
      <w:r w:rsidR="00506A97">
        <w:t>&gt;</w:t>
      </w:r>
      <w:r>
        <w:t>.</w:t>
      </w:r>
    </w:p>
    <w:p w14:paraId="672C83CA" w14:textId="77777777" w:rsidR="00817104" w:rsidRDefault="00817104" w:rsidP="00817104">
      <w:pPr>
        <w:pStyle w:val="Heading3"/>
        <w:numPr>
          <w:ilvl w:val="2"/>
          <w:numId w:val="0"/>
        </w:numPr>
        <w:tabs>
          <w:tab w:val="num" w:pos="794"/>
        </w:tabs>
        <w:ind w:left="1134" w:hanging="1134"/>
        <w:rPr>
          <w:rFonts w:cs="Calibri"/>
        </w:rPr>
      </w:pPr>
      <w:r>
        <w:rPr>
          <w:rFonts w:cs="Calibri"/>
        </w:rPr>
        <w:t>18.10.4</w:t>
      </w:r>
      <w:r>
        <w:rPr>
          <w:rFonts w:cs="Calibri"/>
        </w:rPr>
        <w:tab/>
        <w:t xml:space="preserve">The Mental Health </w:t>
      </w:r>
      <w:r w:rsidRPr="00F07678">
        <w:t>Performance</w:t>
      </w:r>
      <w:r>
        <w:rPr>
          <w:rFonts w:cs="Calibri"/>
        </w:rPr>
        <w:t xml:space="preserve"> and Accountability Framework </w:t>
      </w:r>
    </w:p>
    <w:p w14:paraId="31C8DAF0" w14:textId="77777777" w:rsidR="00817104" w:rsidRPr="00F021C2" w:rsidRDefault="00817104" w:rsidP="00817104">
      <w:pPr>
        <w:pStyle w:val="Body"/>
      </w:pPr>
      <w:r w:rsidRPr="00F021C2">
        <w:rPr>
          <w:rFonts w:cs="Calibri"/>
        </w:rPr>
        <w:t>The</w:t>
      </w:r>
      <w:r>
        <w:rPr>
          <w:rFonts w:cs="Calibri"/>
        </w:rPr>
        <w:t xml:space="preserve"> Mental Health </w:t>
      </w:r>
      <w:r w:rsidRPr="00F07678">
        <w:t>Performance</w:t>
      </w:r>
      <w:r>
        <w:rPr>
          <w:rFonts w:cs="Calibri"/>
        </w:rPr>
        <w:t xml:space="preserve"> and Accountability Framework</w:t>
      </w:r>
      <w:r w:rsidRPr="00F021C2">
        <w:rPr>
          <w:rFonts w:cs="Calibri"/>
        </w:rPr>
        <w:t xml:space="preserve"> </w:t>
      </w:r>
      <w:r>
        <w:rPr>
          <w:rFonts w:cs="Calibri"/>
        </w:rPr>
        <w:t>(</w:t>
      </w:r>
      <w:r w:rsidRPr="00F021C2">
        <w:rPr>
          <w:rFonts w:cs="Calibri"/>
        </w:rPr>
        <w:t>MHPAF</w:t>
      </w:r>
      <w:r>
        <w:rPr>
          <w:rFonts w:cs="Calibri"/>
        </w:rPr>
        <w:t>)</w:t>
      </w:r>
      <w:r w:rsidRPr="00F021C2">
        <w:rPr>
          <w:rFonts w:cs="Calibri"/>
        </w:rPr>
        <w:t xml:space="preserve"> specifies the department’s current performance and accountability requirements for funded clinical mental health services. It outlines how the department will measure, monitor and assess performance at the agency, service and program levels. </w:t>
      </w:r>
      <w:r>
        <w:rPr>
          <w:rFonts w:cs="Calibri"/>
        </w:rPr>
        <w:t>T</w:t>
      </w:r>
      <w:r w:rsidRPr="00F021C2">
        <w:rPr>
          <w:rFonts w:cs="Calibri"/>
        </w:rPr>
        <w:t>h</w:t>
      </w:r>
      <w:r>
        <w:rPr>
          <w:rFonts w:cs="Calibri"/>
        </w:rPr>
        <w:t>is</w:t>
      </w:r>
      <w:r w:rsidRPr="00F021C2">
        <w:rPr>
          <w:rFonts w:cs="Calibri"/>
        </w:rPr>
        <w:t xml:space="preserve"> framework provides a key mechanism for monitoring whether a mental health service is delivering services that are consistent with the department’s requirements.</w:t>
      </w:r>
    </w:p>
    <w:p w14:paraId="0183FB03" w14:textId="77777777" w:rsidR="00817104" w:rsidRPr="00F021C2" w:rsidRDefault="00817104" w:rsidP="00817104">
      <w:pPr>
        <w:pStyle w:val="Body"/>
      </w:pPr>
      <w:r>
        <w:t>A</w:t>
      </w:r>
      <w:r w:rsidRPr="00F021C2">
        <w:t xml:space="preserve"> new </w:t>
      </w:r>
      <w:r w:rsidRPr="00C775A1">
        <w:rPr>
          <w:iCs/>
        </w:rPr>
        <w:t xml:space="preserve">Mental </w:t>
      </w:r>
      <w:r>
        <w:rPr>
          <w:iCs/>
        </w:rPr>
        <w:t>H</w:t>
      </w:r>
      <w:r w:rsidRPr="00C775A1">
        <w:rPr>
          <w:iCs/>
        </w:rPr>
        <w:t xml:space="preserve">ealth and </w:t>
      </w:r>
      <w:r>
        <w:rPr>
          <w:iCs/>
        </w:rPr>
        <w:t>W</w:t>
      </w:r>
      <w:r w:rsidRPr="00C775A1">
        <w:rPr>
          <w:iCs/>
        </w:rPr>
        <w:t xml:space="preserve">ellbeing </w:t>
      </w:r>
      <w:r>
        <w:rPr>
          <w:iCs/>
        </w:rPr>
        <w:t>O</w:t>
      </w:r>
      <w:r w:rsidRPr="00D41989">
        <w:rPr>
          <w:iCs/>
        </w:rPr>
        <w:t xml:space="preserve">utcomes and </w:t>
      </w:r>
      <w:r>
        <w:rPr>
          <w:iCs/>
        </w:rPr>
        <w:t>P</w:t>
      </w:r>
      <w:r w:rsidRPr="00C775A1">
        <w:rPr>
          <w:iCs/>
        </w:rPr>
        <w:t xml:space="preserve">erformance </w:t>
      </w:r>
      <w:r>
        <w:rPr>
          <w:iCs/>
        </w:rPr>
        <w:t>F</w:t>
      </w:r>
      <w:r w:rsidRPr="00C775A1">
        <w:rPr>
          <w:iCs/>
        </w:rPr>
        <w:t>ramework</w:t>
      </w:r>
      <w:r w:rsidRPr="00124CF1">
        <w:t xml:space="preserve"> </w:t>
      </w:r>
      <w:r>
        <w:t>has been</w:t>
      </w:r>
      <w:r w:rsidRPr="00F021C2">
        <w:t xml:space="preserve"> developed that adopts a broad view of mental health and wellbeing outcomes</w:t>
      </w:r>
      <w:r>
        <w:t xml:space="preserve">, and will be </w:t>
      </w:r>
      <w:r w:rsidRPr="00F021C2">
        <w:t xml:space="preserve">used to drive </w:t>
      </w:r>
      <w:r>
        <w:t xml:space="preserve">future </w:t>
      </w:r>
      <w:r w:rsidRPr="00F021C2">
        <w:t>system reform</w:t>
      </w:r>
      <w:r>
        <w:t xml:space="preserve"> and improvement. </w:t>
      </w:r>
    </w:p>
    <w:p w14:paraId="3F41630E" w14:textId="77777777" w:rsidR="00817104" w:rsidRDefault="00817104" w:rsidP="00817104">
      <w:pPr>
        <w:pStyle w:val="Body"/>
      </w:pPr>
      <w:r>
        <w:t>The</w:t>
      </w:r>
      <w:r w:rsidRPr="00F021C2">
        <w:t xml:space="preserve"> </w:t>
      </w:r>
      <w:r>
        <w:t xml:space="preserve">new framework will be implemented in parallel to the current </w:t>
      </w:r>
      <w:r w:rsidRPr="00C26F7F">
        <w:t>MHPAF</w:t>
      </w:r>
      <w:r>
        <w:t xml:space="preserve">, enabling services to continue reporting and using data to inform practice improvements, while the initial implementation of the framework takes place. Following this initial implementation period, the current MHPAF transition to operate as </w:t>
      </w:r>
      <w:r w:rsidRPr="002812E8">
        <w:t xml:space="preserve">outcomes and performance framework </w:t>
      </w:r>
      <w:r>
        <w:t>report.</w:t>
      </w:r>
    </w:p>
    <w:p w14:paraId="4A81D612" w14:textId="77777777" w:rsidR="00817104" w:rsidRDefault="00817104" w:rsidP="00817104">
      <w:pPr>
        <w:pStyle w:val="Body"/>
      </w:pPr>
      <w:r>
        <w:t>For more information, implementation updates and links, visit</w:t>
      </w:r>
      <w:r w:rsidRPr="00C26F7F">
        <w:rPr>
          <w:i/>
          <w:iCs/>
        </w:rPr>
        <w:t xml:space="preserve"> </w:t>
      </w:r>
      <w:hyperlink r:id="rId322" w:history="1">
        <w:r w:rsidRPr="00FD73E6">
          <w:rPr>
            <w:rStyle w:val="Hyperlink"/>
          </w:rPr>
          <w:t>Mental Health and Wellbeing Outcomes and Performance Framework</w:t>
        </w:r>
      </w:hyperlink>
      <w:r>
        <w:t xml:space="preserve"> &lt;</w:t>
      </w:r>
      <w:r w:rsidRPr="00C26F7F">
        <w:t>https://www.health.vic.gov.au/mental-health-wellbeing-reform/a-new-mental-health-and-wellbeing-outcomes-and-performance-framework</w:t>
      </w:r>
      <w:r>
        <w:t>&gt;.</w:t>
      </w:r>
    </w:p>
    <w:p w14:paraId="71FE4881" w14:textId="77777777" w:rsidR="00817104" w:rsidRPr="00A11465" w:rsidRDefault="00817104" w:rsidP="00817104">
      <w:pPr>
        <w:pStyle w:val="Heading3"/>
        <w:numPr>
          <w:ilvl w:val="2"/>
          <w:numId w:val="0"/>
        </w:numPr>
        <w:tabs>
          <w:tab w:val="num" w:pos="794"/>
        </w:tabs>
        <w:ind w:left="1134" w:hanging="1134"/>
      </w:pPr>
      <w:r>
        <w:t>18.10.5</w:t>
      </w:r>
      <w:r>
        <w:tab/>
        <w:t>AOD services standards and guidelines</w:t>
      </w:r>
    </w:p>
    <w:p w14:paraId="43306025" w14:textId="77777777" w:rsidR="00817104" w:rsidRPr="009738BE" w:rsidRDefault="00817104" w:rsidP="00817104">
      <w:pPr>
        <w:pStyle w:val="Body"/>
      </w:pPr>
      <w:r>
        <w:t xml:space="preserve">Where organisations receive funding for an activity or service, it is a condition of funding that they adhere to the service standards and guidelines listed under the relevant activity. </w:t>
      </w:r>
    </w:p>
    <w:p w14:paraId="31E538D8" w14:textId="77777777" w:rsidR="00817104" w:rsidRPr="00C8328D" w:rsidRDefault="00817104" w:rsidP="00817104">
      <w:pPr>
        <w:pStyle w:val="Body"/>
      </w:pPr>
      <w:r>
        <w:lastRenderedPageBreak/>
        <w:t xml:space="preserve">Organisations can obtain copies of the relevant standards and guidelines from their departmental program and service advisor or, in some instances, through the </w:t>
      </w:r>
      <w:hyperlink r:id="rId323" w:history="1">
        <w:r w:rsidRPr="00054316">
          <w:rPr>
            <w:rStyle w:val="Hyperlink"/>
          </w:rPr>
          <w:t>Funded Agency Channel</w:t>
        </w:r>
      </w:hyperlink>
      <w:r>
        <w:t xml:space="preserve"> &lt;</w:t>
      </w:r>
      <w:r w:rsidRPr="00450AD3">
        <w:t>https://fac.dffh.vic.gov.au</w:t>
      </w:r>
      <w:r>
        <w:t>&gt;.</w:t>
      </w:r>
    </w:p>
    <w:p w14:paraId="41C2824C" w14:textId="77777777" w:rsidR="00817104" w:rsidRDefault="00817104" w:rsidP="00817104">
      <w:pPr>
        <w:pStyle w:val="Body"/>
      </w:pPr>
      <w:r>
        <w:t>Organisations must deliver services in line with the:</w:t>
      </w:r>
    </w:p>
    <w:p w14:paraId="5E0D708E" w14:textId="77777777" w:rsidR="00817104" w:rsidRDefault="00817104" w:rsidP="00817104">
      <w:pPr>
        <w:pStyle w:val="Bullet1"/>
        <w:numPr>
          <w:ilvl w:val="0"/>
          <w:numId w:val="2"/>
        </w:numPr>
      </w:pPr>
      <w:hyperlink r:id="rId324">
        <w:r>
          <w:rPr>
            <w:rStyle w:val="Hyperlink"/>
          </w:rPr>
          <w:t>AOD</w:t>
        </w:r>
        <w:r w:rsidRPr="20FE64D6">
          <w:rPr>
            <w:rStyle w:val="Hyperlink"/>
          </w:rPr>
          <w:t xml:space="preserve"> program guidelines</w:t>
        </w:r>
      </w:hyperlink>
      <w:r w:rsidRPr="20FE64D6">
        <w:rPr>
          <w:i/>
          <w:iCs/>
        </w:rPr>
        <w:t xml:space="preserve"> </w:t>
      </w:r>
      <w:r>
        <w:t>&lt;https://www.health.vic.gov.au/aod-service-standards-guidelines/alcohol-and-other-drug-program-guidelines&gt;</w:t>
      </w:r>
    </w:p>
    <w:p w14:paraId="44A3D459" w14:textId="77777777" w:rsidR="00817104" w:rsidRDefault="00817104" w:rsidP="00817104">
      <w:pPr>
        <w:pStyle w:val="Bullet1"/>
        <w:numPr>
          <w:ilvl w:val="0"/>
          <w:numId w:val="2"/>
        </w:numPr>
      </w:pPr>
      <w:hyperlink r:id="rId325">
        <w:r>
          <w:rPr>
            <w:rStyle w:val="Hyperlink"/>
          </w:rPr>
          <w:t>AOD</w:t>
        </w:r>
        <w:r w:rsidRPr="20FE64D6">
          <w:rPr>
            <w:rStyle w:val="Hyperlink"/>
          </w:rPr>
          <w:t xml:space="preserve"> client charte</w:t>
        </w:r>
        <w:r>
          <w:rPr>
            <w:rStyle w:val="Hyperlink"/>
          </w:rPr>
          <w:t>r and resources</w:t>
        </w:r>
      </w:hyperlink>
      <w:r>
        <w:t xml:space="preserve"> &lt;</w:t>
      </w:r>
      <w:r w:rsidRPr="00BD2CAA">
        <w:t>https://www.health.vic.gov.au/aod-service-standards-guidelines/alcohol-and-other-drug-client-charter-and-resources</w:t>
      </w:r>
      <w:r>
        <w:t>&gt;</w:t>
      </w:r>
    </w:p>
    <w:p w14:paraId="5C162F39" w14:textId="77777777" w:rsidR="00817104" w:rsidRPr="009738BE" w:rsidRDefault="00817104" w:rsidP="00817104">
      <w:pPr>
        <w:pStyle w:val="Bullet1"/>
        <w:numPr>
          <w:ilvl w:val="0"/>
          <w:numId w:val="2"/>
        </w:numPr>
      </w:pPr>
      <w:hyperlink r:id="rId326" w:history="1">
        <w:r w:rsidRPr="00C26F7F">
          <w:rPr>
            <w:rStyle w:val="Hyperlink"/>
          </w:rPr>
          <w:t>AOD treatment principles</w:t>
        </w:r>
      </w:hyperlink>
      <w:r w:rsidRPr="00D74CCE">
        <w:t xml:space="preserve"> </w:t>
      </w:r>
      <w:r>
        <w:t>&lt;https://www.health.vic.gov.au/aod-service-standards-guidelines/alcohol-and-other-drug-treatment-principles&gt;.</w:t>
      </w:r>
    </w:p>
    <w:p w14:paraId="5A1E9631" w14:textId="77777777" w:rsidR="00817104" w:rsidRPr="009738BE" w:rsidRDefault="00817104" w:rsidP="00817104">
      <w:pPr>
        <w:pStyle w:val="Bodyafterbullets"/>
      </w:pPr>
      <w:r>
        <w:t xml:space="preserve">For more information and copies of the guidelines, charter and principles, visit </w:t>
      </w:r>
      <w:hyperlink r:id="rId327" w:history="1">
        <w:r w:rsidRPr="00004018">
          <w:rPr>
            <w:rStyle w:val="Hyperlink"/>
          </w:rPr>
          <w:t>AODs</w:t>
        </w:r>
      </w:hyperlink>
      <w:r>
        <w:t xml:space="preserve"> &lt;</w:t>
      </w:r>
      <w:r w:rsidRPr="000E1FEE">
        <w:t>https://www.health.vic.gov.au/alcohol-other-drugs</w:t>
      </w:r>
      <w:r>
        <w:t>&gt;.</w:t>
      </w:r>
    </w:p>
    <w:p w14:paraId="6274B2A3" w14:textId="4A13D257" w:rsidR="00817104" w:rsidRDefault="00817104" w:rsidP="00817104">
      <w:pPr>
        <w:pStyle w:val="Heading2"/>
      </w:pPr>
      <w:bookmarkStart w:id="2473" w:name="_Ageing,_aged_and"/>
      <w:bookmarkStart w:id="2474" w:name="_Toc165964716"/>
      <w:bookmarkStart w:id="2475" w:name="_Toc167174577"/>
      <w:bookmarkStart w:id="2476" w:name="_Toc229127720"/>
      <w:bookmarkStart w:id="2477" w:name="_Toc231982328"/>
      <w:bookmarkEnd w:id="2473"/>
      <w:r>
        <w:t>Ageing, aged and home care services</w:t>
      </w:r>
      <w:bookmarkEnd w:id="2474"/>
      <w:bookmarkEnd w:id="2475"/>
      <w:bookmarkEnd w:id="2476"/>
      <w:bookmarkEnd w:id="2477"/>
    </w:p>
    <w:p w14:paraId="31F5F314" w14:textId="77777777" w:rsidR="00817104" w:rsidRDefault="00817104" w:rsidP="00817104">
      <w:pPr>
        <w:pStyle w:val="Body"/>
      </w:pPr>
      <w:r>
        <w:t xml:space="preserve">Service standards and guidelines that apply to funded aged and community care services are listed in </w:t>
      </w:r>
      <w:hyperlink w:anchor="_Service_standards_and" w:history="1">
        <w:r w:rsidRPr="00DF0E6E">
          <w:rPr>
            <w:rStyle w:val="Hyperlink"/>
          </w:rPr>
          <w:t>section 31</w:t>
        </w:r>
      </w:hyperlink>
      <w:r>
        <w:t xml:space="preserve">. If organisations receive funding for an activity or service, it is a condition of funding that they adhere to the service standards and guidelines listed under the relevant activity. The performance targets and monitoring requirements for the relevant ageing, aged and home care services are outlined in </w:t>
      </w:r>
      <w:hyperlink w:anchor="_Performance_tables" w:history="1">
        <w:r w:rsidRPr="0039344B">
          <w:rPr>
            <w:rStyle w:val="Hyperlink"/>
          </w:rPr>
          <w:t>section 30.1.2</w:t>
        </w:r>
      </w:hyperlink>
      <w:r>
        <w:t>.</w:t>
      </w:r>
    </w:p>
    <w:p w14:paraId="437B1444" w14:textId="77777777" w:rsidR="00817104" w:rsidRDefault="00817104" w:rsidP="00817104">
      <w:pPr>
        <w:pStyle w:val="Heading3"/>
        <w:numPr>
          <w:ilvl w:val="2"/>
          <w:numId w:val="0"/>
        </w:numPr>
        <w:tabs>
          <w:tab w:val="num" w:pos="794"/>
        </w:tabs>
        <w:ind w:left="1134" w:hanging="1134"/>
      </w:pPr>
      <w:r>
        <w:t>18.11.1</w:t>
      </w:r>
      <w:r>
        <w:tab/>
        <w:t>PSRACS</w:t>
      </w:r>
    </w:p>
    <w:p w14:paraId="63C551E9" w14:textId="77777777" w:rsidR="00817104" w:rsidRDefault="00817104" w:rsidP="00817104">
      <w:pPr>
        <w:pStyle w:val="Body"/>
      </w:pPr>
      <w:r>
        <w:t>Funded organisations operating</w:t>
      </w:r>
      <w:r w:rsidRPr="00D61681">
        <w:t xml:space="preserve"> PSRACS</w:t>
      </w:r>
      <w:r>
        <w:t xml:space="preserve"> are expected to meet all mandatory requirements and conditions under </w:t>
      </w:r>
      <w:r w:rsidRPr="000E6F37">
        <w:t xml:space="preserve">The Aged Care Act </w:t>
      </w:r>
      <w:r w:rsidRPr="00004018">
        <w:t xml:space="preserve">and </w:t>
      </w:r>
      <w:r w:rsidRPr="000E6F37">
        <w:t>Aged Care Rules 2025</w:t>
      </w:r>
      <w:r>
        <w:t xml:space="preserve">. </w:t>
      </w:r>
    </w:p>
    <w:p w14:paraId="23E4565A" w14:textId="77777777" w:rsidR="00817104" w:rsidRPr="00AD26B1" w:rsidRDefault="00817104" w:rsidP="00817104">
      <w:pPr>
        <w:pStyle w:val="Body"/>
        <w:rPr>
          <w:highlight w:val="yellow"/>
        </w:rPr>
      </w:pPr>
      <w:r>
        <w:t>It</w:t>
      </w:r>
      <w:r w:rsidRPr="009A4885">
        <w:t xml:space="preserve"> is expected that </w:t>
      </w:r>
      <w:r>
        <w:t>funded organisations</w:t>
      </w:r>
      <w:r w:rsidRPr="00432F0A">
        <w:t xml:space="preserve"> demonstrate a systematic ongoing effort to improve the quality of care and services and meet the Aged Care Quality Standards</w:t>
      </w:r>
      <w:r>
        <w:t>. It is a requirement of funding that PSRACS</w:t>
      </w:r>
      <w:r w:rsidRPr="009A4885">
        <w:t xml:space="preserve"> will participate in </w:t>
      </w:r>
      <w:r>
        <w:t xml:space="preserve">continuous improvements </w:t>
      </w:r>
      <w:r w:rsidRPr="009A4885">
        <w:t xml:space="preserve">projects and activities </w:t>
      </w:r>
      <w:r>
        <w:t>led by the department.</w:t>
      </w:r>
    </w:p>
    <w:p w14:paraId="09D17418" w14:textId="77777777" w:rsidR="00817104" w:rsidRPr="00AD26B1" w:rsidRDefault="00817104" w:rsidP="00817104">
      <w:pPr>
        <w:pStyle w:val="Body"/>
      </w:pPr>
      <w:r w:rsidRPr="00AD26B1">
        <w:t xml:space="preserve">Funded organisations must deliver the number of available bed days for which they are funded for residential aged care. The available beds must be efficiently managed to optimise the availability and benefit for Victorians requiring residential aged care. If funded organisations fail to maintain the agreed number of available beds or bed </w:t>
      </w:r>
      <w:r w:rsidRPr="000F779B">
        <w:t>days</w:t>
      </w:r>
      <w:r>
        <w:t>,</w:t>
      </w:r>
      <w:r w:rsidRPr="000F779B">
        <w:t xml:space="preserve"> or</w:t>
      </w:r>
      <w:r w:rsidRPr="00AD26B1">
        <w:t xml:space="preserve"> reduce the number of available (operational) places, funding to the service may be adjusted to reflect this change.</w:t>
      </w:r>
    </w:p>
    <w:p w14:paraId="435F7571" w14:textId="77777777" w:rsidR="00817104" w:rsidRDefault="00817104" w:rsidP="00817104">
      <w:pPr>
        <w:pStyle w:val="Bodyafterbullets"/>
        <w:rPr>
          <w:color w:val="000000" w:themeColor="text1"/>
        </w:rPr>
      </w:pPr>
      <w:r w:rsidRPr="00623562">
        <w:rPr>
          <w:color w:val="000000" w:themeColor="text1"/>
        </w:rPr>
        <w:t>Funded organisations must notify the department (via the department performance lead for health service) if they wish to change their service model mix.</w:t>
      </w:r>
    </w:p>
    <w:p w14:paraId="402936C9" w14:textId="77777777" w:rsidR="00817104" w:rsidRPr="00623562" w:rsidRDefault="00817104" w:rsidP="00817104">
      <w:pPr>
        <w:pStyle w:val="Bodyafterbullets"/>
        <w:rPr>
          <w:color w:val="000000" w:themeColor="text1"/>
        </w:rPr>
      </w:pPr>
      <w:r w:rsidRPr="00623562">
        <w:rPr>
          <w:color w:val="000000" w:themeColor="text1"/>
        </w:rPr>
        <w:t>This includes where:</w:t>
      </w:r>
    </w:p>
    <w:p w14:paraId="0827827B" w14:textId="77777777" w:rsidR="00817104" w:rsidRPr="009530D4" w:rsidRDefault="00817104" w:rsidP="00817104">
      <w:pPr>
        <w:pStyle w:val="Bullet1"/>
        <w:numPr>
          <w:ilvl w:val="0"/>
          <w:numId w:val="2"/>
        </w:numPr>
        <w:rPr>
          <w:color w:val="000000" w:themeColor="text1"/>
        </w:rPr>
      </w:pPr>
      <w:r w:rsidRPr="009530D4">
        <w:rPr>
          <w:color w:val="000000" w:themeColor="text1"/>
        </w:rPr>
        <w:t xml:space="preserve">a PSRACS seeks to reduce (short term or ongoing) the number of aged care places due to local changes in demand over a period of more than </w:t>
      </w:r>
      <w:r>
        <w:rPr>
          <w:color w:val="000000" w:themeColor="text1"/>
        </w:rPr>
        <w:t>three</w:t>
      </w:r>
      <w:r w:rsidRPr="009530D4">
        <w:rPr>
          <w:color w:val="000000" w:themeColor="text1"/>
        </w:rPr>
        <w:t xml:space="preserve"> months</w:t>
      </w:r>
    </w:p>
    <w:p w14:paraId="6EC56AC5" w14:textId="77777777" w:rsidR="00817104" w:rsidRPr="009530D4" w:rsidRDefault="00817104" w:rsidP="00817104">
      <w:pPr>
        <w:pStyle w:val="Bullet1"/>
        <w:numPr>
          <w:ilvl w:val="0"/>
          <w:numId w:val="2"/>
        </w:numPr>
        <w:rPr>
          <w:color w:val="000000" w:themeColor="text1"/>
        </w:rPr>
      </w:pPr>
      <w:r w:rsidRPr="009530D4">
        <w:rPr>
          <w:color w:val="000000" w:themeColor="text1"/>
        </w:rPr>
        <w:t>a PSRACS provider seeks to convert residential aged care places to other care types or programs (such as transition care)</w:t>
      </w:r>
    </w:p>
    <w:p w14:paraId="269DE95A" w14:textId="77777777" w:rsidR="00817104" w:rsidRPr="009530D4" w:rsidRDefault="00817104" w:rsidP="00817104">
      <w:pPr>
        <w:pStyle w:val="Bullet1"/>
        <w:numPr>
          <w:ilvl w:val="0"/>
          <w:numId w:val="2"/>
        </w:numPr>
        <w:rPr>
          <w:color w:val="000000" w:themeColor="text1"/>
        </w:rPr>
      </w:pPr>
      <w:r w:rsidRPr="009530D4">
        <w:rPr>
          <w:color w:val="000000" w:themeColor="text1"/>
        </w:rPr>
        <w:t>there are requests by PSRACS providers to reinstate non-operational (offline) places or increase operational places</w:t>
      </w:r>
      <w:r>
        <w:rPr>
          <w:color w:val="000000" w:themeColor="text1"/>
        </w:rPr>
        <w:t>.</w:t>
      </w:r>
    </w:p>
    <w:p w14:paraId="130DD6D3" w14:textId="77777777" w:rsidR="00817104" w:rsidRDefault="00817104" w:rsidP="00817104">
      <w:pPr>
        <w:pStyle w:val="Bodyafterbullets"/>
      </w:pPr>
      <w:r w:rsidRPr="00756880">
        <w:lastRenderedPageBreak/>
        <w:t>W</w:t>
      </w:r>
      <w:r w:rsidRPr="00AD26B1">
        <w:t>here funding may be affected by service changes, the service may be requested to submit a transition plan describing changes and proposed timelines, and to seek the department’s agreement to the effective date for any associated funding adjustments.</w:t>
      </w:r>
    </w:p>
    <w:p w14:paraId="14F707D0" w14:textId="77777777" w:rsidR="00817104" w:rsidRDefault="00817104" w:rsidP="00817104">
      <w:pPr>
        <w:pStyle w:val="Body"/>
      </w:pPr>
      <w:r w:rsidRPr="00AD26B1">
        <w:t xml:space="preserve">Services may elect to increase their operational or flexible care places in the absence of further funding from the department. They should demonstrate to their </w:t>
      </w:r>
      <w:r>
        <w:t>B</w:t>
      </w:r>
      <w:r w:rsidRPr="00AD26B1">
        <w:t>oard that the added costs can be covered from other income.</w:t>
      </w:r>
    </w:p>
    <w:p w14:paraId="63F38203" w14:textId="77777777" w:rsidR="00817104" w:rsidRPr="00E16490" w:rsidRDefault="00817104" w:rsidP="00817104">
      <w:pPr>
        <w:pStyle w:val="Heading4"/>
      </w:pPr>
      <w:r w:rsidRPr="00E16490">
        <w:t>Reporting requirements</w:t>
      </w:r>
    </w:p>
    <w:p w14:paraId="0FCFA9EC" w14:textId="77777777" w:rsidR="00817104" w:rsidRPr="00623562" w:rsidRDefault="00817104" w:rsidP="00817104">
      <w:pPr>
        <w:pStyle w:val="Heading5"/>
      </w:pPr>
      <w:r w:rsidRPr="00623562">
        <w:t>Occupancy</w:t>
      </w:r>
    </w:p>
    <w:p w14:paraId="2CB68DBD" w14:textId="77777777" w:rsidR="00817104" w:rsidRDefault="00817104" w:rsidP="00817104">
      <w:pPr>
        <w:pStyle w:val="Body"/>
      </w:pPr>
      <w:r>
        <w:t xml:space="preserve">PSRACS providers are to report monthly aggregated resident and occupied bed-day data in the AIMS S5 collections. </w:t>
      </w:r>
    </w:p>
    <w:p w14:paraId="72685EAE" w14:textId="28CC6D29" w:rsidR="00817104" w:rsidRDefault="009F45DC" w:rsidP="00817104">
      <w:pPr>
        <w:pStyle w:val="Body"/>
      </w:pPr>
      <w:r>
        <w:t>Q</w:t>
      </w:r>
      <w:r w:rsidR="00817104">
        <w:t>uarterly occupancy benchmarking will be introduced into PRISM to</w:t>
      </w:r>
      <w:r w:rsidR="00817104" w:rsidRPr="00D675AF">
        <w:t xml:space="preserve"> provide a system</w:t>
      </w:r>
      <w:r w:rsidR="00817104">
        <w:t>-</w:t>
      </w:r>
      <w:r w:rsidR="00817104" w:rsidRPr="00D675AF">
        <w:t>level indicator of access, service viability and financial sustainability.</w:t>
      </w:r>
      <w:r w:rsidR="00817104">
        <w:t xml:space="preserve"> The benchmark occupancy rate is based on the national average occupancy, adjusted for rurality.</w:t>
      </w:r>
    </w:p>
    <w:p w14:paraId="29051CF1" w14:textId="77777777" w:rsidR="00817104" w:rsidRDefault="00817104" w:rsidP="00817104">
      <w:pPr>
        <w:pStyle w:val="Body"/>
      </w:pPr>
      <w:r>
        <w:t>An overall occupancy rate will be calculated across all PSRACS operated by a health service and compared to the sector benchmark. PSRACS that deliver the Multi-purpose Service Program (MPSP) are excluded from benchmarking.</w:t>
      </w:r>
    </w:p>
    <w:p w14:paraId="44341A66" w14:textId="77777777" w:rsidR="00817104" w:rsidRDefault="00817104" w:rsidP="00817104">
      <w:pPr>
        <w:pStyle w:val="Heading5"/>
      </w:pPr>
      <w:r>
        <w:t>Quality Indicators</w:t>
      </w:r>
    </w:p>
    <w:p w14:paraId="1DE59485" w14:textId="77777777" w:rsidR="00817104" w:rsidRDefault="00817104" w:rsidP="00817104">
      <w:pPr>
        <w:pStyle w:val="Body"/>
      </w:pPr>
      <w:r w:rsidRPr="00623562">
        <w:t>Funded organisations are required to report</w:t>
      </w:r>
      <w:r w:rsidRPr="00210F06">
        <w:t xml:space="preserve"> quarterly Quality Indicator Data into the </w:t>
      </w:r>
      <w:r w:rsidRPr="009A2F04">
        <w:t>AIMS QIPSRACS</w:t>
      </w:r>
      <w:r w:rsidRPr="00210F06">
        <w:t xml:space="preserve"> National Quality Indic</w:t>
      </w:r>
      <w:r>
        <w:t>a</w:t>
      </w:r>
      <w:r w:rsidRPr="00210F06">
        <w:t>tor collection</w:t>
      </w:r>
      <w:r w:rsidRPr="00623562">
        <w:t xml:space="preserve">. </w:t>
      </w:r>
      <w:r w:rsidRPr="00544F2A">
        <w:t>The department compile</w:t>
      </w:r>
      <w:r>
        <w:t>s</w:t>
      </w:r>
      <w:r w:rsidRPr="00544F2A">
        <w:t xml:space="preserve"> and submits the data to the Commonwealth for PSRACS</w:t>
      </w:r>
      <w:r>
        <w:t>, in addition to supporting</w:t>
      </w:r>
      <w:r w:rsidRPr="00544F2A">
        <w:t xml:space="preserve"> </w:t>
      </w:r>
      <w:r>
        <w:t xml:space="preserve">funded </w:t>
      </w:r>
      <w:r w:rsidRPr="00210F06">
        <w:t>organisations</w:t>
      </w:r>
      <w:r>
        <w:t xml:space="preserve"> monitor the performance via the </w:t>
      </w:r>
      <w:r w:rsidRPr="003E4539">
        <w:t>Public Sector Residential Aged Care Quality Indicators</w:t>
      </w:r>
      <w:r>
        <w:t xml:space="preserve"> dashboard.</w:t>
      </w:r>
    </w:p>
    <w:p w14:paraId="0B7F8783" w14:textId="77777777" w:rsidR="00817104" w:rsidRPr="00544F2A" w:rsidRDefault="00817104" w:rsidP="00817104">
      <w:pPr>
        <w:pStyle w:val="Body"/>
      </w:pPr>
      <w:r>
        <w:t>For more information and to request a</w:t>
      </w:r>
      <w:r w:rsidRPr="00210F06">
        <w:t xml:space="preserve">ccess </w:t>
      </w:r>
      <w:r>
        <w:t>to the dashboard, visit</w:t>
      </w:r>
      <w:r w:rsidRPr="00210F06">
        <w:t xml:space="preserve"> </w:t>
      </w:r>
      <w:r w:rsidRPr="007173C8">
        <w:t xml:space="preserve">the </w:t>
      </w:r>
      <w:hyperlink r:id="rId328">
        <w:r w:rsidRPr="007173C8">
          <w:rPr>
            <w:rStyle w:val="Hyperlink"/>
          </w:rPr>
          <w:t>VAHI portal</w:t>
        </w:r>
      </w:hyperlink>
      <w:r>
        <w:t xml:space="preserve"> &lt;</w:t>
      </w:r>
      <w:r w:rsidRPr="00767B5D">
        <w:t>https://vahi.vic.gov.au/</w:t>
      </w:r>
      <w:r>
        <w:t>&gt;</w:t>
      </w:r>
      <w:r w:rsidRPr="007173C8">
        <w:t>.</w:t>
      </w:r>
    </w:p>
    <w:p w14:paraId="367E7439" w14:textId="77777777" w:rsidR="00817104" w:rsidRPr="00623562" w:rsidRDefault="00817104" w:rsidP="00817104">
      <w:pPr>
        <w:pStyle w:val="Heading5"/>
      </w:pPr>
      <w:r w:rsidRPr="00623562">
        <w:t>Infection prevention and control</w:t>
      </w:r>
    </w:p>
    <w:p w14:paraId="2C3D7B0F" w14:textId="77777777" w:rsidR="00817104" w:rsidRDefault="00817104" w:rsidP="00817104">
      <w:pPr>
        <w:pStyle w:val="Body"/>
      </w:pPr>
      <w:r w:rsidRPr="00623562">
        <w:t xml:space="preserve">Funded organisations must report </w:t>
      </w:r>
      <w:r>
        <w:t xml:space="preserve">data to the </w:t>
      </w:r>
      <w:r w:rsidRPr="000232AF">
        <w:t>Victorian Healthcare Associated Infection Surveillance System</w:t>
      </w:r>
      <w:r w:rsidRPr="00623562">
        <w:t xml:space="preserve"> </w:t>
      </w:r>
      <w:r>
        <w:t>(</w:t>
      </w:r>
      <w:r w:rsidRPr="00623562">
        <w:t>VICNISS</w:t>
      </w:r>
      <w:r>
        <w:t>)</w:t>
      </w:r>
      <w:r w:rsidRPr="00623562">
        <w:t xml:space="preserve"> </w:t>
      </w:r>
      <w:r>
        <w:t xml:space="preserve">Coordination Centre on </w:t>
      </w:r>
      <w:r w:rsidRPr="00623562">
        <w:t>the aged care infection control module</w:t>
      </w:r>
      <w:r>
        <w:t>,</w:t>
      </w:r>
      <w:r w:rsidRPr="00623562">
        <w:t xml:space="preserve"> </w:t>
      </w:r>
      <w:r w:rsidRPr="00AA752D">
        <w:t>antimicrobial use</w:t>
      </w:r>
      <w:r>
        <w:t>, and m</w:t>
      </w:r>
      <w:r w:rsidRPr="00623562">
        <w:t xml:space="preserve">onitoring </w:t>
      </w:r>
      <w:r>
        <w:t>and</w:t>
      </w:r>
      <w:r w:rsidRPr="00623562">
        <w:t xml:space="preserve"> infection prevention and control practices</w:t>
      </w:r>
      <w:r>
        <w:t xml:space="preserve"> in PSRACS</w:t>
      </w:r>
      <w:r w:rsidRPr="00623562">
        <w:t>.</w:t>
      </w:r>
    </w:p>
    <w:p w14:paraId="4DA6CBCF" w14:textId="77777777" w:rsidR="00817104" w:rsidRDefault="00817104" w:rsidP="00817104">
      <w:pPr>
        <w:pStyle w:val="Body"/>
      </w:pPr>
      <w:r>
        <w:t xml:space="preserve">For more information see </w:t>
      </w:r>
      <w:hyperlink w:anchor="_Infection_prevention_and" w:history="1">
        <w:r>
          <w:rPr>
            <w:rStyle w:val="Hyperlink"/>
          </w:rPr>
          <w:t>Section 20.1.7</w:t>
        </w:r>
      </w:hyperlink>
      <w:r>
        <w:t xml:space="preserve">. </w:t>
      </w:r>
    </w:p>
    <w:p w14:paraId="12E5AA7B" w14:textId="77777777" w:rsidR="00817104" w:rsidRPr="00623562" w:rsidRDefault="00817104" w:rsidP="00817104">
      <w:pPr>
        <w:pStyle w:val="Heading5"/>
      </w:pPr>
      <w:r w:rsidRPr="00623562">
        <w:t>Aged Care Financial Reports</w:t>
      </w:r>
    </w:p>
    <w:p w14:paraId="0FC9E1D7" w14:textId="77777777" w:rsidR="00817104" w:rsidRPr="00AD26B1" w:rsidRDefault="00817104" w:rsidP="00817104">
      <w:pPr>
        <w:pStyle w:val="Body"/>
      </w:pPr>
      <w:r w:rsidRPr="00623562">
        <w:t>Following submission of the annual Aged Care Financial Report to the Commonwealth, funded organisations will need to submit the receipt report to the department</w:t>
      </w:r>
      <w:r>
        <w:t xml:space="preserve"> by 30 November. PSRACS operating the multipurpose services program are exempt from this requirement</w:t>
      </w:r>
      <w:r w:rsidRPr="00623562">
        <w:t>.</w:t>
      </w:r>
    </w:p>
    <w:p w14:paraId="4EE9AE93" w14:textId="75794019" w:rsidR="00817104" w:rsidRDefault="00817104" w:rsidP="00817104">
      <w:pPr>
        <w:pStyle w:val="Heading2"/>
      </w:pPr>
      <w:bookmarkStart w:id="2478" w:name="_Toc165461825"/>
      <w:bookmarkStart w:id="2479" w:name="_Toc165461826"/>
      <w:bookmarkStart w:id="2480" w:name="_Toc165461827"/>
      <w:bookmarkStart w:id="2481" w:name="_Toc165461828"/>
      <w:bookmarkStart w:id="2482" w:name="_Toc165461829"/>
      <w:bookmarkStart w:id="2483" w:name="_Toc165461830"/>
      <w:bookmarkStart w:id="2484" w:name="_Toc165461831"/>
      <w:bookmarkStart w:id="2485" w:name="_Toc165461832"/>
      <w:bookmarkStart w:id="2486" w:name="_Toc165461833"/>
      <w:bookmarkStart w:id="2487" w:name="_Toc165461834"/>
      <w:bookmarkStart w:id="2488" w:name="_Toc229127721"/>
      <w:bookmarkStart w:id="2489" w:name="_Toc231982329"/>
      <w:bookmarkEnd w:id="2478"/>
      <w:bookmarkEnd w:id="2479"/>
      <w:bookmarkEnd w:id="2480"/>
      <w:bookmarkEnd w:id="2481"/>
      <w:bookmarkEnd w:id="2482"/>
      <w:bookmarkEnd w:id="2483"/>
      <w:bookmarkEnd w:id="2484"/>
      <w:bookmarkEnd w:id="2485"/>
      <w:bookmarkEnd w:id="2486"/>
      <w:bookmarkEnd w:id="2487"/>
      <w:r>
        <w:t xml:space="preserve">Proactive management of </w:t>
      </w:r>
      <w:bookmarkStart w:id="2490" w:name="_Toc165964717"/>
      <w:bookmarkStart w:id="2491" w:name="_Toc167174578"/>
      <w:r>
        <w:t>primary, community and dental health</w:t>
      </w:r>
      <w:bookmarkEnd w:id="2488"/>
      <w:bookmarkEnd w:id="2489"/>
      <w:bookmarkEnd w:id="2490"/>
      <w:bookmarkEnd w:id="2491"/>
    </w:p>
    <w:p w14:paraId="75DB2374" w14:textId="77777777" w:rsidR="00817104" w:rsidRDefault="00817104" w:rsidP="00817104">
      <w:pPr>
        <w:pStyle w:val="Heading3"/>
        <w:numPr>
          <w:ilvl w:val="2"/>
          <w:numId w:val="0"/>
        </w:numPr>
        <w:tabs>
          <w:tab w:val="num" w:pos="794"/>
        </w:tabs>
        <w:ind w:left="1134" w:hanging="1134"/>
      </w:pPr>
      <w:r>
        <w:t>18.12.1</w:t>
      </w:r>
      <w:r>
        <w:tab/>
        <w:t>Community and dental health</w:t>
      </w:r>
    </w:p>
    <w:p w14:paraId="72EC021D" w14:textId="77777777" w:rsidR="00817104" w:rsidRDefault="00817104" w:rsidP="00817104">
      <w:pPr>
        <w:pStyle w:val="Body"/>
      </w:pPr>
      <w:r>
        <w:t xml:space="preserve">If organisations receive funding for an activity or service, it is a condition of funding that they adhere to the service standards and guidelines listed under the relevant activity. The service standards and guidelines that apply to the community and dental health programs are listed in </w:t>
      </w:r>
      <w:hyperlink w:anchor="_Service_standards_and" w:history="1">
        <w:r w:rsidRPr="00B83CB2">
          <w:rPr>
            <w:rStyle w:val="Hyperlink"/>
          </w:rPr>
          <w:t>section 31</w:t>
        </w:r>
      </w:hyperlink>
      <w:r>
        <w:t xml:space="preserve">. The </w:t>
      </w:r>
      <w:r>
        <w:lastRenderedPageBreak/>
        <w:t xml:space="preserve">performance targets and monitoring requirements for community and dental health are outlined in </w:t>
      </w:r>
      <w:hyperlink w:anchor="_Performance_tables" w:history="1">
        <w:r w:rsidRPr="0039344B">
          <w:rPr>
            <w:rStyle w:val="Hyperlink"/>
          </w:rPr>
          <w:t>section 30.</w:t>
        </w:r>
        <w:r>
          <w:rPr>
            <w:rStyle w:val="Hyperlink"/>
          </w:rPr>
          <w:t>2</w:t>
        </w:r>
        <w:r w:rsidRPr="0039344B">
          <w:rPr>
            <w:rStyle w:val="Hyperlink"/>
          </w:rPr>
          <w:t>.</w:t>
        </w:r>
        <w:r>
          <w:rPr>
            <w:rStyle w:val="Hyperlink"/>
          </w:rPr>
          <w:t>1</w:t>
        </w:r>
      </w:hyperlink>
      <w:r>
        <w:t xml:space="preserve">. </w:t>
      </w:r>
    </w:p>
    <w:p w14:paraId="6319FECE" w14:textId="479CFFE2" w:rsidR="00817104" w:rsidRDefault="00817104" w:rsidP="00817104">
      <w:pPr>
        <w:pStyle w:val="Heading2"/>
      </w:pPr>
      <w:bookmarkStart w:id="2492" w:name="_Toc165461836"/>
      <w:bookmarkStart w:id="2493" w:name="_Toc165461837"/>
      <w:bookmarkStart w:id="2494" w:name="_Toc165461838"/>
      <w:bookmarkStart w:id="2495" w:name="_Toc165461839"/>
      <w:bookmarkStart w:id="2496" w:name="_Toc165461840"/>
      <w:bookmarkStart w:id="2497" w:name="_Toc165461841"/>
      <w:bookmarkStart w:id="2498" w:name="_Toc231982330"/>
      <w:bookmarkEnd w:id="2492"/>
      <w:bookmarkEnd w:id="2493"/>
      <w:bookmarkEnd w:id="2494"/>
      <w:bookmarkEnd w:id="2495"/>
      <w:bookmarkEnd w:id="2496"/>
      <w:bookmarkEnd w:id="2497"/>
      <w:r>
        <w:t>LPHUs</w:t>
      </w:r>
      <w:bookmarkEnd w:id="2498"/>
    </w:p>
    <w:p w14:paraId="775110CE" w14:textId="77777777" w:rsidR="00817104" w:rsidDel="000200CD" w:rsidRDefault="00817104" w:rsidP="00817104">
      <w:pPr>
        <w:pStyle w:val="Body"/>
      </w:pPr>
      <w:r w:rsidRPr="005D2ED4" w:rsidDel="000200CD">
        <w:rPr>
          <w:szCs w:val="21"/>
        </w:rPr>
        <w:t xml:space="preserve">LPHUs are part of Victoria’s statewide public health network, funded to enhance public health in their catchment by effectively tailoring and delivering public health initiatives, and responding to incidents and issues within their local area. </w:t>
      </w:r>
      <w:r w:rsidDel="000200CD">
        <w:t>LPHUs e</w:t>
      </w:r>
      <w:r w:rsidRPr="001976B7" w:rsidDel="000200CD">
        <w:t>ngage and build partnerships with community and local stakeholders to implement statewide programs and to co-design locally based public health initiatives.</w:t>
      </w:r>
    </w:p>
    <w:p w14:paraId="7BFEA538" w14:textId="77777777" w:rsidR="00817104" w:rsidDel="000200CD" w:rsidRDefault="00817104" w:rsidP="00817104">
      <w:pPr>
        <w:pStyle w:val="Body"/>
      </w:pPr>
      <w:r w:rsidDel="000200CD">
        <w:t xml:space="preserve">LPHUs are required to </w:t>
      </w:r>
      <w:r w:rsidRPr="00282B7A" w:rsidDel="000200CD">
        <w:t>actively support and strengthen the networked approach to improving public health in Victoria by contributing to system-wide governance meetings, and leading or participating in quality assurance and continuous improvement initiatives</w:t>
      </w:r>
      <w:r w:rsidDel="000200CD">
        <w:t>.</w:t>
      </w:r>
    </w:p>
    <w:p w14:paraId="7315553E" w14:textId="77777777" w:rsidR="00817104" w:rsidDel="000200CD" w:rsidRDefault="00817104" w:rsidP="00817104">
      <w:pPr>
        <w:pStyle w:val="Body"/>
      </w:pPr>
      <w:r>
        <w:t>They</w:t>
      </w:r>
      <w:r w:rsidDel="000200CD">
        <w:t xml:space="preserve"> are </w:t>
      </w:r>
      <w:r>
        <w:t xml:space="preserve">also </w:t>
      </w:r>
      <w:r w:rsidDel="000200CD">
        <w:t xml:space="preserve">required to embed Aboriginal cultural safety capability within their operations, including culturally safe recruitment, employment and retention practices for Aboriginal staffing, and engage with ACCOs to prioritise self-determining approaches that meet the public health needs of Aboriginal communities in their catchment. </w:t>
      </w:r>
    </w:p>
    <w:p w14:paraId="14742E20" w14:textId="77777777" w:rsidR="00817104" w:rsidRDefault="00817104" w:rsidP="00817104">
      <w:pPr>
        <w:pStyle w:val="Body"/>
      </w:pPr>
      <w:r>
        <w:t xml:space="preserve">Each health service that operates an LPHU has responsibilities and accountabilities for public health activities and outcomes within their catchment. </w:t>
      </w:r>
    </w:p>
    <w:p w14:paraId="481A4C2E" w14:textId="77777777" w:rsidR="00817104" w:rsidRDefault="00817104" w:rsidP="00817104">
      <w:pPr>
        <w:pStyle w:val="Body"/>
      </w:pPr>
      <w:r>
        <w:t xml:space="preserve">For details of those responsibilities and accountabilities, including service delivery obligations and LPHU reporting requirements, visit </w:t>
      </w:r>
      <w:hyperlink r:id="rId329" w:history="1">
        <w:r w:rsidRPr="009030FB">
          <w:rPr>
            <w:rStyle w:val="Hyperlink"/>
          </w:rPr>
          <w:t>LPHUs</w:t>
        </w:r>
      </w:hyperlink>
      <w:r>
        <w:t xml:space="preserve"> &lt;https://www.health.vic.gov.au/local-public-health-units&gt;.</w:t>
      </w:r>
    </w:p>
    <w:p w14:paraId="33E95049" w14:textId="6D11643B" w:rsidR="00817104" w:rsidRDefault="00817104" w:rsidP="00817104">
      <w:pPr>
        <w:pStyle w:val="Heading2"/>
        <w:rPr>
          <w:rFonts w:eastAsia="Aptos"/>
        </w:rPr>
      </w:pPr>
      <w:bookmarkStart w:id="2499" w:name="_Toc229127723"/>
      <w:bookmarkStart w:id="2500" w:name="_Toc231982331"/>
      <w:r w:rsidRPr="04D2807A">
        <w:rPr>
          <w:rFonts w:eastAsia="Aptos"/>
        </w:rPr>
        <w:t xml:space="preserve">Capital </w:t>
      </w:r>
      <w:r>
        <w:rPr>
          <w:rFonts w:eastAsia="Aptos"/>
        </w:rPr>
        <w:t>P</w:t>
      </w:r>
      <w:r w:rsidRPr="00B52A79">
        <w:rPr>
          <w:rFonts w:eastAsia="Aptos"/>
        </w:rPr>
        <w:t>rojects</w:t>
      </w:r>
      <w:bookmarkEnd w:id="2499"/>
      <w:bookmarkEnd w:id="2500"/>
    </w:p>
    <w:p w14:paraId="18B9D69D" w14:textId="77777777" w:rsidR="00817104" w:rsidRDefault="00817104" w:rsidP="00817104">
      <w:pPr>
        <w:pStyle w:val="Heading3"/>
        <w:numPr>
          <w:ilvl w:val="2"/>
          <w:numId w:val="0"/>
        </w:numPr>
        <w:tabs>
          <w:tab w:val="num" w:pos="794"/>
        </w:tabs>
        <w:ind w:left="1134" w:hanging="1134"/>
      </w:pPr>
      <w:r>
        <w:t>18.14.1</w:t>
      </w:r>
      <w:r>
        <w:tab/>
      </w:r>
      <w:r w:rsidRPr="00E914AA">
        <w:t>Relationship</w:t>
      </w:r>
      <w:r w:rsidRPr="04D2807A">
        <w:t xml:space="preserve"> Agreement</w:t>
      </w:r>
    </w:p>
    <w:p w14:paraId="2C6B1390" w14:textId="77777777" w:rsidR="00817104" w:rsidRPr="0063371E" w:rsidRDefault="00817104" w:rsidP="00817104">
      <w:pPr>
        <w:pStyle w:val="Body"/>
      </w:pPr>
      <w:r w:rsidRPr="0063371E">
        <w:t xml:space="preserve">For health Capital Projects, a health service must enter into and comply with a Relationship Agreement with the department. Relevant Capital Projects are determined by the department with reference to </w:t>
      </w:r>
      <w:r w:rsidRPr="00496E74">
        <w:rPr>
          <w:i/>
          <w:iCs/>
        </w:rPr>
        <w:t>Budget Paper 4: State Capital Program</w:t>
      </w:r>
      <w:r w:rsidRPr="0063371E">
        <w:t xml:space="preserve">. </w:t>
      </w:r>
    </w:p>
    <w:p w14:paraId="22DA3C94" w14:textId="77777777" w:rsidR="00817104" w:rsidRPr="0063371E" w:rsidRDefault="00817104" w:rsidP="00817104">
      <w:pPr>
        <w:pStyle w:val="Body"/>
      </w:pPr>
      <w:r w:rsidRPr="0063371E">
        <w:t xml:space="preserve">The Relationship Agreement outlines the respective obligations of the department and a health service across the lifecycle of Capital Projects, with the aim of supporting effective governance, accountability and service delivery outcomes. </w:t>
      </w:r>
    </w:p>
    <w:p w14:paraId="2952B543" w14:textId="77777777" w:rsidR="00817104" w:rsidRDefault="00817104" w:rsidP="00817104">
      <w:pPr>
        <w:pStyle w:val="Body"/>
      </w:pPr>
      <w:r w:rsidRPr="0063371E">
        <w:t>It reaffirms a commitment of the department and a health service to work collaboratively, constructively and in good faith</w:t>
      </w:r>
      <w:r>
        <w:t>,</w:t>
      </w:r>
      <w:r w:rsidRPr="0063371E">
        <w:t xml:space="preserve"> to ensure that major health infrastructure investment delivers the greatest possible benefit by balancing clinical priorities, asset needs, community expectations and government policy within the realities of project constraints. </w:t>
      </w:r>
    </w:p>
    <w:p w14:paraId="6500875B" w14:textId="77777777" w:rsidR="00817104" w:rsidRPr="0063371E" w:rsidRDefault="00817104" w:rsidP="00817104">
      <w:pPr>
        <w:pStyle w:val="Body"/>
      </w:pPr>
      <w:r w:rsidRPr="0063371E">
        <w:t xml:space="preserve">The Relationship Agreement applies to Capital Projects from project inception to commissioning, and sets out details including: </w:t>
      </w:r>
    </w:p>
    <w:p w14:paraId="60559ADA" w14:textId="77777777" w:rsidR="00817104" w:rsidRPr="0063371E" w:rsidRDefault="00817104" w:rsidP="00817104">
      <w:pPr>
        <w:pStyle w:val="Bullet1"/>
        <w:numPr>
          <w:ilvl w:val="0"/>
          <w:numId w:val="2"/>
        </w:numPr>
      </w:pPr>
      <w:r>
        <w:t>p</w:t>
      </w:r>
      <w:r w:rsidRPr="0063371E">
        <w:t>rinciples of collaboration, expected behaviour of parties, and roles and responsibilities</w:t>
      </w:r>
    </w:p>
    <w:p w14:paraId="4F229382" w14:textId="77777777" w:rsidR="00817104" w:rsidRPr="0063371E" w:rsidRDefault="00817104" w:rsidP="00817104">
      <w:pPr>
        <w:pStyle w:val="Bullet1"/>
        <w:numPr>
          <w:ilvl w:val="0"/>
          <w:numId w:val="2"/>
        </w:numPr>
      </w:pPr>
      <w:r>
        <w:t>f</w:t>
      </w:r>
      <w:r w:rsidRPr="0063371E">
        <w:t>unding and financial arrangements</w:t>
      </w:r>
    </w:p>
    <w:p w14:paraId="7C81B4CB" w14:textId="77777777" w:rsidR="00817104" w:rsidRPr="0063371E" w:rsidRDefault="00817104" w:rsidP="00817104">
      <w:pPr>
        <w:pStyle w:val="Bullet1"/>
        <w:numPr>
          <w:ilvl w:val="0"/>
          <w:numId w:val="2"/>
        </w:numPr>
      </w:pPr>
      <w:r>
        <w:t>p</w:t>
      </w:r>
      <w:r w:rsidRPr="0063371E">
        <w:t>roject governance and oversight</w:t>
      </w:r>
    </w:p>
    <w:p w14:paraId="1701D665" w14:textId="77777777" w:rsidR="00817104" w:rsidRPr="0063371E" w:rsidRDefault="00817104" w:rsidP="00817104">
      <w:pPr>
        <w:pStyle w:val="Bullet1"/>
        <w:numPr>
          <w:ilvl w:val="0"/>
          <w:numId w:val="2"/>
        </w:numPr>
      </w:pPr>
      <w:r>
        <w:t>s</w:t>
      </w:r>
      <w:r w:rsidRPr="0063371E">
        <w:t>takeholder engagement and communications</w:t>
      </w:r>
    </w:p>
    <w:p w14:paraId="3C8AA3E7" w14:textId="77777777" w:rsidR="00817104" w:rsidRPr="0063371E" w:rsidRDefault="00817104" w:rsidP="00817104">
      <w:pPr>
        <w:pStyle w:val="Bullet1"/>
        <w:numPr>
          <w:ilvl w:val="0"/>
          <w:numId w:val="2"/>
        </w:numPr>
      </w:pPr>
      <w:r>
        <w:t>r</w:t>
      </w:r>
      <w:r w:rsidRPr="0063371E">
        <w:t>isk management and system assurance processes</w:t>
      </w:r>
    </w:p>
    <w:p w14:paraId="2DBEAC23" w14:textId="77777777" w:rsidR="00817104" w:rsidRPr="0063371E" w:rsidRDefault="00817104" w:rsidP="00817104">
      <w:pPr>
        <w:pStyle w:val="Bullet1"/>
        <w:numPr>
          <w:ilvl w:val="0"/>
          <w:numId w:val="2"/>
        </w:numPr>
      </w:pPr>
      <w:r>
        <w:t>c</w:t>
      </w:r>
      <w:r w:rsidRPr="0063371E">
        <w:t xml:space="preserve">onfidentiality and information sharing requirements. </w:t>
      </w:r>
    </w:p>
    <w:p w14:paraId="06DE7EAE" w14:textId="77777777" w:rsidR="00817104" w:rsidRPr="0063371E" w:rsidRDefault="00817104" w:rsidP="00817104">
      <w:pPr>
        <w:pStyle w:val="Bodyafterbullets"/>
        <w:rPr>
          <w:rFonts w:eastAsia="Aptos" w:cs="Arial"/>
          <w:szCs w:val="21"/>
        </w:rPr>
      </w:pPr>
      <w:r w:rsidRPr="0063371E">
        <w:lastRenderedPageBreak/>
        <w:t>The Relationship Agreement</w:t>
      </w:r>
      <w:r>
        <w:t xml:space="preserve"> does not apply to grant programs.</w:t>
      </w:r>
      <w:r>
        <w:rPr>
          <w:rFonts w:eastAsia="Aptos" w:cs="Arial"/>
          <w:szCs w:val="21"/>
        </w:rPr>
        <w:t xml:space="preserve"> </w:t>
      </w:r>
      <w:r w:rsidRPr="0063371E">
        <w:rPr>
          <w:rFonts w:eastAsia="Aptos" w:cs="Arial"/>
          <w:szCs w:val="21"/>
        </w:rPr>
        <w:t>The Relationship Agreement may be updated and agreed by the department and a health service as required.</w:t>
      </w:r>
    </w:p>
    <w:p w14:paraId="20AE8306" w14:textId="4F3F1130" w:rsidR="00817104" w:rsidRPr="00475157" w:rsidRDefault="00817104" w:rsidP="00817104">
      <w:pPr>
        <w:pStyle w:val="Heading2"/>
      </w:pPr>
      <w:bookmarkStart w:id="2501" w:name="_Toc231982332"/>
      <w:r>
        <w:t>Virtual care</w:t>
      </w:r>
      <w:bookmarkEnd w:id="2501"/>
      <w:r w:rsidRPr="00475157">
        <w:t xml:space="preserve"> </w:t>
      </w:r>
    </w:p>
    <w:p w14:paraId="61E53E4A" w14:textId="77777777" w:rsidR="00817104" w:rsidRDefault="00817104" w:rsidP="00817104">
      <w:pPr>
        <w:pStyle w:val="Body"/>
      </w:pPr>
      <w:r w:rsidRPr="0010523D">
        <w:t>Virtual care is a broad term</w:t>
      </w:r>
      <w:r>
        <w:t xml:space="preserve"> </w:t>
      </w:r>
      <w:r w:rsidRPr="00665626">
        <w:t>that encompasses synchronous and asynchronous models of care</w:t>
      </w:r>
      <w:r>
        <w:t xml:space="preserve"> delivered using digital technologies. This</w:t>
      </w:r>
      <w:r w:rsidRPr="00665626">
        <w:t xml:space="preserve"> includ</w:t>
      </w:r>
      <w:r>
        <w:t>es</w:t>
      </w:r>
      <w:r w:rsidRPr="00665626">
        <w:t xml:space="preserve"> telehealth delivered via telephone and video consultation, remote patient monitoring and other digitally enabled care modalities</w:t>
      </w:r>
      <w:r w:rsidRPr="0010523D">
        <w:t xml:space="preserve">. </w:t>
      </w:r>
    </w:p>
    <w:p w14:paraId="3293972B" w14:textId="77777777" w:rsidR="00817104" w:rsidRDefault="00817104" w:rsidP="00817104">
      <w:pPr>
        <w:pStyle w:val="Body"/>
      </w:pPr>
      <w:r>
        <w:t xml:space="preserve">Virtual care </w:t>
      </w:r>
      <w:r w:rsidRPr="0010523D">
        <w:t xml:space="preserve">can be </w:t>
      </w:r>
      <w:r>
        <w:t xml:space="preserve">delivered across a range of care </w:t>
      </w:r>
      <w:r w:rsidRPr="0010523D">
        <w:t>settings and geographi</w:t>
      </w:r>
      <w:r>
        <w:t>es,</w:t>
      </w:r>
      <w:r w:rsidRPr="000F11ED">
        <w:rPr>
          <w:rFonts w:ascii="Segoe UI" w:hAnsi="Segoe UI" w:cs="Segoe UI"/>
          <w:szCs w:val="21"/>
          <w:lang w:eastAsia="en-AU"/>
        </w:rPr>
        <w:t xml:space="preserve"> </w:t>
      </w:r>
      <w:r w:rsidRPr="000F11ED">
        <w:t>and supports prevention, assessment, treatment, monitoring and ongoing self</w:t>
      </w:r>
      <w:r>
        <w:t>-</w:t>
      </w:r>
      <w:r w:rsidRPr="000F11ED">
        <w:t>management</w:t>
      </w:r>
      <w:r>
        <w:t>.</w:t>
      </w:r>
      <w:r w:rsidRPr="0010523D">
        <w:t xml:space="preserve"> </w:t>
      </w:r>
      <w:r w:rsidRPr="00AC2C93">
        <w:t>It enables the provision of care by connecting consumers, families and carers with clinicians and other</w:t>
      </w:r>
      <w:r>
        <w:t xml:space="preserve"> members of the care team.</w:t>
      </w:r>
    </w:p>
    <w:p w14:paraId="631B10E1" w14:textId="77777777" w:rsidR="00817104" w:rsidRDefault="00817104" w:rsidP="00817104">
      <w:pPr>
        <w:pStyle w:val="Body"/>
      </w:pPr>
      <w:r w:rsidRPr="003D0C6D">
        <w:t>Virtual care may also be used to support clinical communication and collaboration between health professionals, including consultation, advice and coordination of care</w:t>
      </w:r>
      <w:r>
        <w:t>.</w:t>
      </w:r>
    </w:p>
    <w:p w14:paraId="206373CA" w14:textId="77777777" w:rsidR="00817104" w:rsidRDefault="00817104" w:rsidP="00817104">
      <w:pPr>
        <w:pStyle w:val="Body"/>
      </w:pPr>
      <w:r>
        <w:t xml:space="preserve">The </w:t>
      </w:r>
      <w:hyperlink r:id="rId330" w:history="1">
        <w:r w:rsidRPr="00F31BBA">
          <w:rPr>
            <w:rStyle w:val="Hyperlink"/>
            <w:i/>
            <w:iCs/>
          </w:rPr>
          <w:t>Victorian Virtual Care Strategy</w:t>
        </w:r>
      </w:hyperlink>
      <w:r>
        <w:t xml:space="preserve"> &lt;</w:t>
      </w:r>
      <w:r w:rsidRPr="002F2DDD">
        <w:t>https://www.health.vic.gov.au/victorian-virtual-care-strategy/overview</w:t>
      </w:r>
      <w:r>
        <w:t xml:space="preserve">&gt; outlines that virtual care: </w:t>
      </w:r>
    </w:p>
    <w:p w14:paraId="225DBD03" w14:textId="77777777" w:rsidR="00817104" w:rsidRDefault="00817104" w:rsidP="00817104">
      <w:pPr>
        <w:pStyle w:val="Bullet1"/>
        <w:numPr>
          <w:ilvl w:val="0"/>
          <w:numId w:val="2"/>
        </w:numPr>
      </w:pPr>
      <w:r>
        <w:t>is used wherever appropriate and preferred by the patient, to provide care closer to home</w:t>
      </w:r>
    </w:p>
    <w:p w14:paraId="0128F183" w14:textId="77777777" w:rsidR="00817104" w:rsidRDefault="00817104" w:rsidP="00817104">
      <w:pPr>
        <w:pStyle w:val="Bullet1"/>
        <w:numPr>
          <w:ilvl w:val="0"/>
          <w:numId w:val="2"/>
        </w:numPr>
      </w:pPr>
      <w:r>
        <w:t>is embedded in mainstream care provision</w:t>
      </w:r>
    </w:p>
    <w:p w14:paraId="1AC5E4C4" w14:textId="77777777" w:rsidR="00817104" w:rsidRDefault="00817104" w:rsidP="00817104">
      <w:pPr>
        <w:pStyle w:val="Bullet1"/>
        <w:numPr>
          <w:ilvl w:val="0"/>
          <w:numId w:val="2"/>
        </w:numPr>
      </w:pPr>
      <w:r>
        <w:t>enhances access and equity of care across the care continuum and improves Victorians’ experience and health outcomes.</w:t>
      </w:r>
    </w:p>
    <w:p w14:paraId="34E5F332" w14:textId="77777777" w:rsidR="00817104" w:rsidRDefault="00817104" w:rsidP="00817104">
      <w:pPr>
        <w:pStyle w:val="Bodyafterbullets"/>
      </w:pPr>
      <w:r w:rsidRPr="0670E279">
        <w:t xml:space="preserve">The Victorian </w:t>
      </w:r>
      <w:hyperlink r:id="rId331">
        <w:r w:rsidRPr="000B5181">
          <w:rPr>
            <w:rStyle w:val="Hyperlink"/>
            <w:rFonts w:eastAsia="Arial" w:cs="Arial"/>
            <w:i/>
            <w:iCs/>
          </w:rPr>
          <w:t>Virtual care operational framework</w:t>
        </w:r>
      </w:hyperlink>
      <w:r w:rsidRPr="00EC0D35">
        <w:t xml:space="preserve"> </w:t>
      </w:r>
      <w:r w:rsidRPr="0670E279">
        <w:t>&lt;</w:t>
      </w:r>
      <w:r>
        <w:t>https://www.health.vic.gov.au/virtual-care-operational-framework</w:t>
      </w:r>
      <w:r w:rsidRPr="0063387C">
        <w:t>&gt;:</w:t>
      </w:r>
      <w:r w:rsidRPr="0670E279">
        <w:t xml:space="preserve"> </w:t>
      </w:r>
    </w:p>
    <w:p w14:paraId="74AF88C9" w14:textId="77777777" w:rsidR="00817104" w:rsidRDefault="00817104" w:rsidP="00817104">
      <w:pPr>
        <w:pStyle w:val="Bullet1"/>
        <w:numPr>
          <w:ilvl w:val="0"/>
          <w:numId w:val="2"/>
        </w:numPr>
      </w:pPr>
      <w:r>
        <w:t>acts as a reference and enables health services that have already implemented virtual care services to aid in continuous improvement and standardisation of care</w:t>
      </w:r>
    </w:p>
    <w:p w14:paraId="0D1F7162" w14:textId="77777777" w:rsidR="00817104" w:rsidRPr="001473E1" w:rsidRDefault="00817104" w:rsidP="00817104">
      <w:pPr>
        <w:pStyle w:val="Bullet1"/>
        <w:numPr>
          <w:ilvl w:val="0"/>
          <w:numId w:val="2"/>
        </w:numPr>
      </w:pPr>
      <w:r>
        <w:t>provides guidance to su</w:t>
      </w:r>
      <w:r w:rsidRPr="0670E279">
        <w:rPr>
          <w:rFonts w:eastAsia="Arial" w:cs="Arial"/>
        </w:rPr>
        <w:t xml:space="preserve">pport the implementation, operation and extension of virtual care in </w:t>
      </w:r>
      <w:r w:rsidRPr="001473E1">
        <w:rPr>
          <w:rFonts w:eastAsia="Arial" w:cs="Arial"/>
        </w:rPr>
        <w:t>Victorian public health agencies.</w:t>
      </w:r>
    </w:p>
    <w:p w14:paraId="0A4D7D1E" w14:textId="77777777" w:rsidR="00817104" w:rsidRPr="001473E1" w:rsidRDefault="00817104" w:rsidP="00817104">
      <w:pPr>
        <w:pStyle w:val="Bodyafterbullets"/>
      </w:pPr>
      <w:r w:rsidRPr="001473E1">
        <w:t xml:space="preserve">It is expected that health services align local virtual care strategies with the Virtual Care Strategy and </w:t>
      </w:r>
      <w:r w:rsidRPr="00095BFF">
        <w:rPr>
          <w:i/>
          <w:iCs/>
        </w:rPr>
        <w:t>Victoria’s digital health roadmap.</w:t>
      </w:r>
      <w:r w:rsidRPr="001473E1">
        <w:t xml:space="preserve"> </w:t>
      </w:r>
    </w:p>
    <w:p w14:paraId="59C5AA6F" w14:textId="77777777" w:rsidR="00817104" w:rsidRPr="001473E1" w:rsidRDefault="00817104" w:rsidP="00817104">
      <w:pPr>
        <w:pStyle w:val="Body"/>
        <w:rPr>
          <w:rFonts w:eastAsia="Arial" w:cs="Arial"/>
        </w:rPr>
      </w:pPr>
      <w:r w:rsidRPr="00BA5B33">
        <w:rPr>
          <w:rFonts w:eastAsia="Arial" w:cs="Arial"/>
        </w:rPr>
        <w:t>Healthdirect</w:t>
      </w:r>
      <w:r>
        <w:rPr>
          <w:rFonts w:eastAsia="Arial" w:cs="Arial"/>
          <w:i/>
          <w:iCs/>
        </w:rPr>
        <w:t xml:space="preserve"> </w:t>
      </w:r>
      <w:r w:rsidRPr="001473E1">
        <w:rPr>
          <w:rFonts w:eastAsia="Arial" w:cs="Arial"/>
        </w:rPr>
        <w:t xml:space="preserve">Video Call is the preferred platform </w:t>
      </w:r>
      <w:r w:rsidRPr="00B33518">
        <w:rPr>
          <w:rFonts w:eastAsia="Arial" w:cs="Arial"/>
        </w:rPr>
        <w:t xml:space="preserve">for </w:t>
      </w:r>
      <w:r w:rsidRPr="00340603">
        <w:rPr>
          <w:rFonts w:eastAsia="Arial" w:cs="Arial"/>
        </w:rPr>
        <w:t>video</w:t>
      </w:r>
      <w:r>
        <w:rPr>
          <w:rFonts w:eastAsia="Arial" w:cs="Arial"/>
        </w:rPr>
        <w:t>-</w:t>
      </w:r>
      <w:r w:rsidRPr="00340603">
        <w:rPr>
          <w:rFonts w:eastAsia="Arial" w:cs="Arial"/>
        </w:rPr>
        <w:t>based telehealth consultations</w:t>
      </w:r>
      <w:r w:rsidRPr="00B33518">
        <w:rPr>
          <w:rFonts w:eastAsia="Arial" w:cs="Arial"/>
        </w:rPr>
        <w:t xml:space="preserve"> </w:t>
      </w:r>
      <w:r w:rsidRPr="001473E1" w:rsidDel="00B33518">
        <w:rPr>
          <w:rFonts w:eastAsia="Arial" w:cs="Arial"/>
        </w:rPr>
        <w:t xml:space="preserve">for </w:t>
      </w:r>
      <w:r w:rsidRPr="001473E1">
        <w:rPr>
          <w:rFonts w:eastAsia="Arial" w:cs="Arial"/>
        </w:rPr>
        <w:t>Victorian public health services (</w:t>
      </w:r>
      <w:r>
        <w:rPr>
          <w:rFonts w:eastAsia="Arial" w:cs="Arial"/>
        </w:rPr>
        <w:t xml:space="preserve">such as </w:t>
      </w:r>
      <w:r w:rsidRPr="001473E1">
        <w:rPr>
          <w:rFonts w:eastAsia="Arial" w:cs="Arial"/>
        </w:rPr>
        <w:t>hospitals, community health services</w:t>
      </w:r>
      <w:r>
        <w:rPr>
          <w:rFonts w:eastAsia="Arial" w:cs="Arial"/>
        </w:rPr>
        <w:t xml:space="preserve"> and</w:t>
      </w:r>
      <w:r w:rsidRPr="001473E1">
        <w:rPr>
          <w:rFonts w:eastAsia="Arial" w:cs="Arial"/>
        </w:rPr>
        <w:t xml:space="preserve"> maternal health services). It provides a secure, reliable service that uses consumer</w:t>
      </w:r>
      <w:r>
        <w:rPr>
          <w:rFonts w:eastAsia="Arial" w:cs="Arial"/>
        </w:rPr>
        <w:t>-</w:t>
      </w:r>
      <w:r w:rsidRPr="001473E1">
        <w:rPr>
          <w:rFonts w:eastAsia="Arial" w:cs="Arial"/>
        </w:rPr>
        <w:t>grade devices (</w:t>
      </w:r>
      <w:r>
        <w:rPr>
          <w:rFonts w:eastAsia="Arial" w:cs="Arial"/>
        </w:rPr>
        <w:t>such as a</w:t>
      </w:r>
      <w:r w:rsidRPr="001473E1">
        <w:rPr>
          <w:rFonts w:eastAsia="Arial" w:cs="Arial"/>
        </w:rPr>
        <w:t xml:space="preserve"> mobile phone, tablet or computer) that complement clinical workflows familiar to providers and patients. </w:t>
      </w:r>
    </w:p>
    <w:p w14:paraId="0F28498E" w14:textId="77777777" w:rsidR="00817104" w:rsidRPr="001473E1" w:rsidRDefault="00817104" w:rsidP="00817104">
      <w:pPr>
        <w:pStyle w:val="Body"/>
        <w:rPr>
          <w:rFonts w:eastAsia="Arial" w:cs="Arial"/>
        </w:rPr>
      </w:pPr>
      <w:r w:rsidRPr="001473E1">
        <w:rPr>
          <w:rFonts w:eastAsia="Arial" w:cs="Arial"/>
        </w:rPr>
        <w:t xml:space="preserve">Consultation with the </w:t>
      </w:r>
      <w:r>
        <w:rPr>
          <w:rFonts w:eastAsia="Arial" w:cs="Arial"/>
        </w:rPr>
        <w:t>d</w:t>
      </w:r>
      <w:r w:rsidRPr="001473E1">
        <w:rPr>
          <w:rFonts w:eastAsia="Arial" w:cs="Arial"/>
        </w:rPr>
        <w:t>epartment is required where health services intend to use a video consulting platform that is not Health</w:t>
      </w:r>
      <w:r>
        <w:rPr>
          <w:rFonts w:eastAsia="Arial" w:cs="Arial"/>
        </w:rPr>
        <w:t>d</w:t>
      </w:r>
      <w:r w:rsidRPr="001473E1">
        <w:rPr>
          <w:rFonts w:eastAsia="Arial" w:cs="Arial"/>
        </w:rPr>
        <w:t>irect.</w:t>
      </w:r>
    </w:p>
    <w:p w14:paraId="179A8F46" w14:textId="77777777" w:rsidR="00817104" w:rsidRDefault="00817104" w:rsidP="00817104">
      <w:pPr>
        <w:pStyle w:val="Body"/>
      </w:pPr>
      <w:r w:rsidRPr="001473E1">
        <w:t xml:space="preserve">Telehealth can be a direct method of service delivery (for example, for specialist consultations) or </w:t>
      </w:r>
      <w:r>
        <w:t xml:space="preserve">as </w:t>
      </w:r>
      <w:r w:rsidRPr="001473E1">
        <w:t>an adjunct to in-person care (for example</w:t>
      </w:r>
      <w:r w:rsidRPr="0670E279">
        <w:t>, remote medical consultations complementing home visits for patients receiving HITH). Telehealth activity in specialist clinics</w:t>
      </w:r>
      <w:r>
        <w:t xml:space="preserve">, Ambulance Victoria triage, </w:t>
      </w:r>
      <w:r w:rsidRPr="0670E279">
        <w:t>or as part of acute and subacute admissions, is funded through existing funding models for these services.</w:t>
      </w:r>
    </w:p>
    <w:p w14:paraId="1F773D3C" w14:textId="77777777" w:rsidR="00817104" w:rsidRDefault="00817104" w:rsidP="00817104">
      <w:pPr>
        <w:pStyle w:val="Body"/>
      </w:pPr>
      <w:r w:rsidRPr="0670E279">
        <w:t xml:space="preserve">While both </w:t>
      </w:r>
      <w:r>
        <w:t>tele</w:t>
      </w:r>
      <w:r w:rsidRPr="0670E279">
        <w:t xml:space="preserve">phone and video consulting </w:t>
      </w:r>
      <w:r>
        <w:t>may</w:t>
      </w:r>
      <w:r w:rsidRPr="0670E279">
        <w:t xml:space="preserve"> be used, video consul</w:t>
      </w:r>
      <w:r>
        <w:t>tations</w:t>
      </w:r>
      <w:r w:rsidRPr="0670E279">
        <w:t xml:space="preserve"> </w:t>
      </w:r>
      <w:r>
        <w:t>are</w:t>
      </w:r>
      <w:r w:rsidRPr="0670E279">
        <w:t xml:space="preserve"> the only mode of telehealth that meets</w:t>
      </w:r>
      <w:r>
        <w:t xml:space="preserve"> t</w:t>
      </w:r>
      <w:r w:rsidRPr="0006691F">
        <w:t xml:space="preserve">he Criteria for Admission for reporting to the VAED for </w:t>
      </w:r>
      <w:r>
        <w:t>admitted care</w:t>
      </w:r>
      <w:r w:rsidRPr="0670E279">
        <w:t>.</w:t>
      </w:r>
      <w:r>
        <w:t xml:space="preserve"> </w:t>
      </w:r>
    </w:p>
    <w:p w14:paraId="3C74E13E" w14:textId="77777777" w:rsidR="00817104" w:rsidRPr="005A77EB" w:rsidRDefault="00817104" w:rsidP="00817104">
      <w:pPr>
        <w:pStyle w:val="Body"/>
      </w:pPr>
      <w:r>
        <w:t xml:space="preserve">Non-admitted care is reported to </w:t>
      </w:r>
      <w:r w:rsidRPr="00CA575D">
        <w:t>the VINAH</w:t>
      </w:r>
      <w:r>
        <w:t xml:space="preserve"> MDS, with the mode of delivery noted (telephone or telehealth video). As the statewide provider, only the VVED reports virtual activity to the VEMD MDS.</w:t>
      </w:r>
    </w:p>
    <w:p w14:paraId="6AF1D512" w14:textId="77777777" w:rsidR="00817104" w:rsidRPr="002F2DE0" w:rsidRDefault="00817104" w:rsidP="00817104">
      <w:pPr>
        <w:pStyle w:val="Body"/>
      </w:pPr>
      <w:r w:rsidRPr="0063387C">
        <w:lastRenderedPageBreak/>
        <w:t>MBS</w:t>
      </w:r>
      <w:r w:rsidRPr="002F2DE0">
        <w:t xml:space="preserve"> telehealth </w:t>
      </w:r>
      <w:r w:rsidRPr="0063387C">
        <w:t xml:space="preserve">arrangements remain in place </w:t>
      </w:r>
      <w:r>
        <w:t>to</w:t>
      </w:r>
      <w:r w:rsidRPr="0063387C">
        <w:t xml:space="preserve"> </w:t>
      </w:r>
      <w:r>
        <w:t>support</w:t>
      </w:r>
      <w:r w:rsidRPr="0063387C">
        <w:t xml:space="preserve"> a range of telephone and video services </w:t>
      </w:r>
      <w:r>
        <w:t xml:space="preserve">provided </w:t>
      </w:r>
      <w:r w:rsidRPr="0063387C">
        <w:t xml:space="preserve">by </w:t>
      </w:r>
      <w:r>
        <w:t>eligible</w:t>
      </w:r>
      <w:r w:rsidRPr="0063387C">
        <w:t xml:space="preserve"> health practitioners</w:t>
      </w:r>
      <w:r>
        <w:t>,</w:t>
      </w:r>
      <w:r w:rsidRPr="0063387C">
        <w:t xml:space="preserve"> </w:t>
      </w:r>
      <w:r>
        <w:t xml:space="preserve">in line with Commonwealth policy setting </w:t>
      </w:r>
      <w:r w:rsidRPr="0063387C">
        <w:t>and the MBS Review Taskforce Principles.</w:t>
      </w:r>
    </w:p>
    <w:p w14:paraId="5A8813AA" w14:textId="77777777" w:rsidR="00817104" w:rsidRDefault="00817104" w:rsidP="00817104">
      <w:pPr>
        <w:pStyle w:val="Body"/>
      </w:pPr>
      <w:r>
        <w:t xml:space="preserve">For more information, visit </w:t>
      </w:r>
      <w:hyperlink r:id="rId332">
        <w:r w:rsidRPr="0670E279">
          <w:rPr>
            <w:rStyle w:val="Hyperlink"/>
          </w:rPr>
          <w:t>MBS Telehealth Services</w:t>
        </w:r>
        <w:r>
          <w:t xml:space="preserve"> &lt;</w:t>
        </w:r>
      </w:hyperlink>
      <w:r>
        <w:t>https://www.mbsonline.gov.au/internet/mbsonline/publishing.nsf/Content/Factsheet-Telehealth-Updates-April%202023&gt;.</w:t>
      </w:r>
    </w:p>
    <w:p w14:paraId="316751FA" w14:textId="77777777" w:rsidR="00817104" w:rsidRDefault="00817104" w:rsidP="00817104">
      <w:pPr>
        <w:spacing w:after="0" w:line="240" w:lineRule="auto"/>
        <w:rPr>
          <w:rFonts w:ascii="Times New Roman" w:hAnsi="Times New Roman"/>
          <w:sz w:val="20"/>
          <w:lang w:eastAsia="en-AU"/>
        </w:rPr>
      </w:pPr>
      <w:r>
        <w:rPr>
          <w:rFonts w:ascii="Times New Roman" w:hAnsi="Times New Roman"/>
          <w:sz w:val="20"/>
          <w:lang w:eastAsia="en-AU"/>
        </w:rPr>
        <w:br w:type="page"/>
      </w:r>
    </w:p>
    <w:p w14:paraId="63C0A8E7" w14:textId="77777777" w:rsidR="00817104" w:rsidRDefault="00817104" w:rsidP="00C77BFC">
      <w:pPr>
        <w:pStyle w:val="Heading1"/>
      </w:pPr>
      <w:bookmarkStart w:id="2502" w:name="_Toc229127724"/>
      <w:bookmarkStart w:id="2503" w:name="_Toc231982333"/>
      <w:r>
        <w:lastRenderedPageBreak/>
        <w:t>Accreditation</w:t>
      </w:r>
      <w:bookmarkEnd w:id="2502"/>
      <w:bookmarkEnd w:id="2503"/>
    </w:p>
    <w:p w14:paraId="711C91E3" w14:textId="77777777" w:rsidR="00817104" w:rsidRPr="00B61A4E" w:rsidRDefault="00817104" w:rsidP="00817104">
      <w:pPr>
        <w:pStyle w:val="Body"/>
      </w:pPr>
      <w:r>
        <w:t>Funded organisations have obligations related to clinical service provision. These requirements ensure the quality of services and the safety of consumers.</w:t>
      </w:r>
    </w:p>
    <w:p w14:paraId="7015A7D9" w14:textId="61C9BE01" w:rsidR="00817104" w:rsidRDefault="00817104" w:rsidP="00817104">
      <w:pPr>
        <w:pStyle w:val="Heading2"/>
      </w:pPr>
      <w:bookmarkStart w:id="2504" w:name="_Australian_Health_Service"/>
      <w:bookmarkStart w:id="2505" w:name="_Toc231982334"/>
      <w:bookmarkStart w:id="2506" w:name="_Toc229127725"/>
      <w:bookmarkStart w:id="2507" w:name="_Toc165964720"/>
      <w:bookmarkStart w:id="2508" w:name="_Toc167174581"/>
      <w:bookmarkStart w:id="2509" w:name="_Ref167277990"/>
      <w:bookmarkEnd w:id="2504"/>
      <w:r>
        <w:t>Australian Commission on Safety and Quality in Health Care</w:t>
      </w:r>
      <w:bookmarkEnd w:id="2505"/>
      <w:r>
        <w:t xml:space="preserve"> </w:t>
      </w:r>
      <w:bookmarkEnd w:id="2506"/>
      <w:bookmarkEnd w:id="2507"/>
      <w:bookmarkEnd w:id="2508"/>
      <w:bookmarkEnd w:id="2509"/>
    </w:p>
    <w:p w14:paraId="09D52FBD" w14:textId="77777777" w:rsidR="00817104" w:rsidRDefault="00817104" w:rsidP="00817104">
      <w:pPr>
        <w:pStyle w:val="Body"/>
      </w:pPr>
      <w:r>
        <w:t xml:space="preserve">The </w:t>
      </w:r>
      <w:r w:rsidRPr="001E4BD4">
        <w:t xml:space="preserve">Australian Commission on Safety and Quality in Health Care </w:t>
      </w:r>
      <w:r>
        <w:t xml:space="preserve">(ACSQHC) is responsible for formulating and administering national accreditation schemes for healthcare services that relate to healthcare safety and quality matters. </w:t>
      </w:r>
    </w:p>
    <w:p w14:paraId="52951B88" w14:textId="77777777" w:rsidR="00817104" w:rsidRDefault="00817104" w:rsidP="00817104">
      <w:pPr>
        <w:pStyle w:val="Body"/>
      </w:pPr>
      <w:r>
        <w:t xml:space="preserve">The department is responsible for monitoring and responding to the accreditation status of health service organisations. </w:t>
      </w:r>
    </w:p>
    <w:p w14:paraId="3D4E2140" w14:textId="77777777" w:rsidR="00817104" w:rsidRDefault="00817104" w:rsidP="00817104">
      <w:pPr>
        <w:pStyle w:val="Body"/>
      </w:pPr>
      <w:r>
        <w:t>All Victorian public health services must maintain their accreditation through the ACSQHC, where they are accredited against the NSQHS Standards.</w:t>
      </w:r>
    </w:p>
    <w:p w14:paraId="795E5CDA" w14:textId="77777777" w:rsidR="00817104" w:rsidRDefault="00817104" w:rsidP="00817104">
      <w:pPr>
        <w:pStyle w:val="Body"/>
      </w:pPr>
      <w:r>
        <w:t>This includes:</w:t>
      </w:r>
    </w:p>
    <w:p w14:paraId="341D17C6" w14:textId="77777777" w:rsidR="00817104" w:rsidRDefault="00817104" w:rsidP="00817104">
      <w:pPr>
        <w:pStyle w:val="Bullet1"/>
        <w:numPr>
          <w:ilvl w:val="0"/>
          <w:numId w:val="2"/>
        </w:numPr>
      </w:pPr>
      <w:r>
        <w:t>public health services, including denominational services</w:t>
      </w:r>
    </w:p>
    <w:p w14:paraId="5B25D514" w14:textId="77777777" w:rsidR="00817104" w:rsidRDefault="00817104" w:rsidP="00817104">
      <w:pPr>
        <w:pStyle w:val="Bullet1"/>
        <w:numPr>
          <w:ilvl w:val="0"/>
          <w:numId w:val="2"/>
        </w:numPr>
      </w:pPr>
      <w:r>
        <w:t>public hospitals</w:t>
      </w:r>
    </w:p>
    <w:p w14:paraId="556C4B69" w14:textId="77777777" w:rsidR="00817104" w:rsidRDefault="00817104" w:rsidP="00817104">
      <w:pPr>
        <w:pStyle w:val="Bullet1"/>
        <w:numPr>
          <w:ilvl w:val="0"/>
          <w:numId w:val="2"/>
        </w:numPr>
      </w:pPr>
      <w:r>
        <w:t>multipurpose services</w:t>
      </w:r>
    </w:p>
    <w:p w14:paraId="3695F19B" w14:textId="77777777" w:rsidR="00817104" w:rsidRDefault="00817104" w:rsidP="00817104">
      <w:pPr>
        <w:pStyle w:val="Bullet1"/>
        <w:numPr>
          <w:ilvl w:val="0"/>
          <w:numId w:val="2"/>
        </w:numPr>
      </w:pPr>
      <w:r>
        <w:t>clinical mental health services provided by public health services (including Forensicare)</w:t>
      </w:r>
    </w:p>
    <w:p w14:paraId="3162A7D1" w14:textId="77777777" w:rsidR="00817104" w:rsidRDefault="00817104" w:rsidP="00817104">
      <w:pPr>
        <w:pStyle w:val="Bullet1"/>
        <w:numPr>
          <w:ilvl w:val="0"/>
          <w:numId w:val="2"/>
        </w:numPr>
      </w:pPr>
      <w:r>
        <w:t>public dental housed within health or community health services</w:t>
      </w:r>
    </w:p>
    <w:p w14:paraId="30CCD4F8" w14:textId="77777777" w:rsidR="00817104" w:rsidRDefault="00817104" w:rsidP="00817104">
      <w:pPr>
        <w:pStyle w:val="Bullet1"/>
        <w:numPr>
          <w:ilvl w:val="0"/>
          <w:numId w:val="2"/>
        </w:numPr>
      </w:pPr>
      <w:r>
        <w:t xml:space="preserve">bush nursing centres (accredited against the National Safety and Quality Primary and Community Healthcare Standards). </w:t>
      </w:r>
    </w:p>
    <w:p w14:paraId="3D12F1FB" w14:textId="4FE51B92" w:rsidR="00817104" w:rsidRDefault="00817104" w:rsidP="00817104">
      <w:pPr>
        <w:pStyle w:val="Bodyafterbullets"/>
      </w:pPr>
      <w:r>
        <w:t>The department and SCV must be notified of n</w:t>
      </w:r>
      <w:r w:rsidRPr="0670E279">
        <w:rPr>
          <w:rFonts w:cstheme="minorBidi"/>
        </w:rPr>
        <w:t>oncompliance against either accreditation scheme within 24 hours of becoming aware,</w:t>
      </w:r>
      <w:r>
        <w:t xml:space="preserve"> in line with the P</w:t>
      </w:r>
      <w:r w:rsidR="007B4B1A">
        <w:t xml:space="preserve">erformance </w:t>
      </w:r>
      <w:r>
        <w:t>M</w:t>
      </w:r>
      <w:r w:rsidR="007B4B1A">
        <w:t xml:space="preserve">onitoring </w:t>
      </w:r>
      <w:r>
        <w:t>F</w:t>
      </w:r>
      <w:r w:rsidR="007B4B1A">
        <w:t>ramework (PMF)</w:t>
      </w:r>
      <w:r>
        <w:t xml:space="preserve">. Notification must occur </w:t>
      </w:r>
      <w:r w:rsidRPr="0670E279">
        <w:rPr>
          <w:rFonts w:cstheme="minorBidi"/>
        </w:rPr>
        <w:t xml:space="preserve">via the health service’s relevant Director, </w:t>
      </w:r>
      <w:r w:rsidR="00FC1F26">
        <w:rPr>
          <w:rFonts w:cstheme="minorBidi"/>
        </w:rPr>
        <w:t xml:space="preserve">Health System Reform and Partnerships at </w:t>
      </w:r>
      <w:r w:rsidR="00F5628E">
        <w:rPr>
          <w:rFonts w:cstheme="minorBidi"/>
        </w:rPr>
        <w:t>the department</w:t>
      </w:r>
      <w:r w:rsidRPr="0670E279">
        <w:rPr>
          <w:rFonts w:cstheme="minorBidi"/>
        </w:rPr>
        <w:t xml:space="preserve">. </w:t>
      </w:r>
      <w:r>
        <w:t xml:space="preserve">Performance against accreditation will be reviewed as part of the department’s performance monitoring processes. </w:t>
      </w:r>
    </w:p>
    <w:p w14:paraId="1AD9F364" w14:textId="77777777" w:rsidR="00817104" w:rsidRDefault="00817104" w:rsidP="00817104">
      <w:pPr>
        <w:pStyle w:val="Body"/>
      </w:pPr>
      <w:r>
        <w:t xml:space="preserve">The regulatory response will be based on the outcome of the accreditation assessment and allow for escalation of monitoring and intervention, including possible action under the </w:t>
      </w:r>
      <w:r w:rsidRPr="00AD4FEE">
        <w:rPr>
          <w:i/>
          <w:iCs/>
        </w:rPr>
        <w:t>Health Services Act 1988</w:t>
      </w:r>
      <w:r>
        <w:t xml:space="preserve"> or the </w:t>
      </w:r>
      <w:r w:rsidRPr="004B6089">
        <w:rPr>
          <w:i/>
          <w:iCs/>
        </w:rPr>
        <w:t>Mental Health and Wellbeing Act 2022</w:t>
      </w:r>
      <w:r>
        <w:t>.</w:t>
      </w:r>
    </w:p>
    <w:p w14:paraId="365B0890" w14:textId="77777777" w:rsidR="00817104" w:rsidRDefault="00817104" w:rsidP="00817104">
      <w:pPr>
        <w:pStyle w:val="Body"/>
      </w:pPr>
      <w:r>
        <w:t>For more information, visit:</w:t>
      </w:r>
    </w:p>
    <w:p w14:paraId="5D644FDB" w14:textId="350CE0C7" w:rsidR="00817104" w:rsidRDefault="00817104" w:rsidP="00817104">
      <w:pPr>
        <w:pStyle w:val="Bullet1"/>
        <w:numPr>
          <w:ilvl w:val="0"/>
          <w:numId w:val="2"/>
        </w:numPr>
      </w:pPr>
      <w:hyperlink r:id="rId333" w:history="1">
        <w:r w:rsidRPr="00AB41FA">
          <w:rPr>
            <w:rStyle w:val="Hyperlink"/>
          </w:rPr>
          <w:t>ACSQHC Standards</w:t>
        </w:r>
      </w:hyperlink>
      <w:r>
        <w:t xml:space="preserve"> &lt;https://www.safetyandquality.gov.au/standards&gt;</w:t>
      </w:r>
    </w:p>
    <w:p w14:paraId="6C5872B3" w14:textId="53664F6A" w:rsidR="00817104" w:rsidRDefault="00817104" w:rsidP="00817104">
      <w:pPr>
        <w:pStyle w:val="Bullet1"/>
        <w:numPr>
          <w:ilvl w:val="0"/>
          <w:numId w:val="2"/>
        </w:numPr>
      </w:pPr>
      <w:hyperlink r:id="rId334">
        <w:r>
          <w:rPr>
            <w:rStyle w:val="Hyperlink"/>
          </w:rPr>
          <w:t>P</w:t>
        </w:r>
        <w:r w:rsidR="00A77360">
          <w:rPr>
            <w:rStyle w:val="Hyperlink"/>
          </w:rPr>
          <w:t xml:space="preserve">erformance </w:t>
        </w:r>
        <w:r>
          <w:rPr>
            <w:rStyle w:val="Hyperlink"/>
          </w:rPr>
          <w:t>M</w:t>
        </w:r>
        <w:r w:rsidR="00A77360">
          <w:rPr>
            <w:rStyle w:val="Hyperlink"/>
          </w:rPr>
          <w:t xml:space="preserve">onitoring </w:t>
        </w:r>
        <w:r>
          <w:rPr>
            <w:rStyle w:val="Hyperlink"/>
          </w:rPr>
          <w:t>F</w:t>
        </w:r>
      </w:hyperlink>
      <w:r w:rsidR="00A77360" w:rsidRPr="00A77360">
        <w:rPr>
          <w:rStyle w:val="Hyperlink"/>
        </w:rPr>
        <w:t>ramework</w:t>
      </w:r>
      <w:r>
        <w:rPr>
          <w:rFonts w:eastAsia="Times New Roman"/>
        </w:rPr>
        <w:t xml:space="preserve"> &lt;</w:t>
      </w:r>
      <w:r w:rsidRPr="00A567CC">
        <w:rPr>
          <w:rFonts w:eastAsia="Times New Roman"/>
        </w:rPr>
        <w:t>https://www.health.vic.gov.au/funding-performance-accountability/performance-monitoring-framework</w:t>
      </w:r>
      <w:r>
        <w:rPr>
          <w:rFonts w:eastAsia="Times New Roman"/>
        </w:rPr>
        <w:t>&gt;.</w:t>
      </w:r>
    </w:p>
    <w:p w14:paraId="18353DAF" w14:textId="138B0694" w:rsidR="00817104" w:rsidRDefault="00817104" w:rsidP="00817104">
      <w:pPr>
        <w:pStyle w:val="Heading2"/>
      </w:pPr>
      <w:bookmarkStart w:id="2510" w:name="_Toc198386559"/>
      <w:bookmarkStart w:id="2511" w:name="_Toc198386756"/>
      <w:bookmarkStart w:id="2512" w:name="_Toc165964721"/>
      <w:bookmarkStart w:id="2513" w:name="_Toc167174582"/>
      <w:bookmarkStart w:id="2514" w:name="_Toc229127726"/>
      <w:bookmarkStart w:id="2515" w:name="_Toc231982335"/>
      <w:bookmarkEnd w:id="2510"/>
      <w:bookmarkEnd w:id="2511"/>
      <w:r>
        <w:t>Pathology services</w:t>
      </w:r>
      <w:bookmarkEnd w:id="2512"/>
      <w:bookmarkEnd w:id="2513"/>
      <w:bookmarkEnd w:id="2514"/>
      <w:bookmarkEnd w:id="2515"/>
    </w:p>
    <w:p w14:paraId="4D8C1167" w14:textId="77777777" w:rsidR="00817104" w:rsidRDefault="00817104" w:rsidP="00817104">
      <w:pPr>
        <w:pStyle w:val="Body"/>
      </w:pPr>
      <w:r>
        <w:t xml:space="preserve">The National Association of Testing Authorities (NATA) is the national accreditation body recognised by government for accrediting pathology laboratories. </w:t>
      </w:r>
    </w:p>
    <w:p w14:paraId="11848A6A" w14:textId="77777777" w:rsidR="00817104" w:rsidRPr="00AD0967" w:rsidRDefault="00817104" w:rsidP="00817104">
      <w:r>
        <w:t>Victoria has made an undertaking to NATA that any:</w:t>
      </w:r>
    </w:p>
    <w:p w14:paraId="24BED0DD" w14:textId="77777777" w:rsidR="00817104" w:rsidRPr="00FF4A5C" w:rsidRDefault="00817104" w:rsidP="00817104">
      <w:pPr>
        <w:pStyle w:val="Bullet1"/>
        <w:numPr>
          <w:ilvl w:val="0"/>
          <w:numId w:val="2"/>
        </w:numPr>
      </w:pPr>
      <w:r>
        <w:t>laboratory operated by a health service whose principal function is to conduct pathology services, must obtain and maintain accreditation from NATA or the Royal College of Pathologists of Australasia for the pathology services it provides</w:t>
      </w:r>
    </w:p>
    <w:p w14:paraId="475F6548" w14:textId="77777777" w:rsidR="00817104" w:rsidRPr="000A7912" w:rsidRDefault="00817104" w:rsidP="00817104">
      <w:pPr>
        <w:pStyle w:val="Bullet1"/>
        <w:numPr>
          <w:ilvl w:val="0"/>
          <w:numId w:val="2"/>
        </w:numPr>
      </w:pPr>
      <w:r>
        <w:lastRenderedPageBreak/>
        <w:t>pathology service required for a public, private or compensable admitted patient of a health service must only be requested from a laboratory that holds accreditation from NATA or the Royal College of Pathologists of Australasia for the type of service required</w:t>
      </w:r>
    </w:p>
    <w:p w14:paraId="31BD616F" w14:textId="77777777" w:rsidR="00817104" w:rsidRPr="000A7912" w:rsidRDefault="00817104" w:rsidP="00817104">
      <w:pPr>
        <w:pStyle w:val="Bullet1"/>
        <w:numPr>
          <w:ilvl w:val="0"/>
          <w:numId w:val="2"/>
        </w:numPr>
      </w:pPr>
      <w:r>
        <w:t>pathology service required for a patient attending an outpatient clinic of a health service, must only be requested from a laboratory that holds accreditation from NATA or the Royal College of Pathologists of Australasia for the type of service required.</w:t>
      </w:r>
    </w:p>
    <w:p w14:paraId="494FB6D7" w14:textId="77777777" w:rsidR="00817104" w:rsidRPr="000A5DA9" w:rsidRDefault="00817104" w:rsidP="00817104">
      <w:pPr>
        <w:pStyle w:val="Bodyafterbullets"/>
      </w:pPr>
      <w:r>
        <w:t>The conduct of any pathology service provided for a health service that is not under the direct management of a pathology laboratory accredited by NATA or the Royal College of Pathologists of Australasia (for example, services provided by research laboratories, specialist clinical laboratories or at the point of care), must be overseen by a pathology laboratory that is accredited by NATA or the Royal College of Pathologists of Australasia for the relevant scope of services.</w:t>
      </w:r>
    </w:p>
    <w:p w14:paraId="122635F1" w14:textId="77777777" w:rsidR="00817104" w:rsidRPr="000A5DA9" w:rsidRDefault="00817104" w:rsidP="00817104">
      <w:pPr>
        <w:pStyle w:val="Body"/>
      </w:pPr>
      <w:r>
        <w:t>All public health services are required to adhere to these undertakings as a condition of funding.</w:t>
      </w:r>
    </w:p>
    <w:p w14:paraId="5EF01E3D" w14:textId="578829EA" w:rsidR="00817104" w:rsidRDefault="00817104" w:rsidP="00817104">
      <w:pPr>
        <w:pStyle w:val="Heading2"/>
      </w:pPr>
      <w:bookmarkStart w:id="2516" w:name="_Toc143080938"/>
      <w:bookmarkStart w:id="2517" w:name="_Toc229127727"/>
      <w:bookmarkStart w:id="2518" w:name="_Toc231982336"/>
      <w:bookmarkStart w:id="2519" w:name="_Toc165964724"/>
      <w:r>
        <w:t>MHAOD clinical and community support services</w:t>
      </w:r>
      <w:bookmarkEnd w:id="2516"/>
      <w:bookmarkEnd w:id="2517"/>
      <w:bookmarkEnd w:id="2518"/>
    </w:p>
    <w:p w14:paraId="3CC4F323" w14:textId="77777777" w:rsidR="00817104" w:rsidRPr="00AD0967" w:rsidRDefault="00817104" w:rsidP="00817104">
      <w:pPr>
        <w:pStyle w:val="Body"/>
      </w:pPr>
      <w:bookmarkStart w:id="2520" w:name="_Toc167174584"/>
      <w:r w:rsidRPr="00AD0967">
        <w:t>All funded clinical mental health services must be accredited against the</w:t>
      </w:r>
      <w:r w:rsidRPr="00DA1EF7">
        <w:t xml:space="preserve"> NSQHS Standards.</w:t>
      </w:r>
    </w:p>
    <w:p w14:paraId="6AB04B8C" w14:textId="77777777" w:rsidR="00817104" w:rsidRDefault="00817104" w:rsidP="00817104">
      <w:pPr>
        <w:pStyle w:val="Body"/>
      </w:pPr>
      <w:r w:rsidRPr="005A41E3">
        <w:t xml:space="preserve">Organisations that receive funding for </w:t>
      </w:r>
      <w:r>
        <w:t>Mental Health and Wellbeing Locals</w:t>
      </w:r>
      <w:r w:rsidRPr="005A41E3">
        <w:t xml:space="preserve"> </w:t>
      </w:r>
      <w:r>
        <w:t>must</w:t>
      </w:r>
      <w:r w:rsidRPr="005A41E3">
        <w:t xml:space="preserve"> be accredited against relevant standards</w:t>
      </w:r>
      <w:r>
        <w:t>,</w:t>
      </w:r>
      <w:r w:rsidRPr="005A41E3">
        <w:t xml:space="preserve"> as per the service agreement</w:t>
      </w:r>
      <w:r>
        <w:t>, which could</w:t>
      </w:r>
      <w:r w:rsidRPr="005A41E3">
        <w:t xml:space="preserve"> include the National Standards for Mental Health Services 2010.</w:t>
      </w:r>
    </w:p>
    <w:p w14:paraId="084F1ECB" w14:textId="77777777" w:rsidR="00817104" w:rsidRDefault="00817104" w:rsidP="00817104">
      <w:pPr>
        <w:pStyle w:val="Body"/>
      </w:pPr>
      <w:r w:rsidRPr="005A41E3">
        <w:t>Organisations that receive funding for MHCSS</w:t>
      </w:r>
      <w:r>
        <w:t xml:space="preserve"> </w:t>
      </w:r>
      <w:r w:rsidRPr="005A41E3">
        <w:t xml:space="preserve">programs </w:t>
      </w:r>
      <w:r>
        <w:t>must</w:t>
      </w:r>
      <w:r w:rsidRPr="005A41E3">
        <w:t xml:space="preserve"> be accredited against relevant standards</w:t>
      </w:r>
      <w:r>
        <w:t>,</w:t>
      </w:r>
      <w:r w:rsidRPr="005A41E3">
        <w:t xml:space="preserve"> as per the service agreement. This includes the National Standards for Mental Health Services 2010.</w:t>
      </w:r>
    </w:p>
    <w:p w14:paraId="5E5CF88F" w14:textId="77777777" w:rsidR="00817104" w:rsidRDefault="00817104" w:rsidP="00817104">
      <w:pPr>
        <w:pStyle w:val="Body"/>
      </w:pPr>
      <w:r w:rsidRPr="005A41E3">
        <w:t>Implementation of the new NSQ</w:t>
      </w:r>
      <w:r>
        <w:t>HS</w:t>
      </w:r>
      <w:r w:rsidRPr="005A41E3">
        <w:t xml:space="preserve"> Standards for </w:t>
      </w:r>
      <w:r>
        <w:t>c</w:t>
      </w:r>
      <w:r w:rsidRPr="005A41E3">
        <w:t>ommunity</w:t>
      </w:r>
      <w:r>
        <w:t>-m</w:t>
      </w:r>
      <w:r w:rsidRPr="005A41E3">
        <w:t xml:space="preserve">anaged </w:t>
      </w:r>
      <w:r>
        <w:t>o</w:t>
      </w:r>
      <w:r w:rsidRPr="005A41E3">
        <w:t>rganisations commence</w:t>
      </w:r>
      <w:r>
        <w:t>d</w:t>
      </w:r>
      <w:r w:rsidRPr="005A41E3">
        <w:t xml:space="preserve"> in 2024.</w:t>
      </w:r>
      <w:r>
        <w:t xml:space="preserve"> Health services providing AOD treatment services must be accredited against the NSQHS Standards.</w:t>
      </w:r>
    </w:p>
    <w:p w14:paraId="2FB8633C" w14:textId="44B7831E" w:rsidR="00817104" w:rsidRDefault="00817104" w:rsidP="00817104">
      <w:pPr>
        <w:pStyle w:val="Body"/>
      </w:pPr>
      <w:r>
        <w:t xml:space="preserve">Organisations that receive funding for AOD services must establish and implement plans to deliver services that are consistent with the </w:t>
      </w:r>
      <w:r w:rsidRPr="001A5838">
        <w:rPr>
          <w:i/>
          <w:iCs/>
        </w:rPr>
        <w:t>Victorian</w:t>
      </w:r>
      <w:r>
        <w:rPr>
          <w:i/>
          <w:iCs/>
        </w:rPr>
        <w:t xml:space="preserve"> AOD </w:t>
      </w:r>
      <w:r w:rsidRPr="001A5838">
        <w:rPr>
          <w:i/>
          <w:iCs/>
        </w:rPr>
        <w:t>charter</w:t>
      </w:r>
      <w:r>
        <w:t xml:space="preserve">. The ongoing implementation of plans to deliver services consistent with the charter, and in alignment with the </w:t>
      </w:r>
      <w:r w:rsidRPr="006244BB">
        <w:rPr>
          <w:i/>
          <w:iCs/>
        </w:rPr>
        <w:t xml:space="preserve">National Quality Framework </w:t>
      </w:r>
      <w:r w:rsidR="00D30AAF" w:rsidRPr="006244BB">
        <w:rPr>
          <w:i/>
          <w:iCs/>
        </w:rPr>
        <w:t>for</w:t>
      </w:r>
      <w:r w:rsidRPr="006244BB">
        <w:rPr>
          <w:i/>
          <w:iCs/>
        </w:rPr>
        <w:t xml:space="preserve"> Drug and Alcohol Treatment Services</w:t>
      </w:r>
      <w:r>
        <w:t>, is also expected of organisations that will receive funding for AOD services in 2026–27.</w:t>
      </w:r>
    </w:p>
    <w:p w14:paraId="4FC3D41B" w14:textId="77777777" w:rsidR="00817104" w:rsidRDefault="00817104" w:rsidP="00817104">
      <w:pPr>
        <w:pStyle w:val="Body"/>
      </w:pPr>
      <w:r>
        <w:t>These services must continue to be accredited within existing generic accreditation frameworks by an entity certified by either the International Society for Quality in Health Care, or the Joint Accreditation System of Australia and New Zealand.</w:t>
      </w:r>
    </w:p>
    <w:p w14:paraId="26ACEB73" w14:textId="1DBCE128" w:rsidR="00817104" w:rsidRDefault="00817104" w:rsidP="00817104">
      <w:pPr>
        <w:pStyle w:val="Heading2"/>
      </w:pPr>
      <w:bookmarkStart w:id="2521" w:name="_Toc229127728"/>
      <w:bookmarkStart w:id="2522" w:name="_Toc231982337"/>
      <w:r>
        <w:t>Aged care</w:t>
      </w:r>
      <w:bookmarkEnd w:id="2519"/>
      <w:bookmarkEnd w:id="2520"/>
      <w:bookmarkEnd w:id="2521"/>
      <w:bookmarkEnd w:id="2522"/>
    </w:p>
    <w:p w14:paraId="52D153DF" w14:textId="77777777" w:rsidR="00817104" w:rsidRDefault="00817104" w:rsidP="00817104">
      <w:pPr>
        <w:pStyle w:val="Heading3"/>
        <w:numPr>
          <w:ilvl w:val="2"/>
          <w:numId w:val="0"/>
        </w:numPr>
        <w:tabs>
          <w:tab w:val="num" w:pos="794"/>
        </w:tabs>
        <w:ind w:left="1134" w:hanging="1134"/>
      </w:pPr>
      <w:r>
        <w:t>19.4.1</w:t>
      </w:r>
      <w:r>
        <w:tab/>
        <w:t>PSRACS accreditation –</w:t>
      </w:r>
      <w:r w:rsidRPr="00623562">
        <w:t xml:space="preserve"> Aged Care Quality and Safety Commission</w:t>
      </w:r>
    </w:p>
    <w:p w14:paraId="438B7B96" w14:textId="77777777" w:rsidR="00817104" w:rsidRDefault="00817104" w:rsidP="00817104">
      <w:pPr>
        <w:pStyle w:val="Body"/>
      </w:pPr>
      <w:r>
        <w:t xml:space="preserve">The Australian Government has the primary responsibility for residential aged care services under the </w:t>
      </w:r>
      <w:r w:rsidRPr="00F61BEB">
        <w:rPr>
          <w:i/>
        </w:rPr>
        <w:t>Aged Care Act 2024</w:t>
      </w:r>
      <w:r w:rsidRPr="00AC7F42">
        <w:rPr>
          <w:iCs/>
        </w:rPr>
        <w:t>.</w:t>
      </w:r>
      <w:r>
        <w:t xml:space="preserve"> In accordance with this legislation, all Victorian PSRACS are expected to comply with the Aged Care Quality Standards, in order to maintain their registration.</w:t>
      </w:r>
    </w:p>
    <w:p w14:paraId="591100B5" w14:textId="77777777" w:rsidR="00817104" w:rsidRDefault="00817104" w:rsidP="00817104">
      <w:pPr>
        <w:pStyle w:val="Body"/>
      </w:pPr>
      <w:r>
        <w:t xml:space="preserve">The monitoring, assessment and accreditation of residential aged care services against the aged care quality standards, is undertaken by the </w:t>
      </w:r>
      <w:hyperlink r:id="rId335" w:history="1">
        <w:r w:rsidRPr="0091592A">
          <w:rPr>
            <w:rStyle w:val="Hyperlink"/>
          </w:rPr>
          <w:t>Aged Care Quality and Safety Commission</w:t>
        </w:r>
      </w:hyperlink>
      <w:r>
        <w:t>. &lt;</w:t>
      </w:r>
      <w:r w:rsidRPr="00F61BEB">
        <w:t>https://www.agedcarequality.gov.au/</w:t>
      </w:r>
      <w:r>
        <w:t xml:space="preserve">&gt;. </w:t>
      </w:r>
    </w:p>
    <w:p w14:paraId="7C550A13" w14:textId="77777777" w:rsidR="00817104" w:rsidRPr="007C232A" w:rsidRDefault="00817104" w:rsidP="00817104">
      <w:pPr>
        <w:pStyle w:val="Heading3"/>
        <w:numPr>
          <w:ilvl w:val="2"/>
          <w:numId w:val="0"/>
        </w:numPr>
        <w:tabs>
          <w:tab w:val="num" w:pos="794"/>
        </w:tabs>
        <w:ind w:left="1134" w:hanging="1134"/>
      </w:pPr>
      <w:r>
        <w:lastRenderedPageBreak/>
        <w:t>19.4.2</w:t>
      </w:r>
      <w:r>
        <w:tab/>
        <w:t>HACC PYP</w:t>
      </w:r>
    </w:p>
    <w:p w14:paraId="65707170" w14:textId="77777777" w:rsidR="00817104" w:rsidRDefault="00817104" w:rsidP="00817104">
      <w:pPr>
        <w:pStyle w:val="Body"/>
      </w:pPr>
      <w:r>
        <w:t>In 2026–27, the department will be continuing service improvement of HACC PYP to support the program to meet the needs of clients and provide high-quality care.</w:t>
      </w:r>
    </w:p>
    <w:p w14:paraId="25BCBD51" w14:textId="77777777" w:rsidR="00817104" w:rsidRDefault="00817104" w:rsidP="00817104">
      <w:pPr>
        <w:pStyle w:val="Heading3"/>
        <w:numPr>
          <w:ilvl w:val="2"/>
          <w:numId w:val="0"/>
        </w:numPr>
        <w:tabs>
          <w:tab w:val="num" w:pos="794"/>
        </w:tabs>
        <w:ind w:left="1134" w:hanging="1134"/>
      </w:pPr>
      <w:r>
        <w:t>19.4.3</w:t>
      </w:r>
      <w:r>
        <w:tab/>
        <w:t xml:space="preserve">Other programs funded under the Ageing, Aged Care and Home Support Program </w:t>
      </w:r>
      <w:r w:rsidRPr="00AD0967">
        <w:t>outputs</w:t>
      </w:r>
    </w:p>
    <w:p w14:paraId="54B787EB" w14:textId="77777777" w:rsidR="00817104" w:rsidRDefault="00817104" w:rsidP="00817104">
      <w:pPr>
        <w:pStyle w:val="Body"/>
      </w:pPr>
      <w:r>
        <w:t>Providers that receive less than $100,000 in funds to deliver Ageing, Aged Care and Home Support Program supports will not be independently assessed. Those organisations that receive the bulk of their funding from the health or primary health outputs, and that undergo accreditation in line with the requirements associated with the output, are not required to undergo further accreditation.</w:t>
      </w:r>
    </w:p>
    <w:p w14:paraId="1FE624C1" w14:textId="77777777" w:rsidR="00817104" w:rsidRDefault="00817104" w:rsidP="00817104">
      <w:pPr>
        <w:pStyle w:val="Body"/>
      </w:pPr>
      <w:r>
        <w:t>For governance and management standards, other providers can choose an accreditation body that offers standards that are consistent with the governance and management requirements of the Social Services Standards accreditation.</w:t>
      </w:r>
    </w:p>
    <w:p w14:paraId="5B1CC68B" w14:textId="77777777" w:rsidR="00817104" w:rsidRDefault="00817104" w:rsidP="00817104">
      <w:pPr>
        <w:pStyle w:val="Body"/>
      </w:pPr>
      <w:r>
        <w:t xml:space="preserve">Relevant quality standards could include the </w:t>
      </w:r>
      <w:r w:rsidRPr="00496E74">
        <w:rPr>
          <w:i/>
          <w:iCs/>
        </w:rPr>
        <w:t>National Standards for Disability Services</w:t>
      </w:r>
      <w:r>
        <w:t xml:space="preserve">, </w:t>
      </w:r>
      <w:r w:rsidRPr="00D67793">
        <w:t>Evaluation and Quality Improvement Program</w:t>
      </w:r>
      <w:r>
        <w:t>, ISO 9001:2015, the NSQHS Standards and the Quality Improvement Council Standards.</w:t>
      </w:r>
    </w:p>
    <w:p w14:paraId="79F9B8CE" w14:textId="77777777" w:rsidR="00817104" w:rsidRDefault="00817104" w:rsidP="00817104">
      <w:pPr>
        <w:pStyle w:val="Body"/>
      </w:pPr>
      <w:r>
        <w:t xml:space="preserve">For more information, visit </w:t>
      </w:r>
      <w:hyperlink r:id="rId336" w:history="1">
        <w:r w:rsidRPr="009F1C85">
          <w:rPr>
            <w:rStyle w:val="Hyperlink"/>
          </w:rPr>
          <w:t>Social Services Standards</w:t>
        </w:r>
      </w:hyperlink>
      <w:r w:rsidRPr="0670E279">
        <w:rPr>
          <w:rStyle w:val="Hyperlink"/>
        </w:rPr>
        <w:t xml:space="preserve"> </w:t>
      </w:r>
      <w:r>
        <w:t>&lt;https://providers.dffh.vic.gov.au/human-services-standards&gt;.</w:t>
      </w:r>
    </w:p>
    <w:p w14:paraId="7C33AFC4" w14:textId="77777777" w:rsidR="00817104" w:rsidRDefault="00817104" w:rsidP="00817104">
      <w:pPr>
        <w:spacing w:after="0" w:line="240" w:lineRule="auto"/>
        <w:rPr>
          <w:rFonts w:ascii="Times New Roman" w:hAnsi="Times New Roman"/>
          <w:sz w:val="20"/>
          <w:lang w:eastAsia="en-AU"/>
        </w:rPr>
      </w:pPr>
      <w:r>
        <w:rPr>
          <w:rFonts w:ascii="Times New Roman" w:hAnsi="Times New Roman"/>
          <w:sz w:val="20"/>
          <w:lang w:eastAsia="en-AU"/>
        </w:rPr>
        <w:br w:type="page"/>
      </w:r>
    </w:p>
    <w:p w14:paraId="65EAF8FF" w14:textId="77777777" w:rsidR="00817104" w:rsidRDefault="00817104" w:rsidP="00C77BFC">
      <w:pPr>
        <w:pStyle w:val="Heading1"/>
      </w:pPr>
      <w:bookmarkStart w:id="2523" w:name="_Toc229127729"/>
      <w:bookmarkStart w:id="2524" w:name="_Toc231982338"/>
      <w:r>
        <w:lastRenderedPageBreak/>
        <w:t>Clinical governance</w:t>
      </w:r>
      <w:bookmarkEnd w:id="2523"/>
      <w:bookmarkEnd w:id="2524"/>
    </w:p>
    <w:p w14:paraId="025F4627" w14:textId="1DAD4476" w:rsidR="00817104" w:rsidRDefault="00817104" w:rsidP="00817104">
      <w:pPr>
        <w:pStyle w:val="Heading2"/>
      </w:pPr>
      <w:bookmarkStart w:id="2525" w:name="_Toc165964726"/>
      <w:bookmarkStart w:id="2526" w:name="_Toc167174586"/>
      <w:bookmarkStart w:id="2527" w:name="_Toc229127730"/>
      <w:bookmarkStart w:id="2528" w:name="_Toc231982339"/>
      <w:r>
        <w:t>Health service clinical governance</w:t>
      </w:r>
      <w:bookmarkEnd w:id="2525"/>
      <w:bookmarkEnd w:id="2526"/>
      <w:bookmarkEnd w:id="2527"/>
      <w:bookmarkEnd w:id="2528"/>
    </w:p>
    <w:p w14:paraId="1C12EEC8" w14:textId="77777777" w:rsidR="00817104" w:rsidRDefault="00817104" w:rsidP="00817104">
      <w:pPr>
        <w:pStyle w:val="Body"/>
      </w:pPr>
      <w:r>
        <w:t xml:space="preserve">All health services and funded organisations must ensure their clinical governance policies and frameworks comply with the current </w:t>
      </w:r>
      <w:hyperlink r:id="rId337">
        <w:r w:rsidRPr="008C51CE">
          <w:rPr>
            <w:rStyle w:val="Hyperlink"/>
            <w:i/>
            <w:iCs/>
          </w:rPr>
          <w:t>Victorian Clinical Governance Framework</w:t>
        </w:r>
      </w:hyperlink>
      <w:r>
        <w:t xml:space="preserve"> &lt;https://www.safercare.vic.gov.au/support-training/clinical-governance&gt;.</w:t>
      </w:r>
    </w:p>
    <w:p w14:paraId="1D5F335F" w14:textId="77777777" w:rsidR="00817104" w:rsidRDefault="00817104" w:rsidP="00817104">
      <w:pPr>
        <w:pStyle w:val="Heading3"/>
        <w:numPr>
          <w:ilvl w:val="2"/>
          <w:numId w:val="0"/>
        </w:numPr>
        <w:tabs>
          <w:tab w:val="num" w:pos="794"/>
        </w:tabs>
        <w:ind w:left="1134" w:hanging="1134"/>
      </w:pPr>
      <w:bookmarkStart w:id="2529" w:name="_Hlk197000565"/>
      <w:r>
        <w:t>20.1.1</w:t>
      </w:r>
      <w:r>
        <w:tab/>
        <w:t>Partnering to deliver a safe health system</w:t>
      </w:r>
    </w:p>
    <w:p w14:paraId="68427D48" w14:textId="77777777" w:rsidR="00817104" w:rsidRPr="000F01F1" w:rsidRDefault="00817104" w:rsidP="00817104">
      <w:pPr>
        <w:rPr>
          <w:rFonts w:eastAsia="Times"/>
        </w:rPr>
      </w:pPr>
      <w:r w:rsidRPr="000F01F1">
        <w:rPr>
          <w:rFonts w:eastAsia="Times"/>
        </w:rPr>
        <w:t xml:space="preserve">Delivering healthcare is inherently complex. High-quality care requires an ongoing commitment from the entire workforce to pursue and maintain excellence and ensure patient safety. </w:t>
      </w:r>
    </w:p>
    <w:p w14:paraId="59CD0EB8" w14:textId="77777777" w:rsidR="00817104" w:rsidRDefault="00817104" w:rsidP="00817104">
      <w:pPr>
        <w:rPr>
          <w:rFonts w:eastAsia="Times"/>
        </w:rPr>
      </w:pPr>
      <w:r w:rsidRPr="000F01F1">
        <w:rPr>
          <w:rFonts w:eastAsia="Times"/>
        </w:rPr>
        <w:t>SCV provides independent advice and support to health services</w:t>
      </w:r>
      <w:r>
        <w:rPr>
          <w:rFonts w:eastAsia="Times"/>
        </w:rPr>
        <w:t xml:space="preserve"> </w:t>
      </w:r>
      <w:r w:rsidRPr="00E94A68">
        <w:rPr>
          <w:rFonts w:eastAsia="Times"/>
        </w:rPr>
        <w:t>on a range of functions and aspects of</w:t>
      </w:r>
      <w:r w:rsidRPr="000F01F1">
        <w:rPr>
          <w:rFonts w:eastAsia="Times"/>
        </w:rPr>
        <w:t xml:space="preserve"> clinical </w:t>
      </w:r>
      <w:r w:rsidRPr="00E94A68">
        <w:rPr>
          <w:rFonts w:eastAsia="Times"/>
        </w:rPr>
        <w:t>governance</w:t>
      </w:r>
      <w:r>
        <w:rPr>
          <w:rFonts w:eastAsia="Times"/>
        </w:rPr>
        <w:t>,</w:t>
      </w:r>
      <w:r w:rsidRPr="00E94A68">
        <w:rPr>
          <w:rFonts w:eastAsia="Times"/>
        </w:rPr>
        <w:t xml:space="preserve"> including assisting</w:t>
      </w:r>
      <w:r w:rsidRPr="000F01F1">
        <w:rPr>
          <w:rFonts w:eastAsia="Times"/>
        </w:rPr>
        <w:t xml:space="preserve"> health services </w:t>
      </w:r>
      <w:r>
        <w:rPr>
          <w:rFonts w:eastAsia="Times"/>
        </w:rPr>
        <w:t xml:space="preserve">to </w:t>
      </w:r>
      <w:r w:rsidRPr="000F01F1">
        <w:rPr>
          <w:rFonts w:eastAsia="Times"/>
        </w:rPr>
        <w:t xml:space="preserve">respond to serious quality and safety concerns. SCV promotes open and transparent communication </w:t>
      </w:r>
      <w:r>
        <w:rPr>
          <w:rFonts w:eastAsia="Times"/>
        </w:rPr>
        <w:t xml:space="preserve">with consumers </w:t>
      </w:r>
      <w:r w:rsidRPr="000F01F1">
        <w:rPr>
          <w:rFonts w:eastAsia="Times"/>
        </w:rPr>
        <w:t>and respects the confidentiality and privacy of individuals.</w:t>
      </w:r>
    </w:p>
    <w:p w14:paraId="2ABA8156" w14:textId="77777777" w:rsidR="00817104" w:rsidRPr="000F01F1" w:rsidRDefault="00817104" w:rsidP="00817104">
      <w:pPr>
        <w:rPr>
          <w:rFonts w:eastAsia="Times"/>
        </w:rPr>
      </w:pPr>
      <w:r w:rsidRPr="000F01F1">
        <w:rPr>
          <w:rFonts w:eastAsia="Times"/>
        </w:rPr>
        <w:t xml:space="preserve">Where there are significant concerns about issues impacting patient safety that are not addressed at </w:t>
      </w:r>
      <w:r>
        <w:rPr>
          <w:rFonts w:eastAsia="Times"/>
        </w:rPr>
        <w:t xml:space="preserve">the </w:t>
      </w:r>
      <w:r w:rsidRPr="000F01F1">
        <w:rPr>
          <w:rFonts w:eastAsia="Times"/>
        </w:rPr>
        <w:t>local level, health service personnel should reach out for advice from SCV.</w:t>
      </w:r>
    </w:p>
    <w:p w14:paraId="50008793" w14:textId="77777777" w:rsidR="00817104" w:rsidRPr="00947161" w:rsidRDefault="00817104" w:rsidP="00817104">
      <w:pPr>
        <w:rPr>
          <w:rFonts w:eastAsia="Times"/>
        </w:rPr>
      </w:pPr>
      <w:r w:rsidRPr="000F01F1">
        <w:rPr>
          <w:rFonts w:eastAsia="Times"/>
        </w:rPr>
        <w:t xml:space="preserve">SCV has established processes to </w:t>
      </w:r>
      <w:r>
        <w:rPr>
          <w:rFonts w:eastAsia="Times"/>
        </w:rPr>
        <w:t xml:space="preserve">review, </w:t>
      </w:r>
      <w:r w:rsidRPr="000F01F1">
        <w:rPr>
          <w:rFonts w:eastAsia="Times"/>
        </w:rPr>
        <w:t>investigate, monitor and engage with health services</w:t>
      </w:r>
      <w:r>
        <w:rPr>
          <w:rFonts w:eastAsia="Times"/>
        </w:rPr>
        <w:t>.</w:t>
      </w:r>
      <w:r w:rsidRPr="000F01F1">
        <w:rPr>
          <w:rFonts w:eastAsia="Times"/>
        </w:rPr>
        <w:t xml:space="preserve"> </w:t>
      </w:r>
      <w:r>
        <w:rPr>
          <w:rFonts w:eastAsia="Times"/>
        </w:rPr>
        <w:t xml:space="preserve">It is empowered to initiate </w:t>
      </w:r>
      <w:r w:rsidRPr="000F01F1">
        <w:rPr>
          <w:rFonts w:eastAsia="Times"/>
        </w:rPr>
        <w:t xml:space="preserve">formal review and response mechanisms </w:t>
      </w:r>
      <w:r>
        <w:rPr>
          <w:rFonts w:eastAsia="Times"/>
        </w:rPr>
        <w:t>where safety</w:t>
      </w:r>
      <w:r w:rsidRPr="000F01F1">
        <w:rPr>
          <w:rFonts w:eastAsia="Times"/>
        </w:rPr>
        <w:t xml:space="preserve"> issues </w:t>
      </w:r>
      <w:r>
        <w:rPr>
          <w:rFonts w:eastAsia="Times"/>
        </w:rPr>
        <w:t xml:space="preserve">are identified </w:t>
      </w:r>
      <w:r w:rsidRPr="000F01F1">
        <w:rPr>
          <w:rFonts w:eastAsia="Times"/>
        </w:rPr>
        <w:t>and make recommendations to prevent similar events from re</w:t>
      </w:r>
      <w:r>
        <w:rPr>
          <w:rFonts w:eastAsia="Times"/>
        </w:rPr>
        <w:t>oc</w:t>
      </w:r>
      <w:r w:rsidRPr="000F01F1">
        <w:rPr>
          <w:rFonts w:eastAsia="Times"/>
        </w:rPr>
        <w:t>curring.</w:t>
      </w:r>
      <w:bookmarkEnd w:id="2529"/>
    </w:p>
    <w:p w14:paraId="3F5DE93F" w14:textId="77777777" w:rsidR="00817104" w:rsidRDefault="00817104" w:rsidP="00817104">
      <w:pPr>
        <w:pStyle w:val="Heading3"/>
        <w:numPr>
          <w:ilvl w:val="2"/>
          <w:numId w:val="0"/>
        </w:numPr>
        <w:tabs>
          <w:tab w:val="num" w:pos="794"/>
        </w:tabs>
        <w:ind w:left="1134" w:hanging="1134"/>
      </w:pPr>
      <w:r>
        <w:t>20.1.2</w:t>
      </w:r>
      <w:r>
        <w:tab/>
        <w:t xml:space="preserve">Adverse patient safety events, </w:t>
      </w:r>
      <w:r w:rsidRPr="00AD0967">
        <w:t>including</w:t>
      </w:r>
      <w:r>
        <w:t xml:space="preserve"> sentinel events </w:t>
      </w:r>
    </w:p>
    <w:p w14:paraId="10C9DD5F" w14:textId="77777777" w:rsidR="00817104" w:rsidRDefault="00817104" w:rsidP="00817104">
      <w:pPr>
        <w:pStyle w:val="Body"/>
      </w:pPr>
      <w:r>
        <w:t xml:space="preserve">During 2026–27, health service entities, as described in the </w:t>
      </w:r>
      <w:r w:rsidRPr="0670E279">
        <w:rPr>
          <w:i/>
          <w:iCs/>
        </w:rPr>
        <w:t>Health Legislation Amendment (Quality and Safety) Act 2022</w:t>
      </w:r>
      <w:r>
        <w:rPr>
          <w:i/>
          <w:iCs/>
        </w:rPr>
        <w:t>,</w:t>
      </w:r>
      <w:r>
        <w:t xml:space="preserve"> and bush nursing centres are in scope of SCV’s </w:t>
      </w:r>
      <w:r w:rsidRPr="00CF60B1">
        <w:t>Policy and guideline for adverse patient safety events</w:t>
      </w:r>
      <w:r>
        <w:t xml:space="preserve">. As such, they will be expected to identify and review adverse patient safety events (including sentinel events) according to the policy, the Victorian sentinel event guide and associated resources. </w:t>
      </w:r>
    </w:p>
    <w:p w14:paraId="2B3E43EE" w14:textId="77777777" w:rsidR="00817104" w:rsidRDefault="00817104" w:rsidP="00817104">
      <w:pPr>
        <w:pStyle w:val="Body"/>
      </w:pPr>
      <w:r w:rsidRPr="00252F97">
        <w:t xml:space="preserve">Sentinel event notifications and review outcomes must be submitted through the secure </w:t>
      </w:r>
      <w:r>
        <w:t xml:space="preserve">SCV </w:t>
      </w:r>
      <w:hyperlink r:id="rId338" w:history="1">
        <w:r w:rsidRPr="00516439">
          <w:rPr>
            <w:rStyle w:val="Hyperlink"/>
          </w:rPr>
          <w:t>Sentinel event portal</w:t>
        </w:r>
      </w:hyperlink>
      <w:r w:rsidRPr="00284579">
        <w:t xml:space="preserve"> &lt;www.vhimscentral.vic.gov.au&gt;. Health service staff must be onboarded to the portal prior to sentinel event notification and report submission. </w:t>
      </w:r>
    </w:p>
    <w:p w14:paraId="0EC0C0B4" w14:textId="77777777" w:rsidR="00817104" w:rsidRDefault="00817104" w:rsidP="00817104">
      <w:pPr>
        <w:pStyle w:val="Body"/>
      </w:pPr>
      <w:r>
        <w:t>For more information, visit:</w:t>
      </w:r>
    </w:p>
    <w:p w14:paraId="13AD788F" w14:textId="77777777" w:rsidR="00817104" w:rsidRDefault="00817104" w:rsidP="00817104">
      <w:pPr>
        <w:pStyle w:val="Bullet1"/>
        <w:numPr>
          <w:ilvl w:val="0"/>
          <w:numId w:val="2"/>
        </w:numPr>
      </w:pPr>
      <w:hyperlink r:id="rId339">
        <w:r w:rsidRPr="0670E279">
          <w:rPr>
            <w:rStyle w:val="Hyperlink"/>
          </w:rPr>
          <w:t>Policy</w:t>
        </w:r>
        <w:r>
          <w:rPr>
            <w:rStyle w:val="Hyperlink"/>
          </w:rPr>
          <w:t xml:space="preserve"> and guideline for</w:t>
        </w:r>
        <w:r w:rsidRPr="0670E279">
          <w:rPr>
            <w:rStyle w:val="Hyperlink"/>
          </w:rPr>
          <w:t xml:space="preserve"> </w:t>
        </w:r>
        <w:r>
          <w:rPr>
            <w:rStyle w:val="Hyperlink"/>
          </w:rPr>
          <w:t>a</w:t>
        </w:r>
        <w:r w:rsidRPr="0670E279">
          <w:rPr>
            <w:rStyle w:val="Hyperlink"/>
          </w:rPr>
          <w:t>dverse patient safety events</w:t>
        </w:r>
      </w:hyperlink>
      <w:r>
        <w:t xml:space="preserve"> &lt;</w:t>
      </w:r>
      <w:r w:rsidRPr="00535117">
        <w:t>https://www.safercare.vic.gov.au/report-manage-issues/adverse-events/policy</w:t>
      </w:r>
      <w:r>
        <w:t xml:space="preserve">&gt; </w:t>
      </w:r>
    </w:p>
    <w:p w14:paraId="00F6BE26" w14:textId="77777777" w:rsidR="00817104" w:rsidRPr="00284579" w:rsidRDefault="00817104" w:rsidP="00817104">
      <w:pPr>
        <w:pStyle w:val="Bullet1"/>
        <w:numPr>
          <w:ilvl w:val="0"/>
          <w:numId w:val="2"/>
        </w:numPr>
      </w:pPr>
      <w:hyperlink r:id="rId340">
        <w:r w:rsidRPr="00252F97">
          <w:rPr>
            <w:rStyle w:val="Hyperlink"/>
          </w:rPr>
          <w:t>Notify and review a sentinel event</w:t>
        </w:r>
      </w:hyperlink>
      <w:r w:rsidRPr="00284579">
        <w:t xml:space="preserve"> &lt;www.safercare.vic.gov.au/notify-us/sentinel-events/notify-and-review-a-sentinel-event&gt;</w:t>
      </w:r>
      <w:r>
        <w:t xml:space="preserve"> and for r</w:t>
      </w:r>
      <w:r w:rsidRPr="00284579">
        <w:t>esources to support the notification and review of sentinel events</w:t>
      </w:r>
    </w:p>
    <w:p w14:paraId="14E97420" w14:textId="77777777" w:rsidR="00817104" w:rsidRDefault="00817104" w:rsidP="00817104">
      <w:pPr>
        <w:pStyle w:val="Bullet1"/>
        <w:numPr>
          <w:ilvl w:val="0"/>
          <w:numId w:val="2"/>
        </w:numPr>
      </w:pPr>
      <w:hyperlink r:id="rId341" w:history="1">
        <w:r w:rsidRPr="00516439">
          <w:rPr>
            <w:rStyle w:val="Hyperlink"/>
          </w:rPr>
          <w:t>Sentinel events</w:t>
        </w:r>
      </w:hyperlink>
      <w:r>
        <w:t xml:space="preserve"> &lt;</w:t>
      </w:r>
      <w:r w:rsidRPr="001B1580">
        <w:t>https://www.safercare.vic.gov.au/notify-us/sentinel-events</w:t>
      </w:r>
      <w:r>
        <w:t>&gt;, email</w:t>
      </w:r>
      <w:r w:rsidRPr="00252F97">
        <w:t xml:space="preserve"> </w:t>
      </w:r>
      <w:r>
        <w:t xml:space="preserve">SCV’s </w:t>
      </w:r>
      <w:hyperlink r:id="rId342" w:history="1">
        <w:r w:rsidRPr="00C2333C">
          <w:rPr>
            <w:rStyle w:val="Hyperlink"/>
          </w:rPr>
          <w:t>Sentinel events team</w:t>
        </w:r>
      </w:hyperlink>
      <w:r>
        <w:t xml:space="preserve"> &lt;</w:t>
      </w:r>
      <w:r w:rsidRPr="007976B5">
        <w:t>sentinel.events@safercare.vic.gov.au</w:t>
      </w:r>
      <w:r>
        <w:t xml:space="preserve">&gt; or telephone 1300 543 916 during business hours to access guidance on review processes and other resources. </w:t>
      </w:r>
    </w:p>
    <w:p w14:paraId="5B18AB91" w14:textId="77777777" w:rsidR="00817104" w:rsidRDefault="00817104" w:rsidP="00817104">
      <w:pPr>
        <w:pStyle w:val="Heading3"/>
        <w:numPr>
          <w:ilvl w:val="2"/>
          <w:numId w:val="0"/>
        </w:numPr>
        <w:tabs>
          <w:tab w:val="num" w:pos="794"/>
        </w:tabs>
        <w:ind w:left="1134" w:hanging="1134"/>
      </w:pPr>
      <w:r>
        <w:t>20.1.3</w:t>
      </w:r>
      <w:r>
        <w:tab/>
        <w:t>Statutory duty of candour</w:t>
      </w:r>
    </w:p>
    <w:p w14:paraId="5C7ACB01" w14:textId="77777777" w:rsidR="00817104" w:rsidRDefault="00817104" w:rsidP="00817104">
      <w:pPr>
        <w:pStyle w:val="Body"/>
      </w:pPr>
      <w:r>
        <w:t xml:space="preserve">Relevant health services are to undertake statutory duty of candour (SDC) processes when a serious adverse patient safety event (SAPSE) occurs. Health service entities must refer to the </w:t>
      </w:r>
      <w:r w:rsidRPr="00496E74">
        <w:rPr>
          <w:i/>
          <w:iCs/>
        </w:rPr>
        <w:lastRenderedPageBreak/>
        <w:t xml:space="preserve">Health Services (Quality and Safety) Regulations 2020 </w:t>
      </w:r>
      <w:r>
        <w:t>to view the SAPSE definition, which is also equivalent to i</w:t>
      </w:r>
      <w:r w:rsidRPr="002554FB">
        <w:t xml:space="preserve">ncident </w:t>
      </w:r>
      <w:r>
        <w:t>s</w:t>
      </w:r>
      <w:r w:rsidRPr="002554FB">
        <w:t xml:space="preserve">everity </w:t>
      </w:r>
      <w:r>
        <w:t>r</w:t>
      </w:r>
      <w:r w:rsidRPr="002554FB">
        <w:t xml:space="preserve">ating (ISR) </w:t>
      </w:r>
      <w:r>
        <w:t>1 and 2 events in the VHIMS MDS.</w:t>
      </w:r>
    </w:p>
    <w:p w14:paraId="6DCAC81E" w14:textId="77777777" w:rsidR="00817104" w:rsidRPr="007B6FAE" w:rsidRDefault="00817104" w:rsidP="00817104">
      <w:pPr>
        <w:pStyle w:val="Body"/>
      </w:pPr>
      <w:r w:rsidRPr="00AD0967">
        <w:t xml:space="preserve">The scope of the SDC includes </w:t>
      </w:r>
      <w:r w:rsidRPr="007B6FAE">
        <w:t xml:space="preserve">‘health service entities' under the </w:t>
      </w:r>
      <w:r w:rsidRPr="00CF60B1">
        <w:rPr>
          <w:i/>
        </w:rPr>
        <w:t>Health Services Act 1988</w:t>
      </w:r>
      <w:r w:rsidRPr="007B6FAE">
        <w:t>, as well as any services under their governance.</w:t>
      </w:r>
    </w:p>
    <w:p w14:paraId="176C102D" w14:textId="77777777" w:rsidR="00817104" w:rsidRPr="007B6FAE" w:rsidRDefault="00817104" w:rsidP="00817104">
      <w:pPr>
        <w:pStyle w:val="Body"/>
      </w:pPr>
      <w:r w:rsidRPr="007B6FAE">
        <w:t>These include:</w:t>
      </w:r>
    </w:p>
    <w:p w14:paraId="27B549C5" w14:textId="77777777" w:rsidR="00817104" w:rsidRPr="00440C3E" w:rsidRDefault="00817104" w:rsidP="00817104">
      <w:pPr>
        <w:pStyle w:val="Bullet1"/>
        <w:numPr>
          <w:ilvl w:val="0"/>
          <w:numId w:val="2"/>
        </w:numPr>
      </w:pPr>
      <w:r>
        <w:t xml:space="preserve">public hospitals </w:t>
      </w:r>
    </w:p>
    <w:p w14:paraId="70DBBF9D" w14:textId="77777777" w:rsidR="00817104" w:rsidRPr="00440C3E" w:rsidRDefault="00817104" w:rsidP="00817104">
      <w:pPr>
        <w:pStyle w:val="Bullet1"/>
        <w:numPr>
          <w:ilvl w:val="0"/>
          <w:numId w:val="2"/>
        </w:numPr>
      </w:pPr>
      <w:r>
        <w:t>public health services</w:t>
      </w:r>
    </w:p>
    <w:p w14:paraId="3952DAF4" w14:textId="77777777" w:rsidR="00817104" w:rsidRPr="00440C3E" w:rsidRDefault="00817104" w:rsidP="00817104">
      <w:pPr>
        <w:pStyle w:val="Bullet1"/>
        <w:numPr>
          <w:ilvl w:val="0"/>
          <w:numId w:val="2"/>
        </w:numPr>
      </w:pPr>
      <w:r>
        <w:t>multipurpose services</w:t>
      </w:r>
    </w:p>
    <w:p w14:paraId="3AA6924A" w14:textId="77777777" w:rsidR="00817104" w:rsidRPr="00440C3E" w:rsidRDefault="00817104" w:rsidP="00817104">
      <w:pPr>
        <w:pStyle w:val="Bullet1"/>
        <w:numPr>
          <w:ilvl w:val="0"/>
          <w:numId w:val="2"/>
        </w:numPr>
      </w:pPr>
      <w:r>
        <w:t>denominational hospitals</w:t>
      </w:r>
    </w:p>
    <w:p w14:paraId="2346FDF2" w14:textId="77777777" w:rsidR="00817104" w:rsidRPr="00440C3E" w:rsidRDefault="00817104" w:rsidP="00817104">
      <w:pPr>
        <w:pStyle w:val="Bullet1"/>
        <w:numPr>
          <w:ilvl w:val="0"/>
          <w:numId w:val="2"/>
        </w:numPr>
      </w:pPr>
      <w:r>
        <w:t xml:space="preserve">private hospitals </w:t>
      </w:r>
    </w:p>
    <w:p w14:paraId="7588F751" w14:textId="77777777" w:rsidR="00817104" w:rsidRPr="00440C3E" w:rsidRDefault="00817104" w:rsidP="00817104">
      <w:pPr>
        <w:pStyle w:val="Bullet1"/>
        <w:numPr>
          <w:ilvl w:val="0"/>
          <w:numId w:val="2"/>
        </w:numPr>
      </w:pPr>
      <w:r>
        <w:t>day procedure centres</w:t>
      </w:r>
    </w:p>
    <w:p w14:paraId="2284C66E" w14:textId="77777777" w:rsidR="00817104" w:rsidRPr="00FA4352" w:rsidRDefault="00817104" w:rsidP="00817104">
      <w:pPr>
        <w:pStyle w:val="Bullet1"/>
        <w:numPr>
          <w:ilvl w:val="0"/>
          <w:numId w:val="2"/>
        </w:numPr>
        <w:rPr>
          <w:i/>
          <w:iCs/>
        </w:rPr>
      </w:pPr>
      <w:r>
        <w:t xml:space="preserve">ambulance services within the meaning of the </w:t>
      </w:r>
      <w:r w:rsidRPr="00017E0C">
        <w:rPr>
          <w:i/>
        </w:rPr>
        <w:t>Ambulance Services Act 1986</w:t>
      </w:r>
    </w:p>
    <w:p w14:paraId="5ABD21EE" w14:textId="77777777" w:rsidR="00817104" w:rsidRPr="0041190D" w:rsidRDefault="00817104" w:rsidP="00817104">
      <w:pPr>
        <w:pStyle w:val="Bullet1"/>
        <w:numPr>
          <w:ilvl w:val="0"/>
          <w:numId w:val="2"/>
        </w:numPr>
      </w:pPr>
      <w:r>
        <w:t xml:space="preserve">NEPT </w:t>
      </w:r>
      <w:r w:rsidRPr="0670E279">
        <w:rPr>
          <w:rFonts w:eastAsia="Calibri"/>
        </w:rPr>
        <w:t>service</w:t>
      </w:r>
      <w:r>
        <w:t xml:space="preserve">s within the meaning of the </w:t>
      </w:r>
      <w:r w:rsidRPr="00017E0C">
        <w:rPr>
          <w:i/>
          <w:iCs/>
        </w:rPr>
        <w:t>Non-Emergency Patient Transport and First Aid Services Act 2003</w:t>
      </w:r>
    </w:p>
    <w:p w14:paraId="24CB9B9A" w14:textId="77777777" w:rsidR="00817104" w:rsidRDefault="00817104" w:rsidP="00817104">
      <w:pPr>
        <w:pStyle w:val="Bullet1"/>
        <w:numPr>
          <w:ilvl w:val="0"/>
          <w:numId w:val="2"/>
        </w:numPr>
      </w:pPr>
      <w:r>
        <w:t>Youth Mental Health and Wellbeing Victoria</w:t>
      </w:r>
    </w:p>
    <w:p w14:paraId="321D2B41" w14:textId="77777777" w:rsidR="00817104" w:rsidRPr="00440C3E" w:rsidRDefault="00817104" w:rsidP="00817104">
      <w:pPr>
        <w:pStyle w:val="Bullet1"/>
        <w:numPr>
          <w:ilvl w:val="0"/>
          <w:numId w:val="2"/>
        </w:numPr>
      </w:pPr>
      <w:r>
        <w:t>Forensicare.</w:t>
      </w:r>
    </w:p>
    <w:p w14:paraId="24111AF5" w14:textId="77777777" w:rsidR="00817104" w:rsidRPr="00440C3E" w:rsidRDefault="00817104" w:rsidP="00817104">
      <w:pPr>
        <w:pStyle w:val="Bodyafterbullets"/>
      </w:pPr>
      <w:r>
        <w:t xml:space="preserve">When a patient suffers a SAPSE, these health service entities are required to comply with the SDC by providing an apology, a written account of the facts, a description of the health service entity’s response and the steps taken to prevent reoccurrence of the event. They also need to comply with the </w:t>
      </w:r>
      <w:hyperlink r:id="rId343">
        <w:r w:rsidRPr="00643A1E">
          <w:rPr>
            <w:rStyle w:val="Hyperlink"/>
            <w:rFonts w:cs="Calibri"/>
            <w:i/>
            <w:iCs/>
          </w:rPr>
          <w:t>Victorian Duty of Candour Guidelines</w:t>
        </w:r>
      </w:hyperlink>
      <w:r>
        <w:t xml:space="preserve"> &lt;https://www.safercare.vic.gov.au/support-training/adverse-event-review-and-response/duty-of-candour&gt;. </w:t>
      </w:r>
    </w:p>
    <w:p w14:paraId="3F43E147" w14:textId="77777777" w:rsidR="00817104" w:rsidRPr="00FA4352" w:rsidRDefault="00817104" w:rsidP="00817104">
      <w:pPr>
        <w:pStyle w:val="Body"/>
      </w:pPr>
      <w:r w:rsidRPr="0670E279">
        <w:rPr>
          <w:rFonts w:cs="Calibri"/>
        </w:rPr>
        <w:t>The SDC</w:t>
      </w:r>
      <w:r>
        <w:rPr>
          <w:rFonts w:cs="Calibri"/>
        </w:rPr>
        <w:t xml:space="preserve"> </w:t>
      </w:r>
      <w:r w:rsidRPr="00FB1D5A">
        <w:rPr>
          <w:rFonts w:cs="Calibri"/>
        </w:rPr>
        <w:t>Agency Information Management System</w:t>
      </w:r>
      <w:r w:rsidRPr="0670E279">
        <w:rPr>
          <w:rFonts w:cs="Calibri"/>
        </w:rPr>
        <w:t xml:space="preserve"> </w:t>
      </w:r>
      <w:r>
        <w:rPr>
          <w:rFonts w:cs="Calibri"/>
        </w:rPr>
        <w:t>(</w:t>
      </w:r>
      <w:r w:rsidRPr="0670E279">
        <w:rPr>
          <w:rFonts w:cs="Calibri"/>
        </w:rPr>
        <w:t>AIMS</w:t>
      </w:r>
      <w:r>
        <w:rPr>
          <w:rFonts w:cs="Calibri"/>
        </w:rPr>
        <w:t>)</w:t>
      </w:r>
      <w:r w:rsidRPr="0670E279">
        <w:rPr>
          <w:rFonts w:cs="Calibri"/>
        </w:rPr>
        <w:t xml:space="preserve"> form is available via the </w:t>
      </w:r>
      <w:hyperlink r:id="rId344">
        <w:r w:rsidRPr="007B6FAE">
          <w:rPr>
            <w:rStyle w:val="Hyperlink"/>
          </w:rPr>
          <w:t>HealthCollect portal</w:t>
        </w:r>
      </w:hyperlink>
      <w:r w:rsidRPr="0670E279">
        <w:rPr>
          <w:rFonts w:cs="Calibri"/>
        </w:rPr>
        <w:t xml:space="preserve"> &lt;</w:t>
      </w:r>
      <w:r>
        <w:t>https://www.healthcollect.vic.gov.au&gt;</w:t>
      </w:r>
      <w:r w:rsidRPr="0670E279">
        <w:rPr>
          <w:rFonts w:cs="Calibri"/>
        </w:rPr>
        <w:t xml:space="preserve"> (health service staff members reporting this data will need a login to the HealthCollect portal). </w:t>
      </w:r>
    </w:p>
    <w:p w14:paraId="2A262415" w14:textId="77777777" w:rsidR="00817104" w:rsidRPr="00FA4352" w:rsidRDefault="00817104" w:rsidP="00817104">
      <w:pPr>
        <w:pStyle w:val="Body"/>
        <w:rPr>
          <w:rFonts w:cs="Arial"/>
        </w:rPr>
      </w:pPr>
      <w:r w:rsidRPr="0670E279">
        <w:t xml:space="preserve">For more information about the AIMS data collections, including the AIMS manual, visit </w:t>
      </w:r>
      <w:hyperlink r:id="rId345">
        <w:r w:rsidRPr="0670E279">
          <w:rPr>
            <w:rStyle w:val="Hyperlink"/>
            <w:rFonts w:cs="Calibri"/>
          </w:rPr>
          <w:t>AIMS</w:t>
        </w:r>
      </w:hyperlink>
      <w:r w:rsidRPr="0670E279">
        <w:t xml:space="preserve"> &lt;https://www.health.vic.gov.au/data-reporting/agency-information-management-system-aims&gt;.</w:t>
      </w:r>
    </w:p>
    <w:p w14:paraId="1442F174" w14:textId="77777777" w:rsidR="00817104" w:rsidRDefault="00817104" w:rsidP="00817104">
      <w:pPr>
        <w:pStyle w:val="Body"/>
        <w:rPr>
          <w:rFonts w:eastAsia="Arial" w:cs="Arial"/>
        </w:rPr>
      </w:pPr>
      <w:r w:rsidRPr="0670E279">
        <w:rPr>
          <w:rFonts w:eastAsia="Arial" w:cs="Arial"/>
        </w:rPr>
        <w:t xml:space="preserve">For SDC reporting guidelines, training modules and additional resources, visit </w:t>
      </w:r>
      <w:hyperlink r:id="rId346">
        <w:r w:rsidRPr="00C21353">
          <w:rPr>
            <w:rStyle w:val="Hyperlink"/>
            <w:rFonts w:eastAsia="Arial" w:cs="Arial"/>
          </w:rPr>
          <w:t>Statutory Duty of Candour and protections for SAPSE reviews</w:t>
        </w:r>
      </w:hyperlink>
      <w:r w:rsidRPr="0670E279">
        <w:rPr>
          <w:rFonts w:eastAsia="Arial" w:cs="Arial"/>
        </w:rPr>
        <w:t xml:space="preserve"> &lt;https://www.safercare.vic.gov.au/support-training/adverse-event-review-and-response/duty-of-candour&gt; </w:t>
      </w:r>
      <w:r>
        <w:rPr>
          <w:rFonts w:eastAsia="Arial" w:cs="Arial"/>
        </w:rPr>
        <w:t xml:space="preserve">or email the </w:t>
      </w:r>
      <w:hyperlink r:id="rId347" w:history="1">
        <w:r w:rsidRPr="00252F97">
          <w:rPr>
            <w:rStyle w:val="Hyperlink"/>
            <w:rFonts w:eastAsia="Arial" w:cs="Arial"/>
          </w:rPr>
          <w:t>SDC team</w:t>
        </w:r>
      </w:hyperlink>
      <w:r w:rsidRPr="0670E279">
        <w:rPr>
          <w:rFonts w:eastAsia="Arial" w:cs="Arial"/>
        </w:rPr>
        <w:t xml:space="preserve"> &lt;</w:t>
      </w:r>
      <w:r>
        <w:t>dutyofcandour@</w:t>
      </w:r>
      <w:r w:rsidRPr="00C93D27">
        <w:t>safercare</w:t>
      </w:r>
      <w:r>
        <w:t>.vic.gov.au</w:t>
      </w:r>
      <w:r w:rsidRPr="00C93D27">
        <w:t xml:space="preserve"> </w:t>
      </w:r>
      <w:r w:rsidRPr="0670E279">
        <w:rPr>
          <w:rFonts w:eastAsia="Arial" w:cs="Arial"/>
        </w:rPr>
        <w:t xml:space="preserve">&gt;. </w:t>
      </w:r>
    </w:p>
    <w:p w14:paraId="6735AEFA" w14:textId="77777777" w:rsidR="00817104" w:rsidRDefault="00817104" w:rsidP="00817104">
      <w:pPr>
        <w:pStyle w:val="Heading3"/>
        <w:numPr>
          <w:ilvl w:val="2"/>
          <w:numId w:val="0"/>
        </w:numPr>
        <w:tabs>
          <w:tab w:val="num" w:pos="794"/>
        </w:tabs>
        <w:ind w:left="1134" w:hanging="1134"/>
      </w:pPr>
      <w:r>
        <w:t>20.1.4</w:t>
      </w:r>
      <w:r>
        <w:tab/>
      </w:r>
      <w:r w:rsidRPr="00A70F3C">
        <w:t>Monitoring high</w:t>
      </w:r>
      <w:r>
        <w:t>-</w:t>
      </w:r>
      <w:r w:rsidRPr="00A70F3C">
        <w:t xml:space="preserve">quality </w:t>
      </w:r>
      <w:r>
        <w:t xml:space="preserve">and </w:t>
      </w:r>
      <w:r w:rsidRPr="00A70F3C">
        <w:t>safe care</w:t>
      </w:r>
    </w:p>
    <w:p w14:paraId="1186A3BC" w14:textId="77777777" w:rsidR="00817104" w:rsidRDefault="00817104" w:rsidP="00817104">
      <w:pPr>
        <w:rPr>
          <w:rFonts w:eastAsia="Times"/>
        </w:rPr>
      </w:pPr>
      <w:bookmarkStart w:id="2530" w:name="_Hlk196999378"/>
      <w:bookmarkStart w:id="2531" w:name="_Hlk197002521"/>
      <w:r w:rsidRPr="00561521">
        <w:rPr>
          <w:rFonts w:eastAsia="Times"/>
        </w:rPr>
        <w:t xml:space="preserve">Monitoring </w:t>
      </w:r>
      <w:r>
        <w:rPr>
          <w:rFonts w:eastAsia="Times"/>
        </w:rPr>
        <w:t>the</w:t>
      </w:r>
      <w:r w:rsidRPr="00561521">
        <w:rPr>
          <w:rFonts w:eastAsia="Times"/>
        </w:rPr>
        <w:t xml:space="preserve"> quality and safety </w:t>
      </w:r>
      <w:r>
        <w:rPr>
          <w:rFonts w:eastAsia="Times"/>
        </w:rPr>
        <w:t>of healthcare</w:t>
      </w:r>
      <w:r w:rsidRPr="00561521">
        <w:rPr>
          <w:rFonts w:eastAsia="Times"/>
        </w:rPr>
        <w:t xml:space="preserve"> is critical to ensuring patient safety and driving system improvements. </w:t>
      </w:r>
    </w:p>
    <w:bookmarkEnd w:id="2530"/>
    <w:p w14:paraId="754420E3" w14:textId="6CCF112B" w:rsidR="00817104" w:rsidRPr="00A2704B" w:rsidRDefault="00817104" w:rsidP="00817104">
      <w:pPr>
        <w:spacing w:after="160" w:line="278" w:lineRule="auto"/>
        <w:rPr>
          <w:rFonts w:eastAsia="Times"/>
        </w:rPr>
      </w:pPr>
      <w:r w:rsidRPr="008E1E8C">
        <w:rPr>
          <w:rFonts w:eastAsia="Times"/>
        </w:rPr>
        <w:t xml:space="preserve">Quality and safety core </w:t>
      </w:r>
      <w:r>
        <w:rPr>
          <w:rFonts w:eastAsia="Times"/>
        </w:rPr>
        <w:t xml:space="preserve">performance </w:t>
      </w:r>
      <w:r w:rsidRPr="008E1E8C">
        <w:rPr>
          <w:rFonts w:eastAsia="Times"/>
        </w:rPr>
        <w:t xml:space="preserve">measures </w:t>
      </w:r>
      <w:r>
        <w:rPr>
          <w:rFonts w:eastAsia="Times"/>
        </w:rPr>
        <w:t xml:space="preserve">are </w:t>
      </w:r>
      <w:r w:rsidRPr="008E1E8C">
        <w:rPr>
          <w:rFonts w:eastAsia="Times"/>
        </w:rPr>
        <w:t xml:space="preserve">based </w:t>
      </w:r>
      <w:r>
        <w:rPr>
          <w:rFonts w:eastAsia="Times"/>
        </w:rPr>
        <w:t xml:space="preserve">on priority healthcare indicators, </w:t>
      </w:r>
      <w:r w:rsidRPr="008E1E8C">
        <w:rPr>
          <w:rFonts w:eastAsia="Times"/>
        </w:rPr>
        <w:t>clinical governance, legislated and regulatory policy</w:t>
      </w:r>
      <w:r>
        <w:rPr>
          <w:rFonts w:eastAsia="Times"/>
        </w:rPr>
        <w:t>,</w:t>
      </w:r>
      <w:r w:rsidRPr="008E1E8C">
        <w:rPr>
          <w:rFonts w:eastAsia="Times"/>
        </w:rPr>
        <w:t xml:space="preserve"> and government priorities. </w:t>
      </w:r>
      <w:r>
        <w:rPr>
          <w:rFonts w:eastAsia="Times"/>
        </w:rPr>
        <w:t xml:space="preserve">Health service results are reported quarterly in the </w:t>
      </w:r>
      <w:r w:rsidR="00C67958" w:rsidRPr="007B4A2D">
        <w:t>Victorian health services performance monitor</w:t>
      </w:r>
      <w:r w:rsidR="00C67958">
        <w:t xml:space="preserve"> (</w:t>
      </w:r>
      <w:r w:rsidR="001623F1">
        <w:rPr>
          <w:rFonts w:eastAsia="Times"/>
        </w:rPr>
        <w:t>Monitor</w:t>
      </w:r>
      <w:r w:rsidR="00C67958">
        <w:rPr>
          <w:rFonts w:eastAsia="Times"/>
        </w:rPr>
        <w:t>)</w:t>
      </w:r>
      <w:r w:rsidR="001623F1">
        <w:rPr>
          <w:rFonts w:eastAsia="Times"/>
        </w:rPr>
        <w:t xml:space="preserve"> </w:t>
      </w:r>
      <w:r w:rsidRPr="00A2704B">
        <w:rPr>
          <w:rFonts w:eastAsia="Times"/>
        </w:rPr>
        <w:t xml:space="preserve">and the </w:t>
      </w:r>
      <w:r w:rsidR="00C67958" w:rsidRPr="007B4A2D">
        <w:t>P</w:t>
      </w:r>
      <w:r w:rsidR="00C67958">
        <w:t>erformance Report for Integrated Service Monitoring (</w:t>
      </w:r>
      <w:r w:rsidRPr="00A2704B">
        <w:rPr>
          <w:rFonts w:eastAsia="Times"/>
        </w:rPr>
        <w:t>P</w:t>
      </w:r>
      <w:r>
        <w:rPr>
          <w:rFonts w:eastAsia="Times"/>
        </w:rPr>
        <w:t>RISM</w:t>
      </w:r>
      <w:r w:rsidR="00C67958">
        <w:rPr>
          <w:rFonts w:eastAsia="Times"/>
        </w:rPr>
        <w:t>)</w:t>
      </w:r>
      <w:r>
        <w:rPr>
          <w:rFonts w:eastAsia="Times"/>
        </w:rPr>
        <w:t>.</w:t>
      </w:r>
    </w:p>
    <w:p w14:paraId="51AE8A24" w14:textId="77777777" w:rsidR="00817104" w:rsidRPr="00825569" w:rsidRDefault="00817104" w:rsidP="00817104">
      <w:pPr>
        <w:rPr>
          <w:rFonts w:eastAsia="Times"/>
        </w:rPr>
      </w:pPr>
      <w:r>
        <w:rPr>
          <w:rFonts w:eastAsia="Times"/>
        </w:rPr>
        <w:t>SCV</w:t>
      </w:r>
      <w:r w:rsidRPr="008E1E8C">
        <w:rPr>
          <w:rFonts w:eastAsia="Times"/>
        </w:rPr>
        <w:t xml:space="preserve"> </w:t>
      </w:r>
      <w:r>
        <w:rPr>
          <w:rFonts w:eastAsia="Times"/>
        </w:rPr>
        <w:t xml:space="preserve">reviews health service </w:t>
      </w:r>
      <w:r w:rsidRPr="008E1E8C">
        <w:rPr>
          <w:rFonts w:eastAsia="Times"/>
        </w:rPr>
        <w:t xml:space="preserve">quality and safety measures as </w:t>
      </w:r>
      <w:r>
        <w:rPr>
          <w:rFonts w:eastAsia="Times"/>
        </w:rPr>
        <w:t>part of</w:t>
      </w:r>
      <w:r w:rsidRPr="008E1E8C">
        <w:rPr>
          <w:rFonts w:eastAsia="Times"/>
        </w:rPr>
        <w:t xml:space="preserve"> health service performance</w:t>
      </w:r>
      <w:r>
        <w:rPr>
          <w:rFonts w:eastAsia="Times"/>
        </w:rPr>
        <w:t xml:space="preserve"> monitoring. </w:t>
      </w:r>
      <w:r w:rsidRPr="008E1E8C">
        <w:rPr>
          <w:rFonts w:eastAsia="Times"/>
        </w:rPr>
        <w:t>Core measures are reviewed quarterly</w:t>
      </w:r>
      <w:r>
        <w:rPr>
          <w:rFonts w:eastAsia="Times"/>
        </w:rPr>
        <w:t xml:space="preserve"> against targets and risk factors. C</w:t>
      </w:r>
      <w:r w:rsidRPr="008E1E8C">
        <w:rPr>
          <w:rFonts w:eastAsia="Times"/>
        </w:rPr>
        <w:t xml:space="preserve">omparative data </w:t>
      </w:r>
      <w:r>
        <w:rPr>
          <w:rFonts w:eastAsia="Times"/>
        </w:rPr>
        <w:t xml:space="preserve">is used to </w:t>
      </w:r>
      <w:r w:rsidRPr="008E1E8C">
        <w:rPr>
          <w:rFonts w:eastAsia="Times"/>
        </w:rPr>
        <w:t xml:space="preserve">provide a benchmark for expected performance and support the identification of both strong performance and areas requiring improvement. </w:t>
      </w:r>
      <w:bookmarkStart w:id="2532" w:name="_Hlk197017070"/>
      <w:r w:rsidRPr="008E1E8C">
        <w:rPr>
          <w:rFonts w:eastAsia="Times"/>
        </w:rPr>
        <w:t xml:space="preserve">Additional data sources </w:t>
      </w:r>
      <w:r>
        <w:rPr>
          <w:rFonts w:eastAsia="Times"/>
        </w:rPr>
        <w:t>are</w:t>
      </w:r>
      <w:r w:rsidRPr="008E1E8C">
        <w:rPr>
          <w:rFonts w:eastAsia="Times"/>
        </w:rPr>
        <w:t xml:space="preserve"> used to </w:t>
      </w:r>
      <w:r>
        <w:rPr>
          <w:rFonts w:eastAsia="Times"/>
        </w:rPr>
        <w:t>analyse</w:t>
      </w:r>
      <w:r w:rsidRPr="008E1E8C">
        <w:rPr>
          <w:rFonts w:eastAsia="Times"/>
        </w:rPr>
        <w:t xml:space="preserve"> </w:t>
      </w:r>
      <w:r>
        <w:rPr>
          <w:rFonts w:eastAsia="Times"/>
        </w:rPr>
        <w:t>complex clinical</w:t>
      </w:r>
      <w:r w:rsidRPr="008E1E8C">
        <w:rPr>
          <w:rFonts w:eastAsia="Times"/>
        </w:rPr>
        <w:t xml:space="preserve"> issues. </w:t>
      </w:r>
      <w:bookmarkEnd w:id="2531"/>
      <w:bookmarkEnd w:id="2532"/>
    </w:p>
    <w:p w14:paraId="2FF673A7" w14:textId="77777777" w:rsidR="00817104" w:rsidRDefault="00817104" w:rsidP="00817104">
      <w:pPr>
        <w:pStyle w:val="Heading3"/>
        <w:numPr>
          <w:ilvl w:val="2"/>
          <w:numId w:val="0"/>
        </w:numPr>
        <w:tabs>
          <w:tab w:val="num" w:pos="794"/>
        </w:tabs>
        <w:ind w:left="1134" w:hanging="1134"/>
      </w:pPr>
      <w:r>
        <w:lastRenderedPageBreak/>
        <w:t>20.1.5</w:t>
      </w:r>
      <w:r>
        <w:tab/>
        <w:t xml:space="preserve">Health services performance, quality and safety data and reporting </w:t>
      </w:r>
    </w:p>
    <w:p w14:paraId="1CBF88B7" w14:textId="77777777" w:rsidR="00817104" w:rsidRDefault="00817104" w:rsidP="00817104">
      <w:pPr>
        <w:pStyle w:val="Body"/>
      </w:pPr>
      <w:r>
        <w:t>The eHealth division of the department collects, analyses and reports performance, quality and safety measures to health services, the department, SCV and other government agencies. In February 2024, the entity formerly known as the Victorian Agency for Health Information (VAHI) was incorporated into the eHealth division; however, reporting products distributed outside the department continue to use the VAHI brand for continuity for the time being. During 2026–27, the VAHI brand will be progressively retired.</w:t>
      </w:r>
    </w:p>
    <w:p w14:paraId="7AEC8D0C" w14:textId="77777777" w:rsidR="00817104" w:rsidRDefault="00817104" w:rsidP="00817104">
      <w:pPr>
        <w:pStyle w:val="Body"/>
      </w:pPr>
      <w:r>
        <w:t xml:space="preserve">Information is provided to health services as part of a suite of routine performance reports, such as the </w:t>
      </w:r>
      <w:r w:rsidRPr="007B4A2D">
        <w:t>Victorian health services performance monitor</w:t>
      </w:r>
      <w:r>
        <w:t xml:space="preserve"> (Monitor)</w:t>
      </w:r>
      <w:r w:rsidRPr="0030622A">
        <w:t>, the</w:t>
      </w:r>
      <w:r w:rsidRPr="007B4A2D">
        <w:t xml:space="preserve"> P</w:t>
      </w:r>
      <w:r>
        <w:t>erformance Report for Integrated Service Monitoring (</w:t>
      </w:r>
      <w:r w:rsidRPr="007B4A2D">
        <w:t>P</w:t>
      </w:r>
      <w:r>
        <w:t>RISM)</w:t>
      </w:r>
      <w:r w:rsidRPr="0030622A">
        <w:t xml:space="preserve">, </w:t>
      </w:r>
      <w:r w:rsidRPr="00E53529">
        <w:t>Mental health performance reports</w:t>
      </w:r>
      <w:r>
        <w:t>, and a series of specialist quality and safety reports to support performance and safety and quality monitoring, and promote service improvement.</w:t>
      </w:r>
    </w:p>
    <w:p w14:paraId="5FEC0AE1" w14:textId="77777777" w:rsidR="00817104" w:rsidRDefault="00817104" w:rsidP="00817104">
      <w:pPr>
        <w:pStyle w:val="Body"/>
      </w:pPr>
      <w:r>
        <w:t xml:space="preserve">Reports and dashboards are currently made available to authorised users in the sector via the </w:t>
      </w:r>
      <w:r w:rsidRPr="00FF2D1F">
        <w:t>VAHI portal</w:t>
      </w:r>
      <w:r>
        <w:t>. In 2026–27, reporting products will be reviewed and revised as necessary to facilitate continued strategic alignment and sustainability.</w:t>
      </w:r>
    </w:p>
    <w:p w14:paraId="7D6A4DF3" w14:textId="77777777" w:rsidR="00817104" w:rsidRDefault="00817104" w:rsidP="00817104">
      <w:pPr>
        <w:pStyle w:val="Bodyafterbullets"/>
      </w:pPr>
      <w:r>
        <w:t xml:space="preserve">eHealth will continue to provide the Victorian community with information about health services quality, safety and performance, through quarterly performance data releases on the </w:t>
      </w:r>
      <w:r w:rsidRPr="002F5305">
        <w:t>Victorian Health Services Performance</w:t>
      </w:r>
      <w:r>
        <w:t xml:space="preserve"> website.</w:t>
      </w:r>
    </w:p>
    <w:p w14:paraId="723D58E9" w14:textId="77777777" w:rsidR="00817104" w:rsidRDefault="00817104" w:rsidP="00817104">
      <w:pPr>
        <w:pStyle w:val="Bodyafterbullets"/>
      </w:pPr>
      <w:r>
        <w:t>For more information, visit:</w:t>
      </w:r>
    </w:p>
    <w:p w14:paraId="3688E9BE" w14:textId="77777777" w:rsidR="00817104" w:rsidRDefault="00817104" w:rsidP="00817104">
      <w:pPr>
        <w:pStyle w:val="Bullet1"/>
        <w:numPr>
          <w:ilvl w:val="0"/>
          <w:numId w:val="2"/>
        </w:numPr>
      </w:pPr>
      <w:hyperlink r:id="rId348" w:history="1">
        <w:r w:rsidRPr="0030622A">
          <w:rPr>
            <w:rStyle w:val="Hyperlink"/>
          </w:rPr>
          <w:t>Mental health performance reports</w:t>
        </w:r>
      </w:hyperlink>
      <w:r w:rsidRPr="0030622A">
        <w:t xml:space="preserve"> &lt;https://www.health.vic.gov.au/research-and-report</w:t>
      </w:r>
      <w:r w:rsidRPr="00285119">
        <w:t>ing/mental-health-performance-reports</w:t>
      </w:r>
      <w:r>
        <w:t>&gt;</w:t>
      </w:r>
    </w:p>
    <w:p w14:paraId="3D7BE4AE" w14:textId="77777777" w:rsidR="00817104" w:rsidRDefault="00817104" w:rsidP="00817104">
      <w:pPr>
        <w:pStyle w:val="Bullet1"/>
        <w:numPr>
          <w:ilvl w:val="0"/>
          <w:numId w:val="2"/>
        </w:numPr>
      </w:pPr>
      <w:hyperlink r:id="rId349">
        <w:r w:rsidRPr="00252F97">
          <w:rPr>
            <w:rStyle w:val="Hyperlink"/>
          </w:rPr>
          <w:t>VAHI portal</w:t>
        </w:r>
      </w:hyperlink>
      <w:r w:rsidDel="00F802BC">
        <w:t xml:space="preserve"> </w:t>
      </w:r>
      <w:r>
        <w:t>&lt;</w:t>
      </w:r>
      <w:r w:rsidRPr="00D314A2">
        <w:t>https://vahi.vic.gov.au/</w:t>
      </w:r>
      <w:r>
        <w:t>&gt;</w:t>
      </w:r>
    </w:p>
    <w:p w14:paraId="5500CC10" w14:textId="77777777" w:rsidR="00817104" w:rsidRDefault="00817104" w:rsidP="00817104">
      <w:pPr>
        <w:pStyle w:val="Bullet1"/>
        <w:numPr>
          <w:ilvl w:val="0"/>
          <w:numId w:val="2"/>
        </w:numPr>
      </w:pPr>
      <w:hyperlink r:id="rId350">
        <w:r w:rsidRPr="0670E279">
          <w:rPr>
            <w:rStyle w:val="Hyperlink"/>
          </w:rPr>
          <w:t>Victorian Health Services Performance</w:t>
        </w:r>
      </w:hyperlink>
      <w:r>
        <w:t xml:space="preserve"> &lt;https://vahi.vic.gov.au/reports/victorian-health-services-performance&gt;.</w:t>
      </w:r>
    </w:p>
    <w:p w14:paraId="1AA16E63" w14:textId="77777777" w:rsidR="00817104" w:rsidRDefault="00817104" w:rsidP="00817104">
      <w:pPr>
        <w:pStyle w:val="Heading3"/>
        <w:numPr>
          <w:ilvl w:val="2"/>
          <w:numId w:val="0"/>
        </w:numPr>
        <w:tabs>
          <w:tab w:val="num" w:pos="794"/>
        </w:tabs>
        <w:ind w:left="1134" w:hanging="1134"/>
      </w:pPr>
      <w:r>
        <w:t>20.1.6</w:t>
      </w:r>
      <w:r>
        <w:tab/>
        <w:t xml:space="preserve">Clinical quality registries </w:t>
      </w:r>
    </w:p>
    <w:p w14:paraId="3E148702" w14:textId="77777777" w:rsidR="00817104" w:rsidRDefault="00817104" w:rsidP="00817104">
      <w:pPr>
        <w:pStyle w:val="Body"/>
      </w:pPr>
      <w:r>
        <w:t xml:space="preserve">Clinical quality registries (CQRs) collect detailed clinical information on care provided and patient outcomes to drive improvements in the quality and safety of health care. </w:t>
      </w:r>
      <w:r w:rsidRPr="00B2737C">
        <w:t>This is achieved</w:t>
      </w:r>
      <w:r>
        <w:t xml:space="preserve"> through the analysis of data to identify benchmarks for clinical performance and related variation in clinical outcomes. Victorian public health services and clinicians currently contribute data to approximately 50 health-related national and state-based CQRs.</w:t>
      </w:r>
    </w:p>
    <w:p w14:paraId="348C36A9" w14:textId="77777777" w:rsidR="00817104" w:rsidRDefault="00817104" w:rsidP="00817104">
      <w:pPr>
        <w:pStyle w:val="Body"/>
      </w:pPr>
      <w:r w:rsidRPr="0670E279">
        <w:t>T</w:t>
      </w:r>
      <w:r>
        <w:t xml:space="preserve">he Victorian Government provided funding for nine CQRs in </w:t>
      </w:r>
      <w:r w:rsidRPr="00DC0E7E">
        <w:t>202</w:t>
      </w:r>
      <w:r>
        <w:t>5–</w:t>
      </w:r>
      <w:r w:rsidRPr="00DC0E7E">
        <w:t>2</w:t>
      </w:r>
      <w:r>
        <w:t>6</w:t>
      </w:r>
      <w:r w:rsidRPr="00DC0E7E">
        <w:t>.</w:t>
      </w:r>
      <w:r>
        <w:t xml:space="preserve"> It </w:t>
      </w:r>
      <w:r w:rsidRPr="00DC0E7E">
        <w:t>is committed to ensuring data from</w:t>
      </w:r>
      <w:r>
        <w:t xml:space="preserve"> CQRs are used effectively by government agencies and the health sector to drive quality improvements.</w:t>
      </w:r>
    </w:p>
    <w:p w14:paraId="0219D08F" w14:textId="77777777" w:rsidR="00817104" w:rsidRDefault="00817104" w:rsidP="00817104">
      <w:pPr>
        <w:pStyle w:val="Body"/>
      </w:pPr>
      <w:r>
        <w:t>SCV works in partnership with registry custodians and key stakeholders to help registries meet contractual arrangements and associated funding obligations. The contracts stipulate that quarterly or biannual reports of summarised data are submitted to SCV and/or the department.</w:t>
      </w:r>
    </w:p>
    <w:p w14:paraId="3362A54A" w14:textId="77777777" w:rsidR="00817104" w:rsidRDefault="00817104" w:rsidP="00817104">
      <w:pPr>
        <w:pStyle w:val="Body"/>
      </w:pPr>
      <w:r w:rsidRPr="00DC3558">
        <w:t>Data</w:t>
      </w:r>
      <w:r>
        <w:t xml:space="preserve"> </w:t>
      </w:r>
      <w:r w:rsidRPr="00DC3558">
        <w:t>in</w:t>
      </w:r>
      <w:r>
        <w:t xml:space="preserve"> </w:t>
      </w:r>
      <w:r w:rsidRPr="00DC3558">
        <w:t>these</w:t>
      </w:r>
      <w:r>
        <w:t xml:space="preserve"> </w:t>
      </w:r>
      <w:r w:rsidRPr="00DC3558">
        <w:t>reports</w:t>
      </w:r>
      <w:r>
        <w:t xml:space="preserve"> identify individual </w:t>
      </w:r>
      <w:r w:rsidRPr="00DC3558">
        <w:t>Victorian</w:t>
      </w:r>
      <w:r>
        <w:t xml:space="preserve"> </w:t>
      </w:r>
      <w:r w:rsidRPr="00DC3558">
        <w:t>public</w:t>
      </w:r>
      <w:r>
        <w:t xml:space="preserve"> </w:t>
      </w:r>
      <w:r w:rsidRPr="00DC3558">
        <w:t>health</w:t>
      </w:r>
      <w:r>
        <w:t xml:space="preserve"> </w:t>
      </w:r>
      <w:r w:rsidRPr="00DC3558">
        <w:t>services</w:t>
      </w:r>
      <w:r>
        <w:t xml:space="preserve"> and are used to inform </w:t>
      </w:r>
      <w:r w:rsidRPr="00DC3558">
        <w:t>statewide</w:t>
      </w:r>
      <w:r>
        <w:t xml:space="preserve"> </w:t>
      </w:r>
      <w:r w:rsidRPr="00DC3558">
        <w:t>quality</w:t>
      </w:r>
      <w:r>
        <w:t xml:space="preserve"> </w:t>
      </w:r>
      <w:r w:rsidRPr="00DC3558">
        <w:t>improvement</w:t>
      </w:r>
      <w:r>
        <w:t xml:space="preserve"> </w:t>
      </w:r>
      <w:r w:rsidRPr="00DC3558">
        <w:t>activity</w:t>
      </w:r>
      <w:r>
        <w:t xml:space="preserve"> </w:t>
      </w:r>
      <w:r w:rsidRPr="00DC3558">
        <w:t>and</w:t>
      </w:r>
      <w:r>
        <w:t xml:space="preserve"> </w:t>
      </w:r>
      <w:r w:rsidRPr="00DC3558">
        <w:t>service</w:t>
      </w:r>
      <w:r>
        <w:t xml:space="preserve"> </w:t>
      </w:r>
      <w:r w:rsidRPr="00DC3558">
        <w:t>planning.</w:t>
      </w:r>
      <w:r>
        <w:t xml:space="preserve"> D</w:t>
      </w:r>
      <w:r w:rsidRPr="009A3AC2">
        <w:t>ata</w:t>
      </w:r>
      <w:r>
        <w:t xml:space="preserve"> </w:t>
      </w:r>
      <w:r w:rsidRPr="009A3AC2">
        <w:t>from</w:t>
      </w:r>
      <w:r>
        <w:t xml:space="preserve"> CQRs are used by SCV </w:t>
      </w:r>
      <w:r w:rsidRPr="009A3AC2">
        <w:t>for</w:t>
      </w:r>
      <w:r>
        <w:t xml:space="preserve"> </w:t>
      </w:r>
      <w:r w:rsidRPr="009A3AC2">
        <w:t>the</w:t>
      </w:r>
      <w:r>
        <w:t xml:space="preserve"> </w:t>
      </w:r>
      <w:r w:rsidRPr="009A3AC2">
        <w:t>purpose</w:t>
      </w:r>
      <w:r>
        <w:t xml:space="preserve"> </w:t>
      </w:r>
      <w:r w:rsidRPr="009A3AC2">
        <w:t>of</w:t>
      </w:r>
      <w:r>
        <w:t xml:space="preserve"> </w:t>
      </w:r>
      <w:r w:rsidRPr="009A3AC2">
        <w:t>recognising</w:t>
      </w:r>
      <w:r>
        <w:t xml:space="preserve"> </w:t>
      </w:r>
      <w:r w:rsidRPr="009A3AC2">
        <w:t>system</w:t>
      </w:r>
      <w:r>
        <w:t xml:space="preserve"> </w:t>
      </w:r>
      <w:r w:rsidRPr="009A3AC2">
        <w:t>vulnerabilities</w:t>
      </w:r>
      <w:r>
        <w:t xml:space="preserve"> </w:t>
      </w:r>
      <w:r w:rsidRPr="009A3AC2">
        <w:t>and</w:t>
      </w:r>
      <w:r>
        <w:t xml:space="preserve"> </w:t>
      </w:r>
      <w:r w:rsidRPr="009A3AC2">
        <w:t>key</w:t>
      </w:r>
      <w:r>
        <w:t xml:space="preserve"> </w:t>
      </w:r>
      <w:r w:rsidRPr="009A3AC2">
        <w:t>risks,</w:t>
      </w:r>
      <w:r>
        <w:t xml:space="preserve"> </w:t>
      </w:r>
      <w:r w:rsidRPr="009A3AC2">
        <w:t>to</w:t>
      </w:r>
      <w:r>
        <w:t xml:space="preserve"> </w:t>
      </w:r>
      <w:r w:rsidRPr="009A3AC2">
        <w:t>identify</w:t>
      </w:r>
      <w:r>
        <w:t xml:space="preserve"> </w:t>
      </w:r>
      <w:r w:rsidRPr="009A3AC2">
        <w:t>improvement</w:t>
      </w:r>
      <w:r>
        <w:t xml:space="preserve"> </w:t>
      </w:r>
      <w:r w:rsidRPr="009A3AC2">
        <w:t>opportunities</w:t>
      </w:r>
      <w:r>
        <w:t xml:space="preserve"> </w:t>
      </w:r>
      <w:r w:rsidRPr="009A3AC2">
        <w:t>and</w:t>
      </w:r>
      <w:r>
        <w:t xml:space="preserve"> </w:t>
      </w:r>
      <w:r w:rsidRPr="009A3AC2">
        <w:t>to</w:t>
      </w:r>
      <w:r>
        <w:t xml:space="preserve"> </w:t>
      </w:r>
      <w:r w:rsidRPr="009A3AC2">
        <w:t>monitor</w:t>
      </w:r>
      <w:r>
        <w:t xml:space="preserve"> </w:t>
      </w:r>
      <w:r w:rsidRPr="009A3AC2">
        <w:t>delivery</w:t>
      </w:r>
      <w:r>
        <w:t xml:space="preserve"> </w:t>
      </w:r>
      <w:r w:rsidRPr="009A3AC2">
        <w:t>of</w:t>
      </w:r>
      <w:r>
        <w:t xml:space="preserve"> </w:t>
      </w:r>
      <w:r w:rsidRPr="009A3AC2">
        <w:t>improvements.</w:t>
      </w:r>
    </w:p>
    <w:p w14:paraId="6A6BC938" w14:textId="77777777" w:rsidR="00817104" w:rsidRDefault="00817104" w:rsidP="00817104">
      <w:pPr>
        <w:pStyle w:val="Body"/>
      </w:pPr>
      <w:r>
        <w:t>CQR data have been linked with other datasets to better inform the development of various statewide quality and safety indicators f</w:t>
      </w:r>
      <w:r w:rsidRPr="00DC3558">
        <w:t>or</w:t>
      </w:r>
      <w:r>
        <w:t xml:space="preserve"> </w:t>
      </w:r>
      <w:r w:rsidRPr="00DC3558">
        <w:t>the</w:t>
      </w:r>
      <w:r>
        <w:t>:</w:t>
      </w:r>
    </w:p>
    <w:p w14:paraId="4413692C" w14:textId="77777777" w:rsidR="00817104" w:rsidRDefault="00817104">
      <w:pPr>
        <w:pStyle w:val="Bullet1"/>
        <w:numPr>
          <w:ilvl w:val="0"/>
          <w:numId w:val="14"/>
        </w:numPr>
        <w:ind w:left="426" w:hanging="426"/>
      </w:pPr>
      <w:hyperlink r:id="rId351" w:history="1">
        <w:r w:rsidRPr="00414F5C">
          <w:rPr>
            <w:rStyle w:val="Hyperlink"/>
          </w:rPr>
          <w:t>Victorian State Trauma Registr</w:t>
        </w:r>
        <w:r>
          <w:rPr>
            <w:rStyle w:val="Hyperlink"/>
          </w:rPr>
          <w:t>y</w:t>
        </w:r>
      </w:hyperlink>
      <w:r>
        <w:t xml:space="preserve"> &lt;</w:t>
      </w:r>
      <w:r w:rsidRPr="00621B1D">
        <w:t>https://www.health.vic.gov.au/victorian-state-trauma-system/about-the-victorian-state-trauma-system</w:t>
      </w:r>
      <w:r>
        <w:t>&gt; (Section 29.1.13)</w:t>
      </w:r>
    </w:p>
    <w:p w14:paraId="37B6922E" w14:textId="77777777" w:rsidR="00817104" w:rsidRDefault="00817104">
      <w:pPr>
        <w:pStyle w:val="Bullet1"/>
        <w:numPr>
          <w:ilvl w:val="0"/>
          <w:numId w:val="14"/>
        </w:numPr>
        <w:ind w:left="426" w:hanging="426"/>
      </w:pPr>
      <w:hyperlink r:id="rId352" w:history="1">
        <w:r w:rsidRPr="001049A1">
          <w:rPr>
            <w:rStyle w:val="Hyperlink"/>
          </w:rPr>
          <w:t>Australian and New Zealand Society of Cardiac and Thoracic Surgeons (ANZSCTS) Database</w:t>
        </w:r>
      </w:hyperlink>
      <w:r>
        <w:t xml:space="preserve"> &lt;</w:t>
      </w:r>
      <w:r w:rsidRPr="001049A1">
        <w:t>https://anzscts.org/database/</w:t>
      </w:r>
      <w:r>
        <w:t xml:space="preserve">&gt; (Section 29.1.16) </w:t>
      </w:r>
    </w:p>
    <w:p w14:paraId="7212B657" w14:textId="77777777" w:rsidR="00817104" w:rsidRDefault="00817104">
      <w:pPr>
        <w:pStyle w:val="Bullet1"/>
        <w:numPr>
          <w:ilvl w:val="0"/>
          <w:numId w:val="14"/>
        </w:numPr>
        <w:ind w:left="426" w:hanging="426"/>
      </w:pPr>
      <w:hyperlink r:id="rId353" w:history="1">
        <w:r w:rsidRPr="006E6FBA">
          <w:rPr>
            <w:rStyle w:val="Hyperlink"/>
          </w:rPr>
          <w:t>ANZICS CORE Registries</w:t>
        </w:r>
      </w:hyperlink>
      <w:r>
        <w:t xml:space="preserve"> &lt;</w:t>
      </w:r>
      <w:r w:rsidRPr="006E6FBA">
        <w:t>https://www.anzics.org/anzics-registries/</w:t>
      </w:r>
      <w:r>
        <w:t>&gt; (Section 29.1.19)</w:t>
      </w:r>
    </w:p>
    <w:p w14:paraId="52EA1A52" w14:textId="77777777" w:rsidR="00817104" w:rsidRDefault="00817104">
      <w:pPr>
        <w:pStyle w:val="Bullet1"/>
        <w:numPr>
          <w:ilvl w:val="0"/>
          <w:numId w:val="14"/>
        </w:numPr>
        <w:ind w:left="426" w:hanging="426"/>
      </w:pPr>
      <w:hyperlink r:id="rId354" w:history="1">
        <w:r w:rsidRPr="004D7886">
          <w:rPr>
            <w:rStyle w:val="Hyperlink"/>
          </w:rPr>
          <w:t>Victorian Cardiac Outcomes Registry</w:t>
        </w:r>
      </w:hyperlink>
      <w:r>
        <w:t xml:space="preserve"> &lt;</w:t>
      </w:r>
      <w:r w:rsidRPr="004D7886">
        <w:t>https://www.monash.edu/medicine/sphpm/vcor</w:t>
      </w:r>
      <w:r>
        <w:t>&gt; (Section 29.1.17)</w:t>
      </w:r>
    </w:p>
    <w:p w14:paraId="7A009939" w14:textId="77777777" w:rsidR="00817104" w:rsidRDefault="00817104">
      <w:pPr>
        <w:pStyle w:val="Bullet1"/>
        <w:numPr>
          <w:ilvl w:val="0"/>
          <w:numId w:val="14"/>
        </w:numPr>
        <w:ind w:left="426" w:hanging="426"/>
      </w:pPr>
      <w:hyperlink r:id="rId355" w:history="1">
        <w:r w:rsidRPr="005D324A">
          <w:rPr>
            <w:rStyle w:val="Hyperlink"/>
          </w:rPr>
          <w:t>Australian Stroke Clinical Registry</w:t>
        </w:r>
      </w:hyperlink>
      <w:r>
        <w:t xml:space="preserve"> &lt;</w:t>
      </w:r>
      <w:r w:rsidRPr="00244A42">
        <w:t xml:space="preserve"> https://auscr.com.au/</w:t>
      </w:r>
      <w:r>
        <w:t>&gt; (Section 29.1.18) (requires login).</w:t>
      </w:r>
    </w:p>
    <w:p w14:paraId="04030CF5" w14:textId="77777777" w:rsidR="00817104" w:rsidRDefault="00817104" w:rsidP="00817104">
      <w:pPr>
        <w:pStyle w:val="Bodyafterbullets"/>
      </w:pPr>
      <w:r>
        <w:t>I</w:t>
      </w:r>
      <w:r w:rsidRPr="00DC3558">
        <w:t>t</w:t>
      </w:r>
      <w:r>
        <w:t xml:space="preserve"> </w:t>
      </w:r>
      <w:r w:rsidRPr="00DC3558">
        <w:t>is</w:t>
      </w:r>
      <w:r>
        <w:t xml:space="preserve"> </w:t>
      </w:r>
      <w:r w:rsidRPr="00DC3558">
        <w:t>mandatory</w:t>
      </w:r>
      <w:r>
        <w:t xml:space="preserve"> </w:t>
      </w:r>
      <w:r w:rsidRPr="00DC3558">
        <w:t>for</w:t>
      </w:r>
      <w:r>
        <w:t xml:space="preserve"> </w:t>
      </w:r>
      <w:r w:rsidRPr="00DC3558">
        <w:t>public</w:t>
      </w:r>
      <w:r>
        <w:t xml:space="preserve"> </w:t>
      </w:r>
      <w:r w:rsidRPr="00DC3558">
        <w:t>health</w:t>
      </w:r>
      <w:r>
        <w:t xml:space="preserve"> </w:t>
      </w:r>
      <w:r w:rsidRPr="00DC3558">
        <w:t>services</w:t>
      </w:r>
      <w:r>
        <w:t xml:space="preserve"> </w:t>
      </w:r>
      <w:r w:rsidRPr="00DC3558">
        <w:t>covering</w:t>
      </w:r>
      <w:r>
        <w:t xml:space="preserve"> </w:t>
      </w:r>
      <w:r w:rsidRPr="00DC3558">
        <w:t>procedures</w:t>
      </w:r>
      <w:r>
        <w:t xml:space="preserve"> </w:t>
      </w:r>
      <w:r w:rsidRPr="00DC3558">
        <w:t>captured</w:t>
      </w:r>
      <w:r>
        <w:t xml:space="preserve"> </w:t>
      </w:r>
      <w:r w:rsidRPr="00DC3558">
        <w:t>by</w:t>
      </w:r>
      <w:r>
        <w:t xml:space="preserve"> </w:t>
      </w:r>
      <w:r w:rsidRPr="00DC3558">
        <w:t>these</w:t>
      </w:r>
      <w:r>
        <w:t xml:space="preserve"> </w:t>
      </w:r>
      <w:r w:rsidRPr="00DC3558">
        <w:t>registries</w:t>
      </w:r>
      <w:r>
        <w:t xml:space="preserve"> </w:t>
      </w:r>
      <w:r w:rsidRPr="00DC3558">
        <w:t>to</w:t>
      </w:r>
      <w:r>
        <w:t xml:space="preserve"> </w:t>
      </w:r>
      <w:r w:rsidRPr="00DC3558">
        <w:t>provide</w:t>
      </w:r>
      <w:r>
        <w:t xml:space="preserve"> </w:t>
      </w:r>
      <w:r w:rsidRPr="00DC3558">
        <w:t>data.</w:t>
      </w:r>
    </w:p>
    <w:p w14:paraId="0414C031" w14:textId="77777777" w:rsidR="00817104" w:rsidRPr="0069331D" w:rsidRDefault="00817104" w:rsidP="00817104">
      <w:pPr>
        <w:pStyle w:val="Heading3"/>
        <w:numPr>
          <w:ilvl w:val="2"/>
          <w:numId w:val="0"/>
        </w:numPr>
        <w:tabs>
          <w:tab w:val="num" w:pos="794"/>
        </w:tabs>
        <w:ind w:left="1134" w:hanging="1134"/>
      </w:pPr>
      <w:bookmarkStart w:id="2533" w:name="_Infection_prevention_and"/>
      <w:bookmarkEnd w:id="2533"/>
      <w:r>
        <w:t>20.1.7</w:t>
      </w:r>
      <w:r>
        <w:tab/>
        <w:t>Infection prevention and control reporting</w:t>
      </w:r>
    </w:p>
    <w:p w14:paraId="2B1DB938" w14:textId="77777777" w:rsidR="00817104" w:rsidRDefault="00817104" w:rsidP="00817104">
      <w:pPr>
        <w:pStyle w:val="Body"/>
      </w:pPr>
      <w:bookmarkStart w:id="2534" w:name="_Toc165964727"/>
      <w:bookmarkStart w:id="2535" w:name="_Toc167174587"/>
      <w:r>
        <w:t xml:space="preserve">The effective prevention and control of infection are an integral part of the quality, safety and clinical risk management operations at all health services. </w:t>
      </w:r>
    </w:p>
    <w:p w14:paraId="2E5773A2" w14:textId="77777777" w:rsidR="00817104" w:rsidRDefault="00817104" w:rsidP="00817104">
      <w:pPr>
        <w:pStyle w:val="Body"/>
      </w:pPr>
      <w:r w:rsidRPr="00CE212D">
        <w:t xml:space="preserve">Health services’ monitoring of the occurrence and rate of infections, and comparing these with peer services, provides useful information on how the service is performing and can guide improvement. </w:t>
      </w:r>
      <w:r>
        <w:t>Infection prevention and control data are collected and reported through two third-party surveillance initiatives:</w:t>
      </w:r>
    </w:p>
    <w:p w14:paraId="6BFBE2F8" w14:textId="77777777" w:rsidR="00817104" w:rsidRDefault="00817104" w:rsidP="00817104">
      <w:pPr>
        <w:pStyle w:val="Bullet1"/>
        <w:numPr>
          <w:ilvl w:val="0"/>
          <w:numId w:val="2"/>
        </w:numPr>
      </w:pPr>
      <w:r>
        <w:t xml:space="preserve">VICNISS Coordinating Centre </w:t>
      </w:r>
    </w:p>
    <w:p w14:paraId="393F2B1F" w14:textId="77777777" w:rsidR="00817104" w:rsidRDefault="00817104" w:rsidP="00817104">
      <w:pPr>
        <w:pStyle w:val="Bullet1"/>
        <w:numPr>
          <w:ilvl w:val="0"/>
          <w:numId w:val="2"/>
        </w:numPr>
      </w:pPr>
      <w:r>
        <w:t>National Hand Hygiene Initiative.</w:t>
      </w:r>
    </w:p>
    <w:p w14:paraId="476614CF" w14:textId="77777777" w:rsidR="00817104" w:rsidRPr="00AD0967" w:rsidRDefault="00817104" w:rsidP="00817104">
      <w:pPr>
        <w:pStyle w:val="Heading4"/>
      </w:pPr>
      <w:r>
        <w:t>Healthcare-associated infections</w:t>
      </w:r>
    </w:p>
    <w:p w14:paraId="32392D28" w14:textId="77777777" w:rsidR="00817104" w:rsidRPr="00165963" w:rsidRDefault="00817104" w:rsidP="00817104">
      <w:pPr>
        <w:pStyle w:val="Body"/>
      </w:pPr>
      <w:r>
        <w:t xml:space="preserve">Health services’ monitoring of the occurrence and rate of infections, and comparing these with peer services, provides useful information on how the service is performing and can guide improvement. </w:t>
      </w:r>
    </w:p>
    <w:p w14:paraId="568616D8" w14:textId="77777777" w:rsidR="00817104" w:rsidRDefault="00817104" w:rsidP="00817104">
      <w:pPr>
        <w:pStyle w:val="Body"/>
      </w:pPr>
      <w:r>
        <w:t xml:space="preserve">The VICNISS Coordinating Centre collects and analyses data from individual hospitals, including data on risk-adjusted, procedure-specific infection rates (surgical site infections), </w:t>
      </w:r>
      <w:r w:rsidRPr="00B9744A">
        <w:t>Staphylococcus aureus</w:t>
      </w:r>
      <w:r>
        <w:t xml:space="preserve"> bacteraemia-associated infections and central-line-associated bloodstream infections in intensive care units (ICUs</w:t>
      </w:r>
      <w:bookmarkStart w:id="2536" w:name="_Hlk197003804"/>
      <w:r>
        <w:t>).</w:t>
      </w:r>
    </w:p>
    <w:p w14:paraId="712748F6" w14:textId="77777777" w:rsidR="00817104" w:rsidRPr="008B0F11" w:rsidRDefault="00817104" w:rsidP="00817104">
      <w:pPr>
        <w:pStyle w:val="Body"/>
      </w:pPr>
      <w:r w:rsidRPr="003D7A03">
        <w:t>VICNISS provides a list of mandatory and voluntary</w:t>
      </w:r>
      <w:hyperlink r:id="rId356" w:history="1">
        <w:r w:rsidRPr="00610ACD">
          <w:rPr>
            <w:rStyle w:val="Hyperlink"/>
          </w:rPr>
          <w:t xml:space="preserve"> surveillance activities in hospitals</w:t>
        </w:r>
      </w:hyperlink>
      <w:r w:rsidRPr="003D7A03">
        <w:t xml:space="preserve"> </w:t>
      </w:r>
      <w:r>
        <w:t>&lt;</w:t>
      </w:r>
      <w:r w:rsidRPr="00610ACD">
        <w:t>https://uat.vicniss.org.au/about/surveillance-activities-in-our-hospitals/vicniss-surveillance-activities-in-our-hospitals</w:t>
      </w:r>
      <w:r w:rsidRPr="003D7A03" w:rsidDel="005B589C">
        <w:t>/</w:t>
      </w:r>
      <w:r w:rsidDel="005B589C">
        <w:t>&gt;</w:t>
      </w:r>
      <w:r w:rsidRPr="003D7A03" w:rsidDel="005B589C">
        <w:t>.</w:t>
      </w:r>
    </w:p>
    <w:bookmarkEnd w:id="2536"/>
    <w:p w14:paraId="0B27062C" w14:textId="77777777" w:rsidR="00817104" w:rsidRPr="00AD0967" w:rsidRDefault="00817104" w:rsidP="00817104">
      <w:pPr>
        <w:pStyle w:val="Heading4"/>
      </w:pPr>
      <w:r>
        <w:t>Healthcare worker influenza immunisation</w:t>
      </w:r>
    </w:p>
    <w:p w14:paraId="732482C0" w14:textId="77777777" w:rsidR="00817104" w:rsidRDefault="00817104" w:rsidP="00817104">
      <w:pPr>
        <w:pStyle w:val="Body"/>
      </w:pPr>
      <w:r>
        <w:t>Health services must take all reasonable steps to ensure staff are protected against vaccine-preventable diseases. High coverage rates for immunisation in healthcare workers are essential to reduce the risk of transmission in healthcare settings.</w:t>
      </w:r>
    </w:p>
    <w:p w14:paraId="5AB8E580" w14:textId="77777777" w:rsidR="00817104" w:rsidRDefault="00817104" w:rsidP="00817104">
      <w:pPr>
        <w:pStyle w:val="Body"/>
      </w:pPr>
      <w:r>
        <w:t xml:space="preserve">Health services must audit and report healthcare workers’ influenza vaccination rates annually. Audit data is collated by the VICNISS Coordinating Centre and reported to the department. Annual results are published in the </w:t>
      </w:r>
      <w:r w:rsidRPr="009E5666">
        <w:t>P</w:t>
      </w:r>
      <w:r>
        <w:t>RISM.</w:t>
      </w:r>
    </w:p>
    <w:p w14:paraId="0249531E" w14:textId="77777777" w:rsidR="00817104" w:rsidRDefault="00817104" w:rsidP="00817104">
      <w:pPr>
        <w:pStyle w:val="Body"/>
      </w:pPr>
      <w:r>
        <w:t xml:space="preserve">For more information on the healthcare worker influenza immunisation program, visit </w:t>
      </w:r>
      <w:hyperlink r:id="rId357">
        <w:r w:rsidRPr="0670E279">
          <w:rPr>
            <w:rStyle w:val="Hyperlink"/>
          </w:rPr>
          <w:t>Vaccination for healthcare workers</w:t>
        </w:r>
      </w:hyperlink>
      <w:r>
        <w:t xml:space="preserve"> &lt;https://www.health.vic.gov.au/immunisation/vaccination-for-healthcare-workers&gt;.</w:t>
      </w:r>
    </w:p>
    <w:p w14:paraId="520663CA" w14:textId="77777777" w:rsidR="00817104" w:rsidRDefault="00817104" w:rsidP="00817104">
      <w:pPr>
        <w:pStyle w:val="Body"/>
      </w:pPr>
    </w:p>
    <w:p w14:paraId="5A2F1792" w14:textId="77777777" w:rsidR="00817104" w:rsidRPr="000F01F1" w:rsidRDefault="00817104" w:rsidP="00817104">
      <w:pPr>
        <w:pStyle w:val="Heading4"/>
        <w:rPr>
          <w:b w:val="0"/>
          <w:bCs w:val="0"/>
        </w:rPr>
      </w:pPr>
      <w:r>
        <w:lastRenderedPageBreak/>
        <w:t>Hand hygiene compliance</w:t>
      </w:r>
    </w:p>
    <w:p w14:paraId="5BA82F0D" w14:textId="77777777" w:rsidR="00817104" w:rsidRDefault="00817104" w:rsidP="00817104">
      <w:pPr>
        <w:pStyle w:val="Body"/>
      </w:pPr>
      <w:r>
        <w:t>All public health services are required to provide hand hygiene data as part of mandatory reporting. Health service reporting requirements depend on the size and type of services.</w:t>
      </w:r>
    </w:p>
    <w:p w14:paraId="5E21FEF5" w14:textId="77777777" w:rsidR="00817104" w:rsidRDefault="00817104" w:rsidP="00817104">
      <w:pPr>
        <w:pStyle w:val="Body"/>
      </w:pPr>
      <w:r>
        <w:t xml:space="preserve">For more information, visit the </w:t>
      </w:r>
      <w:hyperlink r:id="rId358" w:history="1">
        <w:r w:rsidRPr="000F2EF1">
          <w:rPr>
            <w:rStyle w:val="Hyperlink"/>
          </w:rPr>
          <w:t>National Hand Hygiene Initiative</w:t>
        </w:r>
      </w:hyperlink>
      <w:r>
        <w:t xml:space="preserve"> &lt;</w:t>
      </w:r>
      <w:r w:rsidRPr="00904808">
        <w:t>https://www.safetyandquality.gov.au/clinical-topics/infection-prevention-and-control/national-hand-hygiene-initiative</w:t>
      </w:r>
      <w:r>
        <w:t>&gt;.</w:t>
      </w:r>
    </w:p>
    <w:p w14:paraId="593ED2CC" w14:textId="77777777" w:rsidR="00817104" w:rsidRPr="00731252" w:rsidRDefault="00817104" w:rsidP="00817104">
      <w:pPr>
        <w:pStyle w:val="Heading3"/>
        <w:numPr>
          <w:ilvl w:val="2"/>
          <w:numId w:val="0"/>
        </w:numPr>
        <w:tabs>
          <w:tab w:val="num" w:pos="794"/>
        </w:tabs>
        <w:ind w:left="1134" w:hanging="1134"/>
      </w:pPr>
      <w:r>
        <w:t>20.1.8</w:t>
      </w:r>
      <w:r>
        <w:tab/>
      </w:r>
      <w:r w:rsidRPr="00B014C9">
        <w:t>Encouraging more clinical trials in Australia</w:t>
      </w:r>
    </w:p>
    <w:p w14:paraId="5A29B51F" w14:textId="77777777" w:rsidR="00817104" w:rsidRDefault="00817104" w:rsidP="00817104">
      <w:pPr>
        <w:pStyle w:val="Body"/>
      </w:pPr>
      <w:r w:rsidRPr="00155063">
        <w:t>The Victorian Government supports the conduct of high</w:t>
      </w:r>
      <w:r w:rsidRPr="00155063">
        <w:rPr>
          <w:rFonts w:ascii="Cambria Math" w:hAnsi="Cambria Math" w:cs="Cambria Math"/>
        </w:rPr>
        <w:t>‑</w:t>
      </w:r>
      <w:r w:rsidRPr="00155063">
        <w:t>quality, safe and ethical clinical research and trials across Victoria</w:t>
      </w:r>
      <w:r w:rsidRPr="00155063">
        <w:rPr>
          <w:rFonts w:cs="Arial"/>
        </w:rPr>
        <w:t>’</w:t>
      </w:r>
      <w:r w:rsidRPr="00155063">
        <w:t xml:space="preserve">s public health services. </w:t>
      </w:r>
      <w:r w:rsidRPr="00BC17DF">
        <w:t>Health services are encouraged to participate in clinical research and trials as part of routine clinical care and continuous improvement, consistent with national and state clinical governance frameworks.</w:t>
      </w:r>
      <w:r>
        <w:t xml:space="preserve"> </w:t>
      </w:r>
    </w:p>
    <w:p w14:paraId="0D165E60" w14:textId="77777777" w:rsidR="00817104" w:rsidRDefault="00817104" w:rsidP="00817104">
      <w:pPr>
        <w:pStyle w:val="Body"/>
      </w:pPr>
      <w:r>
        <w:t xml:space="preserve">The former </w:t>
      </w:r>
      <w:r w:rsidRPr="00B9744A">
        <w:t>Streamlining clinical trials and research</w:t>
      </w:r>
      <w:r>
        <w:t xml:space="preserve"> reform agenda has been operationalised through the </w:t>
      </w:r>
      <w:r w:rsidRPr="00B9744A">
        <w:t>Encouraging more clinical trials in Australia</w:t>
      </w:r>
      <w:r w:rsidRPr="3F3942C3">
        <w:rPr>
          <w:i/>
          <w:iCs/>
        </w:rPr>
        <w:t xml:space="preserve"> </w:t>
      </w:r>
      <w:r>
        <w:t>initiative, which is managed by the Research, Strategy and Clinical Trials program area in SCV</w:t>
      </w:r>
      <w:r w:rsidRPr="00224D18">
        <w:t>.</w:t>
      </w:r>
      <w:r>
        <w:t xml:space="preserve"> It supports a once-in-a-generation reform initiative designed to support the national reform agenda and activities of the enduring </w:t>
      </w:r>
      <w:r w:rsidRPr="001E4BD4">
        <w:t>Inter-Governmental Policy Reform Group (IGPRG) for health and medical research</w:t>
      </w:r>
      <w:r>
        <w:t>.</w:t>
      </w:r>
    </w:p>
    <w:p w14:paraId="2E2F42DF" w14:textId="77777777" w:rsidR="00817104" w:rsidRDefault="00817104" w:rsidP="00817104">
      <w:pPr>
        <w:pStyle w:val="Body"/>
      </w:pPr>
      <w:r w:rsidRPr="00C30E7B">
        <w:t>It aims to ensure confidence and long-term investment across jurisdictions in national initiatives through a sustained partnership, while enabling IGPRG to develop new reform initiatives and adapt its work program over time.</w:t>
      </w:r>
      <w:r>
        <w:t xml:space="preserve"> All participating Victorian public health services should assist the consolidation of this clinical and health research activity.</w:t>
      </w:r>
    </w:p>
    <w:p w14:paraId="66252F1D" w14:textId="77777777" w:rsidR="00817104" w:rsidRDefault="00817104" w:rsidP="00817104">
      <w:pPr>
        <w:pStyle w:val="Body"/>
      </w:pPr>
      <w:r>
        <w:t>Health services participating in multisite clinical trials and health and medical research are expected to support these reforms by:</w:t>
      </w:r>
    </w:p>
    <w:p w14:paraId="3B8D5E07" w14:textId="2409EAF4" w:rsidR="00817104" w:rsidRDefault="00817104" w:rsidP="00817104">
      <w:pPr>
        <w:pStyle w:val="Bullet1"/>
        <w:numPr>
          <w:ilvl w:val="0"/>
          <w:numId w:val="2"/>
        </w:numPr>
      </w:pPr>
      <w:r>
        <w:t xml:space="preserve">accepting a single scientific and ethical review conducted by </w:t>
      </w:r>
      <w:r w:rsidR="00473535">
        <w:t>a</w:t>
      </w:r>
      <w:r>
        <w:t xml:space="preserve"> </w:t>
      </w:r>
      <w:r w:rsidRPr="00212FB4">
        <w:t xml:space="preserve">National Health and Medical Research Council </w:t>
      </w:r>
      <w:r>
        <w:t>accredited institution with a certified Human Research Ethics Committee (HREC)</w:t>
      </w:r>
    </w:p>
    <w:p w14:paraId="395CFB00" w14:textId="77777777" w:rsidR="00817104" w:rsidRDefault="00817104" w:rsidP="00817104">
      <w:pPr>
        <w:pStyle w:val="Bullet1"/>
        <w:numPr>
          <w:ilvl w:val="0"/>
          <w:numId w:val="2"/>
        </w:numPr>
      </w:pPr>
      <w:r>
        <w:t>meeting all research governance requirements for studies conducted at their site, including local governance authorisation (site-specific assessment)</w:t>
      </w:r>
    </w:p>
    <w:p w14:paraId="3F15FB47" w14:textId="77777777" w:rsidR="00817104" w:rsidRDefault="00817104" w:rsidP="00817104">
      <w:pPr>
        <w:pStyle w:val="Bullet1"/>
        <w:numPr>
          <w:ilvl w:val="0"/>
          <w:numId w:val="2"/>
        </w:numPr>
      </w:pPr>
      <w:r>
        <w:t>complying with the terms of any relevant memorandum of understanding or national mutual acceptance arrangements adopted by Victoria</w:t>
      </w:r>
    </w:p>
    <w:p w14:paraId="4955A92F" w14:textId="77777777" w:rsidR="00817104" w:rsidRDefault="00817104" w:rsidP="00817104">
      <w:pPr>
        <w:pStyle w:val="Bullet1"/>
        <w:numPr>
          <w:ilvl w:val="0"/>
          <w:numId w:val="2"/>
        </w:numPr>
      </w:pPr>
      <w:r>
        <w:t>ensuring accurate and timely capture of clinical trial and research activity data in agreed electronic systems to support state and national reporting, where applicable.</w:t>
      </w:r>
    </w:p>
    <w:p w14:paraId="76485A78" w14:textId="77777777" w:rsidR="00817104" w:rsidRDefault="00817104" w:rsidP="00817104">
      <w:pPr>
        <w:pStyle w:val="Bodyafterbullets"/>
      </w:pPr>
      <w:r w:rsidRPr="00B82678">
        <w:t>Health services hosting a certified HREC are expected to maintain appropriate expertise, capability and governance arrangements</w:t>
      </w:r>
      <w:r>
        <w:t>,</w:t>
      </w:r>
      <w:r w:rsidRPr="00B82678">
        <w:t xml:space="preserve"> consistent with certification requirements and operating under the </w:t>
      </w:r>
      <w:r w:rsidRPr="000F4168">
        <w:rPr>
          <w:i/>
        </w:rPr>
        <w:t>National Statement for the</w:t>
      </w:r>
      <w:r w:rsidRPr="00B82678">
        <w:t xml:space="preserve"> </w:t>
      </w:r>
      <w:r w:rsidRPr="000F4168">
        <w:rPr>
          <w:i/>
        </w:rPr>
        <w:t>Ethical Conduct of Research</w:t>
      </w:r>
      <w:r w:rsidRPr="00B82678">
        <w:t xml:space="preserve"> developed by the National Health and Medical Research Council.</w:t>
      </w:r>
    </w:p>
    <w:p w14:paraId="50C3AB19" w14:textId="77777777" w:rsidR="00817104" w:rsidRDefault="00817104" w:rsidP="00817104">
      <w:pPr>
        <w:pStyle w:val="Body"/>
      </w:pPr>
      <w:r w:rsidRPr="008B6117">
        <w:t>Additional research activity reporting or data collection requirements may be specified by SCV from time to time to support statewide and national monitoring of clinical research and trials activity.</w:t>
      </w:r>
    </w:p>
    <w:p w14:paraId="7D87C182" w14:textId="77777777" w:rsidR="00817104" w:rsidRDefault="00817104" w:rsidP="00817104">
      <w:pPr>
        <w:pStyle w:val="Body"/>
      </w:pPr>
      <w:r>
        <w:t>For more information, visit:</w:t>
      </w:r>
    </w:p>
    <w:p w14:paraId="5C1799DA" w14:textId="01EF68E4" w:rsidR="00817104" w:rsidRPr="007D5220" w:rsidRDefault="00817104" w:rsidP="00817104">
      <w:pPr>
        <w:pStyle w:val="Bullet1"/>
        <w:numPr>
          <w:ilvl w:val="0"/>
          <w:numId w:val="2"/>
        </w:numPr>
      </w:pPr>
      <w:hyperlink r:id="rId359" w:history="1">
        <w:r w:rsidRPr="003C06ED">
          <w:rPr>
            <w:rStyle w:val="Hyperlink"/>
          </w:rPr>
          <w:t>Clinical trials and research</w:t>
        </w:r>
      </w:hyperlink>
      <w:r>
        <w:t xml:space="preserve"> &lt;</w:t>
      </w:r>
      <w:r w:rsidRPr="00B37669">
        <w:t>https://www.clinicaltrialsandresearch.vic.gov.au/</w:t>
      </w:r>
      <w:r>
        <w:t>&gt;</w:t>
      </w:r>
    </w:p>
    <w:p w14:paraId="10762354" w14:textId="77777777" w:rsidR="00817104" w:rsidRPr="007D5220" w:rsidRDefault="00817104" w:rsidP="00817104">
      <w:pPr>
        <w:pStyle w:val="Bullet1"/>
        <w:numPr>
          <w:ilvl w:val="0"/>
          <w:numId w:val="2"/>
        </w:numPr>
      </w:pPr>
      <w:hyperlink r:id="rId360" w:history="1">
        <w:r>
          <w:rPr>
            <w:rStyle w:val="Hyperlink"/>
          </w:rPr>
          <w:t>Inter-Governmental Policy Reform Group</w:t>
        </w:r>
      </w:hyperlink>
      <w:r>
        <w:t xml:space="preserve"> &lt;</w:t>
      </w:r>
      <w:r w:rsidRPr="003005ED">
        <w:t>https://www.australianclinicaltrials.gov.au/about/igprg</w:t>
      </w:r>
      <w:r>
        <w:t xml:space="preserve">&gt; </w:t>
      </w:r>
    </w:p>
    <w:p w14:paraId="1F360CE8" w14:textId="77777777" w:rsidR="00817104" w:rsidRDefault="00817104" w:rsidP="00817104">
      <w:pPr>
        <w:pStyle w:val="Bullet1"/>
        <w:numPr>
          <w:ilvl w:val="0"/>
          <w:numId w:val="2"/>
        </w:numPr>
      </w:pPr>
      <w:hyperlink r:id="rId361" w:history="1">
        <w:r w:rsidRPr="00194B1E">
          <w:rPr>
            <w:rStyle w:val="Hyperlink"/>
          </w:rPr>
          <w:t>marra ngarrgoo, marra goorri The Victorian Aboriginal Health, medical and Wellbeing Research Accord</w:t>
        </w:r>
      </w:hyperlink>
      <w:r>
        <w:t xml:space="preserve"> </w:t>
      </w:r>
      <w:r w:rsidRPr="007B6FAE">
        <w:t>&lt;https://www.vaccho.org.au/accord/</w:t>
      </w:r>
      <w:r>
        <w:t xml:space="preserve">&gt; regarding </w:t>
      </w:r>
      <w:r w:rsidRPr="000B1E5D">
        <w:t>conducting research in relation to Aboriginal health and wellbeing</w:t>
      </w:r>
      <w:r>
        <w:t>.</w:t>
      </w:r>
    </w:p>
    <w:p w14:paraId="7799ED61" w14:textId="77777777" w:rsidR="00817104" w:rsidRDefault="00817104" w:rsidP="00817104">
      <w:pPr>
        <w:pStyle w:val="Heading4"/>
      </w:pPr>
      <w:r>
        <w:t xml:space="preserve">Australian </w:t>
      </w:r>
      <w:r w:rsidRPr="00C7530E">
        <w:t xml:space="preserve">Commission on Safety and Quality in Healthcare – </w:t>
      </w:r>
      <w:r w:rsidRPr="00BF3C5F">
        <w:t>The National Clinical Trials Governance Framework</w:t>
      </w:r>
    </w:p>
    <w:p w14:paraId="67349EEB" w14:textId="77777777" w:rsidR="00817104" w:rsidRDefault="00817104" w:rsidP="00817104">
      <w:pPr>
        <w:pStyle w:val="Body"/>
      </w:pPr>
      <w:r w:rsidRPr="00FB5CC4">
        <w:t xml:space="preserve">The </w:t>
      </w:r>
      <w:r w:rsidRPr="00E65545">
        <w:rPr>
          <w:i/>
          <w:iCs/>
        </w:rPr>
        <w:t xml:space="preserve">National Clinical Trials Governance Framework </w:t>
      </w:r>
      <w:r w:rsidRPr="00FB5CC4">
        <w:t xml:space="preserve">was developed by the </w:t>
      </w:r>
      <w:r>
        <w:t>ACSQHC</w:t>
      </w:r>
      <w:r w:rsidRPr="00FB5CC4">
        <w:t xml:space="preserve"> on behalf of all Australian jurisdictions to establish a nationally consistent approach to the safe and high</w:t>
      </w:r>
      <w:r w:rsidRPr="00FB5CC4">
        <w:rPr>
          <w:rFonts w:ascii="Cambria Math" w:hAnsi="Cambria Math" w:cs="Cambria Math"/>
        </w:rPr>
        <w:t>‑</w:t>
      </w:r>
      <w:r w:rsidRPr="00FB5CC4">
        <w:t>quality conduct of clinical trials within health service organisations.</w:t>
      </w:r>
    </w:p>
    <w:p w14:paraId="68C180CC" w14:textId="77777777" w:rsidR="00817104" w:rsidRDefault="00817104" w:rsidP="00817104">
      <w:pPr>
        <w:pStyle w:val="Body"/>
      </w:pPr>
      <w:r w:rsidRPr="008C6AAD">
        <w:t>SCV</w:t>
      </w:r>
      <w:r>
        <w:t>, via research, strategy and clinical trials,</w:t>
      </w:r>
      <w:r w:rsidRPr="008C6AAD">
        <w:t xml:space="preserve"> plays a central role in supporting the implementation and embedding of the </w:t>
      </w:r>
      <w:r>
        <w:rPr>
          <w:iCs/>
        </w:rPr>
        <w:t>framework</w:t>
      </w:r>
      <w:r w:rsidRPr="00114842">
        <w:rPr>
          <w:iCs/>
        </w:rPr>
        <w:t xml:space="preserve"> </w:t>
      </w:r>
      <w:r w:rsidRPr="008C6AAD">
        <w:t>across Victoria’s public health services, consistent with Victoria’s clinical governance and safety objectives</w:t>
      </w:r>
    </w:p>
    <w:p w14:paraId="627713BC" w14:textId="77777777" w:rsidR="00817104" w:rsidRDefault="00817104" w:rsidP="00817104">
      <w:pPr>
        <w:pStyle w:val="Body"/>
      </w:pPr>
      <w:r>
        <w:t>SCV aligns this framework</w:t>
      </w:r>
      <w:r w:rsidRPr="001357A4">
        <w:rPr>
          <w:iCs/>
        </w:rPr>
        <w:t xml:space="preserve"> </w:t>
      </w:r>
      <w:r>
        <w:t xml:space="preserve">with the </w:t>
      </w:r>
      <w:r w:rsidRPr="00CF12F4">
        <w:rPr>
          <w:i/>
        </w:rPr>
        <w:t>Victorian Clinical Governance Framework</w:t>
      </w:r>
      <w:r>
        <w:t>, supporting health services to integrate clinical trials governance into existing governance, leadership and accountability arrangements.</w:t>
      </w:r>
    </w:p>
    <w:p w14:paraId="0D3CF648" w14:textId="77777777" w:rsidR="00817104" w:rsidRDefault="00817104" w:rsidP="00817104">
      <w:pPr>
        <w:pStyle w:val="Body"/>
      </w:pPr>
      <w:r>
        <w:t>In partnership with health service leaders and sector organisations, SCV supports implementation of the</w:t>
      </w:r>
      <w:r w:rsidRPr="00834CC3">
        <w:rPr>
          <w:iCs/>
        </w:rPr>
        <w:t xml:space="preserve"> </w:t>
      </w:r>
      <w:r w:rsidRPr="00B9744A">
        <w:t>National Clinical Trials Governance Framework</w:t>
      </w:r>
      <w:r w:rsidRPr="005B1EE3" w:rsidDel="00BF42A3">
        <w:t xml:space="preserve"> </w:t>
      </w:r>
      <w:r>
        <w:t>through:</w:t>
      </w:r>
    </w:p>
    <w:p w14:paraId="76C0D99B" w14:textId="77777777" w:rsidR="00817104" w:rsidRDefault="00817104" w:rsidP="00817104">
      <w:pPr>
        <w:pStyle w:val="Bullet1"/>
        <w:numPr>
          <w:ilvl w:val="0"/>
          <w:numId w:val="2"/>
        </w:numPr>
      </w:pPr>
      <w:r>
        <w:t>sector</w:t>
      </w:r>
      <w:r>
        <w:rPr>
          <w:rFonts w:ascii="Cambria Math" w:hAnsi="Cambria Math" w:cs="Cambria Math"/>
        </w:rPr>
        <w:t>‑</w:t>
      </w:r>
      <w:r>
        <w:t>wide guidance and resources aligned to clinical governance best practice</w:t>
      </w:r>
    </w:p>
    <w:p w14:paraId="5F690B03" w14:textId="77777777" w:rsidR="00817104" w:rsidRDefault="00817104" w:rsidP="00817104">
      <w:pPr>
        <w:pStyle w:val="Bullet1"/>
        <w:numPr>
          <w:ilvl w:val="0"/>
          <w:numId w:val="2"/>
        </w:numPr>
      </w:pPr>
      <w:r>
        <w:t>capability</w:t>
      </w:r>
      <w:r w:rsidRPr="00167078">
        <w:rPr>
          <w:rFonts w:ascii="Cambria Math" w:hAnsi="Cambria Math" w:cs="Cambria Math"/>
        </w:rPr>
        <w:t>‑</w:t>
      </w:r>
      <w:r>
        <w:t>building initiatives to strengthen safety, quality and governance systems</w:t>
      </w:r>
    </w:p>
    <w:p w14:paraId="5BD86E18" w14:textId="77777777" w:rsidR="00817104" w:rsidRDefault="00817104" w:rsidP="00817104">
      <w:pPr>
        <w:pStyle w:val="Bullet1"/>
        <w:numPr>
          <w:ilvl w:val="0"/>
          <w:numId w:val="2"/>
        </w:numPr>
      </w:pPr>
      <w:r>
        <w:t xml:space="preserve">support for consistent interpretation and application of the framework across Victorian services. </w:t>
      </w:r>
    </w:p>
    <w:p w14:paraId="1904802A" w14:textId="77777777" w:rsidR="00817104" w:rsidRDefault="00817104" w:rsidP="00817104">
      <w:pPr>
        <w:pStyle w:val="Bodyafterbullets"/>
      </w:pPr>
      <w:r w:rsidRPr="00AE55BE">
        <w:t>Victoria supports national consistency in clinical trial governance while reinforcing the state’s commitment to safe, high</w:t>
      </w:r>
      <w:r w:rsidRPr="00AE55BE">
        <w:rPr>
          <w:rFonts w:ascii="Cambria Math" w:hAnsi="Cambria Math" w:cs="Cambria Math"/>
        </w:rPr>
        <w:t>‑</w:t>
      </w:r>
      <w:r w:rsidRPr="00AE55BE">
        <w:t>quality, and equitable access to clinical trials for patients and communities.</w:t>
      </w:r>
    </w:p>
    <w:p w14:paraId="5CB57EE2" w14:textId="7CB49F57" w:rsidR="00817104" w:rsidRPr="003E5FE8" w:rsidRDefault="00817104" w:rsidP="00817104">
      <w:pPr>
        <w:pStyle w:val="Bodyafterbullets"/>
      </w:pPr>
      <w:r>
        <w:t xml:space="preserve">For more information, visit the </w:t>
      </w:r>
      <w:hyperlink r:id="rId362" w:history="1">
        <w:r w:rsidRPr="00B9744A">
          <w:rPr>
            <w:rStyle w:val="Hyperlink"/>
          </w:rPr>
          <w:t>National Clinical Trials Governance Framework</w:t>
        </w:r>
      </w:hyperlink>
      <w:r>
        <w:t xml:space="preserve"> &lt;</w:t>
      </w:r>
      <w:r w:rsidRPr="003C06ED">
        <w:t>https://www.safetyandquality.gov.au/national-standards/national-clinical-trials-governance-framework</w:t>
      </w:r>
      <w:r>
        <w:t>&gt;.</w:t>
      </w:r>
    </w:p>
    <w:p w14:paraId="39D183B6" w14:textId="1B282C86" w:rsidR="00817104" w:rsidRDefault="00817104" w:rsidP="00817104">
      <w:pPr>
        <w:pStyle w:val="Heading2"/>
      </w:pPr>
      <w:bookmarkStart w:id="2537" w:name="_Toc229127731"/>
      <w:bookmarkStart w:id="2538" w:name="_Toc231982340"/>
      <w:r>
        <w:t>Community health clinical governance</w:t>
      </w:r>
      <w:bookmarkEnd w:id="2534"/>
      <w:bookmarkEnd w:id="2535"/>
      <w:bookmarkEnd w:id="2537"/>
      <w:bookmarkEnd w:id="2538"/>
    </w:p>
    <w:p w14:paraId="35B6AE44" w14:textId="77777777" w:rsidR="00817104" w:rsidRPr="00A74197" w:rsidRDefault="00817104" w:rsidP="00817104">
      <w:pPr>
        <w:pStyle w:val="Body"/>
      </w:pPr>
      <w:r>
        <w:t>Funded organisations receiving community health program funding are expected to have strong clinical governance systems and practices in place, to ensure the quality and safety of services. Organisations must review their clinical governance structures and have adequate internal documentation, to ensure consistency and compliance with the department’s clinical and quality governance policy frameworks.</w:t>
      </w:r>
    </w:p>
    <w:p w14:paraId="3C4835AE" w14:textId="77777777" w:rsidR="00817104" w:rsidRPr="009A5443" w:rsidRDefault="00817104" w:rsidP="00817104">
      <w:pPr>
        <w:pStyle w:val="Body"/>
      </w:pPr>
      <w:r>
        <w:t>Accreditation is a key measure of the performance of organisational clinical governance and the management systems that underpin good governance.</w:t>
      </w:r>
    </w:p>
    <w:p w14:paraId="394018EC" w14:textId="77777777" w:rsidR="00817104" w:rsidRDefault="00817104" w:rsidP="00817104">
      <w:pPr>
        <w:pStyle w:val="Body"/>
      </w:pPr>
      <w:r>
        <w:t xml:space="preserve">Organisations that receive funding through primary health output group activities must be accredited by a body or entity that is accredited by the International Society for Quality in Health Care or the Joint Accreditation System of Australia and New Zealand. </w:t>
      </w:r>
    </w:p>
    <w:p w14:paraId="6B08DEDD" w14:textId="77777777" w:rsidR="00817104" w:rsidRDefault="00817104" w:rsidP="00817104">
      <w:pPr>
        <w:pStyle w:val="Body"/>
      </w:pPr>
      <w:r>
        <w:t>Integrated community health services are subject to the accreditation requirements of their parent health service and are required to comply with NSQHS Standards.</w:t>
      </w:r>
    </w:p>
    <w:p w14:paraId="4E5AA8EA" w14:textId="77777777" w:rsidR="00817104" w:rsidRDefault="00817104" w:rsidP="00817104">
      <w:pPr>
        <w:pStyle w:val="Body"/>
      </w:pPr>
      <w:r>
        <w:t>For registered community health services and other agencies funded under a service agreement that receive Community Health Program funding, applicable standards include the:</w:t>
      </w:r>
    </w:p>
    <w:p w14:paraId="070EF0C1" w14:textId="77777777" w:rsidR="00817104" w:rsidRPr="00FD06EC" w:rsidRDefault="00817104" w:rsidP="00817104">
      <w:pPr>
        <w:pStyle w:val="Bullet1"/>
        <w:numPr>
          <w:ilvl w:val="0"/>
          <w:numId w:val="2"/>
        </w:numPr>
      </w:pPr>
      <w:r>
        <w:t xml:space="preserve">National Safety and Quality Primary and Community Healthcare (NSQPCH) Standards </w:t>
      </w:r>
    </w:p>
    <w:p w14:paraId="6336C420" w14:textId="77777777" w:rsidR="00817104" w:rsidRPr="00FD06EC" w:rsidRDefault="00817104" w:rsidP="00817104">
      <w:pPr>
        <w:pStyle w:val="Bullet1"/>
        <w:numPr>
          <w:ilvl w:val="0"/>
          <w:numId w:val="2"/>
        </w:numPr>
      </w:pPr>
      <w:r>
        <w:lastRenderedPageBreak/>
        <w:t>NSQHS Standards</w:t>
      </w:r>
    </w:p>
    <w:p w14:paraId="470ED950" w14:textId="77777777" w:rsidR="00817104" w:rsidRPr="00FD06EC" w:rsidRDefault="00817104" w:rsidP="00817104">
      <w:pPr>
        <w:pStyle w:val="Bullet1"/>
        <w:numPr>
          <w:ilvl w:val="0"/>
          <w:numId w:val="2"/>
        </w:numPr>
      </w:pPr>
      <w:r>
        <w:t>Quality Improvement Council Health and Community Services Standards</w:t>
      </w:r>
    </w:p>
    <w:p w14:paraId="1FB3BC2A" w14:textId="77777777" w:rsidR="00817104" w:rsidRPr="00FD06EC" w:rsidRDefault="00817104" w:rsidP="00817104">
      <w:pPr>
        <w:pStyle w:val="Bullet1"/>
        <w:numPr>
          <w:ilvl w:val="0"/>
          <w:numId w:val="2"/>
        </w:numPr>
      </w:pPr>
      <w:r>
        <w:t>Evaluation and Quality Improvement Program (EQuiP)</w:t>
      </w:r>
    </w:p>
    <w:p w14:paraId="4D465287" w14:textId="77777777" w:rsidR="00817104" w:rsidRPr="00FD06EC" w:rsidRDefault="00817104" w:rsidP="00817104">
      <w:pPr>
        <w:pStyle w:val="Bullet1"/>
        <w:numPr>
          <w:ilvl w:val="0"/>
          <w:numId w:val="2"/>
        </w:numPr>
      </w:pPr>
      <w:r>
        <w:t xml:space="preserve">ISO 9001:2015. </w:t>
      </w:r>
    </w:p>
    <w:p w14:paraId="1DD8D285" w14:textId="77777777" w:rsidR="00817104" w:rsidRDefault="00817104" w:rsidP="00817104">
      <w:pPr>
        <w:pStyle w:val="Bodyafterbullets"/>
      </w:pPr>
      <w:r>
        <w:t>Registered community health services and other agencies that receive Community Health Program funding, should also be guided by the</w:t>
      </w:r>
      <w:r w:rsidRPr="0670E279">
        <w:rPr>
          <w:i/>
          <w:iCs/>
        </w:rPr>
        <w:t xml:space="preserve"> Community services quality governance framework</w:t>
      </w:r>
      <w:r>
        <w:t xml:space="preserve"> and with SCV’s</w:t>
      </w:r>
      <w:r w:rsidRPr="00390075">
        <w:rPr>
          <w:i/>
          <w:iCs/>
        </w:rPr>
        <w:t xml:space="preserve"> Victorian</w:t>
      </w:r>
      <w:r>
        <w:t xml:space="preserve"> </w:t>
      </w:r>
      <w:r w:rsidRPr="0670E279">
        <w:rPr>
          <w:i/>
          <w:iCs/>
        </w:rPr>
        <w:t xml:space="preserve">Clinical </w:t>
      </w:r>
      <w:r>
        <w:rPr>
          <w:i/>
          <w:iCs/>
        </w:rPr>
        <w:t>G</w:t>
      </w:r>
      <w:r w:rsidRPr="0670E279">
        <w:rPr>
          <w:i/>
          <w:iCs/>
        </w:rPr>
        <w:t xml:space="preserve">overnance </w:t>
      </w:r>
      <w:r>
        <w:rPr>
          <w:i/>
          <w:iCs/>
        </w:rPr>
        <w:t>F</w:t>
      </w:r>
      <w:r w:rsidRPr="0670E279">
        <w:rPr>
          <w:i/>
          <w:iCs/>
        </w:rPr>
        <w:t>ramework.</w:t>
      </w:r>
      <w:r>
        <w:t xml:space="preserve"> </w:t>
      </w:r>
    </w:p>
    <w:p w14:paraId="22110B1D" w14:textId="77777777" w:rsidR="00817104" w:rsidRDefault="00817104" w:rsidP="00817104">
      <w:pPr>
        <w:pStyle w:val="Body"/>
      </w:pPr>
      <w:r>
        <w:t>All public dental services must be assessed against either the NSQHS Standards or the NSQPCH Standards. In accordance with the Health Services Act, registered community health services are required to comply with performance standards (also known as gazetted standards) in the five areas of:</w:t>
      </w:r>
    </w:p>
    <w:p w14:paraId="02E4265D" w14:textId="77777777" w:rsidR="00817104" w:rsidRPr="00FD06EC" w:rsidRDefault="00817104" w:rsidP="00817104">
      <w:pPr>
        <w:pStyle w:val="Bullet1"/>
        <w:numPr>
          <w:ilvl w:val="0"/>
          <w:numId w:val="2"/>
        </w:numPr>
      </w:pPr>
      <w:r>
        <w:t>governance</w:t>
      </w:r>
    </w:p>
    <w:p w14:paraId="05A07490" w14:textId="77777777" w:rsidR="00817104" w:rsidRPr="00FD06EC" w:rsidRDefault="00817104" w:rsidP="00817104">
      <w:pPr>
        <w:pStyle w:val="Bullet1"/>
        <w:numPr>
          <w:ilvl w:val="0"/>
          <w:numId w:val="2"/>
        </w:numPr>
      </w:pPr>
      <w:r>
        <w:t>management</w:t>
      </w:r>
    </w:p>
    <w:p w14:paraId="77A46352" w14:textId="77777777" w:rsidR="00817104" w:rsidRPr="00FD06EC" w:rsidRDefault="00817104" w:rsidP="00817104">
      <w:pPr>
        <w:pStyle w:val="Bullet1"/>
        <w:numPr>
          <w:ilvl w:val="0"/>
          <w:numId w:val="2"/>
        </w:numPr>
      </w:pPr>
      <w:r>
        <w:t>financial management</w:t>
      </w:r>
    </w:p>
    <w:p w14:paraId="78833BA9" w14:textId="77777777" w:rsidR="00817104" w:rsidRPr="00FD06EC" w:rsidRDefault="00817104" w:rsidP="00817104">
      <w:pPr>
        <w:pStyle w:val="Bullet1"/>
        <w:numPr>
          <w:ilvl w:val="0"/>
          <w:numId w:val="2"/>
        </w:numPr>
      </w:pPr>
      <w:r>
        <w:t>risk management</w:t>
      </w:r>
    </w:p>
    <w:p w14:paraId="5D94AF44" w14:textId="77777777" w:rsidR="00817104" w:rsidRPr="00FD06EC" w:rsidRDefault="00817104" w:rsidP="00817104">
      <w:pPr>
        <w:pStyle w:val="Bullet1"/>
        <w:numPr>
          <w:ilvl w:val="0"/>
          <w:numId w:val="2"/>
        </w:numPr>
      </w:pPr>
      <w:r>
        <w:t>quality accreditation and service delivery.</w:t>
      </w:r>
    </w:p>
    <w:p w14:paraId="2C149AB2" w14:textId="77777777" w:rsidR="00817104" w:rsidRDefault="00817104" w:rsidP="00817104">
      <w:pPr>
        <w:pStyle w:val="Bodyafterbullets"/>
      </w:pPr>
      <w:r>
        <w:t>Compliance against the performance standards is monitored through an annual attestation from registered community health services.</w:t>
      </w:r>
    </w:p>
    <w:p w14:paraId="2D7F7415" w14:textId="77777777" w:rsidR="00817104" w:rsidRDefault="00817104" w:rsidP="00817104">
      <w:pPr>
        <w:pStyle w:val="Bodyafterbullets"/>
      </w:pPr>
      <w:r>
        <w:t xml:space="preserve">For more information, visit </w:t>
      </w:r>
      <w:hyperlink r:id="rId363" w:history="1">
        <w:r w:rsidRPr="00CB24CB">
          <w:rPr>
            <w:rStyle w:val="Hyperlink"/>
          </w:rPr>
          <w:t>Registration, accreditation and governance of community health centres</w:t>
        </w:r>
      </w:hyperlink>
      <w:r>
        <w:t xml:space="preserve"> &lt;</w:t>
      </w:r>
      <w:r w:rsidRPr="00CB24CB">
        <w:t>https://www.health.vic.gov.au/community-health/registration-and-governance-of-community-health-centres</w:t>
      </w:r>
      <w:r>
        <w:t>&gt;.</w:t>
      </w:r>
    </w:p>
    <w:p w14:paraId="0D95262B" w14:textId="77777777" w:rsidR="00817104" w:rsidRDefault="00817104" w:rsidP="00817104">
      <w:pPr>
        <w:spacing w:after="0" w:line="240" w:lineRule="auto"/>
        <w:rPr>
          <w:rFonts w:ascii="Times New Roman" w:hAnsi="Times New Roman"/>
          <w:sz w:val="20"/>
          <w:lang w:eastAsia="en-AU"/>
        </w:rPr>
      </w:pPr>
    </w:p>
    <w:p w14:paraId="2DE5FF9C" w14:textId="77777777" w:rsidR="00817104" w:rsidRDefault="00817104" w:rsidP="00817104">
      <w:pPr>
        <w:spacing w:after="0" w:line="240" w:lineRule="auto"/>
        <w:rPr>
          <w:rFonts w:ascii="Times New Roman" w:hAnsi="Times New Roman"/>
          <w:sz w:val="20"/>
          <w:lang w:eastAsia="en-AU"/>
        </w:rPr>
      </w:pPr>
      <w:r>
        <w:rPr>
          <w:rFonts w:ascii="Times New Roman" w:hAnsi="Times New Roman"/>
          <w:sz w:val="20"/>
          <w:lang w:eastAsia="en-AU"/>
        </w:rPr>
        <w:br w:type="page"/>
      </w:r>
    </w:p>
    <w:p w14:paraId="6B8BE227" w14:textId="77777777" w:rsidR="00817104" w:rsidRDefault="00817104" w:rsidP="008D45A5">
      <w:pPr>
        <w:pStyle w:val="Heading1"/>
      </w:pPr>
      <w:bookmarkStart w:id="2539" w:name="_Toc229127732"/>
      <w:bookmarkStart w:id="2540" w:name="_Toc231982341"/>
      <w:r>
        <w:lastRenderedPageBreak/>
        <w:t xml:space="preserve">Consumer rights and </w:t>
      </w:r>
      <w:r w:rsidRPr="000B1E5D">
        <w:t>community</w:t>
      </w:r>
      <w:r>
        <w:t xml:space="preserve"> participation</w:t>
      </w:r>
      <w:bookmarkEnd w:id="2539"/>
      <w:bookmarkEnd w:id="2540"/>
    </w:p>
    <w:p w14:paraId="706FF43E" w14:textId="77777777" w:rsidR="00817104" w:rsidRPr="00F63718" w:rsidRDefault="00817104" w:rsidP="00817104">
      <w:pPr>
        <w:pStyle w:val="Body"/>
      </w:pPr>
      <w:bookmarkStart w:id="2541" w:name="_Toc165964729"/>
      <w:bookmarkStart w:id="2542" w:name="_Toc167174589"/>
      <w:r>
        <w:t xml:space="preserve">The ACSQHC maintains the second edition of the </w:t>
      </w:r>
      <w:r w:rsidRPr="000E469E">
        <w:rPr>
          <w:i/>
          <w:iCs/>
        </w:rPr>
        <w:t>Australian Charter of Healthcare Rights</w:t>
      </w:r>
      <w:r>
        <w:t>, reflecting an increased focus on person-centred care, and empowers consumers to take an active role in their health care. The charter describes the rights that all consumers can expect when receiving health care. These rights apply to all people in all places where health care is provided in Australia.</w:t>
      </w:r>
    </w:p>
    <w:p w14:paraId="11F9D4F4" w14:textId="77777777" w:rsidR="00817104" w:rsidRDefault="00817104" w:rsidP="00817104">
      <w:pPr>
        <w:pStyle w:val="Body"/>
      </w:pPr>
      <w:r>
        <w:t>ACSQHC has developed a range of resources to support the implementation and use of the charter, including a poster and an infographic for consumers. Other resources include an Easy English version, an Auslan video, large print and Braille versions, and translations in 19 community languages. Healthcare organisations can also adapt the resources to their specific context.</w:t>
      </w:r>
    </w:p>
    <w:p w14:paraId="386B53CE" w14:textId="77777777" w:rsidR="00817104" w:rsidRDefault="00817104" w:rsidP="00817104">
      <w:pPr>
        <w:pStyle w:val="Body"/>
      </w:pPr>
      <w:r>
        <w:t xml:space="preserve">SCV and the department recommend using the new charter and associated resources. To download all charter resources, visit </w:t>
      </w:r>
      <w:hyperlink r:id="rId364" w:anchor="the-australian-charter-of-healthcare-rights">
        <w:r>
          <w:rPr>
            <w:rStyle w:val="Hyperlink"/>
          </w:rPr>
          <w:t>Understanding your healthcare rights</w:t>
        </w:r>
      </w:hyperlink>
      <w:r w:rsidRPr="0670E279">
        <w:rPr>
          <w:rStyle w:val="Hyperlink"/>
        </w:rPr>
        <w:t xml:space="preserve"> </w:t>
      </w:r>
      <w:r>
        <w:t>&lt;</w:t>
      </w:r>
      <w:r w:rsidRPr="008B0889">
        <w:t>https://www.safetyandquality.gov.au/your-rights/understanding-your-healthcare-rights</w:t>
      </w:r>
      <w:r>
        <w:t>&gt;.</w:t>
      </w:r>
    </w:p>
    <w:p w14:paraId="087AE466" w14:textId="77777777" w:rsidR="00817104" w:rsidRDefault="00817104" w:rsidP="00817104">
      <w:pPr>
        <w:pStyle w:val="Body"/>
      </w:pPr>
      <w:r>
        <w:t>Organisations can now also adapt resources to specific contexts via the ACSQHC Partnering with Consumers team.</w:t>
      </w:r>
    </w:p>
    <w:p w14:paraId="6D98D95F" w14:textId="4C60CBD2" w:rsidR="00817104" w:rsidRDefault="00817104" w:rsidP="00817104">
      <w:pPr>
        <w:pStyle w:val="Heading2"/>
      </w:pPr>
      <w:bookmarkStart w:id="2543" w:name="_Toc229127733"/>
      <w:bookmarkStart w:id="2544" w:name="_Toc231982342"/>
      <w:r>
        <w:t xml:space="preserve">Consumer, carer and </w:t>
      </w:r>
      <w:r w:rsidRPr="000B1E5D">
        <w:t>community</w:t>
      </w:r>
      <w:r>
        <w:t xml:space="preserve"> participation</w:t>
      </w:r>
      <w:bookmarkEnd w:id="2541"/>
      <w:bookmarkEnd w:id="2542"/>
      <w:bookmarkEnd w:id="2543"/>
      <w:bookmarkEnd w:id="2544"/>
    </w:p>
    <w:p w14:paraId="1BD7F3D2" w14:textId="77777777" w:rsidR="00817104" w:rsidRDefault="00817104" w:rsidP="00817104">
      <w:pPr>
        <w:pStyle w:val="Body"/>
      </w:pPr>
      <w:bookmarkStart w:id="2545" w:name="_Toc165964730"/>
      <w:bookmarkStart w:id="2546" w:name="_Toc167174590"/>
      <w:r>
        <w:t xml:space="preserve">SCV is refreshing the </w:t>
      </w:r>
      <w:r w:rsidRPr="00B9744A">
        <w:t>Partnering in healthcare framework</w:t>
      </w:r>
      <w:r>
        <w:t xml:space="preserve"> in 2026 to support health services with practical strategies for consumer participation, and partnerships between consumers and health professionals, to deliver higher-quality care that is safe, equitable and clinically effective. </w:t>
      </w:r>
      <w:r w:rsidRPr="00052549">
        <w:t>SCV conducted robust consultation as part of this refresh and will continue to develop implementation and evaluation tools to support health services utilising the framework.</w:t>
      </w:r>
      <w:r>
        <w:t xml:space="preserve"> </w:t>
      </w:r>
    </w:p>
    <w:p w14:paraId="46B17EC1" w14:textId="77777777" w:rsidR="00817104" w:rsidRDefault="00817104" w:rsidP="00817104">
      <w:pPr>
        <w:pStyle w:val="Body"/>
      </w:pPr>
      <w:r>
        <w:t>The framework comprises five interdependent domains that work together to produce better outcomes.</w:t>
      </w:r>
    </w:p>
    <w:p w14:paraId="2258862F" w14:textId="77777777" w:rsidR="00817104" w:rsidRDefault="00817104" w:rsidP="00817104">
      <w:pPr>
        <w:pStyle w:val="Body"/>
      </w:pPr>
      <w:r>
        <w:t>The five domains are:</w:t>
      </w:r>
    </w:p>
    <w:p w14:paraId="39208B45" w14:textId="77777777" w:rsidR="00817104" w:rsidRDefault="00817104" w:rsidP="00817104">
      <w:pPr>
        <w:pStyle w:val="Bullet1"/>
        <w:numPr>
          <w:ilvl w:val="0"/>
          <w:numId w:val="2"/>
        </w:numPr>
      </w:pPr>
      <w:r>
        <w:t>personalised and holistic</w:t>
      </w:r>
    </w:p>
    <w:p w14:paraId="308BB9DF" w14:textId="77777777" w:rsidR="00817104" w:rsidRDefault="00817104" w:rsidP="00817104">
      <w:pPr>
        <w:pStyle w:val="Bullet1"/>
        <w:numPr>
          <w:ilvl w:val="0"/>
          <w:numId w:val="2"/>
        </w:numPr>
      </w:pPr>
      <w:r>
        <w:t>working together</w:t>
      </w:r>
    </w:p>
    <w:p w14:paraId="7B6677C0" w14:textId="77777777" w:rsidR="00817104" w:rsidRDefault="00817104" w:rsidP="00817104">
      <w:pPr>
        <w:pStyle w:val="Bullet1"/>
        <w:numPr>
          <w:ilvl w:val="0"/>
          <w:numId w:val="2"/>
        </w:numPr>
      </w:pPr>
      <w:r>
        <w:t>shared decision-making</w:t>
      </w:r>
    </w:p>
    <w:p w14:paraId="250CF57E" w14:textId="77777777" w:rsidR="00817104" w:rsidRDefault="00817104" w:rsidP="00817104">
      <w:pPr>
        <w:pStyle w:val="Bullet1"/>
        <w:numPr>
          <w:ilvl w:val="0"/>
          <w:numId w:val="2"/>
        </w:numPr>
      </w:pPr>
      <w:r>
        <w:t>equity and inclusion</w:t>
      </w:r>
    </w:p>
    <w:p w14:paraId="7D32963F" w14:textId="77777777" w:rsidR="00817104" w:rsidRDefault="00817104" w:rsidP="00817104">
      <w:pPr>
        <w:pStyle w:val="Bullet1"/>
        <w:numPr>
          <w:ilvl w:val="0"/>
          <w:numId w:val="2"/>
        </w:numPr>
      </w:pPr>
      <w:r>
        <w:t>effective communication.</w:t>
      </w:r>
    </w:p>
    <w:p w14:paraId="18BAE6ED" w14:textId="77777777" w:rsidR="00817104" w:rsidRDefault="00817104" w:rsidP="00817104">
      <w:pPr>
        <w:pStyle w:val="Bodyafterbullets"/>
      </w:pPr>
      <w:r>
        <w:t xml:space="preserve">For more information, visit </w:t>
      </w:r>
      <w:hyperlink r:id="rId365">
        <w:r w:rsidRPr="00B9744A">
          <w:rPr>
            <w:rStyle w:val="Hyperlink"/>
          </w:rPr>
          <w:t>Partnering in healthcare framework</w:t>
        </w:r>
      </w:hyperlink>
      <w:r w:rsidRPr="00B31C2F">
        <w:t xml:space="preserve"> &lt;</w:t>
      </w:r>
      <w:r>
        <w:t>https://www.bettersafercare.vic.gov.au/support-and-training/partnering-with-consumers/pih&gt;.</w:t>
      </w:r>
    </w:p>
    <w:p w14:paraId="5539C546" w14:textId="77777777" w:rsidR="00817104" w:rsidRDefault="00817104" w:rsidP="00817104">
      <w:pPr>
        <w:pStyle w:val="Body"/>
      </w:pPr>
      <w:r>
        <w:t xml:space="preserve">All funded organisations must actively support and promote consumer, carer and community participation at all levels of health care, including support for community advisory committees. In achieving the baseline requirements of the policy, health services will be required to meet the second edition of the </w:t>
      </w:r>
      <w:hyperlink r:id="rId366">
        <w:r w:rsidRPr="0670E279">
          <w:rPr>
            <w:rStyle w:val="Hyperlink"/>
          </w:rPr>
          <w:t>NSQHS Standards</w:t>
        </w:r>
      </w:hyperlink>
      <w:r>
        <w:t xml:space="preserve"> &lt;https://www.safetyandquality.gov.au/standards/nsqhs-standards&gt;.</w:t>
      </w:r>
    </w:p>
    <w:p w14:paraId="2451EA98" w14:textId="77777777" w:rsidR="00817104" w:rsidRDefault="00817104" w:rsidP="00817104">
      <w:pPr>
        <w:pStyle w:val="Bodyafterbullets"/>
      </w:pPr>
      <w:r>
        <w:t xml:space="preserve">The </w:t>
      </w:r>
      <w:bookmarkStart w:id="2547" w:name="_Hlk198128294"/>
      <w:r w:rsidRPr="00E342DC">
        <w:rPr>
          <w:i/>
          <w:iCs/>
        </w:rPr>
        <w:t>Carers Recognition Act 2012</w:t>
      </w:r>
      <w:r>
        <w:t xml:space="preserve"> </w:t>
      </w:r>
      <w:bookmarkEnd w:id="2547"/>
      <w:r>
        <w:t xml:space="preserve">outlines the requirements to support people in care relationships. </w:t>
      </w:r>
      <w:r w:rsidRPr="00E342DC">
        <w:t>The Act</w:t>
      </w:r>
      <w:r>
        <w:t xml:space="preserve"> encourages organisations and services to better respect the important role carers have in our community.</w:t>
      </w:r>
    </w:p>
    <w:p w14:paraId="75A18CBA" w14:textId="77777777" w:rsidR="00817104" w:rsidRPr="00633CA7" w:rsidRDefault="00817104" w:rsidP="00817104">
      <w:pPr>
        <w:pStyle w:val="Bodyafterbullets"/>
      </w:pPr>
      <w:r>
        <w:lastRenderedPageBreak/>
        <w:t>Councils and relevant funded organisations must report on how they have met their obligations under the Act in their annual report. This may be as simple as including a paragraph detailing the actions taken during the year to comply with the Act.</w:t>
      </w:r>
    </w:p>
    <w:p w14:paraId="51A0AEA9" w14:textId="77777777" w:rsidR="00817104" w:rsidRDefault="00817104" w:rsidP="00817104">
      <w:pPr>
        <w:pStyle w:val="Body"/>
      </w:pPr>
      <w:r>
        <w:t xml:space="preserve">For more information, including legal responsibilities and obligations of local government and organisations, visit the </w:t>
      </w:r>
      <w:hyperlink r:id="rId367">
        <w:r w:rsidRPr="0670E279">
          <w:rPr>
            <w:rStyle w:val="Hyperlink"/>
          </w:rPr>
          <w:t>Support</w:t>
        </w:r>
        <w:r>
          <w:rPr>
            <w:rStyle w:val="Hyperlink"/>
          </w:rPr>
          <w:t xml:space="preserve"> for Carers program</w:t>
        </w:r>
      </w:hyperlink>
      <w:r>
        <w:t xml:space="preserve"> &lt;</w:t>
      </w:r>
      <w:r w:rsidRPr="006704D2">
        <w:t>https://www.vic.gov.au/support-carers-program</w:t>
      </w:r>
      <w:r>
        <w:t>&gt;.</w:t>
      </w:r>
    </w:p>
    <w:p w14:paraId="1C59633C" w14:textId="38781EB1" w:rsidR="00817104" w:rsidRPr="00192990" w:rsidRDefault="00817104" w:rsidP="00817104">
      <w:pPr>
        <w:pStyle w:val="Heading2"/>
      </w:pPr>
      <w:bookmarkStart w:id="2548" w:name="_Toc229127734"/>
      <w:bookmarkStart w:id="2549" w:name="_Toc231982343"/>
      <w:r>
        <w:t xml:space="preserve">Victoria’s health </w:t>
      </w:r>
      <w:r w:rsidRPr="000B1E5D">
        <w:t>experience</w:t>
      </w:r>
      <w:bookmarkEnd w:id="2545"/>
      <w:bookmarkEnd w:id="2546"/>
      <w:bookmarkEnd w:id="2548"/>
      <w:bookmarkEnd w:id="2549"/>
    </w:p>
    <w:p w14:paraId="2C40C678" w14:textId="77777777" w:rsidR="00817104" w:rsidRDefault="00817104" w:rsidP="00817104">
      <w:pPr>
        <w:pStyle w:val="Body"/>
      </w:pPr>
      <w:r>
        <w:t>The VHES program surveys recent users of Victorian public health services to collect feedback about their experience of care. The program includes inpatient, emergency, maternity and mental health client and carer surveys.</w:t>
      </w:r>
    </w:p>
    <w:p w14:paraId="4C0AC2FC" w14:textId="77777777" w:rsidR="00817104" w:rsidRPr="00A554B1" w:rsidRDefault="00817104" w:rsidP="00817104">
      <w:pPr>
        <w:pStyle w:val="Body"/>
      </w:pPr>
      <w:r>
        <w:t xml:space="preserve">The surveys are designed around the five domains of SCV’s </w:t>
      </w:r>
      <w:r w:rsidRPr="00B9744A">
        <w:t>Partnering in healthcare framework</w:t>
      </w:r>
      <w:r>
        <w:t>. Results from the VHES program are shared with Victorian public health services, SCV and the department. They provide actionable insights that support improvement in patient-centred care and service delivery.</w:t>
      </w:r>
    </w:p>
    <w:p w14:paraId="53E70BC5" w14:textId="77777777" w:rsidR="00817104" w:rsidRDefault="00817104" w:rsidP="00817104">
      <w:pPr>
        <w:pStyle w:val="Body"/>
      </w:pPr>
      <w:r>
        <w:t>The department will consult the sector and stakeholders on future directions for the program during 2026–27.</w:t>
      </w:r>
    </w:p>
    <w:p w14:paraId="61BB76AE" w14:textId="77777777" w:rsidR="00817104" w:rsidRDefault="00817104" w:rsidP="00817104">
      <w:pPr>
        <w:pStyle w:val="Heading3"/>
        <w:numPr>
          <w:ilvl w:val="2"/>
          <w:numId w:val="0"/>
        </w:numPr>
        <w:tabs>
          <w:tab w:val="num" w:pos="794"/>
        </w:tabs>
        <w:ind w:left="1134" w:hanging="1134"/>
      </w:pPr>
      <w:r>
        <w:t>21.2.1</w:t>
      </w:r>
      <w:r>
        <w:tab/>
        <w:t xml:space="preserve">Core VHES </w:t>
      </w:r>
      <w:r w:rsidRPr="000B1E5D">
        <w:t>program</w:t>
      </w:r>
      <w:r>
        <w:t xml:space="preserve"> surveys</w:t>
      </w:r>
    </w:p>
    <w:p w14:paraId="6FC4E38D" w14:textId="77777777" w:rsidR="00817104" w:rsidRDefault="00817104" w:rsidP="00817104">
      <w:pPr>
        <w:pStyle w:val="Body"/>
      </w:pPr>
      <w:r>
        <w:t xml:space="preserve">The core VHES program includes maternity, adult and paediatric inpatient, and adult and paediatric emergency surveys. </w:t>
      </w:r>
    </w:p>
    <w:p w14:paraId="6F5A791A" w14:textId="5794EF1B" w:rsidR="00817104" w:rsidRDefault="00817104" w:rsidP="00817104">
      <w:pPr>
        <w:pStyle w:val="Body"/>
      </w:pPr>
      <w:r>
        <w:t xml:space="preserve">All Victorian publicly funded health services, where relevant and funded to deliver a particular service, are expected to participate in these surveys. Patient experience indicators in the </w:t>
      </w:r>
      <w:r w:rsidR="008979A5">
        <w:rPr>
          <w:iCs/>
        </w:rPr>
        <w:t xml:space="preserve">SoP Part B </w:t>
      </w:r>
      <w:r>
        <w:t xml:space="preserve">are sourced from the inpatient survey. These indicators are reported in the </w:t>
      </w:r>
      <w:r w:rsidRPr="00565604">
        <w:t>Victorian Health Services Performance Monitor</w:t>
      </w:r>
      <w:r>
        <w:t>.</w:t>
      </w:r>
    </w:p>
    <w:p w14:paraId="7CE4D566" w14:textId="37CC0F2A" w:rsidR="00817104" w:rsidRDefault="00817104" w:rsidP="00817104">
      <w:pPr>
        <w:pStyle w:val="Body"/>
      </w:pPr>
      <w:r>
        <w:t>Overall emergency and mental health consumer and carer experience measures are also reported in the Victorian Government’s Department Performance Statement</w:t>
      </w:r>
      <w:r w:rsidR="008B097D">
        <w:t xml:space="preserve">, </w:t>
      </w:r>
      <w:r>
        <w:t xml:space="preserve">released as part of </w:t>
      </w:r>
      <w:r w:rsidR="008B097D">
        <w:t xml:space="preserve">the Victorian </w:t>
      </w:r>
      <w:r>
        <w:t xml:space="preserve">State budget papers. </w:t>
      </w:r>
    </w:p>
    <w:p w14:paraId="71DBAD1A" w14:textId="77777777" w:rsidR="00817104" w:rsidRPr="001D2856" w:rsidRDefault="00817104" w:rsidP="00817104">
      <w:pPr>
        <w:pStyle w:val="Heading3"/>
        <w:numPr>
          <w:ilvl w:val="2"/>
          <w:numId w:val="0"/>
        </w:numPr>
        <w:tabs>
          <w:tab w:val="num" w:pos="794"/>
        </w:tabs>
        <w:ind w:left="1134" w:hanging="1134"/>
      </w:pPr>
      <w:bookmarkStart w:id="2550" w:name="_Toc165964731"/>
      <w:r>
        <w:t>21.2.2</w:t>
      </w:r>
      <w:r>
        <w:tab/>
        <w:t>Your Experience of Service (YES) survey and the Carer Experience Survey (CES)</w:t>
      </w:r>
    </w:p>
    <w:p w14:paraId="138CB2D0" w14:textId="77777777" w:rsidR="00817104" w:rsidRDefault="00817104" w:rsidP="00817104">
      <w:pPr>
        <w:pStyle w:val="Body"/>
      </w:pPr>
      <w:bookmarkStart w:id="2551" w:name="_Toc167174591"/>
      <w:r>
        <w:t xml:space="preserve">The Your Experience of Service (YES) and Carer Experience Survey (CES) surveys are national tools designed to collect information on the experiences of consumers and their families, carers and supporters accessing adult mental health and wellbeing services, and selected </w:t>
      </w:r>
      <w:r w:rsidRPr="00C434EE">
        <w:rPr>
          <w:rFonts w:cs="Arial"/>
        </w:rPr>
        <w:t>MHCSS.</w:t>
      </w:r>
      <w:r>
        <w:t xml:space="preserve"> The surveys are delivered as part of the VHES program and are, at present, the only standardised self-reported consumer and carer experience measures available. </w:t>
      </w:r>
    </w:p>
    <w:p w14:paraId="17B48C7D" w14:textId="77777777" w:rsidR="00817104" w:rsidRDefault="00817104" w:rsidP="00817104">
      <w:pPr>
        <w:pStyle w:val="Body"/>
      </w:pPr>
      <w:r>
        <w:t xml:space="preserve">YES and CES survey results provide services with contemporary lived experience insights. Health services should use them to develop service improvement responses in partnership with lived experience leadership. Services should embed key YES and CES survey indicators in local outcomes frameworks to ensure performance is measured against the perspectives and experiences of consumers and families, carers and supporters. </w:t>
      </w:r>
    </w:p>
    <w:p w14:paraId="047E505C" w14:textId="77777777" w:rsidR="00817104" w:rsidRPr="007B6FAE" w:rsidRDefault="00817104" w:rsidP="00817104">
      <w:pPr>
        <w:pStyle w:val="Body"/>
      </w:pPr>
      <w:r w:rsidRPr="007B6FAE">
        <w:t xml:space="preserve">The YES </w:t>
      </w:r>
      <w:r>
        <w:t xml:space="preserve">and CES surveys are </w:t>
      </w:r>
      <w:r w:rsidRPr="007B6FAE">
        <w:t xml:space="preserve">essential components of public monitoring and reporting service system improvement against the new </w:t>
      </w:r>
      <w:r w:rsidRPr="00B9744A">
        <w:t xml:space="preserve">Mental health and wellbeing outcomes and performance </w:t>
      </w:r>
      <w:r w:rsidRPr="00B9744A">
        <w:lastRenderedPageBreak/>
        <w:t>framework</w:t>
      </w:r>
      <w:r w:rsidRPr="007B6FAE">
        <w:t xml:space="preserve">. Services are encouraged to invest in the ongoing implementation of the YES </w:t>
      </w:r>
      <w:r>
        <w:t xml:space="preserve">and CES surveys </w:t>
      </w:r>
      <w:r w:rsidRPr="007B6FAE">
        <w:t xml:space="preserve">to ensure experience data is meaningful and actionable to drive continuous improvement. </w:t>
      </w:r>
    </w:p>
    <w:p w14:paraId="7CDD8EB1" w14:textId="733E3940" w:rsidR="00817104" w:rsidRDefault="00817104" w:rsidP="00817104">
      <w:pPr>
        <w:pStyle w:val="Heading2"/>
      </w:pPr>
      <w:bookmarkStart w:id="2552" w:name="_Toc229127735"/>
      <w:bookmarkStart w:id="2553" w:name="_Toc231982344"/>
      <w:r>
        <w:t xml:space="preserve">Health service community </w:t>
      </w:r>
      <w:r w:rsidRPr="000B1E5D">
        <w:t>advisory</w:t>
      </w:r>
      <w:r>
        <w:t xml:space="preserve"> committees</w:t>
      </w:r>
      <w:bookmarkEnd w:id="2550"/>
      <w:bookmarkEnd w:id="2551"/>
      <w:bookmarkEnd w:id="2552"/>
      <w:bookmarkEnd w:id="2553"/>
    </w:p>
    <w:p w14:paraId="5AB8221F" w14:textId="77777777" w:rsidR="00817104" w:rsidRPr="00B32E6D" w:rsidRDefault="00817104" w:rsidP="00817104">
      <w:pPr>
        <w:pStyle w:val="Body"/>
      </w:pPr>
      <w:r>
        <w:t xml:space="preserve">Victoria has a statutory requirement that each public health service board (listed under Schedule 5 of the </w:t>
      </w:r>
      <w:r w:rsidRPr="000E469E">
        <w:rPr>
          <w:i/>
        </w:rPr>
        <w:t>Health Services Act 1988</w:t>
      </w:r>
      <w:r>
        <w:t xml:space="preserve"> establishes a community advisory committee. Boards have a responsibility to ensure that community advisory committees are integrated with the health service and are representative of their communities. Community advisory committees are at the heart of consumer, patient and carer participation in the design and delivery of health services.</w:t>
      </w:r>
    </w:p>
    <w:p w14:paraId="6501E8FC" w14:textId="77777777" w:rsidR="00817104" w:rsidRPr="00CE38A8" w:rsidRDefault="00817104" w:rsidP="00817104">
      <w:pPr>
        <w:pStyle w:val="Body"/>
        <w:rPr>
          <w:rFonts w:eastAsia="Calibri" w:cs="Calibri"/>
        </w:rPr>
      </w:pPr>
      <w:r w:rsidRPr="0670E279">
        <w:rPr>
          <w:rFonts w:eastAsia="Calibri" w:cs="Calibri"/>
        </w:rPr>
        <w:t xml:space="preserve">Health services should undertake relevant planning with the community advisory committee to ensure that consumers, carers and community members are actively involved and supported to participate in service development, planning and quality improvement. </w:t>
      </w:r>
    </w:p>
    <w:p w14:paraId="1553F0B4" w14:textId="77777777" w:rsidR="00817104" w:rsidRPr="00CE38A8" w:rsidRDefault="00817104" w:rsidP="00817104">
      <w:pPr>
        <w:pStyle w:val="Body"/>
        <w:rPr>
          <w:rFonts w:eastAsia="Calibri" w:cs="Calibri"/>
        </w:rPr>
      </w:pPr>
      <w:r w:rsidRPr="0670E279">
        <w:rPr>
          <w:rFonts w:eastAsia="Calibri" w:cs="Calibri"/>
        </w:rPr>
        <w:t xml:space="preserve">Community advisory committees are one part of a strategy to help health services involve consumers under the </w:t>
      </w:r>
      <w:r w:rsidRPr="00B9744A">
        <w:rPr>
          <w:rFonts w:eastAsia="Calibri" w:cs="Calibri"/>
        </w:rPr>
        <w:t>Partnering in healthcare framework</w:t>
      </w:r>
      <w:r w:rsidRPr="0670E279">
        <w:rPr>
          <w:rFonts w:eastAsia="Calibri" w:cs="Calibri"/>
        </w:rPr>
        <w:t>. The aim is to offer care that is safe, effective, person-and-family-centred, equitable and clinically effective.</w:t>
      </w:r>
    </w:p>
    <w:p w14:paraId="5045E51C" w14:textId="77777777" w:rsidR="00817104" w:rsidRDefault="00817104" w:rsidP="00817104">
      <w:pPr>
        <w:pStyle w:val="Body"/>
      </w:pPr>
      <w:r w:rsidRPr="0670E279">
        <w:rPr>
          <w:rFonts w:eastAsia="Calibri" w:cs="Calibri"/>
        </w:rPr>
        <w:t xml:space="preserve">For more information and to download the guidelines, visit </w:t>
      </w:r>
      <w:hyperlink r:id="rId368">
        <w:r>
          <w:rPr>
            <w:rStyle w:val="Hyperlink"/>
            <w:rFonts w:eastAsia="Calibri" w:cs="Calibri"/>
          </w:rPr>
          <w:t>Building your healthy community:</w:t>
        </w:r>
        <w:r w:rsidRPr="0670E279">
          <w:rPr>
            <w:rStyle w:val="Hyperlink"/>
            <w:rFonts w:eastAsia="Calibri" w:cs="Calibri"/>
          </w:rPr>
          <w:t xml:space="preserve"> </w:t>
        </w:r>
        <w:r>
          <w:rPr>
            <w:rStyle w:val="Hyperlink"/>
            <w:rFonts w:eastAsia="Calibri" w:cs="Calibri"/>
          </w:rPr>
          <w:t xml:space="preserve">A </w:t>
        </w:r>
        <w:r w:rsidRPr="0670E279">
          <w:rPr>
            <w:rStyle w:val="Hyperlink"/>
            <w:rFonts w:eastAsia="Calibri" w:cs="Calibri"/>
          </w:rPr>
          <w:t>guide for health service community advisory committees</w:t>
        </w:r>
      </w:hyperlink>
      <w:r w:rsidRPr="0670E279">
        <w:rPr>
          <w:rFonts w:eastAsia="Calibri" w:cs="Calibri"/>
        </w:rPr>
        <w:t xml:space="preserve"> &lt;https://www.bettersafercare.vic.gov.au/publications/a-guide-for-health-service-community-advisory-committees&gt;. </w:t>
      </w:r>
    </w:p>
    <w:p w14:paraId="24733419" w14:textId="77777777" w:rsidR="00817104" w:rsidRPr="009A5443" w:rsidRDefault="00817104" w:rsidP="00817104">
      <w:pPr>
        <w:pStyle w:val="Heading3"/>
        <w:numPr>
          <w:ilvl w:val="2"/>
          <w:numId w:val="0"/>
        </w:numPr>
        <w:tabs>
          <w:tab w:val="num" w:pos="794"/>
        </w:tabs>
        <w:ind w:left="1134" w:hanging="1134"/>
      </w:pPr>
      <w:r>
        <w:t>21.3.1</w:t>
      </w:r>
      <w:r>
        <w:tab/>
        <w:t xml:space="preserve">Primary care </w:t>
      </w:r>
      <w:r w:rsidRPr="000B1E5D">
        <w:t>and</w:t>
      </w:r>
      <w:r>
        <w:t xml:space="preserve"> population health advisory committees</w:t>
      </w:r>
    </w:p>
    <w:p w14:paraId="72A25D26" w14:textId="77777777" w:rsidR="00817104" w:rsidRPr="00B61A4E" w:rsidRDefault="00817104" w:rsidP="00817104">
      <w:pPr>
        <w:pStyle w:val="Body"/>
      </w:pPr>
      <w:r>
        <w:t xml:space="preserve">Under the </w:t>
      </w:r>
      <w:r w:rsidRPr="002D6AE5">
        <w:rPr>
          <w:iCs/>
        </w:rPr>
        <w:t>Health Services Act</w:t>
      </w:r>
      <w:r>
        <w:t>, public health services must have a primary care and population health advisory committee. Health services should continue to work through these committees to consider the broader needs of the community.</w:t>
      </w:r>
    </w:p>
    <w:p w14:paraId="59DC723D" w14:textId="35273AFF" w:rsidR="00817104" w:rsidRDefault="00817104" w:rsidP="00817104">
      <w:pPr>
        <w:pStyle w:val="Heading2"/>
      </w:pPr>
      <w:bookmarkStart w:id="2554" w:name="_Toc165964732"/>
      <w:bookmarkStart w:id="2555" w:name="_Toc167174592"/>
      <w:bookmarkStart w:id="2556" w:name="_Toc229127736"/>
      <w:bookmarkStart w:id="2557" w:name="_Toc231982345"/>
      <w:r>
        <w:t>Partnerships</w:t>
      </w:r>
      <w:bookmarkEnd w:id="2554"/>
      <w:bookmarkEnd w:id="2555"/>
      <w:bookmarkEnd w:id="2556"/>
      <w:bookmarkEnd w:id="2557"/>
    </w:p>
    <w:p w14:paraId="79177CAD" w14:textId="77777777" w:rsidR="00817104" w:rsidRPr="001D2856" w:rsidRDefault="00817104" w:rsidP="00817104">
      <w:pPr>
        <w:pStyle w:val="Body"/>
      </w:pPr>
      <w:r>
        <w:t>All funded organisations are encouraged to participate in locally relevant partnerships, local collaboratives, and alliances with other health and human services organisations, where appropriate.</w:t>
      </w:r>
    </w:p>
    <w:p w14:paraId="1516F5FB" w14:textId="77777777" w:rsidR="00817104" w:rsidRDefault="00817104" w:rsidP="00817104">
      <w:pPr>
        <w:pStyle w:val="Body"/>
      </w:pPr>
      <w:r>
        <w:t>Australian Government-funded PHNs are charged with improving access to primary care services and ensuring better coordination of care with local healthcare providers. They do not deliver services, but they do commission and integrate local services to increase the efficiency and effectiveness of medical services for consumers, particularly those at risk of poor health outcomes.</w:t>
      </w:r>
    </w:p>
    <w:p w14:paraId="2CE75ED9" w14:textId="3D0F0E19" w:rsidR="00817104" w:rsidRDefault="00817104" w:rsidP="00817104">
      <w:pPr>
        <w:pStyle w:val="Heading2"/>
      </w:pPr>
      <w:bookmarkStart w:id="2558" w:name="_Toc165964733"/>
      <w:bookmarkStart w:id="2559" w:name="_Toc167174593"/>
      <w:bookmarkStart w:id="2560" w:name="_Toc229127737"/>
      <w:bookmarkStart w:id="2561" w:name="_Toc231982346"/>
      <w:r>
        <w:t>Complaint management</w:t>
      </w:r>
      <w:bookmarkEnd w:id="2558"/>
      <w:bookmarkEnd w:id="2559"/>
      <w:bookmarkEnd w:id="2560"/>
      <w:bookmarkEnd w:id="2561"/>
    </w:p>
    <w:p w14:paraId="432E7B4E" w14:textId="77777777" w:rsidR="00817104" w:rsidRDefault="00817104" w:rsidP="00817104">
      <w:pPr>
        <w:pStyle w:val="Body"/>
      </w:pPr>
      <w:bookmarkStart w:id="2562" w:name="_Toc165964734"/>
      <w:bookmarkStart w:id="2563" w:name="_Toc167174594"/>
      <w:r>
        <w:t>All funded organisations must have effective and responsive complaint management systems in place that are timely, appropriate and lead to improvements in quality and safety. All hospitals must have an appropriately resourced role that is responsible for addressing patient concerns, and is visible and accessible to consumers.</w:t>
      </w:r>
    </w:p>
    <w:p w14:paraId="693D3C52" w14:textId="77777777" w:rsidR="00817104" w:rsidRDefault="00817104" w:rsidP="00817104">
      <w:pPr>
        <w:pStyle w:val="Body"/>
      </w:pPr>
      <w:r>
        <w:t xml:space="preserve">The contact details for the identified role should be readily accessible (including on the hospital’s website). There should be a variety of inclusive mechanisms for consumers to provide feedback to health services. </w:t>
      </w:r>
    </w:p>
    <w:p w14:paraId="6D3FFF96" w14:textId="77777777" w:rsidR="00817104" w:rsidRDefault="00817104" w:rsidP="00817104">
      <w:pPr>
        <w:pStyle w:val="Body"/>
      </w:pPr>
      <w:r>
        <w:lastRenderedPageBreak/>
        <w:t xml:space="preserve">Health services should have systems for aggregating complaints data and addressing issues, as part of their continuous improvement. This includes, but is not limited to, mechanisms for identifying potential SAPSE, clinical incidents and near misses, to provide more robust systems for using complaint and incident data as a safety signal, in accordance with SDC legislative requirements. </w:t>
      </w:r>
    </w:p>
    <w:p w14:paraId="4B3D099D" w14:textId="77777777" w:rsidR="00817104" w:rsidRPr="008161CC" w:rsidRDefault="00817104" w:rsidP="00817104">
      <w:pPr>
        <w:pStyle w:val="Body"/>
      </w:pPr>
      <w:r>
        <w:t xml:space="preserve">Health services are expected to demonstrate compliance with the </w:t>
      </w:r>
      <w:r w:rsidRPr="4D3A30AA">
        <w:rPr>
          <w:i/>
          <w:iCs/>
        </w:rPr>
        <w:t xml:space="preserve">Health Complaints Act 2016 </w:t>
      </w:r>
      <w:r w:rsidRPr="009554B2">
        <w:t xml:space="preserve">and </w:t>
      </w:r>
      <w:r w:rsidRPr="4D3A30AA">
        <w:rPr>
          <w:i/>
          <w:iCs/>
        </w:rPr>
        <w:t xml:space="preserve">Complaint Handling Standards </w:t>
      </w:r>
      <w:r w:rsidRPr="00532CB8">
        <w:t xml:space="preserve">published on the </w:t>
      </w:r>
      <w:r w:rsidRPr="009554B2">
        <w:t>Health Complaints Commissioner website</w:t>
      </w:r>
      <w:r>
        <w:t>,</w:t>
      </w:r>
      <w:r w:rsidRPr="4D3A30AA">
        <w:rPr>
          <w:i/>
          <w:iCs/>
        </w:rPr>
        <w:t xml:space="preserve"> </w:t>
      </w:r>
      <w:r>
        <w:t xml:space="preserve">and regularly review their complaints management procedures, as part of their ongoing quality and safety governance process. </w:t>
      </w:r>
    </w:p>
    <w:p w14:paraId="7FA6AA11" w14:textId="77777777" w:rsidR="00817104" w:rsidRDefault="00817104" w:rsidP="00817104">
      <w:pPr>
        <w:pStyle w:val="Body"/>
      </w:pPr>
      <w:r>
        <w:t xml:space="preserve">The Health Complaints Commissioner is an independent and impartial statutory body that derives their powers and functions from the </w:t>
      </w:r>
      <w:r w:rsidRPr="009554B2">
        <w:t>Health Complaints Act</w:t>
      </w:r>
      <w:r>
        <w:t xml:space="preserve"> </w:t>
      </w:r>
      <w:r w:rsidRPr="00E7321E">
        <w:t>and</w:t>
      </w:r>
      <w:r w:rsidRPr="00A12E75">
        <w:rPr>
          <w:i/>
          <w:iCs/>
        </w:rPr>
        <w:t xml:space="preserve"> </w:t>
      </w:r>
      <w:r w:rsidRPr="009554B2">
        <w:t>the</w:t>
      </w:r>
      <w:r w:rsidRPr="00A12E75">
        <w:rPr>
          <w:i/>
          <w:iCs/>
        </w:rPr>
        <w:t xml:space="preserve"> Health Records Act 2001</w:t>
      </w:r>
      <w:r>
        <w:t>. They resolve complaints about health care and the handling of health information in Victoria. They can also investigate matters and review complaints data to help health service providers improve the quality of their service.</w:t>
      </w:r>
    </w:p>
    <w:p w14:paraId="37D74CCE" w14:textId="77777777" w:rsidR="00817104" w:rsidRDefault="00817104" w:rsidP="00817104">
      <w:pPr>
        <w:pStyle w:val="Body"/>
      </w:pPr>
      <w:r>
        <w:t xml:space="preserve">The Commissioner acts independently and impartially, and actively engages in the health sector through training in complaints handling, and the relevant laws governing health service and health records complaints. </w:t>
      </w:r>
    </w:p>
    <w:p w14:paraId="59AA53C6" w14:textId="77777777" w:rsidR="00817104" w:rsidRPr="00076FFE" w:rsidRDefault="00817104" w:rsidP="00817104">
      <w:pPr>
        <w:pStyle w:val="Body"/>
      </w:pPr>
      <w:r>
        <w:t xml:space="preserve">For more information, visit the </w:t>
      </w:r>
      <w:hyperlink r:id="rId369">
        <w:r w:rsidRPr="0670E279">
          <w:rPr>
            <w:rStyle w:val="Hyperlink"/>
          </w:rPr>
          <w:t>Health Complaints Commissioner</w:t>
        </w:r>
      </w:hyperlink>
      <w:r>
        <w:t xml:space="preserve"> &lt;https://hcc.vic.gov.au&gt;. </w:t>
      </w:r>
    </w:p>
    <w:p w14:paraId="765CC412" w14:textId="059C972C" w:rsidR="00817104" w:rsidRDefault="00817104" w:rsidP="00817104">
      <w:pPr>
        <w:pStyle w:val="Heading2"/>
      </w:pPr>
      <w:bookmarkStart w:id="2564" w:name="_Toc229127738"/>
      <w:bookmarkStart w:id="2565" w:name="_Toc231982347"/>
      <w:r>
        <w:t>Historical forced adoption</w:t>
      </w:r>
      <w:bookmarkEnd w:id="2562"/>
      <w:bookmarkEnd w:id="2563"/>
      <w:bookmarkEnd w:id="2564"/>
      <w:bookmarkEnd w:id="2565"/>
    </w:p>
    <w:p w14:paraId="5FDACB04" w14:textId="77777777" w:rsidR="00817104" w:rsidRDefault="00817104" w:rsidP="00817104">
      <w:pPr>
        <w:pStyle w:val="Body"/>
      </w:pPr>
      <w:r>
        <w:t xml:space="preserve">The 2021 </w:t>
      </w:r>
      <w:r w:rsidRPr="007B6FAE">
        <w:t xml:space="preserve">Inquiry into Responses to Historical Forced Adoption in Victoria </w:t>
      </w:r>
      <w:r w:rsidRPr="000B1E5D">
        <w:t>requires</w:t>
      </w:r>
      <w:r>
        <w:t xml:space="preserve"> all public hospitals directly involved in historical forced adoptions to develop a specific application form for mothers and people who are adopted to request their hospital records.</w:t>
      </w:r>
    </w:p>
    <w:p w14:paraId="67AB489E" w14:textId="77777777" w:rsidR="00817104" w:rsidRPr="00076FFE" w:rsidRDefault="00817104" w:rsidP="00817104">
      <w:pPr>
        <w:pStyle w:val="Body"/>
      </w:pPr>
      <w:r>
        <w:t>If a hospital record cannot be located or is unavailable, public hospitals must make every effort to explain to information applicants why a hospital record cannot be located, including details of when and how records were destroyed, if possible. A template application form has been shared with public hospitals directly involved in historical forced adoptions.</w:t>
      </w:r>
    </w:p>
    <w:p w14:paraId="310DD261" w14:textId="77777777" w:rsidR="00817104" w:rsidRDefault="00817104" w:rsidP="00817104">
      <w:pPr>
        <w:spacing w:after="0" w:line="240" w:lineRule="auto"/>
        <w:rPr>
          <w:rFonts w:ascii="Times New Roman" w:hAnsi="Times New Roman"/>
          <w:sz w:val="20"/>
          <w:lang w:eastAsia="en-AU"/>
        </w:rPr>
      </w:pPr>
    </w:p>
    <w:p w14:paraId="7A4CAC2D" w14:textId="77777777" w:rsidR="00817104" w:rsidRDefault="00817104" w:rsidP="00817104">
      <w:pPr>
        <w:spacing w:after="0" w:line="240" w:lineRule="auto"/>
        <w:rPr>
          <w:rFonts w:ascii="Times New Roman" w:hAnsi="Times New Roman"/>
          <w:sz w:val="20"/>
          <w:lang w:eastAsia="en-AU"/>
        </w:rPr>
      </w:pPr>
      <w:r>
        <w:rPr>
          <w:rFonts w:ascii="Times New Roman" w:hAnsi="Times New Roman"/>
          <w:sz w:val="20"/>
          <w:lang w:eastAsia="en-AU"/>
        </w:rPr>
        <w:br w:type="page"/>
      </w:r>
    </w:p>
    <w:p w14:paraId="6A762B7D" w14:textId="77777777" w:rsidR="00817104" w:rsidRDefault="00817104" w:rsidP="008D45A5">
      <w:pPr>
        <w:pStyle w:val="Heading1"/>
      </w:pPr>
      <w:bookmarkStart w:id="2566" w:name="_Toc165964735"/>
      <w:bookmarkStart w:id="2567" w:name="_Toc167174595"/>
      <w:bookmarkStart w:id="2568" w:name="_Toc224127303"/>
      <w:bookmarkStart w:id="2569" w:name="_Toc231982348"/>
      <w:bookmarkStart w:id="2570" w:name="_Toc165964736"/>
      <w:bookmarkStart w:id="2571" w:name="_Toc167174596"/>
      <w:bookmarkStart w:id="2572" w:name="_Toc224127304"/>
      <w:r>
        <w:lastRenderedPageBreak/>
        <w:t>Financial requirements</w:t>
      </w:r>
      <w:bookmarkEnd w:id="2566"/>
      <w:bookmarkEnd w:id="2567"/>
      <w:bookmarkEnd w:id="2568"/>
      <w:bookmarkEnd w:id="2569"/>
    </w:p>
    <w:p w14:paraId="526F3F0A" w14:textId="36547ADE" w:rsidR="00817104" w:rsidRDefault="00817104" w:rsidP="00817104">
      <w:pPr>
        <w:pStyle w:val="Heading2"/>
      </w:pPr>
      <w:bookmarkStart w:id="2573" w:name="_Toc231982349"/>
      <w:r>
        <w:t>Health service procurement and purchasing requirements</w:t>
      </w:r>
      <w:bookmarkEnd w:id="2570"/>
      <w:bookmarkEnd w:id="2571"/>
      <w:bookmarkEnd w:id="2572"/>
      <w:bookmarkEnd w:id="2573"/>
    </w:p>
    <w:p w14:paraId="10D23A4D" w14:textId="77777777" w:rsidR="00817104" w:rsidRPr="00D06B30" w:rsidRDefault="00817104" w:rsidP="00817104">
      <w:pPr>
        <w:pStyle w:val="Body"/>
      </w:pPr>
      <w:r>
        <w:t xml:space="preserve">Health Purchasing Victoria, a body corporate established under the </w:t>
      </w:r>
      <w:r w:rsidRPr="002966DA">
        <w:rPr>
          <w:i/>
          <w:iCs/>
        </w:rPr>
        <w:t>Health Services Act 1988</w:t>
      </w:r>
      <w:r>
        <w:t>, is undertaking its statutory functions as HealthShare Victoria (HSV), and is responsible for supply chain operations and purchasing policy compliance.</w:t>
      </w:r>
    </w:p>
    <w:p w14:paraId="6C136361" w14:textId="77777777" w:rsidR="00817104" w:rsidRPr="00F17302" w:rsidRDefault="00817104" w:rsidP="00817104">
      <w:pPr>
        <w:pStyle w:val="Body"/>
      </w:pPr>
      <w:r>
        <w:t>Supply chain operations:</w:t>
      </w:r>
    </w:p>
    <w:p w14:paraId="3ED85E0D" w14:textId="77777777" w:rsidR="00817104" w:rsidRDefault="00817104" w:rsidP="00817104">
      <w:pPr>
        <w:pStyle w:val="Bullet1"/>
        <w:numPr>
          <w:ilvl w:val="0"/>
          <w:numId w:val="2"/>
        </w:numPr>
      </w:pPr>
      <w:r>
        <w:t>improve the collective purchasing power for Victorian public health services and hospitals, by establishing statewide supply agreements for health-related goods and services</w:t>
      </w:r>
    </w:p>
    <w:p w14:paraId="0D9CDC16" w14:textId="77777777" w:rsidR="00817104" w:rsidRDefault="00817104" w:rsidP="00817104">
      <w:pPr>
        <w:pStyle w:val="Bullet1"/>
        <w:numPr>
          <w:ilvl w:val="0"/>
          <w:numId w:val="2"/>
        </w:numPr>
      </w:pPr>
      <w:r>
        <w:t>manage the bulk purchasing, and efficient supply and distribution of medical consumables for Victoria’s public health services, with HSV’s distribution centre operations being a central part of the end-to-end supply chain</w:t>
      </w:r>
    </w:p>
    <w:p w14:paraId="55B3F6C8" w14:textId="77777777" w:rsidR="00817104" w:rsidRDefault="00817104" w:rsidP="00817104">
      <w:pPr>
        <w:pStyle w:val="Bullet1"/>
        <w:numPr>
          <w:ilvl w:val="0"/>
          <w:numId w:val="2"/>
        </w:numPr>
      </w:pPr>
      <w:r>
        <w:t>support better patient outcomes by enabling consistent access to goods and evidenced-based product selection.</w:t>
      </w:r>
    </w:p>
    <w:p w14:paraId="740F38BC" w14:textId="77777777" w:rsidR="00817104" w:rsidRDefault="00817104" w:rsidP="00817104">
      <w:pPr>
        <w:pStyle w:val="Bodyafterbullets"/>
      </w:pPr>
      <w:r>
        <w:t>To achieve these outcomes, health services participating in the HSV supply chain and logistics services are required to ensure all purchasing for goods on the HealthShare Victoria catalogue is undertaken via this service.</w:t>
      </w:r>
    </w:p>
    <w:p w14:paraId="07007B96" w14:textId="77777777" w:rsidR="00817104" w:rsidRPr="00F17302" w:rsidRDefault="00817104" w:rsidP="00817104">
      <w:pPr>
        <w:pStyle w:val="Body"/>
      </w:pPr>
      <w:r>
        <w:t>The compliance function:</w:t>
      </w:r>
    </w:p>
    <w:p w14:paraId="3891E390" w14:textId="3B11C2E9" w:rsidR="00817104" w:rsidRDefault="00817104" w:rsidP="00817104">
      <w:pPr>
        <w:pStyle w:val="Bullet1"/>
        <w:numPr>
          <w:ilvl w:val="0"/>
          <w:numId w:val="2"/>
        </w:numPr>
      </w:pPr>
      <w:r>
        <w:t xml:space="preserve">develops, implements and reviews policies and audits to promote best value and probity, in relation to the supply of goods and services to health services. HSV’s purchasing policies establish a procurement policy framework for health services and incorporate the strategic approach and guidance of the Victorian Government Purchasing Board policies. These policies are mandated for all Schedule 1 and 5 (of the Act) health </w:t>
      </w:r>
      <w:r w:rsidR="00171361">
        <w:t>services and</w:t>
      </w:r>
      <w:r>
        <w:t xml:space="preserve"> may be viewed at </w:t>
      </w:r>
      <w:hyperlink r:id="rId370" w:history="1">
        <w:r>
          <w:rPr>
            <w:rStyle w:val="Hyperlink"/>
          </w:rPr>
          <w:t>Purchasing Policies</w:t>
        </w:r>
      </w:hyperlink>
      <w:r w:rsidRPr="0670E279">
        <w:rPr>
          <w:i/>
          <w:iCs/>
        </w:rPr>
        <w:t xml:space="preserve"> </w:t>
      </w:r>
      <w:r>
        <w:t>&lt;</w:t>
      </w:r>
      <w:r w:rsidRPr="009E7AC6">
        <w:t>https://healthsharevic.org.au/hsv-purchasing-policies/</w:t>
      </w:r>
      <w:r>
        <w:t>&gt;. This ensures probity is maintained in purchasing, tendering and contracting activities in health services</w:t>
      </w:r>
    </w:p>
    <w:p w14:paraId="4FD3DC62" w14:textId="77777777" w:rsidR="00817104" w:rsidRDefault="00817104" w:rsidP="00817104">
      <w:pPr>
        <w:pStyle w:val="Bullet1"/>
        <w:numPr>
          <w:ilvl w:val="0"/>
          <w:numId w:val="2"/>
        </w:numPr>
      </w:pPr>
      <w:r>
        <w:t>provides advice, employee training and consultancy services, in relation to the supply of goods and services to the health sector</w:t>
      </w:r>
    </w:p>
    <w:p w14:paraId="0DBA89F9" w14:textId="77777777" w:rsidR="00817104" w:rsidRDefault="00817104" w:rsidP="00817104">
      <w:pPr>
        <w:pStyle w:val="Bullet1"/>
        <w:numPr>
          <w:ilvl w:val="0"/>
          <w:numId w:val="2"/>
        </w:numPr>
      </w:pPr>
      <w:r>
        <w:t>monitors health service compliance with purchasing policies and HSV directions, and reports irregularities to the Minister for Health.</w:t>
      </w:r>
    </w:p>
    <w:p w14:paraId="484BDE4A" w14:textId="77777777" w:rsidR="00817104" w:rsidRDefault="00817104" w:rsidP="00817104">
      <w:pPr>
        <w:pStyle w:val="Heading3"/>
        <w:numPr>
          <w:ilvl w:val="2"/>
          <w:numId w:val="0"/>
        </w:numPr>
        <w:tabs>
          <w:tab w:val="num" w:pos="794"/>
        </w:tabs>
        <w:ind w:left="1134" w:hanging="1134"/>
      </w:pPr>
      <w:r>
        <w:t>22.1.1</w:t>
      </w:r>
      <w:r>
        <w:tab/>
        <w:t xml:space="preserve">HSV Compliance </w:t>
      </w:r>
      <w:r w:rsidRPr="000B1E5D">
        <w:t>framework</w:t>
      </w:r>
    </w:p>
    <w:p w14:paraId="219B85A4" w14:textId="77777777" w:rsidR="00817104" w:rsidRDefault="00817104" w:rsidP="00817104">
      <w:pPr>
        <w:pStyle w:val="Body"/>
      </w:pPr>
      <w:r>
        <w:t xml:space="preserve">To meet its responsibilities in monitoring health service compliance with purchasing policies, and to promote probity among health service management and employees with procurement responsibilities, HSV has developed a compliance framework that includes support and prevention activities, such as education, training, advice and guidance, and monitoring. </w:t>
      </w:r>
    </w:p>
    <w:p w14:paraId="6662A65D" w14:textId="77777777" w:rsidR="00817104" w:rsidRDefault="00817104" w:rsidP="00817104">
      <w:pPr>
        <w:pStyle w:val="Body"/>
      </w:pPr>
      <w:r>
        <w:t>Mandated health services must complete an annual compliance self-assessment requiring:</w:t>
      </w:r>
    </w:p>
    <w:p w14:paraId="71952A0E" w14:textId="77777777" w:rsidR="00817104" w:rsidRPr="006579E0" w:rsidRDefault="00817104" w:rsidP="00817104">
      <w:pPr>
        <w:pStyle w:val="Bullet1"/>
        <w:numPr>
          <w:ilvl w:val="0"/>
          <w:numId w:val="2"/>
        </w:numPr>
      </w:pPr>
      <w:r>
        <w:t>compliance with the Health Purchasing Policies and the HSV Collective Agreements</w:t>
      </w:r>
    </w:p>
    <w:p w14:paraId="027B46FD" w14:textId="77777777" w:rsidR="00817104" w:rsidRPr="006579E0" w:rsidRDefault="00817104" w:rsidP="00817104">
      <w:pPr>
        <w:pStyle w:val="Bullet1"/>
        <w:numPr>
          <w:ilvl w:val="0"/>
          <w:numId w:val="2"/>
        </w:numPr>
      </w:pPr>
      <w:r>
        <w:t>approval and submission to HSV by the health service’s CEO for inclusion in the HSV annual report.</w:t>
      </w:r>
    </w:p>
    <w:p w14:paraId="4E5EFA9A" w14:textId="77777777" w:rsidR="00817104" w:rsidRPr="006A2F36" w:rsidRDefault="00817104" w:rsidP="00817104">
      <w:pPr>
        <w:pStyle w:val="Bodyafterbullets"/>
      </w:pPr>
      <w:r>
        <w:t>Mandated health services must complete compliance audits to the Health Purchasing Policies, requiring:</w:t>
      </w:r>
    </w:p>
    <w:p w14:paraId="2CC0C39C" w14:textId="77777777" w:rsidR="00817104" w:rsidRPr="006579E0" w:rsidRDefault="00817104" w:rsidP="00817104">
      <w:pPr>
        <w:pStyle w:val="Bullet1"/>
        <w:numPr>
          <w:ilvl w:val="0"/>
          <w:numId w:val="2"/>
        </w:numPr>
      </w:pPr>
      <w:r>
        <w:lastRenderedPageBreak/>
        <w:t>the CEO of a mandated health service to audit compliance as per the Health Services Act</w:t>
      </w:r>
    </w:p>
    <w:p w14:paraId="7A1D0418" w14:textId="77777777" w:rsidR="00817104" w:rsidRPr="006579E0" w:rsidRDefault="00817104" w:rsidP="00817104">
      <w:pPr>
        <w:pStyle w:val="Bullet1"/>
        <w:numPr>
          <w:ilvl w:val="0"/>
          <w:numId w:val="2"/>
        </w:numPr>
      </w:pPr>
      <w:r>
        <w:t>an audit once every three years (health services must provide the final audit report to HSV by 30 June in the year the audit is scheduled)</w:t>
      </w:r>
    </w:p>
    <w:p w14:paraId="46331769" w14:textId="77777777" w:rsidR="00817104" w:rsidRPr="00E02C0F" w:rsidRDefault="00817104" w:rsidP="00817104">
      <w:pPr>
        <w:pStyle w:val="Bullet1"/>
        <w:numPr>
          <w:ilvl w:val="0"/>
          <w:numId w:val="2"/>
        </w:numPr>
      </w:pPr>
      <w:r>
        <w:t>findings to be reported to the HSV Board and monitored until the health service has addressed and closed the issues. HSV must report high-risk areas of noncompliance to the Minister for Health.</w:t>
      </w:r>
    </w:p>
    <w:p w14:paraId="3115F960" w14:textId="77777777" w:rsidR="00817104" w:rsidRPr="00A05B53" w:rsidRDefault="00817104" w:rsidP="00817104">
      <w:pPr>
        <w:pStyle w:val="Bodyafterbullets"/>
      </w:pPr>
      <w:r>
        <w:t>Mandated health services must provide information and data on contracting and procurement activities, as requested by HSV. HSV can require the CEO of a mandated health service to provide information, and transparency and probity in purchasing, tendering and contract activities.</w:t>
      </w:r>
    </w:p>
    <w:p w14:paraId="330CB6BC" w14:textId="77777777" w:rsidR="00817104" w:rsidRPr="009C4E56" w:rsidRDefault="00817104" w:rsidP="00817104">
      <w:pPr>
        <w:pStyle w:val="Body"/>
      </w:pPr>
      <w:r>
        <w:t>The overlapping probity directives that health services should ensure they meet include that:</w:t>
      </w:r>
    </w:p>
    <w:p w14:paraId="09CB227E" w14:textId="77777777" w:rsidR="00817104" w:rsidRPr="008F017A" w:rsidRDefault="00817104" w:rsidP="00817104">
      <w:pPr>
        <w:pStyle w:val="Bullet1"/>
        <w:numPr>
          <w:ilvl w:val="0"/>
          <w:numId w:val="2"/>
        </w:numPr>
      </w:pPr>
      <w:r>
        <w:t>mandated health services must comply with the Health Purchasing Policies to support best-value procurement</w:t>
      </w:r>
    </w:p>
    <w:p w14:paraId="50F6E73B" w14:textId="7EF06663" w:rsidR="00817104" w:rsidRPr="00D643F9" w:rsidRDefault="00817104" w:rsidP="00817104">
      <w:pPr>
        <w:pStyle w:val="Bullet1"/>
        <w:numPr>
          <w:ilvl w:val="0"/>
          <w:numId w:val="2"/>
        </w:numPr>
      </w:pPr>
      <w:r>
        <w:t xml:space="preserve">health services must ensure their probity controls take into consideration recommendations contained in the </w:t>
      </w:r>
      <w:hyperlink r:id="rId371" w:history="1">
        <w:r w:rsidRPr="001D27EB">
          <w:rPr>
            <w:rStyle w:val="Hyperlink"/>
          </w:rPr>
          <w:t xml:space="preserve">Victorian Ombudsman’s report </w:t>
        </w:r>
        <w:r w:rsidRPr="001D27EB">
          <w:rPr>
            <w:rStyle w:val="Hyperlink"/>
            <w:rFonts w:cs="Calibri"/>
          </w:rPr>
          <w:t>Probity controls in public hospitals for the procurement of non-clinical goods and services</w:t>
        </w:r>
      </w:hyperlink>
      <w:r w:rsidRPr="0670E279">
        <w:rPr>
          <w:rStyle w:val="Hyperlink"/>
          <w:rFonts w:cs="Calibri"/>
        </w:rPr>
        <w:t xml:space="preserve"> </w:t>
      </w:r>
      <w:r>
        <w:t>&lt;</w:t>
      </w:r>
      <w:r w:rsidRPr="00BF7954">
        <w:t>https://www.austlii.edu.au/cgi-bin/viewdoc/au/other/VicOmbPRp/2008/4.html</w:t>
      </w:r>
      <w:r>
        <w:t>&gt; and Victorian Auditor-General’s Office reports.</w:t>
      </w:r>
    </w:p>
    <w:p w14:paraId="2B11A9C3" w14:textId="77777777" w:rsidR="00817104" w:rsidRDefault="00817104" w:rsidP="00817104">
      <w:pPr>
        <w:pStyle w:val="Bodyafterbullets"/>
      </w:pPr>
      <w:r>
        <w:t>Health services are also encouraged to consult with HSV on any high-value or high-risk procurement activities.</w:t>
      </w:r>
    </w:p>
    <w:p w14:paraId="5FAA63D2" w14:textId="61FA653F" w:rsidR="00817104" w:rsidRDefault="00817104" w:rsidP="00817104">
      <w:pPr>
        <w:pStyle w:val="Heading2"/>
      </w:pPr>
      <w:bookmarkStart w:id="2574" w:name="_Toc165964737"/>
      <w:bookmarkStart w:id="2575" w:name="_Toc167174597"/>
      <w:bookmarkStart w:id="2576" w:name="_Toc224127305"/>
      <w:bookmarkStart w:id="2577" w:name="_Toc231982350"/>
      <w:r>
        <w:t>Compliance with financial requirements</w:t>
      </w:r>
      <w:bookmarkEnd w:id="2574"/>
      <w:bookmarkEnd w:id="2575"/>
      <w:bookmarkEnd w:id="2576"/>
      <w:bookmarkEnd w:id="2577"/>
    </w:p>
    <w:p w14:paraId="26C46228" w14:textId="77777777" w:rsidR="00817104" w:rsidRPr="007D620D" w:rsidRDefault="00817104" w:rsidP="00817104">
      <w:pPr>
        <w:pStyle w:val="Heading3"/>
        <w:numPr>
          <w:ilvl w:val="2"/>
          <w:numId w:val="0"/>
        </w:numPr>
        <w:tabs>
          <w:tab w:val="num" w:pos="794"/>
        </w:tabs>
        <w:ind w:left="1134" w:hanging="1134"/>
      </w:pPr>
      <w:r>
        <w:t>22.2.1</w:t>
      </w:r>
      <w:r>
        <w:tab/>
        <w:t>Borrowing approval</w:t>
      </w:r>
    </w:p>
    <w:p w14:paraId="56F65D77" w14:textId="77777777" w:rsidR="00817104" w:rsidRPr="00B61A4E" w:rsidRDefault="00817104" w:rsidP="00817104">
      <w:pPr>
        <w:pStyle w:val="Body"/>
      </w:pPr>
      <w:r>
        <w:t>Section 30(2) of the Health Services Act requires registered funded agencies to obtain approval from both the Minister for Health and the Treasurer before seeking financial accommodation. An approved borrower may obtain financial accommodation, whether within or outside Victoria, secured or arranged in a manner and for a period approved by the Treasurer. These borrowings are guaranteed by the State.</w:t>
      </w:r>
    </w:p>
    <w:p w14:paraId="446C7C44" w14:textId="77777777" w:rsidR="00817104" w:rsidRPr="00B61A4E" w:rsidRDefault="00817104" w:rsidP="00817104">
      <w:pPr>
        <w:pStyle w:val="Body"/>
      </w:pPr>
      <w:r>
        <w:t xml:space="preserve">Section 44 of the </w:t>
      </w:r>
      <w:r w:rsidRPr="00B9744A">
        <w:rPr>
          <w:i/>
          <w:iCs/>
        </w:rPr>
        <w:t>Ambulance Services Act 1986</w:t>
      </w:r>
      <w:r>
        <w:t xml:space="preserve"> requires an ambulance service to obtain approval from the Treasurer before seeking financial accommodation. An approved borrower may obtain financial accommodation, within Australia, secured or arranged in a manner and for a period approved by the Treasurer.</w:t>
      </w:r>
    </w:p>
    <w:p w14:paraId="10E814F9" w14:textId="77777777" w:rsidR="00817104" w:rsidRDefault="00817104" w:rsidP="00817104">
      <w:pPr>
        <w:pStyle w:val="Body"/>
      </w:pPr>
      <w:r>
        <w:t>All registered funded agencies and ambulance services must obtain the appropriate approvals before seeking to borrow funds from third parties, and before entering into third-party finance arrangements for any overdrafts, borrowings or finance leases. These funds may be for purposes such as capital works and equipment expenditure.</w:t>
      </w:r>
    </w:p>
    <w:p w14:paraId="327946E3" w14:textId="77777777" w:rsidR="00817104" w:rsidRPr="007D620D" w:rsidRDefault="00817104" w:rsidP="00817104">
      <w:pPr>
        <w:pStyle w:val="Body"/>
      </w:pPr>
      <w:r>
        <w:t xml:space="preserve">The </w:t>
      </w:r>
      <w:r w:rsidRPr="00FF7B56">
        <w:t>Standard motor vehicle policy</w:t>
      </w:r>
      <w:r>
        <w:t>, issued under the authority of the Minister for Government Services, now mandates the acquisition of new vehicles through VicFleet, which is funded through the government’s finance lease facility. Under these requirements, all registered funded agencies and ambulance services are approved borrowers for the purpose of motor vehicle finance leases obtained through VicFleet.</w:t>
      </w:r>
    </w:p>
    <w:p w14:paraId="71A12F4E" w14:textId="77777777" w:rsidR="00817104" w:rsidRPr="007D620D" w:rsidRDefault="00817104" w:rsidP="00817104">
      <w:pPr>
        <w:pStyle w:val="Heading3"/>
        <w:numPr>
          <w:ilvl w:val="2"/>
          <w:numId w:val="0"/>
        </w:numPr>
        <w:tabs>
          <w:tab w:val="num" w:pos="794"/>
        </w:tabs>
        <w:ind w:left="1134" w:hanging="1134"/>
      </w:pPr>
      <w:r>
        <w:t>22.2.2</w:t>
      </w:r>
      <w:r>
        <w:tab/>
        <w:t>Capital expenditure</w:t>
      </w:r>
    </w:p>
    <w:p w14:paraId="4FA0B00E" w14:textId="77777777" w:rsidR="00817104" w:rsidRPr="00B61A4E" w:rsidRDefault="00817104" w:rsidP="00817104">
      <w:pPr>
        <w:pStyle w:val="Body"/>
      </w:pPr>
      <w:r>
        <w:t xml:space="preserve">Registered funded agencies and ambulance services must not enter into any expenditure related to equipment purchases, capital works, or purchase or disposal of real property, where the estimated </w:t>
      </w:r>
      <w:r>
        <w:lastRenderedPageBreak/>
        <w:t>total costs, real property value or total end costs of the works exceed 10 per cent of the annual revenue of the agency or health service, or $5 million (whichever is the lesser amount), unless the:</w:t>
      </w:r>
    </w:p>
    <w:p w14:paraId="628EF881" w14:textId="77777777" w:rsidR="00817104" w:rsidRPr="00A453FB" w:rsidRDefault="00817104" w:rsidP="00817104">
      <w:pPr>
        <w:pStyle w:val="Bullet1"/>
        <w:numPr>
          <w:ilvl w:val="0"/>
          <w:numId w:val="2"/>
        </w:numPr>
      </w:pPr>
      <w:r>
        <w:t>agency or health service has provided a detailed business plan relating to the proposed expenditure to the Secretary to the department</w:t>
      </w:r>
    </w:p>
    <w:p w14:paraId="21E04A87" w14:textId="77777777" w:rsidR="00817104" w:rsidRPr="00A453FB" w:rsidRDefault="00817104" w:rsidP="00817104">
      <w:pPr>
        <w:pStyle w:val="Bullet1"/>
        <w:numPr>
          <w:ilvl w:val="0"/>
          <w:numId w:val="2"/>
        </w:numPr>
      </w:pPr>
      <w:r>
        <w:t>expenditure has been approved by the Secretary to the department.</w:t>
      </w:r>
    </w:p>
    <w:p w14:paraId="3497D278" w14:textId="77777777" w:rsidR="00817104" w:rsidRPr="00B61A4E" w:rsidRDefault="00817104" w:rsidP="00817104">
      <w:pPr>
        <w:pStyle w:val="Bodyafterbullets"/>
      </w:pPr>
      <w:r>
        <w:t>The Secretary’s approval in relation to any expenditure referred to in the above clauses does not imply or in any way obligate the Secretary or the department to provide any financial support for the works.</w:t>
      </w:r>
    </w:p>
    <w:p w14:paraId="3F720CA0" w14:textId="77777777" w:rsidR="00817104" w:rsidRPr="00AB7057" w:rsidRDefault="00817104" w:rsidP="00817104">
      <w:pPr>
        <w:pStyle w:val="Heading3"/>
        <w:numPr>
          <w:ilvl w:val="2"/>
          <w:numId w:val="0"/>
        </w:numPr>
        <w:tabs>
          <w:tab w:val="num" w:pos="794"/>
        </w:tabs>
        <w:ind w:left="1134" w:hanging="1134"/>
      </w:pPr>
      <w:r>
        <w:t>22.2.3</w:t>
      </w:r>
      <w:r>
        <w:tab/>
        <w:t>Leases</w:t>
      </w:r>
    </w:p>
    <w:p w14:paraId="155B3776" w14:textId="77777777" w:rsidR="00817104" w:rsidRDefault="00817104" w:rsidP="00817104">
      <w:pPr>
        <w:pStyle w:val="Body"/>
      </w:pPr>
      <w:r>
        <w:t xml:space="preserve">Compliance with Australian Accounting Standard </w:t>
      </w:r>
      <w:r w:rsidRPr="0670E279">
        <w:rPr>
          <w:i/>
          <w:iCs/>
        </w:rPr>
        <w:t>AASB16 Leases</w:t>
      </w:r>
      <w:r>
        <w:t xml:space="preserve"> requires most operating leases (the exceptions being low-value asset leases, with an individual leased asset less than $10,000, and leases of less than 12 months duration) to be reported on the balance sheet.</w:t>
      </w:r>
    </w:p>
    <w:p w14:paraId="676B5B78" w14:textId="77777777" w:rsidR="00817104" w:rsidRPr="00F3308C" w:rsidRDefault="00817104" w:rsidP="00817104">
      <w:pPr>
        <w:pStyle w:val="Body"/>
      </w:pPr>
      <w:r>
        <w:t xml:space="preserve">All balance sheet leases must be recorded in the BDO Lead software provided by the department and reported in trial balances submitted via the </w:t>
      </w:r>
      <w:r w:rsidRPr="000232AF">
        <w:t>Health Agencies Reporting Tool</w:t>
      </w:r>
      <w:r>
        <w:t xml:space="preserve"> (HeART). Exceptions are motor vehicle leases with VicFleet, and leases attributable to public-private partnership arrangements, which are not required to be recorded in the BDO Lead software.</w:t>
      </w:r>
    </w:p>
    <w:p w14:paraId="1CA0EDE0" w14:textId="77777777" w:rsidR="00817104" w:rsidRDefault="00817104" w:rsidP="00817104">
      <w:pPr>
        <w:pStyle w:val="Body"/>
      </w:pPr>
      <w:r w:rsidRPr="001A5838">
        <w:t>The</w:t>
      </w:r>
      <w:r>
        <w:t xml:space="preserve"> 30 June </w:t>
      </w:r>
      <w:r w:rsidRPr="001A5838">
        <w:t>lease</w:t>
      </w:r>
      <w:r>
        <w:t xml:space="preserve"> </w:t>
      </w:r>
      <w:r w:rsidRPr="001A5838">
        <w:t>liabilit</w:t>
      </w:r>
      <w:r>
        <w:t>ies that funded agencies submit through their estimates trial balance submissions</w:t>
      </w:r>
      <w:r w:rsidRPr="00FF7B56">
        <w:rPr>
          <w:vertAlign w:val="superscript"/>
        </w:rPr>
        <w:footnoteReference w:id="14"/>
      </w:r>
      <w:r>
        <w:t xml:space="preserve"> via HeART will </w:t>
      </w:r>
      <w:r w:rsidRPr="001A5838">
        <w:t>contribute</w:t>
      </w:r>
      <w:r>
        <w:t xml:space="preserve"> </w:t>
      </w:r>
      <w:r w:rsidRPr="001A5838">
        <w:t>to</w:t>
      </w:r>
      <w:r>
        <w:t xml:space="preserve"> </w:t>
      </w:r>
      <w:r w:rsidRPr="001A5838">
        <w:t>an</w:t>
      </w:r>
      <w:r>
        <w:t xml:space="preserve"> </w:t>
      </w:r>
      <w:r w:rsidRPr="001A5838">
        <w:t>overall</w:t>
      </w:r>
      <w:r>
        <w:t xml:space="preserve"> lease-</w:t>
      </w:r>
      <w:r w:rsidRPr="001A5838">
        <w:t>borrowing</w:t>
      </w:r>
      <w:r>
        <w:t xml:space="preserve"> </w:t>
      </w:r>
      <w:r w:rsidRPr="001A5838">
        <w:t>cap</w:t>
      </w:r>
      <w:r>
        <w:t xml:space="preserve"> that is provided to the Department of Treasury and Finance for approval, and will constitute the agency’s borrowing cap for the year</w:t>
      </w:r>
      <w:r w:rsidRPr="001A5838">
        <w:t>.</w:t>
      </w:r>
      <w:r>
        <w:t xml:space="preserve"> </w:t>
      </w:r>
      <w:r w:rsidRPr="001A5838">
        <w:t>Each</w:t>
      </w:r>
      <w:r>
        <w:t xml:space="preserve"> </w:t>
      </w:r>
      <w:r w:rsidRPr="001A5838">
        <w:t>entity</w:t>
      </w:r>
      <w:r>
        <w:t xml:space="preserve"> </w:t>
      </w:r>
      <w:r w:rsidRPr="001A5838">
        <w:t>must</w:t>
      </w:r>
      <w:r>
        <w:t xml:space="preserve"> </w:t>
      </w:r>
      <w:r w:rsidRPr="001A5838">
        <w:t>manage</w:t>
      </w:r>
      <w:r>
        <w:t xml:space="preserve"> </w:t>
      </w:r>
      <w:r w:rsidRPr="001A5838">
        <w:t>its</w:t>
      </w:r>
      <w:r>
        <w:t xml:space="preserve"> </w:t>
      </w:r>
      <w:r w:rsidRPr="001A5838">
        <w:t>lease</w:t>
      </w:r>
      <w:r>
        <w:t xml:space="preserve"> </w:t>
      </w:r>
      <w:r w:rsidRPr="001A5838">
        <w:t>liabil</w:t>
      </w:r>
      <w:r>
        <w:t xml:space="preserve">ity </w:t>
      </w:r>
      <w:r w:rsidRPr="001A5838">
        <w:t>within</w:t>
      </w:r>
      <w:r>
        <w:t xml:space="preserve"> </w:t>
      </w:r>
      <w:r w:rsidRPr="001A5838">
        <w:t>this</w:t>
      </w:r>
      <w:r>
        <w:t xml:space="preserve"> lease-</w:t>
      </w:r>
      <w:r w:rsidRPr="001A5838">
        <w:t>borrowing</w:t>
      </w:r>
      <w:r>
        <w:t xml:space="preserve"> </w:t>
      </w:r>
      <w:r w:rsidRPr="001A5838">
        <w:t>cap</w:t>
      </w:r>
      <w:r>
        <w:t>, and actual balances as at 30 June will be compared with the entity’s approved cap to assess compliance.</w:t>
      </w:r>
    </w:p>
    <w:p w14:paraId="64D277B3" w14:textId="77777777" w:rsidR="00817104" w:rsidRPr="001A5838" w:rsidRDefault="00817104" w:rsidP="00817104">
      <w:pPr>
        <w:pStyle w:val="Body"/>
      </w:pPr>
      <w:r>
        <w:t xml:space="preserve">An entity should seek approval from the Treasurer, through the department, for any lease contracts that will cause the overall lease liabilities to exceed the lease-borrowing cap approved through the estimates trial balance submission process, to avoid a breach of the Standing Directions 2018 under the </w:t>
      </w:r>
      <w:r w:rsidRPr="00FF7B56">
        <w:rPr>
          <w:i/>
          <w:iCs/>
        </w:rPr>
        <w:t>Financial Management Act</w:t>
      </w:r>
      <w:r>
        <w:rPr>
          <w:i/>
          <w:iCs/>
        </w:rPr>
        <w:t xml:space="preserve"> 1994</w:t>
      </w:r>
      <w:r w:rsidRPr="0670E279">
        <w:rPr>
          <w:i/>
          <w:iCs/>
        </w:rPr>
        <w:t xml:space="preserve"> </w:t>
      </w:r>
      <w:r>
        <w:t>(Standing Directions).</w:t>
      </w:r>
    </w:p>
    <w:p w14:paraId="7946F93F" w14:textId="77777777" w:rsidR="00817104" w:rsidRDefault="00817104" w:rsidP="00817104">
      <w:pPr>
        <w:pStyle w:val="Body"/>
      </w:pPr>
      <w:r>
        <w:t xml:space="preserve">All leases must be assessed to determine whether they include a financial accommodation, as defined by the </w:t>
      </w:r>
      <w:r w:rsidRPr="0670E279">
        <w:rPr>
          <w:i/>
          <w:iCs/>
        </w:rPr>
        <w:t>Borrowing and Investment Powers Act 1987</w:t>
      </w:r>
      <w:r>
        <w:t xml:space="preserve"> (which is referenced in the Health Services Act), and health services must follow the existing processes for approving a lease that includes a financial accommodation (borrowing).</w:t>
      </w:r>
    </w:p>
    <w:p w14:paraId="32D4E351" w14:textId="77777777" w:rsidR="00817104" w:rsidRPr="0033730F" w:rsidRDefault="00817104" w:rsidP="00817104">
      <w:pPr>
        <w:pStyle w:val="Body"/>
      </w:pPr>
      <w:r>
        <w:t>Even though the accounting distinction between operating and finance leases no longer exists, there is still a legal distinction between operating and finance leases, based on the transfer of rights between the lessor and lessee. This means that the definition of financial accommodation under the Borrowing and Investment Powers Act does not include operating leases. As such, there is no change to the processes for approving operating leases and borrowings for health agencies.</w:t>
      </w:r>
    </w:p>
    <w:p w14:paraId="2C2176F7" w14:textId="77777777" w:rsidR="00817104" w:rsidRPr="009F34A6" w:rsidRDefault="00817104" w:rsidP="00817104">
      <w:pPr>
        <w:pStyle w:val="Body"/>
      </w:pPr>
      <w:r>
        <w:t xml:space="preserve">Lease commitments should continue to be undertaken in accordance with the </w:t>
      </w:r>
      <w:r w:rsidRPr="0670E279">
        <w:rPr>
          <w:i/>
          <w:iCs/>
        </w:rPr>
        <w:t xml:space="preserve">Victorian Government </w:t>
      </w:r>
      <w:r>
        <w:rPr>
          <w:i/>
          <w:iCs/>
        </w:rPr>
        <w:t>R</w:t>
      </w:r>
      <w:r w:rsidRPr="0670E279">
        <w:rPr>
          <w:i/>
          <w:iCs/>
        </w:rPr>
        <w:t xml:space="preserve">isk </w:t>
      </w:r>
      <w:r>
        <w:rPr>
          <w:i/>
          <w:iCs/>
        </w:rPr>
        <w:t>M</w:t>
      </w:r>
      <w:r w:rsidRPr="0670E279">
        <w:rPr>
          <w:i/>
          <w:iCs/>
        </w:rPr>
        <w:t xml:space="preserve">anagement </w:t>
      </w:r>
      <w:r>
        <w:rPr>
          <w:i/>
          <w:iCs/>
        </w:rPr>
        <w:t>F</w:t>
      </w:r>
      <w:r w:rsidRPr="0670E279">
        <w:rPr>
          <w:i/>
          <w:iCs/>
        </w:rPr>
        <w:t>ramework</w:t>
      </w:r>
      <w:r>
        <w:t xml:space="preserve">. </w:t>
      </w:r>
    </w:p>
    <w:p w14:paraId="1ADDA1B9" w14:textId="77777777" w:rsidR="00817104" w:rsidRPr="00B61A4E" w:rsidRDefault="00817104" w:rsidP="00817104">
      <w:pPr>
        <w:pStyle w:val="Body"/>
      </w:pPr>
      <w:r>
        <w:t xml:space="preserve">For more information, visit the </w:t>
      </w:r>
      <w:hyperlink r:id="rId372">
        <w:r w:rsidRPr="00B9744A">
          <w:rPr>
            <w:rStyle w:val="Hyperlink"/>
          </w:rPr>
          <w:t>Victorian risk management framework and insurance management policy</w:t>
        </w:r>
      </w:hyperlink>
      <w:r>
        <w:t xml:space="preserve"> &lt;https://www.dtf.vic.gov.au/planning-budgeting-and-financial-reporting-frameworks/victorian-risk-management-framework-and-insurance-management-policy&gt;.</w:t>
      </w:r>
    </w:p>
    <w:p w14:paraId="4391EE54" w14:textId="77777777" w:rsidR="00817104" w:rsidRPr="007D620D" w:rsidRDefault="00817104" w:rsidP="00817104">
      <w:pPr>
        <w:pStyle w:val="Heading3"/>
        <w:numPr>
          <w:ilvl w:val="2"/>
          <w:numId w:val="0"/>
        </w:numPr>
        <w:tabs>
          <w:tab w:val="num" w:pos="794"/>
        </w:tabs>
        <w:ind w:left="1134" w:hanging="1134"/>
      </w:pPr>
      <w:r>
        <w:lastRenderedPageBreak/>
        <w:t>22.2.4</w:t>
      </w:r>
      <w:r>
        <w:tab/>
        <w:t>Investments</w:t>
      </w:r>
    </w:p>
    <w:p w14:paraId="5070E83A" w14:textId="77777777" w:rsidR="00817104" w:rsidRDefault="00817104" w:rsidP="00817104">
      <w:pPr>
        <w:pStyle w:val="Body"/>
      </w:pPr>
      <w:r>
        <w:t>Standing Direction 3.7.2 Treasury management, including the Central Banking System, requires all public sector entities, including public hospitals, to ensure that all financial assets, subject to the exceptions identified in the Standing Direction, be deposited within the Central Banking System, unless an exemption has been provided by the Minister for Finance under Standing Direction 1.5(b).</w:t>
      </w:r>
    </w:p>
    <w:p w14:paraId="1689DF80" w14:textId="77777777" w:rsidR="00817104" w:rsidRDefault="00817104" w:rsidP="00817104">
      <w:pPr>
        <w:pStyle w:val="Body"/>
        <w:rPr>
          <w:rFonts w:cs="Calibri"/>
        </w:rPr>
      </w:pPr>
      <w:r>
        <w:t>The Standing Direction 3.7.2 provides details of the requirements for financial assets and should be referred to, including definitions and specific exceptions.</w:t>
      </w:r>
    </w:p>
    <w:p w14:paraId="424FF097" w14:textId="5E0B107B" w:rsidR="00817104" w:rsidRDefault="00817104" w:rsidP="00817104">
      <w:pPr>
        <w:pStyle w:val="Heading2"/>
      </w:pPr>
      <w:bookmarkStart w:id="2578" w:name="_Toc165964738"/>
      <w:bookmarkStart w:id="2579" w:name="_Toc167174598"/>
      <w:bookmarkStart w:id="2580" w:name="_Toc231982351"/>
      <w:bookmarkStart w:id="2581" w:name="_Toc224127306"/>
      <w:r>
        <w:t>Goods and services tax</w:t>
      </w:r>
      <w:bookmarkEnd w:id="2578"/>
      <w:bookmarkEnd w:id="2579"/>
      <w:bookmarkEnd w:id="2580"/>
      <w:r>
        <w:t xml:space="preserve"> </w:t>
      </w:r>
      <w:bookmarkEnd w:id="2581"/>
    </w:p>
    <w:p w14:paraId="0FCDA873" w14:textId="77777777" w:rsidR="00817104" w:rsidRDefault="00817104" w:rsidP="00817104">
      <w:pPr>
        <w:pStyle w:val="Body"/>
      </w:pPr>
      <w:r>
        <w:t>Funded organisations must register for an Australian Business Number and register for</w:t>
      </w:r>
      <w:r w:rsidRPr="00B566CC">
        <w:t xml:space="preserve"> </w:t>
      </w:r>
      <w:r>
        <w:t xml:space="preserve">Goods and services tax (GST), where required under the </w:t>
      </w:r>
      <w:bookmarkStart w:id="2582" w:name="_Hlk198130335"/>
      <w:r w:rsidRPr="0670E279">
        <w:rPr>
          <w:i/>
          <w:iCs/>
        </w:rPr>
        <w:t>Goods and Services Tax Act 1999</w:t>
      </w:r>
      <w:bookmarkEnd w:id="2582"/>
      <w:r>
        <w:t xml:space="preserve">. Each funded organisation is responsible for its own tax compliance and liabilities. </w:t>
      </w:r>
    </w:p>
    <w:p w14:paraId="5FC40437" w14:textId="77777777" w:rsidR="00817104" w:rsidRDefault="00817104" w:rsidP="00817104">
      <w:pPr>
        <w:pStyle w:val="Body"/>
      </w:pPr>
      <w:r>
        <w:t xml:space="preserve">Public hospitals and Ambulance Victoria are government-related entities under sections 8 and 41 of the </w:t>
      </w:r>
      <w:r w:rsidRPr="0670E279">
        <w:rPr>
          <w:i/>
          <w:iCs/>
        </w:rPr>
        <w:t xml:space="preserve">Australian Business Number Act 1999. </w:t>
      </w:r>
      <w:r>
        <w:t xml:space="preserve">Funding between one government-related entity and another government-related entity that is sourced from appropriations and for non-commercial activity, is outside the scope of GST, pursuant to section 9–17(3) of the </w:t>
      </w:r>
      <w:r w:rsidRPr="00D80406">
        <w:t>Goods and Services Tax Act</w:t>
      </w:r>
      <w:r>
        <w:t>.</w:t>
      </w:r>
    </w:p>
    <w:p w14:paraId="7DE293E9" w14:textId="77777777" w:rsidR="00817104" w:rsidRDefault="00817104" w:rsidP="00817104">
      <w:pPr>
        <w:pStyle w:val="Body"/>
      </w:pPr>
    </w:p>
    <w:p w14:paraId="78513AFE" w14:textId="77777777" w:rsidR="00817104" w:rsidRDefault="00817104" w:rsidP="00817104">
      <w:pPr>
        <w:pStyle w:val="Body"/>
      </w:pPr>
      <w:r>
        <w:br w:type="page"/>
      </w:r>
    </w:p>
    <w:p w14:paraId="5F510B19" w14:textId="77777777" w:rsidR="00817104" w:rsidRDefault="00817104" w:rsidP="008D45A5">
      <w:pPr>
        <w:pStyle w:val="Heading1"/>
      </w:pPr>
      <w:bookmarkStart w:id="2583" w:name="_Toc165964739"/>
      <w:bookmarkStart w:id="2584" w:name="_Toc167174599"/>
      <w:bookmarkStart w:id="2585" w:name="_Toc224127307"/>
      <w:bookmarkStart w:id="2586" w:name="_Toc231982352"/>
      <w:r>
        <w:lastRenderedPageBreak/>
        <w:t xml:space="preserve">Asset and </w:t>
      </w:r>
      <w:r w:rsidRPr="00707386">
        <w:t>environmental</w:t>
      </w:r>
      <w:r>
        <w:t xml:space="preserve"> management</w:t>
      </w:r>
      <w:bookmarkEnd w:id="2583"/>
      <w:bookmarkEnd w:id="2584"/>
      <w:bookmarkEnd w:id="2585"/>
      <w:bookmarkEnd w:id="2586"/>
    </w:p>
    <w:p w14:paraId="43239C6B" w14:textId="77777777" w:rsidR="00817104" w:rsidRDefault="00817104" w:rsidP="00817104">
      <w:pPr>
        <w:pStyle w:val="Body"/>
      </w:pPr>
      <w:bookmarkStart w:id="2587" w:name="_Toc165964740"/>
      <w:bookmarkStart w:id="2588" w:name="_Toc167174600"/>
      <w:r w:rsidRPr="000B6FFF">
        <w:t>Asset management involves coordinated activities across an asset’s entire life cycle to maximise its value in supporting service delivery objectives. This requires balancing costs, risks, opportunities and performance outcomes. Health services are required to manage, maintain and replace their assets in line with the Standing Directions and the Victorian Government’s</w:t>
      </w:r>
      <w:r>
        <w:t xml:space="preserve"> AMAF.</w:t>
      </w:r>
    </w:p>
    <w:p w14:paraId="483482A6" w14:textId="77777777" w:rsidR="00817104" w:rsidRDefault="00817104" w:rsidP="00817104">
      <w:pPr>
        <w:pStyle w:val="Body"/>
      </w:pPr>
      <w:r>
        <w:t>Under the Standing Directions, the CEO of each funded organisation (health service) must attest in their annual report that the organisation complies with the requirements of the AMAF.</w:t>
      </w:r>
    </w:p>
    <w:p w14:paraId="2184E29D" w14:textId="77777777" w:rsidR="00817104" w:rsidRDefault="00817104" w:rsidP="00817104">
      <w:pPr>
        <w:pStyle w:val="Body"/>
      </w:pPr>
      <w:r>
        <w:t>To support compliance, the department requires health services to submit annual asset management plans, and maintain accurate asset registers, covering all physical asset classes under their control. This responsibility applies across the entire asset lifecycle, including planning, acquisition, operation and maintenance, and disposal.</w:t>
      </w:r>
    </w:p>
    <w:p w14:paraId="01F65F61" w14:textId="77777777" w:rsidR="00817104" w:rsidRDefault="00817104" w:rsidP="00817104">
      <w:pPr>
        <w:pStyle w:val="Body"/>
      </w:pPr>
      <w:r>
        <w:t xml:space="preserve">CEOs must assign clear responsibility, accountability and reporting arrangements for asset management. They are also required to establish and maintain management processes to plan, monitor, report on and assess assets under their control. </w:t>
      </w:r>
    </w:p>
    <w:p w14:paraId="63B5C482" w14:textId="77777777" w:rsidR="00817104" w:rsidRDefault="00817104" w:rsidP="00817104">
      <w:pPr>
        <w:pStyle w:val="Body"/>
      </w:pPr>
      <w:r>
        <w:t xml:space="preserve">Health services are encouraged to build asset capability by participating in the Health Infrastructure Asset Management Communities of Practice (HIAMCoP) facilitated by the department, as well as other asset management forums. </w:t>
      </w:r>
    </w:p>
    <w:p w14:paraId="4F4098E1" w14:textId="77777777" w:rsidR="00817104" w:rsidRDefault="00817104" w:rsidP="00817104">
      <w:pPr>
        <w:pStyle w:val="Body"/>
      </w:pPr>
      <w:r>
        <w:t xml:space="preserve">Consistent with Victorian Government policy, the department expects asset management governance planning and practices to be scaled appropriately to the size and complexity of the health service. </w:t>
      </w:r>
    </w:p>
    <w:p w14:paraId="7C35BE8F" w14:textId="77777777" w:rsidR="00817104" w:rsidRDefault="00817104" w:rsidP="00817104">
      <w:pPr>
        <w:pStyle w:val="Body"/>
      </w:pPr>
      <w:r>
        <w:t>Health service boards should be regularly informed about the performance of the asset management system, key asset performance indicators, any material risks, and the planned timing of significant investment or disinvestment decisions.</w:t>
      </w:r>
    </w:p>
    <w:p w14:paraId="34DC7773" w14:textId="0A32D383" w:rsidR="00817104" w:rsidRDefault="00817104" w:rsidP="00817104">
      <w:pPr>
        <w:pStyle w:val="Body"/>
      </w:pPr>
      <w:r>
        <w:t xml:space="preserve">For more information, visit the </w:t>
      </w:r>
      <w:hyperlink r:id="rId373" w:tgtFrame="_blank" w:history="1">
        <w:r w:rsidRPr="00867B37">
          <w:rPr>
            <w:rStyle w:val="Hyperlink"/>
          </w:rPr>
          <w:t>AMAF</w:t>
        </w:r>
      </w:hyperlink>
      <w:r w:rsidR="003C2CB0">
        <w:t xml:space="preserve"> </w:t>
      </w:r>
      <w:r>
        <w:t>&lt;https://www.dtf.vic.gov.au/infrastructure-investment/asset-management-accountability-framework&gt;.</w:t>
      </w:r>
    </w:p>
    <w:p w14:paraId="08DF483A" w14:textId="77777777" w:rsidR="00817104" w:rsidRDefault="00817104" w:rsidP="00817104">
      <w:pPr>
        <w:pStyle w:val="Body"/>
      </w:pPr>
      <w:r w:rsidRPr="000B6FFF">
        <w:t>Environmental management refers to the actions taken by an organisation to meet the requirements of environmental legislation and improve sustainability performance.</w:t>
      </w:r>
    </w:p>
    <w:p w14:paraId="78E29D8D" w14:textId="27FC7346" w:rsidR="00817104" w:rsidRPr="0033713C" w:rsidRDefault="00817104" w:rsidP="00817104">
      <w:pPr>
        <w:pStyle w:val="Heading2"/>
      </w:pPr>
      <w:bookmarkStart w:id="2589" w:name="_Toc224127308"/>
      <w:bookmarkStart w:id="2590" w:name="_Toc231982353"/>
      <w:r>
        <w:t>Asset management strategy and planning</w:t>
      </w:r>
      <w:bookmarkEnd w:id="2587"/>
      <w:bookmarkEnd w:id="2588"/>
      <w:bookmarkEnd w:id="2589"/>
      <w:bookmarkEnd w:id="2590"/>
    </w:p>
    <w:p w14:paraId="28C32B2D" w14:textId="77777777" w:rsidR="00817104" w:rsidRDefault="00817104" w:rsidP="00817104">
      <w:pPr>
        <w:pStyle w:val="Body"/>
      </w:pPr>
      <w:r>
        <w:t>Health services must systematically identify service delivery and asset needs over time, and develop plans to manage their entire asset base, including renewal forecasting and the management of individual assets across their life cycle.</w:t>
      </w:r>
    </w:p>
    <w:p w14:paraId="625C280D" w14:textId="77777777" w:rsidR="00817104" w:rsidRDefault="00817104" w:rsidP="00817104">
      <w:pPr>
        <w:pStyle w:val="Body"/>
      </w:pPr>
      <w:r>
        <w:t>A key requirement of the AMAF is the development of an asset management strategy that addresses both strategic (strategic asset management plan) and tactical (asset management plan) levels of asset management.</w:t>
      </w:r>
    </w:p>
    <w:p w14:paraId="0479583D" w14:textId="77777777" w:rsidR="00817104" w:rsidRDefault="00817104" w:rsidP="00817104">
      <w:pPr>
        <w:pStyle w:val="Body"/>
      </w:pPr>
      <w:r>
        <w:t>Effective asset management planning depends on strong governance, aligned leadership, and the involvement of key stakeholders and specialist groups across the health service. It also requires ongoing performance monitoring and strategic oversight to support effective risk assessment, asset prioritisation, and the quality and implementation of asset management planning.</w:t>
      </w:r>
    </w:p>
    <w:p w14:paraId="3E3AC3A6" w14:textId="62082315" w:rsidR="00817104" w:rsidRPr="00B61A4E" w:rsidRDefault="00817104" w:rsidP="00817104">
      <w:pPr>
        <w:pStyle w:val="Body"/>
      </w:pPr>
      <w:r>
        <w:t xml:space="preserve">Each health service is required to submit an annual asset management plan detailing how they are managing their asset base as outlined in </w:t>
      </w:r>
      <w:hyperlink w:anchor="_Capital_funding_programs" w:history="1">
        <w:r w:rsidRPr="00E033A8">
          <w:rPr>
            <w:rStyle w:val="Hyperlink"/>
          </w:rPr>
          <w:t>section 11</w:t>
        </w:r>
      </w:hyperlink>
      <w:r>
        <w:t>.</w:t>
      </w:r>
    </w:p>
    <w:p w14:paraId="6F708694" w14:textId="77777777" w:rsidR="00817104" w:rsidRDefault="00817104" w:rsidP="00817104">
      <w:pPr>
        <w:pStyle w:val="Heading3"/>
        <w:numPr>
          <w:ilvl w:val="2"/>
          <w:numId w:val="0"/>
        </w:numPr>
        <w:tabs>
          <w:tab w:val="num" w:pos="794"/>
        </w:tabs>
        <w:ind w:left="1134" w:hanging="1134"/>
      </w:pPr>
      <w:r>
        <w:lastRenderedPageBreak/>
        <w:t>23.1.1</w:t>
      </w:r>
      <w:r>
        <w:tab/>
        <w:t>Asset management plans</w:t>
      </w:r>
    </w:p>
    <w:p w14:paraId="4AE7BC59" w14:textId="634A11D9" w:rsidR="00817104" w:rsidRPr="00C25533" w:rsidRDefault="00817104" w:rsidP="00817104">
      <w:pPr>
        <w:pStyle w:val="Body"/>
      </w:pPr>
      <w:r w:rsidRPr="00C25533">
        <w:t xml:space="preserve">As part of the requirements under the AMAF for appropriate management of assets, health services must submit an annual asset management plan to the </w:t>
      </w:r>
      <w:r>
        <w:t xml:space="preserve">department’s </w:t>
      </w:r>
      <w:r w:rsidRPr="00C25533">
        <w:t>Asset Planning</w:t>
      </w:r>
      <w:r>
        <w:t xml:space="preserve"> Unit.</w:t>
      </w:r>
    </w:p>
    <w:p w14:paraId="3731816B" w14:textId="77777777" w:rsidR="00817104" w:rsidRPr="000B6FFF" w:rsidRDefault="00817104" w:rsidP="00817104">
      <w:pPr>
        <w:pStyle w:val="Body"/>
      </w:pPr>
      <w:r w:rsidRPr="000B6FFF">
        <w:t>At a minimum, the plan should include:</w:t>
      </w:r>
    </w:p>
    <w:p w14:paraId="013EAC9C" w14:textId="77777777" w:rsidR="00817104" w:rsidRPr="000B6FFF" w:rsidRDefault="00817104" w:rsidP="00817104">
      <w:pPr>
        <w:pStyle w:val="Bullet1"/>
        <w:numPr>
          <w:ilvl w:val="0"/>
          <w:numId w:val="2"/>
        </w:numPr>
      </w:pPr>
      <w:r>
        <w:t>s</w:t>
      </w:r>
      <w:r w:rsidRPr="000B6FFF">
        <w:t>ummary data of the asset holding within control</w:t>
      </w:r>
    </w:p>
    <w:p w14:paraId="5C707BC4" w14:textId="77777777" w:rsidR="00817104" w:rsidRPr="000B6FFF" w:rsidRDefault="00817104" w:rsidP="00817104">
      <w:pPr>
        <w:pStyle w:val="Bullet1"/>
        <w:numPr>
          <w:ilvl w:val="0"/>
          <w:numId w:val="2"/>
        </w:numPr>
      </w:pPr>
      <w:r>
        <w:t>k</w:t>
      </w:r>
      <w:r w:rsidRPr="000B6FFF">
        <w:t>ey asset performance measures</w:t>
      </w:r>
    </w:p>
    <w:p w14:paraId="6248F6A7" w14:textId="77777777" w:rsidR="00817104" w:rsidRPr="000B6FFF" w:rsidRDefault="00817104" w:rsidP="00817104">
      <w:pPr>
        <w:pStyle w:val="Bullet1"/>
        <w:numPr>
          <w:ilvl w:val="0"/>
          <w:numId w:val="2"/>
        </w:numPr>
      </w:pPr>
      <w:r w:rsidRPr="000B6FFF">
        <w:t>current asset condition assessments</w:t>
      </w:r>
    </w:p>
    <w:p w14:paraId="242B51EA" w14:textId="77777777" w:rsidR="00817104" w:rsidRPr="000B6FFF" w:rsidRDefault="00817104" w:rsidP="00817104">
      <w:pPr>
        <w:pStyle w:val="Bullet1"/>
        <w:numPr>
          <w:ilvl w:val="0"/>
          <w:numId w:val="2"/>
        </w:numPr>
      </w:pPr>
      <w:r>
        <w:t>a</w:t>
      </w:r>
      <w:r w:rsidRPr="000B6FFF">
        <w:t xml:space="preserve"> prioritised list of asset risks</w:t>
      </w:r>
    </w:p>
    <w:p w14:paraId="2CF25168" w14:textId="77777777" w:rsidR="00817104" w:rsidRPr="000B6FFF" w:rsidRDefault="00817104" w:rsidP="00817104">
      <w:pPr>
        <w:pStyle w:val="Bullet1"/>
        <w:numPr>
          <w:ilvl w:val="0"/>
          <w:numId w:val="2"/>
        </w:numPr>
      </w:pPr>
      <w:r w:rsidRPr="000B6FFF">
        <w:t>demand analysis</w:t>
      </w:r>
    </w:p>
    <w:p w14:paraId="6729BCA0" w14:textId="77777777" w:rsidR="00817104" w:rsidRPr="000B6FFF" w:rsidRDefault="00817104" w:rsidP="00817104">
      <w:pPr>
        <w:pStyle w:val="Bullet1"/>
        <w:numPr>
          <w:ilvl w:val="0"/>
          <w:numId w:val="2"/>
        </w:numPr>
      </w:pPr>
      <w:r>
        <w:t>a</w:t>
      </w:r>
      <w:r w:rsidRPr="000B6FFF">
        <w:t xml:space="preserve"> planned maintenance program</w:t>
      </w:r>
    </w:p>
    <w:p w14:paraId="473628A8" w14:textId="77777777" w:rsidR="00817104" w:rsidRPr="000B6FFF" w:rsidRDefault="00817104" w:rsidP="00817104">
      <w:pPr>
        <w:pStyle w:val="Bullet1"/>
        <w:numPr>
          <w:ilvl w:val="0"/>
          <w:numId w:val="2"/>
        </w:numPr>
      </w:pPr>
      <w:r>
        <w:t>a r</w:t>
      </w:r>
      <w:r w:rsidRPr="000B6FFF">
        <w:t>enewal forecast for both operational and capital needs</w:t>
      </w:r>
    </w:p>
    <w:p w14:paraId="03C28968" w14:textId="77777777" w:rsidR="00817104" w:rsidRPr="000B6FFF" w:rsidRDefault="00817104" w:rsidP="00817104">
      <w:pPr>
        <w:pStyle w:val="Bullet1"/>
        <w:numPr>
          <w:ilvl w:val="0"/>
          <w:numId w:val="2"/>
        </w:numPr>
      </w:pPr>
      <w:r>
        <w:t>a</w:t>
      </w:r>
      <w:r w:rsidRPr="000B6FFF">
        <w:t xml:space="preserve"> list of funding allocations to address prioritised risks (across all capital funding sources, including the </w:t>
      </w:r>
      <w:r>
        <w:t>IRCG</w:t>
      </w:r>
      <w:r w:rsidRPr="000B6FFF">
        <w:t>)</w:t>
      </w:r>
    </w:p>
    <w:p w14:paraId="591DFC20" w14:textId="77777777" w:rsidR="00817104" w:rsidRPr="000B6FFF" w:rsidRDefault="00817104" w:rsidP="00817104">
      <w:pPr>
        <w:pStyle w:val="Bullet1"/>
        <w:numPr>
          <w:ilvl w:val="0"/>
          <w:numId w:val="2"/>
        </w:numPr>
      </w:pPr>
      <w:r>
        <w:t>a</w:t>
      </w:r>
      <w:r w:rsidRPr="000B6FFF">
        <w:t>sset disposal plans</w:t>
      </w:r>
    </w:p>
    <w:p w14:paraId="6E5E2AF1" w14:textId="77777777" w:rsidR="00817104" w:rsidRPr="000B6FFF" w:rsidRDefault="00817104" w:rsidP="00817104">
      <w:pPr>
        <w:pStyle w:val="Bullet1"/>
        <w:numPr>
          <w:ilvl w:val="0"/>
          <w:numId w:val="2"/>
        </w:numPr>
      </w:pPr>
      <w:r>
        <w:t>a</w:t>
      </w:r>
      <w:r w:rsidRPr="000B6FFF">
        <w:t>n overview of asset management resourcing and capability.</w:t>
      </w:r>
    </w:p>
    <w:p w14:paraId="2DA25F28" w14:textId="77777777" w:rsidR="00817104" w:rsidRPr="000B6FFF" w:rsidRDefault="00817104" w:rsidP="00817104">
      <w:pPr>
        <w:pStyle w:val="Bodyafterbullets"/>
      </w:pPr>
      <w:r w:rsidRPr="000B6FFF">
        <w:t>Asset management plans must be submitted by 31 December each year, in order to receive full appropriation of the IRCG.</w:t>
      </w:r>
    </w:p>
    <w:p w14:paraId="492941E5" w14:textId="0A52186C" w:rsidR="00817104" w:rsidRDefault="00817104" w:rsidP="00817104">
      <w:pPr>
        <w:pStyle w:val="Bodyafterbullets"/>
      </w:pPr>
      <w:r>
        <w:t>T</w:t>
      </w:r>
      <w:r w:rsidRPr="000B6FFF">
        <w:t xml:space="preserve">o be eligible for the IRCG, </w:t>
      </w:r>
      <w:r>
        <w:t>h</w:t>
      </w:r>
      <w:r w:rsidRPr="000B6FFF">
        <w:t xml:space="preserve">ealth </w:t>
      </w:r>
      <w:r>
        <w:t>s</w:t>
      </w:r>
      <w:r w:rsidRPr="000B6FFF">
        <w:t xml:space="preserve">ervices must include an appendix </w:t>
      </w:r>
      <w:r>
        <w:t>that</w:t>
      </w:r>
      <w:r w:rsidRPr="000B6FFF">
        <w:t xml:space="preserve"> identifies how the </w:t>
      </w:r>
      <w:r>
        <w:t>IRCG</w:t>
      </w:r>
      <w:r w:rsidRPr="000B6FFF">
        <w:t xml:space="preserve"> will be allocated to address infrastructure risks and asset replacement needs</w:t>
      </w:r>
      <w:r>
        <w:t xml:space="preserve"> (see </w:t>
      </w:r>
      <w:hyperlink w:anchor="_Infrastructure_Renewal_Contribution" w:history="1">
        <w:r w:rsidRPr="00E033A8">
          <w:rPr>
            <w:rStyle w:val="Hyperlink"/>
          </w:rPr>
          <w:t>section 11.1</w:t>
        </w:r>
      </w:hyperlink>
      <w:r>
        <w:t>)</w:t>
      </w:r>
      <w:r w:rsidRPr="000B6FFF">
        <w:t>.</w:t>
      </w:r>
      <w:r>
        <w:t xml:space="preserve"> </w:t>
      </w:r>
    </w:p>
    <w:p w14:paraId="4ED1C927" w14:textId="77777777" w:rsidR="00817104" w:rsidRDefault="00817104" w:rsidP="00817104">
      <w:pPr>
        <w:pStyle w:val="Heading3"/>
        <w:numPr>
          <w:ilvl w:val="2"/>
          <w:numId w:val="0"/>
        </w:numPr>
        <w:tabs>
          <w:tab w:val="num" w:pos="794"/>
        </w:tabs>
        <w:ind w:left="1134" w:hanging="1134"/>
      </w:pPr>
      <w:r>
        <w:t>23.1.2</w:t>
      </w:r>
      <w:r>
        <w:tab/>
        <w:t>Reporting</w:t>
      </w:r>
    </w:p>
    <w:p w14:paraId="611ECAA3" w14:textId="77777777" w:rsidR="00817104" w:rsidRDefault="00817104" w:rsidP="00817104">
      <w:pPr>
        <w:pStyle w:val="Body"/>
      </w:pPr>
      <w:r>
        <w:t>As a condition of funding, all 2026–27</w:t>
      </w:r>
      <w:r w:rsidRPr="0670E279">
        <w:rPr>
          <w:rFonts w:cs="Calibri"/>
        </w:rPr>
        <w:t xml:space="preserve"> </w:t>
      </w:r>
      <w:r>
        <w:t xml:space="preserve">specific-purpose capital grant expenditure must be reported as part of the department’s AIMS by the end of September. </w:t>
      </w:r>
    </w:p>
    <w:p w14:paraId="7550B783" w14:textId="77777777" w:rsidR="00817104" w:rsidRDefault="00817104" w:rsidP="00817104">
      <w:pPr>
        <w:pStyle w:val="Body"/>
      </w:pPr>
      <w:r w:rsidRPr="000B6FFF">
        <w:t>Reporting must align with th</w:t>
      </w:r>
      <w:r>
        <w:t>e</w:t>
      </w:r>
      <w:r w:rsidRPr="000B6FFF">
        <w:t xml:space="preserve"> health service’s submitted asset management plan</w:t>
      </w:r>
      <w:r w:rsidRPr="0063371E">
        <w:t>,</w:t>
      </w:r>
      <w:r w:rsidRPr="000B6FFF">
        <w:t xml:space="preserve"> demonstrating effective asset management planning and the prioritised replacement of in-scope assets. </w:t>
      </w:r>
      <w:r>
        <w:t>This annual reporting supports financial and asset accountability, including compliance for potential audits, and confirms that critical asset risks are being appropriately mitigated.</w:t>
      </w:r>
    </w:p>
    <w:p w14:paraId="349D16CD" w14:textId="77777777" w:rsidR="00817104" w:rsidRDefault="00817104" w:rsidP="00817104">
      <w:pPr>
        <w:pStyle w:val="Body"/>
      </w:pPr>
      <w:r w:rsidRPr="000B6FFF">
        <w:t>Health services must also demonstrate that assets are appropriately maintained, asset performance is actively monitored, and any critical asset failures are reported to the department.</w:t>
      </w:r>
    </w:p>
    <w:p w14:paraId="098073D8" w14:textId="77777777" w:rsidR="00817104" w:rsidRPr="006B21A3" w:rsidRDefault="00817104" w:rsidP="00817104">
      <w:pPr>
        <w:pStyle w:val="Heading3"/>
        <w:numPr>
          <w:ilvl w:val="2"/>
          <w:numId w:val="0"/>
        </w:numPr>
        <w:tabs>
          <w:tab w:val="num" w:pos="794"/>
        </w:tabs>
        <w:ind w:left="1134" w:hanging="1134"/>
      </w:pPr>
      <w:r>
        <w:t>23.1.3</w:t>
      </w:r>
      <w:r>
        <w:tab/>
        <w:t>Planning and implementation</w:t>
      </w:r>
    </w:p>
    <w:p w14:paraId="1FE8CFE1" w14:textId="77777777" w:rsidR="00817104" w:rsidRDefault="00817104" w:rsidP="00817104">
      <w:pPr>
        <w:pStyle w:val="Body"/>
      </w:pPr>
      <w:r>
        <w:t xml:space="preserve">Health services should outline in their asset management plans how they prioritise asset replacement to address critical risks, and guide investment of minor capital renewal programs at the health-service level. </w:t>
      </w:r>
    </w:p>
    <w:p w14:paraId="417BBD3C" w14:textId="77777777" w:rsidR="00817104" w:rsidRDefault="00817104" w:rsidP="00817104">
      <w:pPr>
        <w:pStyle w:val="Body"/>
      </w:pPr>
      <w:r>
        <w:t xml:space="preserve">Forecasting renewal requirements in health service asset management allows informed strategic decisions that prioritise the elimination of unacceptable disruptions to clinical services and prevents critical failures. It also gives the department visibility of critical risks across the system to support future capital planning and program allocation. </w:t>
      </w:r>
    </w:p>
    <w:p w14:paraId="4317801D" w14:textId="77777777" w:rsidR="00817104" w:rsidRDefault="00817104" w:rsidP="00817104">
      <w:pPr>
        <w:pStyle w:val="Body"/>
      </w:pPr>
      <w:r>
        <w:t>Asset management plans should identify high-value engineering equipment, systems, embedded infrastructure, and medical equipment and systems requiring replacement over a four-year period, outlining the high-level cost estimates and activities required for successful implementation.</w:t>
      </w:r>
    </w:p>
    <w:p w14:paraId="779A9FCA" w14:textId="77777777" w:rsidR="00817104" w:rsidRDefault="00817104" w:rsidP="00817104">
      <w:pPr>
        <w:pStyle w:val="Heading3"/>
        <w:numPr>
          <w:ilvl w:val="2"/>
          <w:numId w:val="0"/>
        </w:numPr>
        <w:tabs>
          <w:tab w:val="num" w:pos="794"/>
        </w:tabs>
        <w:ind w:left="1134" w:hanging="1134"/>
      </w:pPr>
      <w:r>
        <w:lastRenderedPageBreak/>
        <w:t>23.1.4</w:t>
      </w:r>
      <w:r>
        <w:tab/>
        <w:t>Accountability</w:t>
      </w:r>
    </w:p>
    <w:p w14:paraId="01F0FEA0" w14:textId="77777777" w:rsidR="00817104" w:rsidRDefault="00817104" w:rsidP="00817104">
      <w:pPr>
        <w:pStyle w:val="Body"/>
      </w:pPr>
      <w:r>
        <w:t>Specific-purpose capital grants must be managed and invested in accordance with health service or hospital board fiduciary responsibilities, and as set out in the program guidelines.</w:t>
      </w:r>
    </w:p>
    <w:p w14:paraId="1564E584" w14:textId="77777777" w:rsidR="00817104" w:rsidRDefault="00817104" w:rsidP="00817104">
      <w:pPr>
        <w:pStyle w:val="Body"/>
      </w:pPr>
      <w:r>
        <w:t>Health services reporting on asset replacement under the initiative must demonstrate financial and asset accountability, including investment against asset management plans. Minor capital and grants program reporting will be used for both accountability and policy, and practice development purposes.</w:t>
      </w:r>
    </w:p>
    <w:p w14:paraId="5AC5C4EE" w14:textId="77777777" w:rsidR="00817104" w:rsidRDefault="00817104" w:rsidP="00817104">
      <w:pPr>
        <w:pStyle w:val="Body"/>
      </w:pPr>
      <w:r>
        <w:t>The level of grant is conditional on meeting funding requirements – risk-based prioritisation of investment aligned with health service asset management plans.</w:t>
      </w:r>
    </w:p>
    <w:p w14:paraId="7020D658" w14:textId="77777777" w:rsidR="00817104" w:rsidRDefault="00817104" w:rsidP="00817104">
      <w:pPr>
        <w:pStyle w:val="Body"/>
      </w:pPr>
      <w:r>
        <w:t>Where health services have not fully acquitted received capital funding, the department may recall distributed funds for reallocation to other high-risk projects across the sector, as per the system needs determined by the department.</w:t>
      </w:r>
    </w:p>
    <w:p w14:paraId="36CBDFC9" w14:textId="77777777" w:rsidR="00817104" w:rsidRDefault="00817104" w:rsidP="00817104">
      <w:pPr>
        <w:pStyle w:val="Heading3"/>
        <w:numPr>
          <w:ilvl w:val="2"/>
          <w:numId w:val="0"/>
        </w:numPr>
        <w:tabs>
          <w:tab w:val="num" w:pos="794"/>
        </w:tabs>
        <w:ind w:left="1134" w:hanging="1134"/>
      </w:pPr>
      <w:r>
        <w:t>23.1.5</w:t>
      </w:r>
      <w:r>
        <w:tab/>
        <w:t>Procurement of assets</w:t>
      </w:r>
    </w:p>
    <w:p w14:paraId="4654F890" w14:textId="77777777" w:rsidR="00817104" w:rsidRDefault="00817104" w:rsidP="00817104">
      <w:pPr>
        <w:pStyle w:val="Body"/>
      </w:pPr>
      <w:r>
        <w:t>Health services must comply with government policies and guidelines in their procurement activities.</w:t>
      </w:r>
    </w:p>
    <w:p w14:paraId="44D07E49" w14:textId="77777777" w:rsidR="00817104" w:rsidRDefault="00817104" w:rsidP="00817104">
      <w:pPr>
        <w:pStyle w:val="Body"/>
      </w:pPr>
      <w:r>
        <w:t>The department requires health services to engage early and work collaboratively with HealthShare Victoria to maximise value-for-money procurement of medical equipment and deliver the most efficient purchasing arrangements, including standardisation and bulk purchasing, and achievement of economies of scale. Health services are also required to comply with AMAF requirements around asset acquisition.</w:t>
      </w:r>
    </w:p>
    <w:p w14:paraId="0D89856C" w14:textId="77777777" w:rsidR="00817104" w:rsidRPr="00B61A4E" w:rsidRDefault="00817104" w:rsidP="00817104">
      <w:pPr>
        <w:pStyle w:val="Body"/>
      </w:pPr>
      <w:r>
        <w:t xml:space="preserve">For more information about compliance and health purchasing policies, visit </w:t>
      </w:r>
      <w:hyperlink r:id="rId374" w:history="1">
        <w:r w:rsidRPr="005A0D26">
          <w:rPr>
            <w:rStyle w:val="Hyperlink"/>
          </w:rPr>
          <w:t>HealthShare Victoria</w:t>
        </w:r>
      </w:hyperlink>
      <w:r>
        <w:t xml:space="preserve"> &lt;https://healthsharevic.org.au&gt; (requires login).</w:t>
      </w:r>
    </w:p>
    <w:p w14:paraId="6FD03DF9" w14:textId="77777777" w:rsidR="00817104" w:rsidRPr="00A91FE4" w:rsidRDefault="00817104" w:rsidP="00817104">
      <w:pPr>
        <w:pStyle w:val="Heading3"/>
        <w:numPr>
          <w:ilvl w:val="2"/>
          <w:numId w:val="0"/>
        </w:numPr>
        <w:tabs>
          <w:tab w:val="num" w:pos="794"/>
        </w:tabs>
        <w:ind w:left="1134" w:hanging="1134"/>
      </w:pPr>
      <w:r>
        <w:t>23.1.6</w:t>
      </w:r>
      <w:r>
        <w:tab/>
        <w:t>Disposal of assets</w:t>
      </w:r>
    </w:p>
    <w:p w14:paraId="22E66D13" w14:textId="77777777" w:rsidR="00817104" w:rsidRPr="008827DC" w:rsidRDefault="00817104" w:rsidP="00817104">
      <w:pPr>
        <w:pStyle w:val="Body"/>
      </w:pPr>
      <w:r>
        <w:t>Planning for disposal should start well before the economic life of the asset has ended or the need for service has finished. It should incorporate consideration of unplanned disposals or destruction of assets.</w:t>
      </w:r>
    </w:p>
    <w:p w14:paraId="7CF32FDD" w14:textId="77777777" w:rsidR="00817104" w:rsidRDefault="00817104" w:rsidP="00817104">
      <w:pPr>
        <w:pStyle w:val="Body"/>
      </w:pPr>
      <w:r>
        <w:t>Health services must comply with relevant approval processes and, where possible, select a disposal method, including retirement, replacement, renewal or redeployment, which maximises the financial benefits associated with the disposal, as per AMAF asset disposal requirements.</w:t>
      </w:r>
    </w:p>
    <w:p w14:paraId="188039CF" w14:textId="77777777" w:rsidR="00817104" w:rsidRPr="000A5DA9" w:rsidRDefault="00817104" w:rsidP="00817104">
      <w:pPr>
        <w:pStyle w:val="Body"/>
      </w:pPr>
      <w:r>
        <w:t>The asset status should be updated in the asset management plan and asset register.</w:t>
      </w:r>
    </w:p>
    <w:p w14:paraId="0A366BE1" w14:textId="1ADF06E5" w:rsidR="00817104" w:rsidRDefault="00817104" w:rsidP="00817104">
      <w:pPr>
        <w:pStyle w:val="Heading2"/>
      </w:pPr>
      <w:bookmarkStart w:id="2591" w:name="_Toc165964741"/>
      <w:bookmarkStart w:id="2592" w:name="_Toc167174601"/>
      <w:bookmarkStart w:id="2593" w:name="_Toc224127309"/>
      <w:bookmarkStart w:id="2594" w:name="_Toc231982354"/>
      <w:r>
        <w:t>Property portfolio management</w:t>
      </w:r>
      <w:bookmarkEnd w:id="2591"/>
      <w:bookmarkEnd w:id="2592"/>
      <w:bookmarkEnd w:id="2593"/>
      <w:bookmarkEnd w:id="2594"/>
    </w:p>
    <w:p w14:paraId="64D55A9F" w14:textId="77777777" w:rsidR="00817104" w:rsidRPr="00B61A4E" w:rsidRDefault="00817104" w:rsidP="00817104">
      <w:pPr>
        <w:pStyle w:val="Body"/>
      </w:pPr>
      <w:r>
        <w:t>Property portfolio management supports the delivery of services from real property assets. In this context, ‘real property’ means both the land and the buildings attached to that land.</w:t>
      </w:r>
    </w:p>
    <w:p w14:paraId="68027554" w14:textId="77777777" w:rsidR="00817104" w:rsidRPr="00B61A4E" w:rsidRDefault="00817104" w:rsidP="00817104">
      <w:pPr>
        <w:pStyle w:val="Body"/>
      </w:pPr>
      <w:r>
        <w:t>Health services must actively manage their property portfolios to ensure real property assets under their control or ownership are fully utilised and realise full-service delivery potential.</w:t>
      </w:r>
    </w:p>
    <w:p w14:paraId="415C031D" w14:textId="77777777" w:rsidR="00817104" w:rsidRDefault="00817104" w:rsidP="00817104">
      <w:pPr>
        <w:spacing w:after="0" w:line="240" w:lineRule="auto"/>
      </w:pPr>
      <w:r>
        <w:br w:type="page"/>
      </w:r>
    </w:p>
    <w:p w14:paraId="01F04316" w14:textId="77777777" w:rsidR="00817104" w:rsidRPr="007D165F" w:rsidRDefault="00817104" w:rsidP="00817104">
      <w:pPr>
        <w:pStyle w:val="Body"/>
      </w:pPr>
      <w:r w:rsidRPr="007D165F">
        <w:lastRenderedPageBreak/>
        <w:t>Health services must:</w:t>
      </w:r>
    </w:p>
    <w:p w14:paraId="794A4468" w14:textId="77777777" w:rsidR="00817104" w:rsidRPr="007D165F" w:rsidRDefault="00817104" w:rsidP="00817104">
      <w:pPr>
        <w:pStyle w:val="Bullet1"/>
        <w:numPr>
          <w:ilvl w:val="0"/>
          <w:numId w:val="2"/>
        </w:numPr>
      </w:pPr>
      <w:r w:rsidRPr="007D165F">
        <w:t xml:space="preserve">maintain an accurate dataset of all landholdings and undertake an annual review to ensure each landholding supports current or future service delivery outcomes, or is identified as surplus, in accordance with the </w:t>
      </w:r>
      <w:r w:rsidRPr="00B9744A">
        <w:rPr>
          <w:i/>
          <w:iCs/>
        </w:rPr>
        <w:t>Victorian Government Landholding Policy and Guidelines</w:t>
      </w:r>
    </w:p>
    <w:p w14:paraId="312F4A70" w14:textId="77777777" w:rsidR="00817104" w:rsidRPr="007D165F" w:rsidRDefault="00817104" w:rsidP="00817104">
      <w:pPr>
        <w:pStyle w:val="Bullet1"/>
        <w:numPr>
          <w:ilvl w:val="0"/>
          <w:numId w:val="2"/>
        </w:numPr>
      </w:pPr>
      <w:r w:rsidRPr="007D165F">
        <w:t>ensure formal tenure agreements are executed on all land that is department-owned or controlled (such as Crown land committees of management)</w:t>
      </w:r>
    </w:p>
    <w:p w14:paraId="7E477071" w14:textId="77777777" w:rsidR="00817104" w:rsidRPr="007D165F" w:rsidRDefault="00817104" w:rsidP="00817104">
      <w:pPr>
        <w:pStyle w:val="Bullet1"/>
        <w:numPr>
          <w:ilvl w:val="0"/>
          <w:numId w:val="2"/>
        </w:numPr>
      </w:pPr>
      <w:r w:rsidRPr="007D165F">
        <w:t>ensure all real property transactions undertaken comply with the requirements of all relevant legislation, ministerial directions and Victorian Government policy (such as the Land transactions policy and guidelines)</w:t>
      </w:r>
    </w:p>
    <w:p w14:paraId="15B1A361" w14:textId="77777777" w:rsidR="00817104" w:rsidRPr="007D165F" w:rsidRDefault="00817104" w:rsidP="00817104">
      <w:pPr>
        <w:pStyle w:val="Bullet1"/>
        <w:numPr>
          <w:ilvl w:val="0"/>
          <w:numId w:val="2"/>
        </w:numPr>
      </w:pPr>
      <w:r w:rsidRPr="007D165F">
        <w:t xml:space="preserve">notify the </w:t>
      </w:r>
      <w:r>
        <w:t>d</w:t>
      </w:r>
      <w:r w:rsidRPr="007D165F">
        <w:t>epartment of properties to be declared as surplus to requirements (noting that all land sales will be referred to the Department of Transport and Planning</w:t>
      </w:r>
      <w:r>
        <w:t>, which</w:t>
      </w:r>
      <w:r w:rsidRPr="007D165F">
        <w:t xml:space="preserve"> is responsible for central coordination of surplus government land sales).</w:t>
      </w:r>
    </w:p>
    <w:p w14:paraId="5AD56B52" w14:textId="77777777" w:rsidR="00817104" w:rsidRPr="00B61A4E" w:rsidRDefault="00817104" w:rsidP="00817104">
      <w:pPr>
        <w:pStyle w:val="Bodyafterbullets"/>
      </w:pPr>
      <w:r>
        <w:t>Real property assets under health service management should be zoned appropriately for current or proposed use. Health services should consolidate multiple freehold parcels held under separate titles, to simplify future property management activities.</w:t>
      </w:r>
    </w:p>
    <w:p w14:paraId="488313A3" w14:textId="77777777" w:rsidR="00817104" w:rsidRDefault="00817104" w:rsidP="00817104">
      <w:pPr>
        <w:pStyle w:val="Body"/>
      </w:pPr>
      <w:r>
        <w:t>As funded organisations seek to best match services to consumer needs, service agreements with third parties will require legal tenure agreements relating to the occupation of premises that adequately address legislative and service requirements, and related risks.</w:t>
      </w:r>
    </w:p>
    <w:p w14:paraId="67952ECD" w14:textId="1A6ECD62" w:rsidR="00817104" w:rsidRPr="00B61A4E" w:rsidRDefault="00817104" w:rsidP="00817104">
      <w:pPr>
        <w:pStyle w:val="Body"/>
      </w:pPr>
      <w:r>
        <w:t>Where tenure agreements are proposed for premises located on Crown land, funded organisations must ensure they have the right to enter into such agreements and comply with legislative requirements and government policy regarding their implementation.</w:t>
      </w:r>
    </w:p>
    <w:p w14:paraId="61315F76" w14:textId="79183716" w:rsidR="00817104" w:rsidRPr="009F638E" w:rsidRDefault="00817104" w:rsidP="00817104">
      <w:pPr>
        <w:pStyle w:val="Heading2"/>
      </w:pPr>
      <w:bookmarkStart w:id="2595" w:name="_Toc165964742"/>
      <w:bookmarkStart w:id="2596" w:name="_Toc167174602"/>
      <w:bookmarkStart w:id="2597" w:name="_Toc224127310"/>
      <w:bookmarkStart w:id="2598" w:name="_Toc231982355"/>
      <w:r>
        <w:t>Asset maintenance</w:t>
      </w:r>
      <w:bookmarkEnd w:id="2595"/>
      <w:bookmarkEnd w:id="2596"/>
      <w:bookmarkEnd w:id="2597"/>
      <w:bookmarkEnd w:id="2598"/>
    </w:p>
    <w:p w14:paraId="3E282EC6" w14:textId="77777777" w:rsidR="00817104" w:rsidRDefault="00817104" w:rsidP="00817104">
      <w:pPr>
        <w:pStyle w:val="Body"/>
      </w:pPr>
      <w:bookmarkStart w:id="2599" w:name="_Toc165964743"/>
      <w:bookmarkStart w:id="2600" w:name="_Toc167174603"/>
      <w:r>
        <w:t>Clause 3.4.3 of the AMAF requires health services to establish systems and processes for undertaking maintenance activities and monitoring asset performance.</w:t>
      </w:r>
    </w:p>
    <w:p w14:paraId="269733E7" w14:textId="77777777" w:rsidR="00817104" w:rsidRDefault="00817104" w:rsidP="00817104">
      <w:pPr>
        <w:pStyle w:val="Body"/>
      </w:pPr>
      <w:r>
        <w:t>Maintenance refers to ‘a combination of all technical, administrative and managerial actions during the lifecycle of an item intended to retain it in, or restore it to, a state in which it can perform the required function’.</w:t>
      </w:r>
    </w:p>
    <w:p w14:paraId="11AEF3D2" w14:textId="77777777" w:rsidR="00817104" w:rsidRDefault="00817104" w:rsidP="00817104">
      <w:pPr>
        <w:pStyle w:val="Body"/>
      </w:pPr>
      <w:r>
        <w:t xml:space="preserve">Effective asset maintenance enables timely, cost-effective interventions to keep assets safe, reliable and operational at the lowest long-term cost. </w:t>
      </w:r>
    </w:p>
    <w:p w14:paraId="7FCC7D07" w14:textId="77777777" w:rsidR="00817104" w:rsidRDefault="00817104" w:rsidP="00817104">
      <w:pPr>
        <w:pStyle w:val="Body"/>
      </w:pPr>
      <w:r>
        <w:t>Health services are responsible for monitoring asset performance and providing appropriate maintenance activity within the right frequency for assets under their direct or indirect control.</w:t>
      </w:r>
    </w:p>
    <w:p w14:paraId="62E56928" w14:textId="77777777" w:rsidR="00817104" w:rsidRDefault="00817104" w:rsidP="00817104">
      <w:pPr>
        <w:pStyle w:val="Body"/>
      </w:pPr>
      <w:r>
        <w:t xml:space="preserve">This supports the mitigation or elimination of asset risks to: </w:t>
      </w:r>
    </w:p>
    <w:p w14:paraId="160007DD" w14:textId="77777777" w:rsidR="00817104" w:rsidRDefault="00817104" w:rsidP="00817104">
      <w:pPr>
        <w:pStyle w:val="Bullet1"/>
        <w:numPr>
          <w:ilvl w:val="0"/>
          <w:numId w:val="2"/>
        </w:numPr>
      </w:pPr>
      <w:r>
        <w:t>maintain assets in suitable condition for service delivery</w:t>
      </w:r>
    </w:p>
    <w:p w14:paraId="1A3A6515" w14:textId="77777777" w:rsidR="00817104" w:rsidRDefault="00817104" w:rsidP="00817104">
      <w:pPr>
        <w:pStyle w:val="Bullet1"/>
        <w:numPr>
          <w:ilvl w:val="0"/>
          <w:numId w:val="2"/>
        </w:numPr>
      </w:pPr>
      <w:r>
        <w:t>prevent service interruptions and quality risks</w:t>
      </w:r>
    </w:p>
    <w:p w14:paraId="4D448828" w14:textId="77777777" w:rsidR="00817104" w:rsidRDefault="00817104" w:rsidP="00817104">
      <w:pPr>
        <w:pStyle w:val="Bullet1"/>
        <w:numPr>
          <w:ilvl w:val="0"/>
          <w:numId w:val="2"/>
        </w:numPr>
      </w:pPr>
      <w:r>
        <w:t>minimise consumer safety and occupational health and safety risks</w:t>
      </w:r>
    </w:p>
    <w:p w14:paraId="592842D7" w14:textId="77777777" w:rsidR="00817104" w:rsidRDefault="00817104" w:rsidP="00817104">
      <w:pPr>
        <w:pStyle w:val="Bullet1"/>
        <w:numPr>
          <w:ilvl w:val="0"/>
          <w:numId w:val="2"/>
        </w:numPr>
      </w:pPr>
      <w:r>
        <w:t>sustain long-term service performance.</w:t>
      </w:r>
    </w:p>
    <w:p w14:paraId="789929EA" w14:textId="27C9D82F" w:rsidR="00817104" w:rsidRDefault="00817104" w:rsidP="00817104">
      <w:pPr>
        <w:pStyle w:val="Bodyafterbullets"/>
      </w:pPr>
      <w:r>
        <w:t xml:space="preserve">For a set of general and additional maintenance standards that should be applied to all critical areas in hospitals and health services, visit </w:t>
      </w:r>
      <w:hyperlink r:id="rId375" w:history="1">
        <w:r w:rsidRPr="00B9744A">
          <w:rPr>
            <w:rStyle w:val="Hyperlink"/>
            <w:i/>
            <w:iCs/>
          </w:rPr>
          <w:t>Maintenance standards for critical areas in Victorian health facilities</w:t>
        </w:r>
      </w:hyperlink>
      <w:r w:rsidR="001B5AD2">
        <w:t xml:space="preserve"> </w:t>
      </w:r>
      <w:r>
        <w:t>&lt;https://www.health.vic.gov.au/publications/maintenance-standards-for-critical-areas-in-victorian-health-facilities&gt;.</w:t>
      </w:r>
    </w:p>
    <w:p w14:paraId="26E9E0DC" w14:textId="77777777" w:rsidR="00817104" w:rsidRDefault="00817104" w:rsidP="00817104">
      <w:pPr>
        <w:pStyle w:val="Bodyafterbullets"/>
      </w:pPr>
      <w:r>
        <w:t xml:space="preserve">The department is currently updating the maintenance standards and guidance document and will communicate these to health services once completed. </w:t>
      </w:r>
    </w:p>
    <w:p w14:paraId="75640C4B" w14:textId="3106342A" w:rsidR="00817104" w:rsidRDefault="00817104" w:rsidP="00817104">
      <w:pPr>
        <w:pStyle w:val="Heading2"/>
      </w:pPr>
      <w:bookmarkStart w:id="2601" w:name="_Toc224127311"/>
      <w:bookmarkStart w:id="2602" w:name="_Toc231982356"/>
      <w:r>
        <w:lastRenderedPageBreak/>
        <w:t>Critical asset service failure</w:t>
      </w:r>
      <w:bookmarkEnd w:id="2599"/>
      <w:bookmarkEnd w:id="2600"/>
      <w:bookmarkEnd w:id="2601"/>
      <w:bookmarkEnd w:id="2602"/>
    </w:p>
    <w:p w14:paraId="1A38982D" w14:textId="77777777" w:rsidR="00817104" w:rsidRDefault="00817104" w:rsidP="00817104">
      <w:pPr>
        <w:pStyle w:val="Body"/>
      </w:pPr>
      <w:bookmarkStart w:id="2603" w:name="_Health_service_environmental"/>
      <w:bookmarkStart w:id="2604" w:name="_Toc165964744"/>
      <w:bookmarkStart w:id="2605" w:name="_Toc167174604"/>
      <w:bookmarkEnd w:id="2603"/>
      <w:r>
        <w:t>Clause 3.1.5 of the AMAF requires appropriate risk management strategies and processes to support the establishment of asset management, including processes to identify and maintain assets that are at risk of critical service failure.</w:t>
      </w:r>
    </w:p>
    <w:p w14:paraId="0832C4CD" w14:textId="77777777" w:rsidR="00817104" w:rsidRDefault="00817104" w:rsidP="00817104">
      <w:pPr>
        <w:pStyle w:val="Body"/>
      </w:pPr>
      <w:r>
        <w:t xml:space="preserve">Within business continuity plans, health services must define critical assets and recovery procedures for systems, as well as processes for the management of emergency events and issues, within its operational context, capability and associated risk. </w:t>
      </w:r>
    </w:p>
    <w:p w14:paraId="1EB4A6C5" w14:textId="11E9602E" w:rsidR="00817104" w:rsidRDefault="00817104" w:rsidP="00817104">
      <w:pPr>
        <w:pStyle w:val="Body"/>
      </w:pPr>
      <w:r>
        <w:t xml:space="preserve">In the event of a critical asset service failure, or incidents that lead to interruption of clinical services, such as operating theatres or bed closures, health services must provide a summary incident report detailing the critical asset service failure and the corrective action to the department’s Asset Planning Unit. To do this, </w:t>
      </w:r>
      <w:hyperlink r:id="rId376" w:history="1">
        <w:r w:rsidRPr="00425A23">
          <w:rPr>
            <w:rStyle w:val="Hyperlink"/>
          </w:rPr>
          <w:t>email the team</w:t>
        </w:r>
      </w:hyperlink>
      <w:r>
        <w:t xml:space="preserve"> &lt;assetmanagement@health.vic.gov.au&gt;, within four weeks of the incident, including a VHIMS Report Number.</w:t>
      </w:r>
    </w:p>
    <w:p w14:paraId="136E932F" w14:textId="50CF7883" w:rsidR="00817104" w:rsidRDefault="00817104" w:rsidP="00817104">
      <w:pPr>
        <w:pStyle w:val="Body"/>
      </w:pPr>
      <w:r>
        <w:t xml:space="preserve">This is in addition to the reporting of timely identification of new and emerging patient and workforce safety risks via VHIMS (see </w:t>
      </w:r>
      <w:hyperlink w:anchor="_VHIMS_MDS" w:history="1">
        <w:r w:rsidRPr="00425A23">
          <w:rPr>
            <w:rStyle w:val="Hyperlink"/>
          </w:rPr>
          <w:t>section 29.1.10</w:t>
        </w:r>
      </w:hyperlink>
      <w:r>
        <w:t>).</w:t>
      </w:r>
    </w:p>
    <w:p w14:paraId="14112DB8" w14:textId="560BFBC2" w:rsidR="00817104" w:rsidRDefault="00817104" w:rsidP="00817104">
      <w:pPr>
        <w:pStyle w:val="Heading2"/>
      </w:pPr>
      <w:bookmarkStart w:id="2606" w:name="_Health_service_environmental_1"/>
      <w:bookmarkStart w:id="2607" w:name="_23.5_Health_service"/>
      <w:bookmarkStart w:id="2608" w:name="_Toc224127312"/>
      <w:bookmarkStart w:id="2609" w:name="_Toc231982357"/>
      <w:bookmarkEnd w:id="2606"/>
      <w:bookmarkEnd w:id="2607"/>
      <w:r>
        <w:t xml:space="preserve">Health service environmental management and </w:t>
      </w:r>
      <w:r w:rsidRPr="00B63071">
        <w:t>sustainability</w:t>
      </w:r>
      <w:bookmarkEnd w:id="2604"/>
      <w:bookmarkEnd w:id="2605"/>
      <w:bookmarkEnd w:id="2608"/>
      <w:bookmarkEnd w:id="2609"/>
    </w:p>
    <w:p w14:paraId="7213B5CC" w14:textId="77777777" w:rsidR="00817104" w:rsidRDefault="00817104" w:rsidP="00817104">
      <w:pPr>
        <w:pStyle w:val="Body"/>
      </w:pPr>
      <w:r>
        <w:t>Health services have environmental obligations under a range of legislation, including the:</w:t>
      </w:r>
    </w:p>
    <w:p w14:paraId="793237A9" w14:textId="77777777" w:rsidR="00817104" w:rsidRDefault="00817104" w:rsidP="00817104">
      <w:pPr>
        <w:pStyle w:val="Bullet1"/>
        <w:numPr>
          <w:ilvl w:val="0"/>
          <w:numId w:val="2"/>
        </w:numPr>
      </w:pPr>
      <w:r w:rsidRPr="007B6FAE">
        <w:rPr>
          <w:i/>
          <w:iCs/>
        </w:rPr>
        <w:t>Environment Protection Act 2017</w:t>
      </w:r>
      <w:r>
        <w:t xml:space="preserve"> (Vic)</w:t>
      </w:r>
    </w:p>
    <w:p w14:paraId="168E459C" w14:textId="77777777" w:rsidR="00817104" w:rsidRDefault="00817104" w:rsidP="00817104">
      <w:pPr>
        <w:pStyle w:val="Bullet1"/>
        <w:numPr>
          <w:ilvl w:val="0"/>
          <w:numId w:val="2"/>
        </w:numPr>
      </w:pPr>
      <w:r w:rsidRPr="007B6FAE">
        <w:rPr>
          <w:i/>
          <w:iCs/>
        </w:rPr>
        <w:t xml:space="preserve">Climate </w:t>
      </w:r>
      <w:r>
        <w:rPr>
          <w:i/>
          <w:iCs/>
        </w:rPr>
        <w:t>Action</w:t>
      </w:r>
      <w:r w:rsidRPr="007B6FAE">
        <w:rPr>
          <w:i/>
          <w:iCs/>
        </w:rPr>
        <w:t xml:space="preserve"> Act 2017</w:t>
      </w:r>
      <w:r>
        <w:t xml:space="preserve"> (Vic)</w:t>
      </w:r>
    </w:p>
    <w:p w14:paraId="6B1124D8" w14:textId="77777777" w:rsidR="00817104" w:rsidRDefault="00817104" w:rsidP="00817104">
      <w:pPr>
        <w:pStyle w:val="Bullet1"/>
        <w:numPr>
          <w:ilvl w:val="0"/>
          <w:numId w:val="2"/>
        </w:numPr>
      </w:pPr>
      <w:r w:rsidRPr="007B6FAE">
        <w:rPr>
          <w:i/>
          <w:iCs/>
        </w:rPr>
        <w:t>National Greenhouse and Energy Reporting Act 2007</w:t>
      </w:r>
      <w:r>
        <w:t xml:space="preserve"> (Cth).</w:t>
      </w:r>
    </w:p>
    <w:p w14:paraId="0BBF74FF" w14:textId="77777777" w:rsidR="00817104" w:rsidRDefault="00817104" w:rsidP="00817104">
      <w:pPr>
        <w:pStyle w:val="Bodyafterbullets"/>
      </w:pPr>
      <w:r>
        <w:t>In addition to legislative requirements, health services as public sector organisations have obligations to:</w:t>
      </w:r>
    </w:p>
    <w:p w14:paraId="4AF81E4C" w14:textId="77777777" w:rsidR="00817104" w:rsidRDefault="00817104" w:rsidP="00817104">
      <w:pPr>
        <w:pStyle w:val="Bullet1"/>
        <w:numPr>
          <w:ilvl w:val="0"/>
          <w:numId w:val="2"/>
        </w:numPr>
        <w:spacing w:after="120"/>
      </w:pPr>
      <w:r>
        <w:t xml:space="preserve">reduce greenhouse gas emissions and improve climate resilience in accordance with the Victorian Government’s </w:t>
      </w:r>
      <w:hyperlink r:id="rId377">
        <w:r w:rsidRPr="00CC013F">
          <w:rPr>
            <w:rStyle w:val="Hyperlink"/>
            <w:i/>
            <w:iCs/>
          </w:rPr>
          <w:t>Victoria’s Climate Change Strategy 2026-30</w:t>
        </w:r>
      </w:hyperlink>
      <w:r>
        <w:t xml:space="preserve"> &lt;</w:t>
      </w:r>
      <w:r w:rsidRPr="00B41B81">
        <w:t>https://www.climatechange.vic.gov.au/victorias-climate-change-strategy</w:t>
      </w:r>
      <w:r>
        <w:t xml:space="preserve">&gt; and the associated: </w:t>
      </w:r>
    </w:p>
    <w:p w14:paraId="2BAF2446" w14:textId="77777777" w:rsidR="00817104" w:rsidRDefault="00817104" w:rsidP="00817104">
      <w:pPr>
        <w:pStyle w:val="Bullet2"/>
        <w:numPr>
          <w:ilvl w:val="1"/>
          <w:numId w:val="2"/>
        </w:numPr>
        <w:spacing w:after="120"/>
      </w:pPr>
      <w:hyperlink r:id="rId378" w:history="1">
        <w:r w:rsidRPr="00D2375B">
          <w:rPr>
            <w:rStyle w:val="Hyperlink"/>
          </w:rPr>
          <w:t>Victorian Government action on climate change</w:t>
        </w:r>
      </w:hyperlink>
      <w:r>
        <w:t xml:space="preserve"> &lt;</w:t>
      </w:r>
      <w:r w:rsidRPr="00B41B81">
        <w:t>https://www.climatechange.vic.gov.au/victorian-government-action-on-climate-change</w:t>
      </w:r>
      <w:r>
        <w:t xml:space="preserve">&gt; </w:t>
      </w:r>
    </w:p>
    <w:p w14:paraId="790F6306" w14:textId="13997867" w:rsidR="00817104" w:rsidRDefault="00817104" w:rsidP="00817104">
      <w:pPr>
        <w:pStyle w:val="Bullet2"/>
        <w:numPr>
          <w:ilvl w:val="1"/>
          <w:numId w:val="2"/>
        </w:numPr>
        <w:spacing w:after="120"/>
      </w:pPr>
      <w:hyperlink r:id="rId379">
        <w:r w:rsidRPr="00B9744A">
          <w:rPr>
            <w:rStyle w:val="Hyperlink"/>
            <w:i/>
            <w:iCs/>
          </w:rPr>
          <w:t>Health and human services climate change adaptation action plan 2022–26</w:t>
        </w:r>
      </w:hyperlink>
      <w:r>
        <w:t xml:space="preserve"> &lt;</w:t>
      </w:r>
      <w:r w:rsidRPr="002E3C08">
        <w:t>https://www.health.vic.gov.au/environmental-health/climate-change-strategy</w:t>
      </w:r>
      <w:r>
        <w:t>&gt;</w:t>
      </w:r>
      <w:r w:rsidRPr="00AC75DB">
        <w:rPr>
          <w:vertAlign w:val="superscript"/>
        </w:rPr>
        <w:footnoteReference w:id="15"/>
      </w:r>
    </w:p>
    <w:p w14:paraId="5E56D5F6" w14:textId="26DB4624" w:rsidR="00817104" w:rsidRDefault="00817104" w:rsidP="00817104">
      <w:pPr>
        <w:pStyle w:val="Bullet1"/>
        <w:numPr>
          <w:ilvl w:val="0"/>
          <w:numId w:val="2"/>
        </w:numPr>
        <w:spacing w:after="120"/>
      </w:pPr>
      <w:r>
        <w:t xml:space="preserve">publicly report on environmental performance, in accordance </w:t>
      </w:r>
      <w:r w:rsidRPr="00D2375B">
        <w:t xml:space="preserve">with </w:t>
      </w:r>
      <w:hyperlink r:id="rId380" w:history="1">
        <w:r w:rsidRPr="00B9744A">
          <w:rPr>
            <w:rStyle w:val="Hyperlink"/>
            <w:i/>
            <w:iCs/>
          </w:rPr>
          <w:t>Financial Reporting Direction (FRD) 24 Reporting of environmental data by government entities</w:t>
        </w:r>
      </w:hyperlink>
      <w:r w:rsidRPr="00B9744A">
        <w:rPr>
          <w:i/>
          <w:iCs/>
        </w:rPr>
        <w:t xml:space="preserve"> </w:t>
      </w:r>
      <w:r w:rsidRPr="00D2375B">
        <w:t>&lt;https://www.climatec</w:t>
      </w:r>
      <w:r w:rsidRPr="00ED0C91">
        <w:t>hange.vic.gov.au/victorian-government-action-on-climate-change/government-environmental-reporting</w:t>
      </w:r>
      <w:r>
        <w:t xml:space="preserve">&gt;. More information on environmental reporting requirements can be found in </w:t>
      </w:r>
      <w:hyperlink w:anchor="_Environmental_data_and" w:history="1">
        <w:r w:rsidRPr="007728D4">
          <w:rPr>
            <w:rStyle w:val="Hyperlink"/>
          </w:rPr>
          <w:t>section 29.11</w:t>
        </w:r>
      </w:hyperlink>
      <w:r>
        <w:t xml:space="preserve"> </w:t>
      </w:r>
    </w:p>
    <w:p w14:paraId="445B3714" w14:textId="77777777" w:rsidR="00817104" w:rsidRDefault="00817104" w:rsidP="00817104">
      <w:pPr>
        <w:pStyle w:val="Bullet1"/>
        <w:numPr>
          <w:ilvl w:val="0"/>
          <w:numId w:val="2"/>
        </w:numPr>
        <w:spacing w:after="120"/>
      </w:pPr>
      <w:r>
        <w:t xml:space="preserve">incorporate sustainability principles into their procurement activities, as outlined in the </w:t>
      </w:r>
      <w:hyperlink r:id="rId381" w:history="1">
        <w:r w:rsidRPr="00804619">
          <w:rPr>
            <w:rStyle w:val="Hyperlink"/>
            <w:i/>
            <w:iCs/>
          </w:rPr>
          <w:t>Social Procurement Framework</w:t>
        </w:r>
      </w:hyperlink>
      <w:r>
        <w:t xml:space="preserve"> &lt;https://www.buyingfor.vic.gov.au/social-procurement-framework&gt;.</w:t>
      </w:r>
    </w:p>
    <w:p w14:paraId="7A5CC5A4" w14:textId="77777777" w:rsidR="00817104" w:rsidRPr="00B85A10" w:rsidRDefault="00817104" w:rsidP="00817104">
      <w:pPr>
        <w:pStyle w:val="Bullet1"/>
        <w:numPr>
          <w:ilvl w:val="0"/>
          <w:numId w:val="2"/>
        </w:numPr>
        <w:spacing w:after="120"/>
      </w:pPr>
      <w:r w:rsidRPr="00AA76A7">
        <w:lastRenderedPageBreak/>
        <w:t>report greenhouse gas emissions and energy</w:t>
      </w:r>
      <w:r>
        <w:t xml:space="preserve"> </w:t>
      </w:r>
      <w:r w:rsidRPr="00B85A10">
        <w:t>if</w:t>
      </w:r>
      <w:r>
        <w:t xml:space="preserve"> </w:t>
      </w:r>
      <w:r w:rsidRPr="00B85A10">
        <w:t>they meet certain thresholds</w:t>
      </w:r>
      <w:r>
        <w:t xml:space="preserve"> </w:t>
      </w:r>
      <w:r w:rsidRPr="00AA76A7">
        <w:t>through the</w:t>
      </w:r>
      <w:r>
        <w:t xml:space="preserve"> </w:t>
      </w:r>
      <w:hyperlink r:id="rId382" w:tgtFrame="_blank" w:history="1">
        <w:r w:rsidRPr="00DC6198">
          <w:rPr>
            <w:rStyle w:val="Hyperlink"/>
          </w:rPr>
          <w:t>National Greenhouse and Energy Reporting Scheme</w:t>
        </w:r>
      </w:hyperlink>
      <w:r>
        <w:t xml:space="preserve"> </w:t>
      </w:r>
      <w:r w:rsidRPr="00B85A10">
        <w:t>&lt;https://cer.gov.au/schemes/national-greenhouse-and-energy-reporting-scheme&gt;.</w:t>
      </w:r>
    </w:p>
    <w:p w14:paraId="54171A70" w14:textId="24C62CC7" w:rsidR="00817104" w:rsidRPr="00C852EC" w:rsidRDefault="00817104" w:rsidP="00817104">
      <w:pPr>
        <w:pStyle w:val="Heading3"/>
        <w:tabs>
          <w:tab w:val="left" w:pos="1134"/>
        </w:tabs>
      </w:pPr>
      <w:r w:rsidRPr="00C852EC">
        <w:t>Environmental management plan requirements</w:t>
      </w:r>
    </w:p>
    <w:p w14:paraId="155E3041" w14:textId="578DE884" w:rsidR="00817104" w:rsidRPr="000B6FFF" w:rsidRDefault="00817104" w:rsidP="00817104">
      <w:pPr>
        <w:pStyle w:val="Body"/>
      </w:pPr>
      <w:r w:rsidRPr="000B6FFF">
        <w:t xml:space="preserve">Health services are required to prepare an environmental management plan that addresses legislative requirements and key sustainability risks and opportunities. Health services must </w:t>
      </w:r>
      <w:r>
        <w:t>email</w:t>
      </w:r>
      <w:r w:rsidRPr="000B6FFF">
        <w:t xml:space="preserve"> finalised environmental management plans to the </w:t>
      </w:r>
      <w:hyperlink r:id="rId383" w:history="1">
        <w:r w:rsidRPr="005F315C">
          <w:rPr>
            <w:rStyle w:val="Hyperlink"/>
          </w:rPr>
          <w:t>Climate Health Victoria team</w:t>
        </w:r>
      </w:hyperlink>
      <w:r w:rsidRPr="000B6FFF">
        <w:t xml:space="preserve"> &lt;chv@health.vic.gov.au&gt;. </w:t>
      </w:r>
    </w:p>
    <w:p w14:paraId="596DE0DD" w14:textId="77777777" w:rsidR="00817104" w:rsidRPr="000B6FFF" w:rsidRDefault="00817104" w:rsidP="00817104">
      <w:pPr>
        <w:pStyle w:val="Bodyafterbullets"/>
      </w:pPr>
      <w:r w:rsidRPr="000B6FFF">
        <w:t>Environmental management plans are to include:</w:t>
      </w:r>
    </w:p>
    <w:p w14:paraId="6758616A" w14:textId="1B352EBD" w:rsidR="00817104" w:rsidRPr="000B6FFF" w:rsidRDefault="00817104" w:rsidP="00817104">
      <w:pPr>
        <w:pStyle w:val="Bullet1"/>
        <w:numPr>
          <w:ilvl w:val="0"/>
          <w:numId w:val="2"/>
        </w:numPr>
      </w:pPr>
      <w:r w:rsidRPr="000B6FFF">
        <w:t>an assessment of environmental and climate risks</w:t>
      </w:r>
      <w:r>
        <w:t>,</w:t>
      </w:r>
      <w:r w:rsidRPr="000B6FFF">
        <w:t xml:space="preserve"> including current and potential controls (see </w:t>
      </w:r>
      <w:hyperlink w:anchor="_Risk_management" w:history="1">
        <w:r w:rsidRPr="0080502D">
          <w:rPr>
            <w:rStyle w:val="Hyperlink"/>
          </w:rPr>
          <w:t>section 25</w:t>
        </w:r>
      </w:hyperlink>
      <w:r>
        <w:t xml:space="preserve"> </w:t>
      </w:r>
      <w:r w:rsidRPr="000B6FFF">
        <w:t>for guidance on risk management</w:t>
      </w:r>
      <w:r>
        <w:t xml:space="preserve"> and the Climate risk toolkit for Victorian health services accessible via Climate Health Victoria’s SharePoint site. </w:t>
      </w:r>
      <w:hyperlink r:id="rId384" w:history="1">
        <w:r w:rsidRPr="000208C5">
          <w:rPr>
            <w:rStyle w:val="Hyperlink"/>
          </w:rPr>
          <w:t>Email</w:t>
        </w:r>
      </w:hyperlink>
      <w:r>
        <w:t xml:space="preserve"> &lt;</w:t>
      </w:r>
      <w:r w:rsidRPr="002D6AE5">
        <w:t>chv@health.vic.gov.au</w:t>
      </w:r>
      <w:r>
        <w:t>&gt; for access</w:t>
      </w:r>
    </w:p>
    <w:p w14:paraId="449E0543" w14:textId="77777777" w:rsidR="00817104" w:rsidRPr="000B6FFF" w:rsidRDefault="00817104" w:rsidP="00817104">
      <w:pPr>
        <w:pStyle w:val="Bullet1"/>
        <w:numPr>
          <w:ilvl w:val="0"/>
          <w:numId w:val="2"/>
        </w:numPr>
      </w:pPr>
      <w:r w:rsidRPr="000B6FFF">
        <w:t>assigned responsibilities for environmental management and reporting</w:t>
      </w:r>
    </w:p>
    <w:p w14:paraId="7D3CA870" w14:textId="77777777" w:rsidR="00817104" w:rsidRPr="000B6FFF" w:rsidRDefault="00817104" w:rsidP="00817104">
      <w:pPr>
        <w:pStyle w:val="Bullet1"/>
        <w:numPr>
          <w:ilvl w:val="0"/>
          <w:numId w:val="2"/>
        </w:numPr>
      </w:pPr>
      <w:r w:rsidRPr="000B6FFF">
        <w:t>a plan to improve environmental performance identifying key initiatives to be implemented.</w:t>
      </w:r>
    </w:p>
    <w:p w14:paraId="1B16CD5F" w14:textId="77777777" w:rsidR="00817104" w:rsidRPr="000B6FFF" w:rsidRDefault="00817104" w:rsidP="00817104">
      <w:pPr>
        <w:pStyle w:val="Bodyafterbullets"/>
      </w:pPr>
      <w:r w:rsidRPr="000B6FFF">
        <w:t xml:space="preserve">The </w:t>
      </w:r>
      <w:r w:rsidRPr="00804619">
        <w:t>Environment Protection Act</w:t>
      </w:r>
      <w:r w:rsidRPr="000B6FFF">
        <w:t xml:space="preserve"> has a general environmental duty that requires all organisations to reduce the risk of harm to human health and the environment</w:t>
      </w:r>
      <w:r>
        <w:t>,</w:t>
      </w:r>
      <w:r w:rsidRPr="000B6FFF">
        <w:t xml:space="preserve"> so far as is reasonably practical. Recognising this requirement, the breadth and detail of the environmental management plan should be commensurate to each health service’s risk.</w:t>
      </w:r>
    </w:p>
    <w:p w14:paraId="54D17294" w14:textId="77777777" w:rsidR="00817104" w:rsidRPr="000B6FFF" w:rsidRDefault="00817104" w:rsidP="00817104">
      <w:pPr>
        <w:pStyle w:val="Bodyafterbullets"/>
      </w:pPr>
      <w:r w:rsidRPr="000B6FFF">
        <w:t>Health services can choose:</w:t>
      </w:r>
    </w:p>
    <w:p w14:paraId="02257308" w14:textId="77777777" w:rsidR="00817104" w:rsidRPr="000B6FFF" w:rsidRDefault="00817104" w:rsidP="00817104">
      <w:pPr>
        <w:pStyle w:val="Bullet1"/>
        <w:numPr>
          <w:ilvl w:val="0"/>
          <w:numId w:val="2"/>
        </w:numPr>
      </w:pPr>
      <w:r w:rsidRPr="000B6FFF">
        <w:t>to call their environmental management plan by another name (for example, sustainability strategy)</w:t>
      </w:r>
      <w:r>
        <w:t>,</w:t>
      </w:r>
      <w:r w:rsidRPr="000B6FFF">
        <w:t xml:space="preserve"> so long as it includes the elements identified above</w:t>
      </w:r>
    </w:p>
    <w:p w14:paraId="71BAB685" w14:textId="77777777" w:rsidR="00817104" w:rsidRPr="000B6FFF" w:rsidRDefault="00817104" w:rsidP="00817104">
      <w:pPr>
        <w:pStyle w:val="Bullet1"/>
        <w:numPr>
          <w:ilvl w:val="0"/>
          <w:numId w:val="2"/>
        </w:numPr>
      </w:pPr>
      <w:r w:rsidRPr="000B6FFF">
        <w:t>the time period covered by their environmental management plan, so long as it is not greater than five years.</w:t>
      </w:r>
    </w:p>
    <w:p w14:paraId="22F90A80" w14:textId="77777777" w:rsidR="00817104" w:rsidDel="003E3470" w:rsidRDefault="00817104" w:rsidP="00817104">
      <w:pPr>
        <w:pStyle w:val="Bodyafterbullets"/>
      </w:pPr>
      <w:r>
        <w:t>More</w:t>
      </w:r>
      <w:r w:rsidRPr="0063371E">
        <w:t xml:space="preserve"> guidance on developing an environmental management plan</w:t>
      </w:r>
      <w:r w:rsidRPr="000B6FFF">
        <w:t xml:space="preserve"> is accessible via Climate Health Victoria’s SharePoint site</w:t>
      </w:r>
      <w:r>
        <w:t>.</w:t>
      </w:r>
      <w:r w:rsidRPr="000B6FFF">
        <w:t xml:space="preserve"> </w:t>
      </w:r>
      <w:hyperlink r:id="rId385" w:history="1">
        <w:r w:rsidRPr="000208C5">
          <w:rPr>
            <w:rStyle w:val="Hyperlink"/>
          </w:rPr>
          <w:t>Email</w:t>
        </w:r>
      </w:hyperlink>
      <w:r>
        <w:t xml:space="preserve"> &lt;</w:t>
      </w:r>
      <w:r w:rsidRPr="00364ECD">
        <w:t>chv@health.vic.gov.au</w:t>
      </w:r>
      <w:r>
        <w:t>&gt; for access</w:t>
      </w:r>
      <w:r w:rsidRPr="000B6FFF">
        <w:t>.</w:t>
      </w:r>
      <w:r>
        <w:t xml:space="preserve"> </w:t>
      </w:r>
    </w:p>
    <w:p w14:paraId="4714968F" w14:textId="61B085F7" w:rsidR="00817104" w:rsidRDefault="00817104" w:rsidP="00817104">
      <w:pPr>
        <w:pStyle w:val="Heading3"/>
        <w:tabs>
          <w:tab w:val="left" w:pos="1134"/>
        </w:tabs>
      </w:pPr>
      <w:r w:rsidRPr="00B63071">
        <w:t>Sustainability</w:t>
      </w:r>
      <w:r>
        <w:t xml:space="preserve"> requirements in capital works</w:t>
      </w:r>
    </w:p>
    <w:p w14:paraId="7BE0BF6A" w14:textId="77777777" w:rsidR="00817104" w:rsidRPr="000B6FFF" w:rsidRDefault="00817104" w:rsidP="00817104">
      <w:pPr>
        <w:pStyle w:val="Body"/>
      </w:pPr>
      <w:r w:rsidRPr="000B6FFF">
        <w:t xml:space="preserve">All capital works funded directly by health services, regardless of the funding source, are to meet the business-as-usual requirements in the department’s </w:t>
      </w:r>
      <w:hyperlink r:id="rId386" w:tgtFrame="_blank" w:history="1">
        <w:r w:rsidRPr="000B6FFF">
          <w:rPr>
            <w:rStyle w:val="Hyperlink"/>
          </w:rPr>
          <w:t>Guidelines for sustainability in capital works</w:t>
        </w:r>
      </w:hyperlink>
      <w:r w:rsidRPr="000B6FFF">
        <w:t xml:space="preserve"> &lt;https://www.vhba.vic.gov.au/guidelines-sustainability-capital-works&gt;. </w:t>
      </w:r>
    </w:p>
    <w:p w14:paraId="781C530B" w14:textId="77777777" w:rsidR="00817104" w:rsidRPr="00B63071" w:rsidRDefault="00817104" w:rsidP="00817104">
      <w:pPr>
        <w:pStyle w:val="Body"/>
      </w:pPr>
      <w:r w:rsidRPr="000B6FFF">
        <w:t>The department expects the inclusion of a sustainability budget of 2.5</w:t>
      </w:r>
      <w:r>
        <w:t xml:space="preserve"> per cent</w:t>
      </w:r>
      <w:r w:rsidRPr="000B6FFF">
        <w:t xml:space="preserve"> of total construction costs, which will assist in meeting expectations that health services are responding to climate change obligations.</w:t>
      </w:r>
    </w:p>
    <w:p w14:paraId="71AAD1D7" w14:textId="4C102CFF" w:rsidR="00817104" w:rsidRDefault="00817104" w:rsidP="00817104">
      <w:pPr>
        <w:pStyle w:val="Heading3"/>
        <w:tabs>
          <w:tab w:val="left" w:pos="1134"/>
        </w:tabs>
      </w:pPr>
      <w:r>
        <w:t>Guidance</w:t>
      </w:r>
    </w:p>
    <w:p w14:paraId="41412742" w14:textId="77777777" w:rsidR="00817104" w:rsidRPr="000B6FFF" w:rsidRDefault="00817104" w:rsidP="00817104">
      <w:pPr>
        <w:pStyle w:val="Body"/>
      </w:pPr>
      <w:bookmarkStart w:id="2610" w:name="_Toc167226119"/>
      <w:bookmarkStart w:id="2611" w:name="_Toc167226120"/>
      <w:bookmarkStart w:id="2612" w:name="_Toc167260827"/>
      <w:bookmarkStart w:id="2613" w:name="_Toc165461869"/>
      <w:bookmarkStart w:id="2614" w:name="_Toc165461870"/>
      <w:bookmarkStart w:id="2615" w:name="_Toc165461871"/>
      <w:bookmarkStart w:id="2616" w:name="_Toc165461872"/>
      <w:bookmarkStart w:id="2617" w:name="_Toc165461873"/>
      <w:bookmarkStart w:id="2618" w:name="_Toc165461874"/>
      <w:bookmarkStart w:id="2619" w:name="_Toc165461875"/>
      <w:bookmarkStart w:id="2620" w:name="_Toc165461876"/>
      <w:bookmarkEnd w:id="2610"/>
      <w:bookmarkEnd w:id="2611"/>
      <w:bookmarkEnd w:id="2612"/>
      <w:bookmarkEnd w:id="2613"/>
      <w:bookmarkEnd w:id="2614"/>
      <w:bookmarkEnd w:id="2615"/>
      <w:bookmarkEnd w:id="2616"/>
      <w:bookmarkEnd w:id="2617"/>
      <w:bookmarkEnd w:id="2618"/>
      <w:bookmarkEnd w:id="2619"/>
      <w:bookmarkEnd w:id="2620"/>
      <w:r w:rsidRPr="000B6FFF">
        <w:t>In addition to the documents already referenced in previous sections, health services may also wish to have regard to:</w:t>
      </w:r>
    </w:p>
    <w:p w14:paraId="7B8BD615" w14:textId="77777777" w:rsidR="00817104" w:rsidRPr="000B6FFF" w:rsidRDefault="00817104" w:rsidP="00817104">
      <w:pPr>
        <w:pStyle w:val="Bullet1"/>
        <w:numPr>
          <w:ilvl w:val="0"/>
          <w:numId w:val="2"/>
        </w:numPr>
        <w:spacing w:after="120"/>
      </w:pPr>
      <w:r w:rsidRPr="000B6FFF">
        <w:t>any guidance material on environmental management plans and health portfolio environmental priorities</w:t>
      </w:r>
      <w:r>
        <w:t>,</w:t>
      </w:r>
      <w:r w:rsidRPr="000B6FFF">
        <w:t xml:space="preserve"> as published by the department on its website</w:t>
      </w:r>
    </w:p>
    <w:p w14:paraId="3EA0CBEE" w14:textId="3CB88698" w:rsidR="00817104" w:rsidRPr="000B6FFF" w:rsidRDefault="00817104" w:rsidP="00817104">
      <w:pPr>
        <w:pStyle w:val="Bullet1"/>
        <w:numPr>
          <w:ilvl w:val="0"/>
          <w:numId w:val="2"/>
        </w:numPr>
        <w:spacing w:after="120"/>
      </w:pPr>
      <w:r w:rsidRPr="000B6FFF">
        <w:t xml:space="preserve">guidance material prepared </w:t>
      </w:r>
      <w:r>
        <w:t>on</w:t>
      </w:r>
      <w:r w:rsidR="00BF2748">
        <w:t xml:space="preserve"> </w:t>
      </w:r>
      <w:hyperlink r:id="rId387" w:history="1">
        <w:r w:rsidR="00BF2748">
          <w:rPr>
            <w:rStyle w:val="Hyperlink"/>
          </w:rPr>
          <w:t>Directors' duties with respect to climate risk</w:t>
        </w:r>
      </w:hyperlink>
      <w:r w:rsidRPr="000B6FFF">
        <w:t xml:space="preserve"> </w:t>
      </w:r>
      <w:r>
        <w:t>&lt;</w:t>
      </w:r>
      <w:r w:rsidRPr="002D6AE5">
        <w:t>https://www.boards.vic.gov.au/directors-duties-respect-climate-risk</w:t>
      </w:r>
      <w:r>
        <w:t>&gt;</w:t>
      </w:r>
    </w:p>
    <w:p w14:paraId="39BC3D4E" w14:textId="7CB110EC" w:rsidR="00817104" w:rsidRPr="000B6FFF" w:rsidRDefault="00817104" w:rsidP="00817104">
      <w:pPr>
        <w:pStyle w:val="Bullet1"/>
        <w:numPr>
          <w:ilvl w:val="0"/>
          <w:numId w:val="2"/>
        </w:numPr>
        <w:spacing w:after="120"/>
      </w:pPr>
      <w:r w:rsidRPr="00AA683C">
        <w:lastRenderedPageBreak/>
        <w:t>guidance from</w:t>
      </w:r>
      <w:r>
        <w:t xml:space="preserve"> </w:t>
      </w:r>
      <w:r w:rsidRPr="00AA683C">
        <w:t>the</w:t>
      </w:r>
      <w:r>
        <w:t xml:space="preserve"> </w:t>
      </w:r>
      <w:r w:rsidRPr="00F53C26">
        <w:t>Victorian Health Building Authority on</w:t>
      </w:r>
      <w:r>
        <w:t xml:space="preserve"> </w:t>
      </w:r>
      <w:hyperlink r:id="rId388" w:history="1">
        <w:r w:rsidRPr="00F53C26">
          <w:rPr>
            <w:rStyle w:val="Hyperlink"/>
          </w:rPr>
          <w:t xml:space="preserve">Embedding </w:t>
        </w:r>
        <w:r w:rsidRPr="002D6AE5">
          <w:rPr>
            <w:rStyle w:val="Hyperlink"/>
          </w:rPr>
          <w:t>environmental sustainability in health infrastructure</w:t>
        </w:r>
      </w:hyperlink>
      <w:r>
        <w:t xml:space="preserve"> </w:t>
      </w:r>
      <w:r w:rsidRPr="00AA683C">
        <w:t>&lt;https://www.vhba.vic.gov.au/resources/environmental-sustainability&gt;</w:t>
      </w:r>
      <w:r>
        <w:t xml:space="preserve"> </w:t>
      </w:r>
    </w:p>
    <w:p w14:paraId="0588BCFF" w14:textId="77777777" w:rsidR="00817104" w:rsidRPr="000B6FFF" w:rsidRDefault="00817104" w:rsidP="00817104">
      <w:pPr>
        <w:pStyle w:val="Bullet1"/>
        <w:numPr>
          <w:ilvl w:val="0"/>
          <w:numId w:val="2"/>
        </w:numPr>
        <w:spacing w:after="120"/>
      </w:pPr>
      <w:r w:rsidRPr="000B6FFF">
        <w:t xml:space="preserve">guidance from the </w:t>
      </w:r>
      <w:r w:rsidRPr="002D6AE5">
        <w:t>VMIA</w:t>
      </w:r>
      <w:r w:rsidRPr="000B6FFF">
        <w:t xml:space="preserve"> </w:t>
      </w:r>
      <w:r>
        <w:t>for</w:t>
      </w:r>
      <w:r w:rsidRPr="000B6FFF">
        <w:t xml:space="preserve"> Victorian public sector agencies </w:t>
      </w:r>
      <w:r>
        <w:t xml:space="preserve">on </w:t>
      </w:r>
      <w:hyperlink r:id="rId389" w:history="1">
        <w:r w:rsidRPr="00E74738">
          <w:rPr>
            <w:rStyle w:val="Hyperlink"/>
          </w:rPr>
          <w:t>Understanding Victorian climate change risk management expectations</w:t>
        </w:r>
      </w:hyperlink>
      <w:r w:rsidRPr="00E74738">
        <w:t xml:space="preserve"> </w:t>
      </w:r>
      <w:r w:rsidRPr="000B6FFF">
        <w:t>&lt;https://www.vmia.vic.gov.au/tools-and-insights/climate-change/understanding-victorian-risk-management-expectations&gt;</w:t>
      </w:r>
    </w:p>
    <w:p w14:paraId="69C72613" w14:textId="77777777" w:rsidR="00817104" w:rsidRPr="000B6FFF" w:rsidRDefault="00817104" w:rsidP="00817104">
      <w:pPr>
        <w:pStyle w:val="Bullet1"/>
        <w:numPr>
          <w:ilvl w:val="0"/>
          <w:numId w:val="2"/>
        </w:numPr>
        <w:spacing w:after="120"/>
      </w:pPr>
      <w:r w:rsidRPr="000B6FFF">
        <w:t xml:space="preserve">guidance contained within the </w:t>
      </w:r>
      <w:hyperlink r:id="rId390" w:history="1">
        <w:r w:rsidRPr="000B6FFF">
          <w:rPr>
            <w:rStyle w:val="Hyperlink"/>
          </w:rPr>
          <w:t>Clinical waste guid</w:t>
        </w:r>
        <w:r>
          <w:rPr>
            <w:rStyle w:val="Hyperlink"/>
          </w:rPr>
          <w:t>elines</w:t>
        </w:r>
        <w:r w:rsidRPr="000B6FFF">
          <w:rPr>
            <w:rStyle w:val="Hyperlink"/>
          </w:rPr>
          <w:t xml:space="preserve"> – supplement for healthcare staff</w:t>
        </w:r>
      </w:hyperlink>
      <w:r w:rsidRPr="000B6FFF">
        <w:t xml:space="preserve"> &lt;</w:t>
      </w:r>
      <w:r w:rsidRPr="00170430">
        <w:t>https://www.health.vic.gov.au/environmental-health/waste</w:t>
      </w:r>
      <w:r w:rsidRPr="000B6FFF">
        <w:t xml:space="preserve">&gt;. This document outlines waste management strategies that may assist health services to satisfy waste-related requirements under the </w:t>
      </w:r>
      <w:r w:rsidRPr="00804619">
        <w:rPr>
          <w:iCs/>
        </w:rPr>
        <w:t>Environment Protection Act</w:t>
      </w:r>
      <w:r w:rsidRPr="00187E0C">
        <w:rPr>
          <w:iCs/>
        </w:rPr>
        <w:t xml:space="preserve"> </w:t>
      </w:r>
      <w:r w:rsidRPr="000B6FFF">
        <w:t>and associated regulations. This includes establishing separate waste streams for pharmaceutical and clinical wastes</w:t>
      </w:r>
    </w:p>
    <w:p w14:paraId="180CA3E3" w14:textId="77777777" w:rsidR="00817104" w:rsidRPr="000B6FFF" w:rsidRDefault="00817104" w:rsidP="00817104">
      <w:pPr>
        <w:pStyle w:val="Bullet1"/>
        <w:numPr>
          <w:ilvl w:val="0"/>
          <w:numId w:val="2"/>
        </w:numPr>
        <w:spacing w:after="120"/>
      </w:pPr>
      <w:r w:rsidRPr="000B6FFF">
        <w:t xml:space="preserve">the </w:t>
      </w:r>
      <w:hyperlink r:id="rId391" w:history="1">
        <w:r>
          <w:rPr>
            <w:rStyle w:val="Hyperlink"/>
          </w:rPr>
          <w:t>National Australian Built Environment Rating System</w:t>
        </w:r>
      </w:hyperlink>
      <w:r w:rsidRPr="000B6FFF">
        <w:t xml:space="preserve"> &lt;</w:t>
      </w:r>
      <w:r>
        <w:t>https://www.nabers.gov.au/ratings/spaces-we-rate/public-hospitals</w:t>
      </w:r>
      <w:r w:rsidRPr="000B6FFF">
        <w:t>&gt;</w:t>
      </w:r>
      <w:r>
        <w:t>,</w:t>
      </w:r>
      <w:r w:rsidRPr="000B6FFF">
        <w:t xml:space="preserve"> which includes energy and water ratings for Victoria’s public hospitals. </w:t>
      </w:r>
      <w:r>
        <w:t>The system’s</w:t>
      </w:r>
      <w:r w:rsidRPr="000B6FFF">
        <w:t xml:space="preserve"> public hospitals ratings set benchmarks for the energy and water performance of buildings</w:t>
      </w:r>
      <w:r>
        <w:t>,</w:t>
      </w:r>
      <w:r w:rsidRPr="000B6FFF">
        <w:t xml:space="preserve"> and provide an incentive for public hospitals to improve performance over time</w:t>
      </w:r>
    </w:p>
    <w:p w14:paraId="37F7EE0B" w14:textId="77777777" w:rsidR="00817104" w:rsidRDefault="00817104" w:rsidP="00817104">
      <w:pPr>
        <w:pStyle w:val="Bullet1"/>
        <w:numPr>
          <w:ilvl w:val="0"/>
          <w:numId w:val="2"/>
        </w:numPr>
        <w:spacing w:after="120"/>
      </w:pPr>
      <w:r w:rsidRPr="000B6FFF">
        <w:t xml:space="preserve">the </w:t>
      </w:r>
      <w:hyperlink r:id="rId392" w:history="1">
        <w:r w:rsidRPr="00F9661A">
          <w:rPr>
            <w:rStyle w:val="Hyperlink"/>
          </w:rPr>
          <w:t>Healthcare Sustainability and Resilience Module</w:t>
        </w:r>
      </w:hyperlink>
      <w:r>
        <w:t xml:space="preserve"> &lt;</w:t>
      </w:r>
      <w:r w:rsidRPr="00525269">
        <w:t>https://www.safetyandquality.gov.au/national-standards/healthcare-sustainability-and-resilience-module</w:t>
      </w:r>
      <w:r>
        <w:t xml:space="preserve">&gt; </w:t>
      </w:r>
      <w:r w:rsidRPr="000B6FFF">
        <w:t>of the NSQHS Standards, which outlines a framework of actions for improving safety and quality of care</w:t>
      </w:r>
      <w:r>
        <w:t>,</w:t>
      </w:r>
      <w:r w:rsidRPr="000B6FFF">
        <w:t xml:space="preserve"> while </w:t>
      </w:r>
      <w:r>
        <w:t>integrating environmental sustainability and climate resilience strategies</w:t>
      </w:r>
    </w:p>
    <w:p w14:paraId="3D73E6C6" w14:textId="77777777" w:rsidR="00817104" w:rsidRPr="000B6FFF" w:rsidRDefault="00817104" w:rsidP="00817104">
      <w:pPr>
        <w:pStyle w:val="Bullet1"/>
        <w:numPr>
          <w:ilvl w:val="0"/>
          <w:numId w:val="2"/>
        </w:numPr>
        <w:spacing w:after="120"/>
      </w:pPr>
      <w:r w:rsidRPr="00F80FC6">
        <w:rPr>
          <w:lang w:val="en-US"/>
        </w:rPr>
        <w:t>the</w:t>
      </w:r>
      <w:r>
        <w:rPr>
          <w:lang w:val="en-US"/>
        </w:rPr>
        <w:t xml:space="preserve"> </w:t>
      </w:r>
      <w:hyperlink r:id="rId393" w:history="1">
        <w:r w:rsidRPr="00525269">
          <w:rPr>
            <w:rStyle w:val="Hyperlink"/>
            <w:lang w:val="en-US"/>
          </w:rPr>
          <w:t>National Health and Climate Strategy</w:t>
        </w:r>
      </w:hyperlink>
      <w:r w:rsidRPr="002D6AE5">
        <w:rPr>
          <w:lang w:val="en-US"/>
        </w:rPr>
        <w:t xml:space="preserve"> &lt;</w:t>
      </w:r>
      <w:r w:rsidRPr="00065C92">
        <w:rPr>
          <w:lang w:val="en-US"/>
        </w:rPr>
        <w:t>https://www.cdc.gov.au/topics/climate-and-health&gt;</w:t>
      </w:r>
      <w:r>
        <w:rPr>
          <w:lang w:val="en-US"/>
        </w:rPr>
        <w:t xml:space="preserve">, which </w:t>
      </w:r>
      <w:r w:rsidRPr="00065C92">
        <w:rPr>
          <w:lang w:val="en-US"/>
        </w:rPr>
        <w:t>outlines a plan to address the health and wellbeing impacts of climate change, while addressing the contribution</w:t>
      </w:r>
      <w:r>
        <w:rPr>
          <w:lang w:val="en-US"/>
        </w:rPr>
        <w:t xml:space="preserve"> </w:t>
      </w:r>
      <w:r w:rsidRPr="00065C92">
        <w:rPr>
          <w:lang w:val="en-US"/>
        </w:rPr>
        <w:t>of</w:t>
      </w:r>
      <w:r>
        <w:rPr>
          <w:lang w:val="en-US"/>
        </w:rPr>
        <w:t xml:space="preserve"> </w:t>
      </w:r>
      <w:r w:rsidRPr="00065C92">
        <w:rPr>
          <w:lang w:val="en-US"/>
        </w:rPr>
        <w:t>the health system to climate change.</w:t>
      </w:r>
    </w:p>
    <w:p w14:paraId="22691E69" w14:textId="77777777" w:rsidR="00817104" w:rsidRPr="00B61A4E" w:rsidRDefault="00817104" w:rsidP="00817104">
      <w:pPr>
        <w:pStyle w:val="Body"/>
      </w:pPr>
    </w:p>
    <w:p w14:paraId="35C06BE0" w14:textId="77777777" w:rsidR="00817104" w:rsidRDefault="00817104" w:rsidP="00817104">
      <w:pPr>
        <w:spacing w:after="0" w:line="240" w:lineRule="auto"/>
        <w:rPr>
          <w:rFonts w:ascii="Times New Roman" w:hAnsi="Times New Roman"/>
          <w:sz w:val="20"/>
          <w:lang w:eastAsia="en-AU"/>
        </w:rPr>
      </w:pPr>
      <w:r>
        <w:rPr>
          <w:rFonts w:ascii="Times New Roman" w:hAnsi="Times New Roman"/>
          <w:sz w:val="20"/>
          <w:lang w:eastAsia="en-AU"/>
        </w:rPr>
        <w:br w:type="page"/>
      </w:r>
    </w:p>
    <w:p w14:paraId="31F74006" w14:textId="77777777" w:rsidR="00817104" w:rsidRDefault="00817104" w:rsidP="008D45A5">
      <w:pPr>
        <w:pStyle w:val="Heading1"/>
      </w:pPr>
      <w:bookmarkStart w:id="2621" w:name="_Toc224127313"/>
      <w:bookmarkStart w:id="2622" w:name="_Toc231982358"/>
      <w:r>
        <w:lastRenderedPageBreak/>
        <w:t>Digital health</w:t>
      </w:r>
      <w:bookmarkEnd w:id="2621"/>
      <w:bookmarkEnd w:id="2622"/>
    </w:p>
    <w:p w14:paraId="7560033D" w14:textId="77777777" w:rsidR="00817104" w:rsidRDefault="00817104" w:rsidP="00817104">
      <w:pPr>
        <w:pStyle w:val="Body"/>
        <w:rPr>
          <w:lang w:val="en-US"/>
        </w:rPr>
      </w:pPr>
      <w:r>
        <w:t xml:space="preserve">Health services are required to operate safe, secure and cost-effective ICT and digital health programs, in alignment with the </w:t>
      </w:r>
      <w:bookmarkStart w:id="2623" w:name="_Hlk198133074"/>
      <w:r w:rsidRPr="00046722">
        <w:rPr>
          <w:i/>
          <w:iCs/>
        </w:rPr>
        <w:t>Security of Critical Infrastructure Act 2018</w:t>
      </w:r>
      <w:r w:rsidRPr="007B6FAE">
        <w:rPr>
          <w:i/>
          <w:iCs/>
        </w:rPr>
        <w:t xml:space="preserve"> </w:t>
      </w:r>
      <w:bookmarkEnd w:id="2623"/>
      <w:r>
        <w:t>when applicable, and both Victorian and national digital health strategies.</w:t>
      </w:r>
    </w:p>
    <w:p w14:paraId="7F692BEC" w14:textId="77777777" w:rsidR="00817104" w:rsidRDefault="00817104" w:rsidP="00817104">
      <w:pPr>
        <w:pStyle w:val="Body"/>
      </w:pPr>
      <w:r>
        <w:t xml:space="preserve">Health services are responsible for deploying secure ICT and digital health technology to support safe provision of care within their health service and protect patient information. Accountability rests with health service boards. </w:t>
      </w:r>
    </w:p>
    <w:p w14:paraId="00C70B2D" w14:textId="77777777" w:rsidR="00817104" w:rsidRDefault="00817104" w:rsidP="00817104">
      <w:pPr>
        <w:pStyle w:val="Body"/>
      </w:pPr>
      <w:r>
        <w:t xml:space="preserve">The Australian Government Department of Health, Disability and Ageing released its </w:t>
      </w:r>
      <w:r w:rsidRPr="006063F2">
        <w:t>Digital Health Blueprint and Action Plan 2023–2033</w:t>
      </w:r>
      <w:r>
        <w:t xml:space="preserve"> in December 2023. The blueprint recognises that digital health technologies enable more efficient and collaborative health care for both patients and healthcare providers. Digital health technologies make health care more affordable, convenient and accessible to more people.</w:t>
      </w:r>
    </w:p>
    <w:p w14:paraId="6F047C5C" w14:textId="77777777" w:rsidR="00817104" w:rsidRDefault="00817104" w:rsidP="00817104">
      <w:pPr>
        <w:pStyle w:val="Body"/>
      </w:pPr>
      <w:r>
        <w:t>Complementing the blueprint, the Australian Digital Health Agency has released the:</w:t>
      </w:r>
    </w:p>
    <w:p w14:paraId="1A23CC69" w14:textId="77777777" w:rsidR="00817104" w:rsidRPr="00D637B8" w:rsidRDefault="00817104" w:rsidP="00817104">
      <w:pPr>
        <w:pStyle w:val="Bullet1"/>
        <w:numPr>
          <w:ilvl w:val="0"/>
          <w:numId w:val="2"/>
        </w:numPr>
      </w:pPr>
      <w:hyperlink r:id="rId394">
        <w:r w:rsidRPr="00B9744A">
          <w:rPr>
            <w:rStyle w:val="Hyperlink"/>
            <w:i/>
            <w:iCs/>
          </w:rPr>
          <w:t>National Digital Health Strategy 2023–2028</w:t>
        </w:r>
      </w:hyperlink>
      <w:r w:rsidRPr="00D637B8">
        <w:t xml:space="preserve"> &lt;https://www.digitalhealth.gov.au/national-digital-health-strategy&gt;</w:t>
      </w:r>
    </w:p>
    <w:p w14:paraId="6A65A83E" w14:textId="77777777" w:rsidR="00817104" w:rsidRDefault="00817104" w:rsidP="00817104">
      <w:pPr>
        <w:pStyle w:val="Bullet1"/>
        <w:numPr>
          <w:ilvl w:val="0"/>
          <w:numId w:val="2"/>
        </w:numPr>
      </w:pPr>
      <w:hyperlink r:id="rId395">
        <w:r w:rsidRPr="00926A20">
          <w:rPr>
            <w:rStyle w:val="Hyperlink"/>
            <w:i/>
            <w:iCs/>
          </w:rPr>
          <w:t>Connecting Australian Healthcare: National Healthcare Interoperability Plan 2023–2028</w:t>
        </w:r>
      </w:hyperlink>
      <w:r w:rsidRPr="0670E279">
        <w:rPr>
          <w:rStyle w:val="Hyperlink"/>
          <w:i/>
          <w:iCs/>
        </w:rPr>
        <w:t xml:space="preserve"> </w:t>
      </w:r>
      <w:r w:rsidRPr="007B6FAE">
        <w:t>&lt;https://www.digitalhealth.gov.au/about-us/strategies-and-plans/national-healthcare-interoperability-plan&gt;.</w:t>
      </w:r>
    </w:p>
    <w:p w14:paraId="58F43308" w14:textId="77777777" w:rsidR="00817104" w:rsidRDefault="00817104" w:rsidP="00817104">
      <w:pPr>
        <w:pStyle w:val="Bodyafterbullets"/>
      </w:pPr>
      <w:r w:rsidRPr="00610426">
        <w:t xml:space="preserve">These three foundation documents provide a vision for a more connected healthcare system across Australia. They will inform the development of Victoria’s </w:t>
      </w:r>
      <w:r>
        <w:t xml:space="preserve">strategic plan for a digitally-enabled health system </w:t>
      </w:r>
      <w:r w:rsidRPr="00610426">
        <w:t xml:space="preserve">and </w:t>
      </w:r>
      <w:r>
        <w:t>the development</w:t>
      </w:r>
      <w:r w:rsidRPr="00610426">
        <w:t xml:space="preserve"> of </w:t>
      </w:r>
      <w:r w:rsidRPr="00926A20">
        <w:rPr>
          <w:i/>
          <w:iCs/>
        </w:rPr>
        <w:t>Victoria’s Digital Health Roadmap 2026–2030</w:t>
      </w:r>
      <w:r>
        <w:t>.</w:t>
      </w:r>
      <w:r w:rsidRPr="00610426">
        <w:t xml:space="preserve"> </w:t>
      </w:r>
      <w:r>
        <w:t>T</w:t>
      </w:r>
      <w:r w:rsidRPr="007D2A88">
        <w:t>he refreshed Digital Health Roadmap will align with national directions and provide a system</w:t>
      </w:r>
      <w:r w:rsidRPr="007D2A88">
        <w:noBreakHyphen/>
        <w:t>wide framework for coordinated digital investment that supports connected, sustainable and person</w:t>
      </w:r>
      <w:r w:rsidRPr="007D2A88">
        <w:noBreakHyphen/>
        <w:t>centred care and a future</w:t>
      </w:r>
      <w:r w:rsidRPr="007D2A88">
        <w:noBreakHyphen/>
        <w:t>ready workforce.</w:t>
      </w:r>
    </w:p>
    <w:p w14:paraId="2B5691F3" w14:textId="51D79903" w:rsidR="00817104" w:rsidRDefault="00817104" w:rsidP="00817104">
      <w:pPr>
        <w:pStyle w:val="Heading2"/>
      </w:pPr>
      <w:bookmarkStart w:id="2624" w:name="_Toc167226122"/>
      <w:bookmarkStart w:id="2625" w:name="_Toc167260829"/>
      <w:bookmarkStart w:id="2626" w:name="_Toc167226123"/>
      <w:bookmarkStart w:id="2627" w:name="_Toc231982359"/>
      <w:bookmarkStart w:id="2628" w:name="_Toc165964746"/>
      <w:bookmarkStart w:id="2629" w:name="_Toc167174606"/>
      <w:bookmarkStart w:id="2630" w:name="_Toc224127314"/>
      <w:bookmarkEnd w:id="2624"/>
      <w:bookmarkEnd w:id="2625"/>
      <w:bookmarkEnd w:id="2626"/>
      <w:r>
        <w:t>Role of the Department of Health</w:t>
      </w:r>
      <w:bookmarkEnd w:id="2627"/>
    </w:p>
    <w:p w14:paraId="3329DB2A" w14:textId="77777777" w:rsidR="00817104" w:rsidRDefault="00817104" w:rsidP="00817104">
      <w:pPr>
        <w:pStyle w:val="Body"/>
      </w:pPr>
      <w:r>
        <w:t>The department sets the strategic direction for digital health across Victoria’s public health system and stewards the delivery of statewide capabilities that support safety, quality and sustainability.</w:t>
      </w:r>
    </w:p>
    <w:p w14:paraId="67C9A376" w14:textId="77777777" w:rsidR="00817104" w:rsidRDefault="00817104" w:rsidP="00817104">
      <w:pPr>
        <w:pStyle w:val="Body"/>
      </w:pPr>
      <w:r>
        <w:t>This includes:</w:t>
      </w:r>
    </w:p>
    <w:p w14:paraId="3D90D177" w14:textId="77777777" w:rsidR="00817104" w:rsidRDefault="00817104" w:rsidP="00817104">
      <w:pPr>
        <w:pStyle w:val="Bullet1"/>
        <w:numPr>
          <w:ilvl w:val="0"/>
          <w:numId w:val="2"/>
        </w:numPr>
      </w:pPr>
      <w:r>
        <w:t>system stewardship and assurance – providing system</w:t>
      </w:r>
      <w:r>
        <w:rPr>
          <w:rFonts w:ascii="Cambria Math" w:hAnsi="Cambria Math" w:cs="Cambria Math"/>
        </w:rPr>
        <w:t>‑</w:t>
      </w:r>
      <w:r>
        <w:t>level stewardship of digital health, including setting expectations, assuring risk, and supporting sector maturity in areas such as privacy, cybersecurity and digital health</w:t>
      </w:r>
    </w:p>
    <w:p w14:paraId="77C095C6" w14:textId="77777777" w:rsidR="00817104" w:rsidRDefault="00817104" w:rsidP="00817104">
      <w:pPr>
        <w:pStyle w:val="Bullet1"/>
        <w:numPr>
          <w:ilvl w:val="0"/>
          <w:numId w:val="2"/>
        </w:numPr>
      </w:pPr>
      <w:r>
        <w:t>national alignment and coordination – representing Victoria in national digital health initiatives and ensuring Victorian health services are aligned to national platforms, standards and reforms</w:t>
      </w:r>
    </w:p>
    <w:p w14:paraId="323EBB13" w14:textId="77777777" w:rsidR="00817104" w:rsidRDefault="00817104" w:rsidP="00817104">
      <w:pPr>
        <w:pStyle w:val="Bullet1"/>
        <w:numPr>
          <w:ilvl w:val="0"/>
          <w:numId w:val="2"/>
        </w:numPr>
      </w:pPr>
      <w:r>
        <w:t>delivery of statewide digital services – funding, delivering and operating shared digital health platforms and services, including through Health Technology Services and other centrally operated capabilities</w:t>
      </w:r>
    </w:p>
    <w:p w14:paraId="2B9BA258" w14:textId="77777777" w:rsidR="00817104" w:rsidRDefault="00817104" w:rsidP="00817104">
      <w:pPr>
        <w:pStyle w:val="Bullet1"/>
        <w:numPr>
          <w:ilvl w:val="0"/>
          <w:numId w:val="2"/>
        </w:numPr>
      </w:pPr>
      <w:r>
        <w:t>driving digital health reform – enabling system reform through digitisation, data and emerging technologies, including artificial intelligence (AI), that supports safer care, reduced reliance on paper, better connected information, virtual care and more sustainable models of care delivery</w:t>
      </w:r>
    </w:p>
    <w:p w14:paraId="0CAFC6AA" w14:textId="77777777" w:rsidR="00817104" w:rsidRPr="000441EE" w:rsidRDefault="00817104" w:rsidP="00817104">
      <w:pPr>
        <w:pStyle w:val="Bullet1"/>
        <w:numPr>
          <w:ilvl w:val="0"/>
          <w:numId w:val="2"/>
        </w:numPr>
      </w:pPr>
      <w:r>
        <w:t>setting strategy and priorities – leading the development of the Digital Health Roadmap, architecture and priorities to guide investment, sequencing and consistency across the system.</w:t>
      </w:r>
    </w:p>
    <w:p w14:paraId="4E65202E" w14:textId="5715EEBE" w:rsidR="00817104" w:rsidRPr="00610426" w:rsidRDefault="00817104" w:rsidP="00817104">
      <w:pPr>
        <w:pStyle w:val="Heading2"/>
      </w:pPr>
      <w:bookmarkStart w:id="2631" w:name="_Toc231982360"/>
      <w:r w:rsidRPr="00610426">
        <w:lastRenderedPageBreak/>
        <w:t>Governance</w:t>
      </w:r>
      <w:bookmarkEnd w:id="2628"/>
      <w:bookmarkEnd w:id="2629"/>
      <w:bookmarkEnd w:id="2630"/>
      <w:bookmarkEnd w:id="2631"/>
    </w:p>
    <w:p w14:paraId="189055F0" w14:textId="77777777" w:rsidR="00817104" w:rsidRDefault="00817104" w:rsidP="00817104">
      <w:pPr>
        <w:pStyle w:val="Body"/>
      </w:pPr>
      <w:r w:rsidRPr="00122691">
        <w:t>Implementation of the Digital Health Roadmap and oversight of the safe operation of digital health programs are supported through established sector</w:t>
      </w:r>
      <w:r w:rsidRPr="00122691">
        <w:rPr>
          <w:rFonts w:ascii="Cambria Math" w:hAnsi="Cambria Math" w:cs="Cambria Math"/>
        </w:rPr>
        <w:t>‑</w:t>
      </w:r>
      <w:r w:rsidRPr="00122691">
        <w:t>based governance and advisory forums.</w:t>
      </w:r>
    </w:p>
    <w:p w14:paraId="743D87C4" w14:textId="77777777" w:rsidR="00817104" w:rsidRDefault="00817104" w:rsidP="00817104">
      <w:pPr>
        <w:pStyle w:val="Body"/>
      </w:pPr>
      <w:r w:rsidRPr="006D33D1">
        <w:t xml:space="preserve">The department is </w:t>
      </w:r>
      <w:r>
        <w:t xml:space="preserve">currently </w:t>
      </w:r>
      <w:r w:rsidRPr="006D33D1">
        <w:t>advised by two standing sector</w:t>
      </w:r>
      <w:r w:rsidRPr="006D33D1">
        <w:rPr>
          <w:rFonts w:ascii="Cambria Math" w:hAnsi="Cambria Math" w:cs="Cambria Math"/>
        </w:rPr>
        <w:t>‑</w:t>
      </w:r>
      <w:r w:rsidRPr="006D33D1">
        <w:t>wide bodies</w:t>
      </w:r>
      <w:r>
        <w:t>, which are the</w:t>
      </w:r>
      <w:r w:rsidRPr="006D33D1">
        <w:t>:</w:t>
      </w:r>
    </w:p>
    <w:p w14:paraId="778E5127" w14:textId="77777777" w:rsidR="00817104" w:rsidRDefault="00817104" w:rsidP="00817104">
      <w:pPr>
        <w:pStyle w:val="Bullet1"/>
        <w:numPr>
          <w:ilvl w:val="0"/>
          <w:numId w:val="2"/>
        </w:numPr>
      </w:pPr>
      <w:r>
        <w:t xml:space="preserve">Victorian Health Chief Information Officer Forum </w:t>
      </w:r>
    </w:p>
    <w:p w14:paraId="29CC3530" w14:textId="77777777" w:rsidR="00817104" w:rsidRDefault="00817104" w:rsidP="00817104">
      <w:pPr>
        <w:pStyle w:val="Bullet1"/>
        <w:numPr>
          <w:ilvl w:val="0"/>
          <w:numId w:val="2"/>
        </w:numPr>
      </w:pPr>
      <w:r>
        <w:t>Victorian Clinical Informatics Council.</w:t>
      </w:r>
    </w:p>
    <w:p w14:paraId="1A213B32" w14:textId="77777777" w:rsidR="00817104" w:rsidRDefault="00817104" w:rsidP="00817104">
      <w:pPr>
        <w:pStyle w:val="Bodyafterbullets"/>
      </w:pPr>
      <w:r w:rsidRPr="00BB0601">
        <w:t>In addition, time</w:t>
      </w:r>
      <w:r w:rsidRPr="00BB0601">
        <w:rPr>
          <w:rFonts w:ascii="Cambria Math" w:hAnsi="Cambria Math" w:cs="Cambria Math"/>
        </w:rPr>
        <w:t>‑</w:t>
      </w:r>
      <w:r w:rsidRPr="00BB0601">
        <w:t>limited or initiative</w:t>
      </w:r>
      <w:r w:rsidRPr="00BB0601">
        <w:rPr>
          <w:rFonts w:ascii="Cambria Math" w:hAnsi="Cambria Math" w:cs="Cambria Math"/>
        </w:rPr>
        <w:t>‑</w:t>
      </w:r>
      <w:r w:rsidRPr="00BB0601">
        <w:t>specific governance arrangements are established for major programs, including health service consolidation, statewide health information sharing and</w:t>
      </w:r>
      <w:r>
        <w:t>,</w:t>
      </w:r>
      <w:r w:rsidRPr="00BB0601">
        <w:t xml:space="preserve"> in collaboration with the Mental Health </w:t>
      </w:r>
      <w:r>
        <w:t>and Wellbeing</w:t>
      </w:r>
      <w:r w:rsidRPr="00BB0601">
        <w:t xml:space="preserve"> Division and the sector</w:t>
      </w:r>
      <w:r>
        <w:t>,</w:t>
      </w:r>
      <w:r w:rsidRPr="00BB0601">
        <w:t xml:space="preserve"> the statewide electronic mental health and wellbeing record.</w:t>
      </w:r>
    </w:p>
    <w:p w14:paraId="07E8AEF4" w14:textId="2443A807" w:rsidR="00817104" w:rsidRDefault="00817104" w:rsidP="00817104">
      <w:pPr>
        <w:pStyle w:val="Heading3"/>
        <w:tabs>
          <w:tab w:val="left" w:pos="1134"/>
        </w:tabs>
      </w:pPr>
      <w:r>
        <w:t>Victorian Chief Information Officer Forum</w:t>
      </w:r>
    </w:p>
    <w:p w14:paraId="048C8C8D" w14:textId="77777777" w:rsidR="00817104" w:rsidRDefault="00817104" w:rsidP="00817104">
      <w:pPr>
        <w:pStyle w:val="Bullet1"/>
        <w:numPr>
          <w:ilvl w:val="0"/>
          <w:numId w:val="0"/>
        </w:numPr>
      </w:pPr>
      <w:r>
        <w:t xml:space="preserve">The Victorian Health Chief Information Officer Forum is the sector’s primary digital and ICT governance forum. It supports </w:t>
      </w:r>
      <w:r w:rsidRPr="00E71CDB">
        <w:t>coordination, information</w:t>
      </w:r>
      <w:r w:rsidRPr="00E71CDB">
        <w:rPr>
          <w:rFonts w:ascii="Cambria Math" w:hAnsi="Cambria Math" w:cs="Cambria Math"/>
        </w:rPr>
        <w:t>‑</w:t>
      </w:r>
      <w:r w:rsidRPr="00E71CDB">
        <w:t>sharing and collective decision</w:t>
      </w:r>
      <w:r w:rsidRPr="00E71CDB">
        <w:rPr>
          <w:rFonts w:ascii="Cambria Math" w:hAnsi="Cambria Math" w:cs="Cambria Math"/>
        </w:rPr>
        <w:t>‑</w:t>
      </w:r>
      <w:r w:rsidRPr="00E71CDB">
        <w:t>making to promote a consistent, interoperable and resilient public health system</w:t>
      </w:r>
      <w:r>
        <w:t>.</w:t>
      </w:r>
    </w:p>
    <w:p w14:paraId="1EF8C2C2" w14:textId="77777777" w:rsidR="00817104" w:rsidDel="00401194" w:rsidRDefault="00817104" w:rsidP="00817104">
      <w:pPr>
        <w:pStyle w:val="Body"/>
      </w:pPr>
      <w:r>
        <w:t>The forum meets monthly and is chaired by a health service chief information officer, with secretariat support provided by the chair. Membership includes chief information officers</w:t>
      </w:r>
      <w:r w:rsidDel="005A1B88">
        <w:t xml:space="preserve"> </w:t>
      </w:r>
      <w:r>
        <w:t>(or their equivalent) from metropolitan health services, Rural Health ICT Alliances and regional health services.</w:t>
      </w:r>
    </w:p>
    <w:p w14:paraId="48545588" w14:textId="77777777" w:rsidR="00817104" w:rsidRDefault="00817104" w:rsidP="00817104">
      <w:pPr>
        <w:pStyle w:val="Body"/>
      </w:pPr>
      <w:r w:rsidRPr="000F60F7">
        <w:t xml:space="preserve">The forum establishes working groups to progress priority system </w:t>
      </w:r>
      <w:r>
        <w:t>initiatives. They are formed to assist in realising system and cost efficiencies, and in optimising cybersecurity and ICT resilience capabilities, consistency and interoperability in Victoria’s public health system.</w:t>
      </w:r>
    </w:p>
    <w:p w14:paraId="66622011" w14:textId="77777777" w:rsidR="00817104" w:rsidRPr="00E9317B" w:rsidDel="00401194" w:rsidRDefault="00817104" w:rsidP="00817104">
      <w:pPr>
        <w:pStyle w:val="Body"/>
      </w:pPr>
      <w:r>
        <w:t>These include the:</w:t>
      </w:r>
    </w:p>
    <w:p w14:paraId="5D7507F6" w14:textId="77777777" w:rsidR="00817104" w:rsidRDefault="00817104" w:rsidP="00817104">
      <w:pPr>
        <w:pStyle w:val="Bullet1"/>
        <w:numPr>
          <w:ilvl w:val="0"/>
          <w:numId w:val="2"/>
        </w:numPr>
      </w:pPr>
      <w:r>
        <w:t>Victorian Health Cybersecurity Council</w:t>
      </w:r>
    </w:p>
    <w:p w14:paraId="6DBF55C3" w14:textId="77777777" w:rsidR="00817104" w:rsidRDefault="00817104" w:rsidP="00817104">
      <w:pPr>
        <w:pStyle w:val="Bullet1"/>
        <w:numPr>
          <w:ilvl w:val="0"/>
          <w:numId w:val="2"/>
        </w:numPr>
      </w:pPr>
      <w:r>
        <w:t>Victorian Health Sector Cybersecurity Working Group (for Public and Community Health Services)</w:t>
      </w:r>
    </w:p>
    <w:p w14:paraId="6049FB2C" w14:textId="77777777" w:rsidR="00817104" w:rsidRPr="00695BA5" w:rsidDel="00401194" w:rsidRDefault="00817104" w:rsidP="00817104">
      <w:pPr>
        <w:pStyle w:val="Bullet1"/>
        <w:numPr>
          <w:ilvl w:val="0"/>
          <w:numId w:val="2"/>
        </w:numPr>
      </w:pPr>
      <w:r>
        <w:t>ICT Operations Assurance Working Group</w:t>
      </w:r>
    </w:p>
    <w:p w14:paraId="11359F07" w14:textId="77777777" w:rsidR="00817104" w:rsidRDefault="00817104" w:rsidP="00817104">
      <w:pPr>
        <w:pStyle w:val="Bullet1"/>
        <w:numPr>
          <w:ilvl w:val="0"/>
          <w:numId w:val="2"/>
        </w:numPr>
      </w:pPr>
      <w:r>
        <w:t>ICT Procurement Working Group</w:t>
      </w:r>
    </w:p>
    <w:p w14:paraId="5122936D" w14:textId="77777777" w:rsidR="00817104" w:rsidRPr="00695BA5" w:rsidDel="00401194" w:rsidRDefault="00817104" w:rsidP="00817104">
      <w:pPr>
        <w:pStyle w:val="Bullet1"/>
        <w:numPr>
          <w:ilvl w:val="0"/>
          <w:numId w:val="2"/>
        </w:numPr>
      </w:pPr>
      <w:r>
        <w:t>Medical Device Security Working Group.</w:t>
      </w:r>
    </w:p>
    <w:p w14:paraId="367EAC2B" w14:textId="77777777" w:rsidR="00817104" w:rsidRPr="002C739C" w:rsidRDefault="00817104" w:rsidP="00817104">
      <w:pPr>
        <w:pStyle w:val="Bodyafterbullets"/>
      </w:pPr>
      <w:r>
        <w:t xml:space="preserve">Health services are required to participate in all relevant working groups. </w:t>
      </w:r>
    </w:p>
    <w:p w14:paraId="349FB2DB" w14:textId="5291D56E" w:rsidR="00817104" w:rsidRDefault="00817104" w:rsidP="00817104">
      <w:pPr>
        <w:pStyle w:val="Heading3"/>
        <w:tabs>
          <w:tab w:val="left" w:pos="1134"/>
        </w:tabs>
      </w:pPr>
      <w:r>
        <w:t>Victorian Clinical Informatics Council</w:t>
      </w:r>
    </w:p>
    <w:p w14:paraId="6D9D4F1A" w14:textId="77777777" w:rsidR="00817104" w:rsidRPr="001A6547" w:rsidRDefault="00817104" w:rsidP="00817104">
      <w:pPr>
        <w:pStyle w:val="Body"/>
      </w:pPr>
      <w:r>
        <w:t xml:space="preserve">The Victorian Clinical Informatics </w:t>
      </w:r>
      <w:r w:rsidRPr="00046722">
        <w:t>Council</w:t>
      </w:r>
      <w:r>
        <w:t xml:space="preserve"> is the sector’s peak clinical informatics advisory body. It provides expert </w:t>
      </w:r>
      <w:r w:rsidRPr="0058218E">
        <w:t>clinical advice to support safe, high</w:t>
      </w:r>
      <w:r w:rsidRPr="0058218E">
        <w:rPr>
          <w:rFonts w:ascii="Cambria Math" w:hAnsi="Cambria Math" w:cs="Cambria Math"/>
        </w:rPr>
        <w:t>‑</w:t>
      </w:r>
      <w:r w:rsidRPr="0058218E">
        <w:t>quality digital health adoption and</w:t>
      </w:r>
      <w:r>
        <w:t xml:space="preserve"> realisation of the digital health roadmap.</w:t>
      </w:r>
    </w:p>
    <w:p w14:paraId="46F08697" w14:textId="77777777" w:rsidR="00817104" w:rsidRPr="001A6547" w:rsidRDefault="00817104" w:rsidP="00817104">
      <w:pPr>
        <w:pStyle w:val="Body"/>
      </w:pPr>
      <w:r>
        <w:t xml:space="preserve">The council meets six times a year and is co-chaired by a senior clinician with expertise in digital health and the department’s Chief Digital Health Officer. Membership is drawn from the health sector, representing all relevant clinical and informatics disciplines. </w:t>
      </w:r>
    </w:p>
    <w:p w14:paraId="1468294C" w14:textId="77777777" w:rsidR="00817104" w:rsidRPr="00977A9D" w:rsidRDefault="00817104" w:rsidP="00817104">
      <w:pPr>
        <w:pStyle w:val="Bodyafterbullets"/>
      </w:pPr>
      <w:r>
        <w:t>The council:</w:t>
      </w:r>
    </w:p>
    <w:p w14:paraId="7B05054C" w14:textId="77777777" w:rsidR="00817104" w:rsidRDefault="00817104" w:rsidP="00817104">
      <w:pPr>
        <w:pStyle w:val="Bullet1"/>
        <w:numPr>
          <w:ilvl w:val="0"/>
          <w:numId w:val="2"/>
        </w:numPr>
      </w:pPr>
      <w:r>
        <w:t>represents the opinions of broader groups with particular expertise and experience in relevant areas of health</w:t>
      </w:r>
    </w:p>
    <w:p w14:paraId="0AA939C3" w14:textId="77777777" w:rsidR="00817104" w:rsidRDefault="00817104" w:rsidP="00817104">
      <w:pPr>
        <w:pStyle w:val="Bullet1"/>
        <w:numPr>
          <w:ilvl w:val="0"/>
          <w:numId w:val="2"/>
        </w:numPr>
      </w:pPr>
      <w:r w:rsidRPr="00C04336">
        <w:lastRenderedPageBreak/>
        <w:t>provide</w:t>
      </w:r>
      <w:r>
        <w:t>s</w:t>
      </w:r>
      <w:r w:rsidRPr="00C04336">
        <w:t xml:space="preserve"> advice and direction on the development and realisation</w:t>
      </w:r>
      <w:r>
        <w:t xml:space="preserve"> of the department’s 10-year vision for a digitally enabled health system and the digital health roadmap</w:t>
      </w:r>
    </w:p>
    <w:p w14:paraId="191998C7" w14:textId="77777777" w:rsidR="00817104" w:rsidRPr="00775AC2" w:rsidRDefault="00817104" w:rsidP="00817104">
      <w:pPr>
        <w:pStyle w:val="Bullet1"/>
        <w:numPr>
          <w:ilvl w:val="0"/>
          <w:numId w:val="2"/>
        </w:numPr>
      </w:pPr>
      <w:r>
        <w:t>recommends establishment of time-limited clinical advisory groups for specific initiatives</w:t>
      </w:r>
    </w:p>
    <w:p w14:paraId="0606C0D8" w14:textId="77777777" w:rsidR="00817104" w:rsidRDefault="00817104" w:rsidP="00817104">
      <w:pPr>
        <w:pStyle w:val="Bullet1"/>
        <w:numPr>
          <w:ilvl w:val="0"/>
          <w:numId w:val="2"/>
        </w:numPr>
      </w:pPr>
      <w:r>
        <w:t>a</w:t>
      </w:r>
      <w:r w:rsidRPr="008567FA">
        <w:t>dvocate</w:t>
      </w:r>
      <w:r>
        <w:t>s</w:t>
      </w:r>
      <w:r w:rsidRPr="008567FA">
        <w:t xml:space="preserve"> for and endorse</w:t>
      </w:r>
      <w:r>
        <w:t>s</w:t>
      </w:r>
      <w:r w:rsidRPr="008567FA">
        <w:t xml:space="preserve"> innovative digital health initiatives that will achieve ongoing improvement in patient safety, quality of care and the patient experience</w:t>
      </w:r>
    </w:p>
    <w:p w14:paraId="4C20DAEF" w14:textId="77777777" w:rsidR="00817104" w:rsidRDefault="00817104" w:rsidP="00817104">
      <w:pPr>
        <w:pStyle w:val="Bullet1"/>
        <w:numPr>
          <w:ilvl w:val="0"/>
          <w:numId w:val="2"/>
        </w:numPr>
      </w:pPr>
      <w:r>
        <w:t>a</w:t>
      </w:r>
      <w:r w:rsidRPr="00B866D5">
        <w:t>dvise</w:t>
      </w:r>
      <w:r>
        <w:t>s</w:t>
      </w:r>
      <w:r w:rsidRPr="00B866D5">
        <w:t xml:space="preserve"> the department on safety and quality, risk mitigation and remediation pertaining to identified issues with clinical information systems.</w:t>
      </w:r>
      <w:bookmarkStart w:id="2632" w:name="_Toc165964747"/>
      <w:bookmarkStart w:id="2633" w:name="_Toc167174607"/>
    </w:p>
    <w:p w14:paraId="237BF312" w14:textId="3FB5C257" w:rsidR="00817104" w:rsidRPr="00480ADE" w:rsidRDefault="00817104" w:rsidP="00817104">
      <w:pPr>
        <w:pStyle w:val="Heading2"/>
      </w:pPr>
      <w:bookmarkStart w:id="2634" w:name="_Toc198386585"/>
      <w:bookmarkStart w:id="2635" w:name="_Toc198386782"/>
      <w:bookmarkStart w:id="2636" w:name="_Toc224127315"/>
      <w:bookmarkStart w:id="2637" w:name="_Toc231982361"/>
      <w:bookmarkEnd w:id="2634"/>
      <w:bookmarkEnd w:id="2635"/>
      <w:r>
        <w:t>Statewide programs</w:t>
      </w:r>
      <w:bookmarkEnd w:id="2632"/>
      <w:bookmarkEnd w:id="2633"/>
      <w:bookmarkEnd w:id="2636"/>
      <w:bookmarkEnd w:id="2637"/>
    </w:p>
    <w:p w14:paraId="6528B0C2" w14:textId="77777777" w:rsidR="00817104" w:rsidRDefault="00817104" w:rsidP="00817104">
      <w:pPr>
        <w:pStyle w:val="Body"/>
      </w:pPr>
      <w:r w:rsidDel="006B00F9">
        <w:t xml:space="preserve">The eHealth </w:t>
      </w:r>
      <w:r>
        <w:t>d</w:t>
      </w:r>
      <w:r w:rsidRPr="006B00F9">
        <w:t>ivision is responsible for establishing and stewarding statewide digital health programs that support digital health investment, enable health system reform, strengthen continuity of care and ensure the security, reliability and resilience of core digital health infrastructure and services.</w:t>
      </w:r>
    </w:p>
    <w:p w14:paraId="6511FDA8" w14:textId="77777777" w:rsidR="00817104" w:rsidRDefault="00817104" w:rsidP="00817104">
      <w:pPr>
        <w:pStyle w:val="Body"/>
      </w:pPr>
      <w:r w:rsidRPr="00372A3C">
        <w:t>These statewide programs provide shared foundations and capabilities that support safe, connected and sustainable healthcare delivery across Victoria’s public health system.</w:t>
      </w:r>
    </w:p>
    <w:p w14:paraId="7E3D078B" w14:textId="77777777" w:rsidR="00817104" w:rsidRPr="003E57EB" w:rsidRDefault="00817104" w:rsidP="00817104">
      <w:pPr>
        <w:pStyle w:val="Bodyafterbullets"/>
      </w:pPr>
      <w:r w:rsidRPr="0670E279">
        <w:rPr>
          <w:rFonts w:cs="Calibri"/>
        </w:rPr>
        <w:t xml:space="preserve">Health services and their respective boards are accountable for local digital health strategies, plans and </w:t>
      </w:r>
      <w:r>
        <w:rPr>
          <w:rFonts w:cs="Calibri"/>
        </w:rPr>
        <w:t>initiatives that must</w:t>
      </w:r>
      <w:r w:rsidRPr="0670E279">
        <w:rPr>
          <w:rFonts w:cs="Calibri"/>
        </w:rPr>
        <w:t xml:space="preserve"> align with </w:t>
      </w:r>
      <w:r w:rsidRPr="007B6FAE">
        <w:rPr>
          <w:rFonts w:cs="Calibri"/>
        </w:rPr>
        <w:t xml:space="preserve">the </w:t>
      </w:r>
      <w:r>
        <w:rPr>
          <w:rFonts w:cs="Calibri"/>
        </w:rPr>
        <w:t>Digital Health R</w:t>
      </w:r>
      <w:r w:rsidRPr="007B6FAE">
        <w:rPr>
          <w:rFonts w:cs="Calibri"/>
        </w:rPr>
        <w:t>oadmap</w:t>
      </w:r>
      <w:r w:rsidRPr="0670E279">
        <w:rPr>
          <w:rFonts w:cs="Calibri"/>
          <w:i/>
          <w:iCs/>
        </w:rPr>
        <w:t xml:space="preserve"> </w:t>
      </w:r>
      <w:r w:rsidRPr="0670E279">
        <w:rPr>
          <w:rFonts w:cs="Calibri"/>
        </w:rPr>
        <w:t>and statewide programs.</w:t>
      </w:r>
    </w:p>
    <w:p w14:paraId="065766D2" w14:textId="77777777" w:rsidR="00817104" w:rsidRPr="003E57EB" w:rsidRDefault="00817104" w:rsidP="00817104">
      <w:pPr>
        <w:pStyle w:val="Body"/>
      </w:pPr>
      <w:r>
        <w:t xml:space="preserve">This model of two-tiered accountability facilitates </w:t>
      </w:r>
      <w:r w:rsidRPr="00647174">
        <w:t>consistent system</w:t>
      </w:r>
      <w:r w:rsidRPr="00647174">
        <w:rPr>
          <w:rFonts w:ascii="Cambria Math" w:hAnsi="Cambria Math" w:cs="Cambria Math"/>
        </w:rPr>
        <w:t>‑</w:t>
      </w:r>
      <w:r w:rsidRPr="00647174">
        <w:t>wide standards</w:t>
      </w:r>
      <w:r>
        <w:t xml:space="preserve"> and</w:t>
      </w:r>
      <w:r w:rsidRPr="00647174">
        <w:t xml:space="preserve"> information sharing</w:t>
      </w:r>
      <w:r>
        <w:t>,</w:t>
      </w:r>
      <w:r w:rsidRPr="00647174">
        <w:t xml:space="preserve"> and </w:t>
      </w:r>
      <w:r>
        <w:t>reduces risk and costs</w:t>
      </w:r>
      <w:r w:rsidRPr="00647174">
        <w:t>, while allowing local services to respond to community, clinical and operational needs.</w:t>
      </w:r>
    </w:p>
    <w:p w14:paraId="62103B90" w14:textId="3AED543B" w:rsidR="00817104" w:rsidRDefault="00817104" w:rsidP="00817104">
      <w:pPr>
        <w:pStyle w:val="Heading3"/>
      </w:pPr>
      <w:bookmarkStart w:id="2638" w:name="_24.3.1_Secure_and"/>
      <w:bookmarkEnd w:id="2638"/>
      <w:r>
        <w:t>Secure and resilient systems</w:t>
      </w:r>
    </w:p>
    <w:p w14:paraId="23C9E2C6" w14:textId="77777777" w:rsidR="00817104" w:rsidRDefault="00817104" w:rsidP="00817104">
      <w:pPr>
        <w:pStyle w:val="Body"/>
      </w:pPr>
      <w:r w:rsidRPr="00746FF5">
        <w:t>Secure, reliable and resilient digital systems are essential to patient safety, service continuity and public trust in the health system.</w:t>
      </w:r>
    </w:p>
    <w:p w14:paraId="130D8925" w14:textId="77777777" w:rsidR="00817104" w:rsidRPr="003E57EB" w:rsidRDefault="00817104" w:rsidP="00817104">
      <w:pPr>
        <w:pStyle w:val="Body"/>
      </w:pPr>
      <w:r>
        <w:t xml:space="preserve">Health services must ensure that digital and ICT systems supporting clinical and business operations are </w:t>
      </w:r>
      <w:r w:rsidRPr="00B54B2E">
        <w:t>designed, implemented and operated in a manner that protects patient safety, data integrity and continuity of care</w:t>
      </w:r>
      <w:r>
        <w:t>. This includes maintaining appropriate governance, controls and mitigation measures to reduce the likelihood and impact of cybersecurity incidents, system outages and other technology</w:t>
      </w:r>
      <w:r>
        <w:rPr>
          <w:rFonts w:ascii="Cambria Math" w:hAnsi="Cambria Math" w:cs="Cambria Math"/>
        </w:rPr>
        <w:t>‑</w:t>
      </w:r>
      <w:r>
        <w:t>related disruption.</w:t>
      </w:r>
    </w:p>
    <w:p w14:paraId="0953014C" w14:textId="77777777" w:rsidR="00817104" w:rsidRPr="003E57EB" w:rsidRDefault="00817104" w:rsidP="00817104">
      <w:pPr>
        <w:pStyle w:val="Body"/>
      </w:pPr>
      <w:r>
        <w:t>Health services are required to participate in relevant statewide programs, including the:</w:t>
      </w:r>
    </w:p>
    <w:p w14:paraId="50658492" w14:textId="77777777" w:rsidR="00817104" w:rsidRDefault="00817104" w:rsidP="00817104">
      <w:pPr>
        <w:pStyle w:val="Bullet1"/>
        <w:numPr>
          <w:ilvl w:val="0"/>
          <w:numId w:val="2"/>
        </w:numPr>
        <w:spacing w:after="120"/>
      </w:pPr>
      <w:r>
        <w:t xml:space="preserve">Safer Digital Healthcare Program – </w:t>
      </w:r>
      <w:r w:rsidRPr="001F1915">
        <w:t>provides centralised cybersecurity tools and services to the Victorian public health sector via subscription services that incorporate economies of scale, and funds replacement of the highest-risk</w:t>
      </w:r>
      <w:r>
        <w:t>,</w:t>
      </w:r>
      <w:r w:rsidRPr="001F1915">
        <w:t xml:space="preserve"> end-of-life technology infrastructure</w:t>
      </w:r>
    </w:p>
    <w:p w14:paraId="619BA536" w14:textId="77777777" w:rsidR="00817104" w:rsidRPr="002666E7" w:rsidRDefault="00817104" w:rsidP="00817104">
      <w:pPr>
        <w:pStyle w:val="Bullet1"/>
        <w:numPr>
          <w:ilvl w:val="0"/>
          <w:numId w:val="2"/>
        </w:numPr>
        <w:spacing w:after="120"/>
      </w:pPr>
      <w:r>
        <w:t>Victorian Health Sector Cybersecurity Assurance Program</w:t>
      </w:r>
    </w:p>
    <w:p w14:paraId="2B1DF018" w14:textId="77777777" w:rsidR="00817104" w:rsidRPr="002666E7" w:rsidRDefault="00817104" w:rsidP="00817104">
      <w:pPr>
        <w:pStyle w:val="Bullet1"/>
        <w:numPr>
          <w:ilvl w:val="0"/>
          <w:numId w:val="2"/>
        </w:numPr>
        <w:spacing w:after="120"/>
      </w:pPr>
      <w:r>
        <w:t>Victorian ICT Operations Assurance Program</w:t>
      </w:r>
    </w:p>
    <w:p w14:paraId="36909CA4" w14:textId="77777777" w:rsidR="00817104" w:rsidRDefault="00817104" w:rsidP="00817104">
      <w:pPr>
        <w:pStyle w:val="Bullet1"/>
        <w:numPr>
          <w:ilvl w:val="0"/>
          <w:numId w:val="2"/>
        </w:numPr>
        <w:spacing w:after="120"/>
      </w:pPr>
      <w:r>
        <w:t>Digital Health Maturity Model assessments.</w:t>
      </w:r>
    </w:p>
    <w:p w14:paraId="64D603D6" w14:textId="77777777" w:rsidR="00817104" w:rsidRDefault="00817104" w:rsidP="00817104">
      <w:pPr>
        <w:pStyle w:val="Bodyafterbullets"/>
      </w:pPr>
      <w:r>
        <w:t>Rural and regional health services must participate in ICT alliances via joint venture agreements, as specified in the r</w:t>
      </w:r>
      <w:r w:rsidRPr="00804619">
        <w:t xml:space="preserve">ural public </w:t>
      </w:r>
      <w:r>
        <w:t>healthcare</w:t>
      </w:r>
      <w:r w:rsidRPr="00804619">
        <w:t xml:space="preserve"> agencies’ ICT </w:t>
      </w:r>
      <w:r w:rsidRPr="00804619">
        <w:rPr>
          <w:lang w:val="en-US"/>
        </w:rPr>
        <w:t>alliance policy</w:t>
      </w:r>
      <w:r w:rsidRPr="0670E279">
        <w:rPr>
          <w:rFonts w:cs="Calibri"/>
        </w:rPr>
        <w:t xml:space="preserve">. </w:t>
      </w:r>
    </w:p>
    <w:p w14:paraId="015E14CB" w14:textId="77777777" w:rsidR="00817104" w:rsidRDefault="00817104" w:rsidP="00817104">
      <w:pPr>
        <w:pStyle w:val="Body"/>
      </w:pPr>
      <w:r>
        <w:t>Non-participation in any of these programs puts at risk the integrity of healthcare delivery and requires approval from the health service board and negotiation with the eHealth division.</w:t>
      </w:r>
    </w:p>
    <w:p w14:paraId="11506061" w14:textId="77777777" w:rsidR="00817104" w:rsidRPr="002D6AE5" w:rsidRDefault="00817104" w:rsidP="00817104">
      <w:pPr>
        <w:pStyle w:val="Body"/>
      </w:pPr>
      <w:r w:rsidRPr="002D6AE5">
        <w:t>Secure and resilient ICT system requirements are subject to periodic review to ensure continued alignment with government policy, threat conditions and operational practice.</w:t>
      </w:r>
    </w:p>
    <w:p w14:paraId="538E184B" w14:textId="77777777" w:rsidR="00817104" w:rsidRPr="00707386" w:rsidRDefault="00817104" w:rsidP="00817104">
      <w:pPr>
        <w:pStyle w:val="Heading4"/>
      </w:pPr>
      <w:r>
        <w:lastRenderedPageBreak/>
        <w:t>Cybersecurity</w:t>
      </w:r>
    </w:p>
    <w:p w14:paraId="0D46DD4A" w14:textId="77777777" w:rsidR="00817104" w:rsidRDefault="00817104" w:rsidP="00817104">
      <w:pPr>
        <w:pStyle w:val="Body"/>
      </w:pPr>
      <w:r w:rsidRPr="002A5754">
        <w:t xml:space="preserve">Cybersecurity is a core element of clinical governance. Safe, reliable care depends on digital systems being available, accurate and secure. Cyber incidents disrupt clinical workflows, force unsafe workarounds and directly increase patient risk. Oversight of cyber risk is a fundamental governance responsibility </w:t>
      </w:r>
      <w:r>
        <w:t xml:space="preserve">that is </w:t>
      </w:r>
      <w:r w:rsidRPr="002A5754">
        <w:t>critical to patient safety, quality of care and service continuity.</w:t>
      </w:r>
    </w:p>
    <w:p w14:paraId="72A40831" w14:textId="77777777" w:rsidR="00817104" w:rsidRDefault="00817104" w:rsidP="00817104">
      <w:pPr>
        <w:pStyle w:val="Body"/>
      </w:pPr>
      <w:r>
        <w:t>As system manager, the department manages the Safer Digital Healthcare Program, sets cybersecurity directions and conducts assurance of the health sector. Health services are required to align their strategic cyber or information security priorities and programs with eHealth cybersecurity initiatives.</w:t>
      </w:r>
    </w:p>
    <w:p w14:paraId="19DB355E" w14:textId="77777777" w:rsidR="00817104" w:rsidRDefault="00817104" w:rsidP="00817104">
      <w:pPr>
        <w:pStyle w:val="Body"/>
      </w:pPr>
      <w:r>
        <w:t>Specifically,</w:t>
      </w:r>
      <w:r w:rsidDel="002B6429">
        <w:t xml:space="preserve"> </w:t>
      </w:r>
      <w:r>
        <w:t>health services are required to:</w:t>
      </w:r>
    </w:p>
    <w:p w14:paraId="099B0A7A" w14:textId="77777777" w:rsidR="00817104" w:rsidRDefault="00817104" w:rsidP="00817104">
      <w:pPr>
        <w:pStyle w:val="Bullet1"/>
        <w:numPr>
          <w:ilvl w:val="0"/>
          <w:numId w:val="2"/>
        </w:numPr>
      </w:pPr>
      <w:r>
        <w:t xml:space="preserve">use and maintain department-sponsored cybersecurity tools, which are mandated through contracts managed by HealthShare Victoria. </w:t>
      </w:r>
      <w:r w:rsidRPr="00B904F6">
        <w:t xml:space="preserve">Health services will not receive funding for non-department sponsored </w:t>
      </w:r>
      <w:r>
        <w:t xml:space="preserve">cybersecurity </w:t>
      </w:r>
      <w:r w:rsidRPr="00B904F6">
        <w:t>tools</w:t>
      </w:r>
    </w:p>
    <w:p w14:paraId="1BEDAE0F" w14:textId="77777777" w:rsidR="00817104" w:rsidRDefault="00817104" w:rsidP="00817104">
      <w:pPr>
        <w:pStyle w:val="Bullet1"/>
        <w:numPr>
          <w:ilvl w:val="0"/>
          <w:numId w:val="2"/>
        </w:numPr>
      </w:pPr>
      <w:r>
        <w:t>develop a local health service cyber strategy and share it with the department on an annual basis</w:t>
      </w:r>
    </w:p>
    <w:p w14:paraId="083B30B9" w14:textId="77777777" w:rsidR="00817104" w:rsidRDefault="00817104" w:rsidP="00817104">
      <w:pPr>
        <w:pStyle w:val="Bullet1"/>
        <w:numPr>
          <w:ilvl w:val="0"/>
          <w:numId w:val="2"/>
        </w:numPr>
      </w:pPr>
      <w:r>
        <w:t xml:space="preserve">implement the </w:t>
      </w:r>
      <w:r w:rsidRPr="00804619">
        <w:rPr>
          <w:i/>
          <w:iCs/>
        </w:rPr>
        <w:t xml:space="preserve">Health Sector Cybersecurity Maturity Framework </w:t>
      </w:r>
      <w:r w:rsidRPr="007B51D4">
        <w:t>and the</w:t>
      </w:r>
      <w:r w:rsidRPr="00804619">
        <w:rPr>
          <w:i/>
          <w:iCs/>
        </w:rPr>
        <w:t xml:space="preserve"> Medical Device </w:t>
      </w:r>
      <w:r>
        <w:rPr>
          <w:i/>
          <w:iCs/>
        </w:rPr>
        <w:t>Security</w:t>
      </w:r>
      <w:r w:rsidRPr="00804619">
        <w:rPr>
          <w:i/>
          <w:iCs/>
        </w:rPr>
        <w:t xml:space="preserve"> Framework</w:t>
      </w:r>
      <w:r>
        <w:t xml:space="preserve">, which include mandated cybersecurity controls for ICT systems and medical devices. </w:t>
      </w:r>
      <w:r w:rsidRPr="00026C0D">
        <w:t xml:space="preserve">These </w:t>
      </w:r>
      <w:r>
        <w:t>frameworks and</w:t>
      </w:r>
      <w:r w:rsidRPr="00026C0D">
        <w:t xml:space="preserve"> control</w:t>
      </w:r>
      <w:r>
        <w:t xml:space="preserve">s ensure </w:t>
      </w:r>
      <w:r w:rsidRPr="00026C0D">
        <w:t xml:space="preserve">public health services and community health </w:t>
      </w:r>
      <w:r>
        <w:t xml:space="preserve">services have measures </w:t>
      </w:r>
      <w:r w:rsidRPr="00026C0D">
        <w:t>to protect their systems</w:t>
      </w:r>
      <w:r>
        <w:t>, medical devices</w:t>
      </w:r>
      <w:r w:rsidRPr="00026C0D">
        <w:t xml:space="preserve"> and patient/client data</w:t>
      </w:r>
      <w:r>
        <w:t xml:space="preserve"> from a range of</w:t>
      </w:r>
      <w:r w:rsidRPr="00026C0D">
        <w:t xml:space="preserve"> adversaries</w:t>
      </w:r>
    </w:p>
    <w:p w14:paraId="61C8D051" w14:textId="77777777" w:rsidR="00817104" w:rsidRDefault="00817104" w:rsidP="00817104">
      <w:pPr>
        <w:pStyle w:val="Bullet1"/>
        <w:numPr>
          <w:ilvl w:val="0"/>
          <w:numId w:val="2"/>
        </w:numPr>
      </w:pPr>
      <w:r>
        <w:t>regularly attest cybersecurity and medical device security controls through online self-assessments (facilitated through the Victorian Managed Assurance Authority) in a timely manner, and to participate in cybersecurity audits when directed by the department</w:t>
      </w:r>
    </w:p>
    <w:p w14:paraId="6FECAC95" w14:textId="77777777" w:rsidR="00817104" w:rsidRDefault="00817104" w:rsidP="00817104">
      <w:pPr>
        <w:pStyle w:val="Bullet1"/>
        <w:numPr>
          <w:ilvl w:val="0"/>
          <w:numId w:val="2"/>
        </w:numPr>
      </w:pPr>
      <w:r>
        <w:t>ensure cybersecurity governance and risk management processes are in place. This includes reporting of cybersecurity assessment results to executive management team and board, and cybersecurity risk to the department</w:t>
      </w:r>
    </w:p>
    <w:p w14:paraId="65A5C551" w14:textId="77777777" w:rsidR="00817104" w:rsidRDefault="00817104" w:rsidP="00817104">
      <w:pPr>
        <w:pStyle w:val="Bullet1"/>
        <w:numPr>
          <w:ilvl w:val="0"/>
          <w:numId w:val="2"/>
        </w:numPr>
      </w:pPr>
      <w:r>
        <w:t>complete any eHealth division cybersecurity surveys in a timely manner</w:t>
      </w:r>
    </w:p>
    <w:p w14:paraId="238F9190" w14:textId="77777777" w:rsidR="00817104" w:rsidRPr="00CC5941" w:rsidRDefault="00817104" w:rsidP="00817104">
      <w:pPr>
        <w:pStyle w:val="Bullet1"/>
        <w:numPr>
          <w:ilvl w:val="0"/>
          <w:numId w:val="2"/>
        </w:numPr>
      </w:pPr>
      <w:r>
        <w:t>be responsible for the cybersecurity risk management of their third-party suppliers. This includes the responsibility to work with third parties to identify, assess, prioritise and implement proportionate cybersecurity controls to protect against cyber-attack and disruption in the supply chain</w:t>
      </w:r>
    </w:p>
    <w:p w14:paraId="55D012AF" w14:textId="77777777" w:rsidR="00817104" w:rsidRPr="00CC5941" w:rsidRDefault="00817104" w:rsidP="00817104">
      <w:pPr>
        <w:pStyle w:val="Bullet1"/>
        <w:numPr>
          <w:ilvl w:val="0"/>
          <w:numId w:val="2"/>
        </w:numPr>
      </w:pPr>
      <w:r w:rsidRPr="00CC5941">
        <w:t>contribute and participate meaningfully in Victorian health sector cybersecurity working groups</w:t>
      </w:r>
      <w:r>
        <w:t xml:space="preserve"> and relevant cybersecurity procurement reference groups</w:t>
      </w:r>
    </w:p>
    <w:p w14:paraId="2A69A775" w14:textId="77777777" w:rsidR="00817104" w:rsidRPr="00CC5941" w:rsidRDefault="00817104" w:rsidP="00817104">
      <w:pPr>
        <w:pStyle w:val="Bullet1"/>
        <w:numPr>
          <w:ilvl w:val="0"/>
          <w:numId w:val="2"/>
        </w:numPr>
      </w:pPr>
      <w:r>
        <w:t>report on cybersecurity metrics as directed by the eHealth Division.</w:t>
      </w:r>
    </w:p>
    <w:p w14:paraId="3249EBDA" w14:textId="77777777" w:rsidR="00817104" w:rsidRPr="00707386" w:rsidRDefault="00817104" w:rsidP="00817104">
      <w:pPr>
        <w:pStyle w:val="Heading4"/>
      </w:pPr>
      <w:bookmarkStart w:id="2639" w:name="_ICT_recovery_planning"/>
      <w:bookmarkEnd w:id="2639"/>
      <w:r>
        <w:t>ICT recovery planning</w:t>
      </w:r>
    </w:p>
    <w:p w14:paraId="58E9D473" w14:textId="77777777" w:rsidR="00817104" w:rsidRDefault="00817104" w:rsidP="00817104">
      <w:pPr>
        <w:pStyle w:val="Body"/>
      </w:pPr>
      <w:r>
        <w:t>Health services must maintain a current business impact analysis (BIA) and regularly test ICT disaster recovery arrangements to understand the impact of ICT system disruption on clinical and business operations. Outcomes of recovery testing must be reported to the eHealth division at least biennially, or more frequently where material risks are identified.</w:t>
      </w:r>
    </w:p>
    <w:p w14:paraId="1D8819D8" w14:textId="77777777" w:rsidR="00817104" w:rsidRPr="00427E37" w:rsidRDefault="00817104" w:rsidP="00817104">
      <w:pPr>
        <w:pStyle w:val="Body"/>
      </w:pPr>
      <w:r>
        <w:t xml:space="preserve">In its 2016–17 audit of public hospitals, the Victorian Auditor-General stated that ‘by not resolving long-standing IT systems control issues, public hospitals are at continual significant risk of their systems and data becoming unreliable’. Common unresolved IT systems issues include incomplete policies for managing IT systems, such as disaster recovery and business continuity plans. </w:t>
      </w:r>
    </w:p>
    <w:p w14:paraId="095433B0" w14:textId="77777777" w:rsidR="00817104" w:rsidRDefault="00817104" w:rsidP="00817104">
      <w:pPr>
        <w:pStyle w:val="Body"/>
      </w:pPr>
      <w:r>
        <w:t xml:space="preserve">ICT recovery planning must be informed by the BIA and reflect the criticality of supported clinical services. This includes defining recovery time objectives (RTOs), identifying system </w:t>
      </w:r>
      <w:r>
        <w:lastRenderedPageBreak/>
        <w:t>interdependencies, and ensuring recovery strategies are proportionate to patient safety, service continuity and data integrity risks.</w:t>
      </w:r>
    </w:p>
    <w:p w14:paraId="7E4F8D99" w14:textId="77777777" w:rsidR="00817104" w:rsidRPr="007B6FAE" w:rsidRDefault="00817104" w:rsidP="00817104">
      <w:pPr>
        <w:pStyle w:val="Body"/>
      </w:pPr>
      <w:r>
        <w:t>Interdependencies between ICT systems and operational technology, including medical devices, must be considered as part of ICT recovery planning to ensure end</w:t>
      </w:r>
      <w:r>
        <w:rPr>
          <w:rFonts w:ascii="Cambria Math" w:hAnsi="Cambria Math" w:cs="Cambria Math"/>
        </w:rPr>
        <w:t>‑</w:t>
      </w:r>
      <w:r>
        <w:t>to</w:t>
      </w:r>
      <w:r>
        <w:rPr>
          <w:rFonts w:ascii="Cambria Math" w:hAnsi="Cambria Math" w:cs="Cambria Math"/>
        </w:rPr>
        <w:t>‑</w:t>
      </w:r>
      <w:r>
        <w:t xml:space="preserve">end service recovery. </w:t>
      </w:r>
      <w:r w:rsidRPr="00707386">
        <w:t xml:space="preserve">Resilience initiatives need to consider how the context of the </w:t>
      </w:r>
      <w:r w:rsidRPr="007B6FAE">
        <w:t>health service operating environment is subject to constant change.</w:t>
      </w:r>
    </w:p>
    <w:p w14:paraId="4CF81C4B" w14:textId="77777777" w:rsidR="00817104" w:rsidRPr="007B6FAE" w:rsidRDefault="00817104" w:rsidP="00817104">
      <w:pPr>
        <w:pStyle w:val="Body"/>
      </w:pPr>
      <w:r w:rsidRPr="007B6FAE">
        <w:t>Some examples include:</w:t>
      </w:r>
    </w:p>
    <w:p w14:paraId="656250DF" w14:textId="77777777" w:rsidR="00817104" w:rsidRPr="007B6FAE" w:rsidRDefault="00817104" w:rsidP="00817104">
      <w:pPr>
        <w:pStyle w:val="Bullet1"/>
        <w:numPr>
          <w:ilvl w:val="0"/>
          <w:numId w:val="2"/>
        </w:numPr>
        <w:spacing w:after="120"/>
      </w:pPr>
      <w:r w:rsidRPr="007B6FAE">
        <w:t>susceptibility to hazards from physical</w:t>
      </w:r>
      <w:r>
        <w:t xml:space="preserve">, </w:t>
      </w:r>
      <w:r w:rsidRPr="007B6FAE">
        <w:t>natural (including extreme weather events and climate change), supply chain</w:t>
      </w:r>
      <w:r>
        <w:t xml:space="preserve"> and </w:t>
      </w:r>
      <w:r w:rsidRPr="007B6FAE">
        <w:t>personnel to cyber and information security</w:t>
      </w:r>
      <w:r>
        <w:rPr>
          <w:rStyle w:val="FootnoteReference"/>
        </w:rPr>
        <w:footnoteReference w:id="16"/>
      </w:r>
    </w:p>
    <w:p w14:paraId="07C55CDF" w14:textId="77777777" w:rsidR="00817104" w:rsidRPr="007B6FAE" w:rsidRDefault="00817104" w:rsidP="00817104">
      <w:pPr>
        <w:pStyle w:val="Bullet1"/>
        <w:numPr>
          <w:ilvl w:val="0"/>
          <w:numId w:val="2"/>
        </w:numPr>
        <w:spacing w:after="120"/>
      </w:pPr>
      <w:r w:rsidRPr="007B6FAE">
        <w:t>technological advances and increased connectivity, which fosters efficiencies, but also increases the likelihood and impact of disruptions</w:t>
      </w:r>
    </w:p>
    <w:p w14:paraId="39889308" w14:textId="77777777" w:rsidR="00817104" w:rsidRPr="007B6FAE" w:rsidRDefault="00817104" w:rsidP="00817104">
      <w:pPr>
        <w:pStyle w:val="Bullet1"/>
        <w:numPr>
          <w:ilvl w:val="0"/>
          <w:numId w:val="2"/>
        </w:numPr>
        <w:spacing w:after="120"/>
      </w:pPr>
      <w:r w:rsidRPr="007B6FAE">
        <w:t xml:space="preserve">an increasingly </w:t>
      </w:r>
      <w:r>
        <w:t xml:space="preserve">complex, challenging and changing security </w:t>
      </w:r>
      <w:r w:rsidRPr="007B6FAE">
        <w:t>environment</w:t>
      </w:r>
      <w:r>
        <w:t xml:space="preserve"> that will become more dynamic, more diverse and more degraded. Threat actors from nation states routinely try to explore and exploit Australia’s critical infrastructure networks, almost certainly mapping systems so they can lay down malware or maintain access in the future</w:t>
      </w:r>
      <w:r>
        <w:rPr>
          <w:rStyle w:val="FootnoteReference"/>
        </w:rPr>
        <w:footnoteReference w:id="17"/>
      </w:r>
      <w:r>
        <w:t>.</w:t>
      </w:r>
    </w:p>
    <w:p w14:paraId="477D6057" w14:textId="77777777" w:rsidR="00817104" w:rsidRPr="00707386" w:rsidRDefault="00817104" w:rsidP="00817104">
      <w:pPr>
        <w:pStyle w:val="Heading4"/>
      </w:pPr>
      <w:r>
        <w:t>Service recovery and ICT dependencies</w:t>
      </w:r>
    </w:p>
    <w:p w14:paraId="2FE5B98E" w14:textId="77777777" w:rsidR="00817104" w:rsidRDefault="00817104" w:rsidP="00817104">
      <w:pPr>
        <w:pStyle w:val="Body"/>
      </w:pPr>
      <w:r>
        <w:t>Capturing the relationship between healthcare delivery and ICT systems is central to designing and specifying the recovery requirements of new ICT solutions and services. A key attribute of all activities assessed during the BIA is the RTO.</w:t>
      </w:r>
    </w:p>
    <w:p w14:paraId="1B0C4F29" w14:textId="77777777" w:rsidR="00817104" w:rsidRDefault="00817104" w:rsidP="00817104">
      <w:pPr>
        <w:pStyle w:val="Body"/>
      </w:pPr>
      <w:r>
        <w:t xml:space="preserve">Activities that have highly effective manual workarounds and a low reliance on ICT systems being available can be sustained for longer periods and will likely have a longer ICT RTO. Activities that have no (or relatively ineffective) manual workarounds, quickly generate large backlogs, and have a high reliance on ICT systems being available, cannot be sustained for long periods, and will have a shorter ICT RTO. </w:t>
      </w:r>
    </w:p>
    <w:p w14:paraId="424591D0" w14:textId="3DC51FFE" w:rsidR="00817104" w:rsidRDefault="00817104" w:rsidP="00817104">
      <w:pPr>
        <w:pStyle w:val="Heading2"/>
      </w:pPr>
      <w:bookmarkStart w:id="2640" w:name="_Toc224127316"/>
      <w:bookmarkStart w:id="2641" w:name="_Toc231982362"/>
      <w:r>
        <w:t>Connecting care</w:t>
      </w:r>
      <w:bookmarkEnd w:id="2640"/>
      <w:bookmarkEnd w:id="2641"/>
    </w:p>
    <w:p w14:paraId="01F7C211" w14:textId="77777777" w:rsidR="00817104" w:rsidRDefault="00817104" w:rsidP="00817104">
      <w:pPr>
        <w:pStyle w:val="Body"/>
      </w:pPr>
      <w:r w:rsidRPr="007217E1">
        <w:t>Connecting care refers to the statewide digital capabilities and programs that enable the secure sharing of health information to support continuity of care across health settings, services and providers.</w:t>
      </w:r>
      <w:r>
        <w:t xml:space="preserve"> The objective of connecting care is for</w:t>
      </w:r>
      <w:r w:rsidRPr="0032384B">
        <w:t xml:space="preserve"> clinicians</w:t>
      </w:r>
      <w:r>
        <w:t xml:space="preserve"> to</w:t>
      </w:r>
      <w:r w:rsidRPr="0032384B">
        <w:t xml:space="preserve"> have timely access to relevant information at the point of care, and that consumers can access and use their health information safely and appropriately.</w:t>
      </w:r>
    </w:p>
    <w:p w14:paraId="18DCB010" w14:textId="77777777" w:rsidR="00817104" w:rsidRDefault="00817104" w:rsidP="00817104">
      <w:pPr>
        <w:pStyle w:val="Body"/>
      </w:pPr>
      <w:r w:rsidRPr="004B223A">
        <w:t xml:space="preserve">Connecting care is delivered through a set of legislated and jointly delivered statewide initiatives that require active participation by the </w:t>
      </w:r>
      <w:r>
        <w:t>d</w:t>
      </w:r>
      <w:r w:rsidRPr="004B223A">
        <w:t>epartment and Victorian public health services. These initiatives support safer care transitions, reduced duplication, improved clinical decision</w:t>
      </w:r>
      <w:r w:rsidRPr="004B223A">
        <w:rPr>
          <w:rFonts w:ascii="Cambria Math" w:hAnsi="Cambria Math" w:cs="Cambria Math"/>
        </w:rPr>
        <w:t>‑</w:t>
      </w:r>
      <w:r w:rsidRPr="004B223A">
        <w:t>making and better consumer experiences.</w:t>
      </w:r>
    </w:p>
    <w:p w14:paraId="655B1DE5" w14:textId="4E6934D4" w:rsidR="00817104" w:rsidRDefault="00817104" w:rsidP="00817104">
      <w:pPr>
        <w:pStyle w:val="Heading3"/>
      </w:pPr>
      <w:r w:rsidRPr="00D12772">
        <w:lastRenderedPageBreak/>
        <w:t xml:space="preserve">My Health </w:t>
      </w:r>
      <w:r w:rsidRPr="00707386">
        <w:t>Record</w:t>
      </w:r>
      <w:r w:rsidRPr="00D12772">
        <w:t xml:space="preserve"> </w:t>
      </w:r>
    </w:p>
    <w:p w14:paraId="7396C0FD" w14:textId="77777777" w:rsidR="00817104" w:rsidRDefault="00817104" w:rsidP="00817104">
      <w:pPr>
        <w:pStyle w:val="Body"/>
      </w:pPr>
      <w:r w:rsidRPr="00CF12B0">
        <w:t>My Health Record is a national digital health system designed to support patient safety and continuity of care by enabling authorised health providers to access and share key clinical information.</w:t>
      </w:r>
    </w:p>
    <w:p w14:paraId="7976B234" w14:textId="77777777" w:rsidR="00817104" w:rsidRDefault="00817104" w:rsidP="00817104">
      <w:pPr>
        <w:pStyle w:val="Body"/>
      </w:pPr>
      <w:r w:rsidRPr="00F50CFD">
        <w:t>Victorian public health services are required to connect to and use My Health Record in accordance with Commonwealth legislation and associated rules</w:t>
      </w:r>
      <w:r>
        <w:t xml:space="preserve">. The </w:t>
      </w:r>
      <w:r w:rsidRPr="009E68FF">
        <w:t>Health Legislation Amendment (Modernising My Health Record</w:t>
      </w:r>
      <w:r>
        <w:t xml:space="preserve"> – </w:t>
      </w:r>
      <w:r w:rsidRPr="009E68FF">
        <w:t>Sharing by Default) Bill 2024</w:t>
      </w:r>
      <w:r>
        <w:t xml:space="preserve"> introduced changes to the </w:t>
      </w:r>
      <w:r w:rsidRPr="00B904F6">
        <w:rPr>
          <w:i/>
          <w:iCs/>
        </w:rPr>
        <w:t>My Health Records Act 2012</w:t>
      </w:r>
      <w:r>
        <w:t xml:space="preserve"> (Cth) that require </w:t>
      </w:r>
      <w:r w:rsidRPr="002D333B">
        <w:t>specified clinical documents to be uploaded to a patient’s My Health Record by default, subject to limited exceptions</w:t>
      </w:r>
      <w:r>
        <w:t>.</w:t>
      </w:r>
    </w:p>
    <w:p w14:paraId="599F5E50" w14:textId="77777777" w:rsidR="00817104" w:rsidRDefault="00817104" w:rsidP="00817104">
      <w:pPr>
        <w:pStyle w:val="Body"/>
      </w:pPr>
      <w:r>
        <w:t>To support these legislative requirements, the Australian Government has</w:t>
      </w:r>
      <w:r w:rsidDel="00357722">
        <w:t xml:space="preserve"> </w:t>
      </w:r>
      <w:r>
        <w:t xml:space="preserve">published rules that specify the information and clinical documents that must be shared. From 1 July 2026, pathology and diagnostic imaging reports must be uploaded within 24 hours </w:t>
      </w:r>
      <w:r w:rsidRPr="00A91233">
        <w:t xml:space="preserve">of first being made available to </w:t>
      </w:r>
      <w:r>
        <w:t xml:space="preserve">the requesting or treating healthcare provider or the patient. Additional documents will be added to the rules over time. </w:t>
      </w:r>
    </w:p>
    <w:p w14:paraId="51F212C8" w14:textId="77777777" w:rsidR="00817104" w:rsidRDefault="00817104" w:rsidP="00817104">
      <w:pPr>
        <w:pStyle w:val="Body"/>
      </w:pPr>
      <w:r w:rsidRPr="001B7BD9">
        <w:t>Health services that fail to comply with the sharing</w:t>
      </w:r>
      <w:r w:rsidRPr="001B7BD9">
        <w:rPr>
          <w:rFonts w:ascii="Cambria Math" w:hAnsi="Cambria Math" w:cs="Cambria Math"/>
        </w:rPr>
        <w:t>‑</w:t>
      </w:r>
      <w:r w:rsidRPr="001B7BD9">
        <w:t>by</w:t>
      </w:r>
      <w:r w:rsidRPr="001B7BD9">
        <w:rPr>
          <w:rFonts w:ascii="Cambria Math" w:hAnsi="Cambria Math" w:cs="Cambria Math"/>
        </w:rPr>
        <w:t>‑</w:t>
      </w:r>
      <w:r w:rsidRPr="001B7BD9">
        <w:t>default requirements may be subject to regulatory action, including civil penalties and, where applicable, withdrawal of Medicare benefits</w:t>
      </w:r>
      <w:r>
        <w:t xml:space="preserve">. All health services are expected to comply with the rules unless a formal extension has been granted from the Australian Digital Health Agency. </w:t>
      </w:r>
    </w:p>
    <w:p w14:paraId="4EC755D3" w14:textId="77777777" w:rsidR="00817104" w:rsidRDefault="00817104" w:rsidP="00817104">
      <w:pPr>
        <w:pStyle w:val="Body"/>
      </w:pPr>
      <w:r>
        <w:t>To enable upload of clinical documents to the My Health Record system, health services are required to implement and use three National Healthcare Identifiers being:</w:t>
      </w:r>
    </w:p>
    <w:p w14:paraId="50347151" w14:textId="77777777" w:rsidR="00817104" w:rsidRPr="00357722" w:rsidRDefault="00817104" w:rsidP="00817104">
      <w:pPr>
        <w:pStyle w:val="Bullet1"/>
        <w:numPr>
          <w:ilvl w:val="0"/>
          <w:numId w:val="2"/>
        </w:numPr>
      </w:pPr>
      <w:r w:rsidRPr="00357722">
        <w:t>IHI: Individual Healthcare Identifier</w:t>
      </w:r>
    </w:p>
    <w:p w14:paraId="06EC1F53" w14:textId="77777777" w:rsidR="00817104" w:rsidRPr="00357722" w:rsidRDefault="00817104" w:rsidP="00817104">
      <w:pPr>
        <w:pStyle w:val="Bullet1"/>
        <w:numPr>
          <w:ilvl w:val="0"/>
          <w:numId w:val="2"/>
        </w:numPr>
      </w:pPr>
      <w:r w:rsidRPr="00357722">
        <w:t>HPI-I: Healthcare Provider Identifier – Individual</w:t>
      </w:r>
    </w:p>
    <w:p w14:paraId="2B7A6009" w14:textId="77777777" w:rsidR="00817104" w:rsidRDefault="00817104" w:rsidP="00817104">
      <w:pPr>
        <w:pStyle w:val="Bullet1"/>
        <w:numPr>
          <w:ilvl w:val="0"/>
          <w:numId w:val="2"/>
        </w:numPr>
        <w:spacing w:after="120"/>
      </w:pPr>
      <w:r w:rsidRPr="00357722">
        <w:t xml:space="preserve">HPI-O: Healthcare Provider Identifier </w:t>
      </w:r>
      <w:r>
        <w:t>–</w:t>
      </w:r>
      <w:r w:rsidRPr="00357722">
        <w:t xml:space="preserve"> Organisation</w:t>
      </w:r>
      <w:r>
        <w:t>.</w:t>
      </w:r>
    </w:p>
    <w:p w14:paraId="10C30B8B" w14:textId="77777777" w:rsidR="00817104" w:rsidRDefault="00817104" w:rsidP="00817104">
      <w:pPr>
        <w:pStyle w:val="Bullet1"/>
        <w:numPr>
          <w:ilvl w:val="0"/>
          <w:numId w:val="0"/>
        </w:numPr>
        <w:spacing w:after="120"/>
      </w:pPr>
      <w:r w:rsidRPr="004D0E0A">
        <w:t>Previous exemptions allowing the use of local identifiers in place of the HPI</w:t>
      </w:r>
      <w:r w:rsidRPr="004D0E0A">
        <w:rPr>
          <w:rFonts w:ascii="Cambria Math" w:hAnsi="Cambria Math" w:cs="Cambria Math"/>
        </w:rPr>
        <w:t>‑</w:t>
      </w:r>
      <w:r w:rsidRPr="004D0E0A">
        <w:t>I ceased in June 2024. Health services are responsible for validating, storing and using HPI</w:t>
      </w:r>
      <w:r w:rsidRPr="004D0E0A">
        <w:rPr>
          <w:rFonts w:ascii="Cambria Math" w:hAnsi="Cambria Math" w:cs="Cambria Math"/>
        </w:rPr>
        <w:t>‑</w:t>
      </w:r>
      <w:r w:rsidRPr="004D0E0A">
        <w:t>I identifiers in line with current accreditation and safety and quality requirements.</w:t>
      </w:r>
    </w:p>
    <w:p w14:paraId="259E97E8" w14:textId="77777777" w:rsidR="00817104" w:rsidRDefault="00817104" w:rsidP="00817104">
      <w:pPr>
        <w:pStyle w:val="Bullet1"/>
        <w:numPr>
          <w:ilvl w:val="0"/>
          <w:numId w:val="0"/>
        </w:numPr>
      </w:pPr>
      <w:r>
        <w:t>The department will continue to work with health services to support compliance w</w:t>
      </w:r>
      <w:r w:rsidRPr="001466B0">
        <w:t>ith My Health Record legislative and operational requirements</w:t>
      </w:r>
      <w:r>
        <w:t>.</w:t>
      </w:r>
    </w:p>
    <w:p w14:paraId="503672E7" w14:textId="351C95E3" w:rsidR="00817104" w:rsidRPr="00A00318" w:rsidRDefault="00817104" w:rsidP="00817104">
      <w:pPr>
        <w:pStyle w:val="Heading3"/>
        <w:rPr>
          <w:rFonts w:cs="Calibri Light"/>
          <w:color w:val="000000"/>
        </w:rPr>
      </w:pPr>
      <w:r w:rsidRPr="00D12772">
        <w:t>Unique patient identification</w:t>
      </w:r>
    </w:p>
    <w:p w14:paraId="53E2D6AB" w14:textId="77777777" w:rsidR="00817104" w:rsidRDefault="00817104" w:rsidP="00817104">
      <w:pPr>
        <w:pStyle w:val="Body"/>
      </w:pPr>
      <w:r w:rsidRPr="003A6F73">
        <w:t>Unique patient identification enables accurate matching of individuals across health services and systems, supporting patient safety, continuity of care and effective health information sharing across Victoria’s public health system.</w:t>
      </w:r>
    </w:p>
    <w:p w14:paraId="4052344A" w14:textId="77777777" w:rsidR="00817104" w:rsidRDefault="00817104" w:rsidP="00817104">
      <w:pPr>
        <w:pStyle w:val="Body"/>
      </w:pPr>
      <w:r w:rsidRPr="00EF06BB">
        <w:t>Victoria’s unique patient identification service provides a statewide capability that underpins clinical information sharing through CareSync Exchange and other authorised information</w:t>
      </w:r>
      <w:r w:rsidRPr="00EF06BB">
        <w:rPr>
          <w:rFonts w:ascii="Cambria Math" w:hAnsi="Cambria Math" w:cs="Cambria Math"/>
        </w:rPr>
        <w:t>‑</w:t>
      </w:r>
      <w:r w:rsidRPr="00EF06BB">
        <w:t>sharing arrangements. A consistent, whole</w:t>
      </w:r>
      <w:r w:rsidRPr="00EF06BB">
        <w:rPr>
          <w:rFonts w:ascii="Cambria Math" w:hAnsi="Cambria Math" w:cs="Cambria Math"/>
        </w:rPr>
        <w:t>‑</w:t>
      </w:r>
      <w:r w:rsidRPr="00EF06BB">
        <w:t>of</w:t>
      </w:r>
      <w:r w:rsidRPr="00EF06BB">
        <w:rPr>
          <w:rFonts w:ascii="Cambria Math" w:hAnsi="Cambria Math" w:cs="Cambria Math"/>
        </w:rPr>
        <w:t>‑</w:t>
      </w:r>
      <w:r w:rsidRPr="00EF06BB">
        <w:t>system approach to patient identification is essential to reduce duplication, prevent fragmented records and minimise the risk of misidentification.</w:t>
      </w:r>
    </w:p>
    <w:p w14:paraId="2CACD061" w14:textId="77777777" w:rsidR="00817104" w:rsidRDefault="00817104" w:rsidP="00817104">
      <w:pPr>
        <w:pStyle w:val="Body"/>
      </w:pPr>
      <w:r w:rsidRPr="7AE6F972">
        <w:t xml:space="preserve">All </w:t>
      </w:r>
      <w:r>
        <w:t>Victorian public</w:t>
      </w:r>
      <w:r w:rsidRPr="7AE6F972">
        <w:t xml:space="preserve"> health services a</w:t>
      </w:r>
      <w:r>
        <w:t>r</w:t>
      </w:r>
      <w:r w:rsidRPr="7AE6F972">
        <w:t>e required to connect to Victoria's unique patient identification service.</w:t>
      </w:r>
      <w:r>
        <w:t xml:space="preserve"> </w:t>
      </w:r>
    </w:p>
    <w:p w14:paraId="7CC2D660" w14:textId="77777777" w:rsidR="00817104" w:rsidRDefault="00817104" w:rsidP="00817104">
      <w:pPr>
        <w:pStyle w:val="Body"/>
      </w:pPr>
      <w:r>
        <w:t xml:space="preserve">Health services are also responsible for implementing and maintaining patient </w:t>
      </w:r>
      <w:r w:rsidRPr="00C8336C">
        <w:t>registration</w:t>
      </w:r>
      <w:r>
        <w:t xml:space="preserve"> processes that e</w:t>
      </w:r>
      <w:r w:rsidRPr="00C8336C">
        <w:t xml:space="preserve">nsure </w:t>
      </w:r>
      <w:r>
        <w:t>all</w:t>
      </w:r>
      <w:r w:rsidRPr="00C8336C" w:rsidDel="00673A12">
        <w:t xml:space="preserve"> </w:t>
      </w:r>
      <w:r w:rsidRPr="00C8336C">
        <w:t xml:space="preserve">current, </w:t>
      </w:r>
      <w:r>
        <w:t>historical</w:t>
      </w:r>
      <w:r w:rsidRPr="00C8336C">
        <w:t xml:space="preserve"> and future </w:t>
      </w:r>
      <w:r>
        <w:t>healthcare</w:t>
      </w:r>
      <w:r w:rsidRPr="00C8336C">
        <w:t xml:space="preserve"> records relating to an individual are linked and only associated with that individual.</w:t>
      </w:r>
    </w:p>
    <w:p w14:paraId="59A72978" w14:textId="77777777" w:rsidR="00817104" w:rsidRDefault="00817104" w:rsidP="00817104">
      <w:pPr>
        <w:pStyle w:val="Body"/>
      </w:pPr>
      <w:r w:rsidRPr="00FE2FDF">
        <w:lastRenderedPageBreak/>
        <w:t>Health services must monitor the quality of patient identification and registration data, including the incidence of duplicate records and incorrect matches, and implement processes to identify, resolve and prevent duplication. This includes maintaining local plans and controls to improve data quality and support safe information sharing.</w:t>
      </w:r>
    </w:p>
    <w:p w14:paraId="7CEEBF86" w14:textId="79DE1E19" w:rsidR="00817104" w:rsidRDefault="00817104" w:rsidP="00817104">
      <w:pPr>
        <w:pStyle w:val="Body"/>
      </w:pPr>
      <w:r>
        <w:t>Patient</w:t>
      </w:r>
      <w:r w:rsidRPr="00497754">
        <w:t xml:space="preserve"> registration</w:t>
      </w:r>
      <w:r>
        <w:t xml:space="preserve"> and </w:t>
      </w:r>
      <w:r w:rsidRPr="7AE6F972">
        <w:t xml:space="preserve">unique patient identification </w:t>
      </w:r>
      <w:r w:rsidRPr="00497754">
        <w:t xml:space="preserve">training materials developed by </w:t>
      </w:r>
      <w:r>
        <w:t xml:space="preserve">the department are available by emailing the </w:t>
      </w:r>
      <w:hyperlink r:id="rId396" w:history="1">
        <w:r w:rsidRPr="00E8475A">
          <w:rPr>
            <w:rStyle w:val="Hyperlink"/>
          </w:rPr>
          <w:t>HIE program</w:t>
        </w:r>
      </w:hyperlink>
      <w:r>
        <w:t xml:space="preserve"> &lt;</w:t>
      </w:r>
      <w:r w:rsidRPr="001D0669">
        <w:t>HIEprogram@health.vic.gov.au</w:t>
      </w:r>
      <w:r>
        <w:t xml:space="preserve">&gt;. </w:t>
      </w:r>
    </w:p>
    <w:p w14:paraId="6E367D33" w14:textId="24AEFC62" w:rsidR="00817104" w:rsidRPr="00D12772" w:rsidRDefault="00817104" w:rsidP="00817104">
      <w:pPr>
        <w:pStyle w:val="Heading3"/>
      </w:pPr>
      <w:bookmarkStart w:id="2642" w:name="_Contemporary_information_architectu"/>
      <w:bookmarkEnd w:id="2642"/>
      <w:r w:rsidRPr="00D12772">
        <w:t xml:space="preserve">Contemporary information architecture for </w:t>
      </w:r>
      <w:r w:rsidRPr="00707386">
        <w:t>mental</w:t>
      </w:r>
      <w:r w:rsidRPr="00D12772">
        <w:t xml:space="preserve"> health and wellbeing</w:t>
      </w:r>
    </w:p>
    <w:p w14:paraId="3B6E01BE" w14:textId="77777777" w:rsidR="00817104" w:rsidRDefault="00817104" w:rsidP="00817104">
      <w:pPr>
        <w:pStyle w:val="Body"/>
      </w:pPr>
      <w:r>
        <w:t>A contemporary information architecture is critical to supporting safe, integrated and person</w:t>
      </w:r>
      <w:r>
        <w:rPr>
          <w:rFonts w:ascii="Cambria Math" w:hAnsi="Cambria Math" w:cs="Cambria Math"/>
        </w:rPr>
        <w:t>‑</w:t>
      </w:r>
      <w:r>
        <w:t>centred mental health and wellbeing services across Victoria. Legacy systems and fragmented information flows create risk, limit service integration and constrain the ability to deliver high</w:t>
      </w:r>
      <w:r>
        <w:rPr>
          <w:rFonts w:ascii="Cambria Math" w:hAnsi="Cambria Math" w:cs="Cambria Math"/>
        </w:rPr>
        <w:t>‑</w:t>
      </w:r>
      <w:r>
        <w:t>quality, recovery</w:t>
      </w:r>
      <w:r>
        <w:rPr>
          <w:rFonts w:ascii="Cambria Math" w:hAnsi="Cambria Math" w:cs="Cambria Math"/>
        </w:rPr>
        <w:t>‑</w:t>
      </w:r>
      <w:r>
        <w:t>oriented care.</w:t>
      </w:r>
    </w:p>
    <w:p w14:paraId="0645A560" w14:textId="77777777" w:rsidR="00817104" w:rsidRDefault="00817104" w:rsidP="00817104">
      <w:pPr>
        <w:pStyle w:val="Body"/>
      </w:pPr>
      <w:r>
        <w:t>The Royal Commission into Victoria’s Mental Health System (2021) recommended that the Victorian Government develop, fund and implement modern digital infrastructure to support mental health and wellbeing services across the system.</w:t>
      </w:r>
    </w:p>
    <w:p w14:paraId="38E61510" w14:textId="77777777" w:rsidR="00817104" w:rsidRDefault="00817104" w:rsidP="00817104">
      <w:pPr>
        <w:pStyle w:val="Body"/>
      </w:pPr>
      <w:r>
        <w:t>In response, the department is delivering a suite of statewide digital capabilities to establish a contemporary mental health information architecture.</w:t>
      </w:r>
    </w:p>
    <w:p w14:paraId="6DC2E1B3" w14:textId="77777777" w:rsidR="00817104" w:rsidRDefault="00817104" w:rsidP="00817104">
      <w:pPr>
        <w:pStyle w:val="Body"/>
      </w:pPr>
      <w:r>
        <w:t xml:space="preserve">This </w:t>
      </w:r>
      <w:r w:rsidRPr="7AE6F972">
        <w:rPr>
          <w:rFonts w:cs="Calibri"/>
        </w:rPr>
        <w:t>includes</w:t>
      </w:r>
      <w:r>
        <w:rPr>
          <w:rFonts w:cs="Calibri"/>
        </w:rPr>
        <w:t>:</w:t>
      </w:r>
    </w:p>
    <w:p w14:paraId="68597687" w14:textId="77777777" w:rsidR="00817104" w:rsidRDefault="00817104" w:rsidP="00817104">
      <w:pPr>
        <w:pStyle w:val="Bullet1"/>
        <w:numPr>
          <w:ilvl w:val="0"/>
          <w:numId w:val="2"/>
        </w:numPr>
      </w:pPr>
      <w:r>
        <w:t>a statewide mental health and wellbeing record</w:t>
      </w:r>
    </w:p>
    <w:p w14:paraId="4B250577" w14:textId="77777777" w:rsidR="00817104" w:rsidRDefault="00817104" w:rsidP="00817104">
      <w:pPr>
        <w:pStyle w:val="Bullet1"/>
        <w:numPr>
          <w:ilvl w:val="0"/>
          <w:numId w:val="2"/>
        </w:numPr>
      </w:pPr>
      <w:r>
        <w:t>a mental health information and data exchange and repository</w:t>
      </w:r>
    </w:p>
    <w:p w14:paraId="664F79B3" w14:textId="77777777" w:rsidR="00817104" w:rsidRDefault="00817104" w:rsidP="00817104">
      <w:pPr>
        <w:pStyle w:val="Bullet1"/>
        <w:numPr>
          <w:ilvl w:val="0"/>
          <w:numId w:val="2"/>
        </w:numPr>
      </w:pPr>
      <w:r>
        <w:t>replacement of the department’s legacy Client Management Interface/Operational Data Store (CMI/ODS) system</w:t>
      </w:r>
    </w:p>
    <w:p w14:paraId="11FCAF35" w14:textId="77777777" w:rsidR="00817104" w:rsidRDefault="00817104" w:rsidP="00817104">
      <w:pPr>
        <w:pStyle w:val="Bullet1"/>
        <w:numPr>
          <w:ilvl w:val="0"/>
          <w:numId w:val="2"/>
        </w:numPr>
      </w:pPr>
      <w:r>
        <w:t>development of a consumer portal.</w:t>
      </w:r>
    </w:p>
    <w:p w14:paraId="25DA3C4D" w14:textId="77777777" w:rsidR="00817104" w:rsidRDefault="00817104" w:rsidP="00817104">
      <w:pPr>
        <w:pStyle w:val="Bodyafterbullets"/>
      </w:pPr>
      <w:r>
        <w:t>Health services are expected to participate in the design, implementation and use of the statewide mental health and wellbeing digital architecture, including local readiness, transition planning and adoption of new systems and processes as directed by the department.</w:t>
      </w:r>
    </w:p>
    <w:p w14:paraId="40482AB8" w14:textId="77777777" w:rsidR="00817104" w:rsidRPr="000A0A71" w:rsidRDefault="00817104" w:rsidP="00817104">
      <w:pPr>
        <w:pStyle w:val="Bodyafterbullets"/>
      </w:pPr>
      <w:r>
        <w:t>The department will work in partnership with health services on implementation planning, including local readiness, sequencing and transition arrangements.</w:t>
      </w:r>
    </w:p>
    <w:p w14:paraId="2B9B9908" w14:textId="68150A0D" w:rsidR="00817104" w:rsidRPr="00707386" w:rsidRDefault="00817104" w:rsidP="00817104">
      <w:pPr>
        <w:pStyle w:val="Heading3"/>
      </w:pPr>
      <w:r>
        <w:t>Health information sharing</w:t>
      </w:r>
    </w:p>
    <w:p w14:paraId="0B4A86A0" w14:textId="77777777" w:rsidR="00817104" w:rsidRPr="0063722C" w:rsidRDefault="00817104" w:rsidP="00817104">
      <w:pPr>
        <w:rPr>
          <w:rFonts w:cs="Arial"/>
          <w:color w:val="000000"/>
        </w:rPr>
      </w:pPr>
      <w:r w:rsidRPr="0063722C">
        <w:rPr>
          <w:rFonts w:cs="Arial"/>
          <w:color w:val="000000"/>
        </w:rPr>
        <w:t>Health information sharing enables authorised healthcare providers to access relevant patient information across settings, supporting safer clinical decision</w:t>
      </w:r>
      <w:r w:rsidRPr="0063722C">
        <w:rPr>
          <w:rFonts w:cs="Arial"/>
          <w:color w:val="000000"/>
        </w:rPr>
        <w:noBreakHyphen/>
        <w:t>making, continuity of care and reduced duplication.</w:t>
      </w:r>
    </w:p>
    <w:p w14:paraId="451B5CE0" w14:textId="77777777" w:rsidR="00817104" w:rsidRPr="0063722C" w:rsidRDefault="00817104" w:rsidP="00817104">
      <w:pPr>
        <w:rPr>
          <w:rFonts w:cs="Arial"/>
          <w:color w:val="000000"/>
        </w:rPr>
      </w:pPr>
      <w:r w:rsidRPr="0063722C">
        <w:rPr>
          <w:rFonts w:cs="Arial"/>
          <w:color w:val="000000"/>
        </w:rPr>
        <w:t>CareSync Exchange is Victoria’s statewide health information sharing platform, established to enable the secure sharing of patient health information for the purposes of providing care.</w:t>
      </w:r>
    </w:p>
    <w:p w14:paraId="45C6D26B" w14:textId="77777777" w:rsidR="00817104" w:rsidRPr="0063722C" w:rsidRDefault="00817104" w:rsidP="00817104">
      <w:pPr>
        <w:rPr>
          <w:rFonts w:cs="Arial"/>
          <w:color w:val="000000"/>
        </w:rPr>
      </w:pPr>
      <w:r w:rsidRPr="0063722C">
        <w:rPr>
          <w:rFonts w:cs="Arial"/>
          <w:color w:val="000000"/>
        </w:rPr>
        <w:t>Victorian public health services are required to support health information sharing by participating in the design, implementation and use of CareSync Exchange, and by ensuring that local systems, processes and workforce practices enable the safe and effective sharing of information.</w:t>
      </w:r>
    </w:p>
    <w:p w14:paraId="778332ED" w14:textId="77777777" w:rsidR="00817104" w:rsidRDefault="00817104" w:rsidP="00817104">
      <w:pPr>
        <w:rPr>
          <w:rFonts w:cs="Arial"/>
          <w:color w:val="000000"/>
        </w:rPr>
      </w:pPr>
      <w:r w:rsidRPr="00585F48">
        <w:rPr>
          <w:rFonts w:cs="Arial"/>
          <w:color w:val="000000"/>
        </w:rPr>
        <w:t xml:space="preserve">As system manager, the </w:t>
      </w:r>
      <w:r>
        <w:rPr>
          <w:rFonts w:cs="Arial"/>
          <w:color w:val="000000"/>
        </w:rPr>
        <w:t>d</w:t>
      </w:r>
      <w:r w:rsidRPr="00585F48">
        <w:rPr>
          <w:rFonts w:cs="Arial"/>
          <w:color w:val="000000"/>
        </w:rPr>
        <w:t>epartment is responsible for the operation and ongoing stewardship of CareSync Exchange. This includes delivery of the platform, provision of training and resources, and oversight of information</w:t>
      </w:r>
      <w:r w:rsidRPr="00585F48">
        <w:rPr>
          <w:rFonts w:ascii="Cambria Math" w:hAnsi="Cambria Math" w:cs="Cambria Math"/>
          <w:color w:val="000000"/>
        </w:rPr>
        <w:t>‑</w:t>
      </w:r>
      <w:r w:rsidRPr="00585F48">
        <w:rPr>
          <w:rFonts w:cs="Arial"/>
          <w:color w:val="000000"/>
        </w:rPr>
        <w:t>sharing policies and assurance arrangements to support safe use across the system.</w:t>
      </w:r>
    </w:p>
    <w:p w14:paraId="7F45A90D" w14:textId="77777777" w:rsidR="00817104" w:rsidRPr="006728C7" w:rsidRDefault="00817104" w:rsidP="00817104">
      <w:pPr>
        <w:pStyle w:val="Heading4"/>
      </w:pPr>
      <w:r w:rsidRPr="0670E279">
        <w:lastRenderedPageBreak/>
        <w:t xml:space="preserve">Health information </w:t>
      </w:r>
      <w:r>
        <w:t>sharing</w:t>
      </w:r>
      <w:r w:rsidRPr="0670E279">
        <w:t xml:space="preserve"> privacy management </w:t>
      </w:r>
      <w:r>
        <w:t>framework</w:t>
      </w:r>
      <w:r w:rsidRPr="0670E279">
        <w:t xml:space="preserve"> </w:t>
      </w:r>
      <w:r>
        <w:t>and independent review</w:t>
      </w:r>
    </w:p>
    <w:p w14:paraId="2E735AC6" w14:textId="77777777" w:rsidR="00817104" w:rsidRPr="00A2152A" w:rsidRDefault="00817104" w:rsidP="00817104">
      <w:pPr>
        <w:pStyle w:val="Body"/>
      </w:pPr>
      <w:r w:rsidRPr="00407D99">
        <w:t xml:space="preserve">The </w:t>
      </w:r>
      <w:r w:rsidRPr="00BA7FCA">
        <w:rPr>
          <w:i/>
        </w:rPr>
        <w:t>Health Legislation Amendment (Information Sharing) Act 2023</w:t>
      </w:r>
      <w:r w:rsidRPr="00407D99">
        <w:t xml:space="preserve"> introduced a new Part 6C into the </w:t>
      </w:r>
      <w:r w:rsidRPr="00143E8E">
        <w:rPr>
          <w:i/>
        </w:rPr>
        <w:t>Health Services Act 1988</w:t>
      </w:r>
      <w:r w:rsidRPr="00FC391F">
        <w:rPr>
          <w:iCs/>
        </w:rPr>
        <w:t xml:space="preserve"> </w:t>
      </w:r>
      <w:r w:rsidRPr="00407D99">
        <w:t>to enable the implementation and operation of CareSync Exchange.</w:t>
      </w:r>
      <w:r>
        <w:t xml:space="preserve"> </w:t>
      </w:r>
      <w:r w:rsidRPr="00407D99">
        <w:t xml:space="preserve">Part 6C </w:t>
      </w:r>
      <w:r w:rsidRPr="005E2585">
        <w:t>sets out the legislative framework for health information sharing, including requirements relating to access, governance and privacy protection</w:t>
      </w:r>
      <w:r>
        <w:t>s.</w:t>
      </w:r>
      <w:r w:rsidRPr="00407D99">
        <w:t xml:space="preserve"> </w:t>
      </w:r>
    </w:p>
    <w:p w14:paraId="1A6E2BEF" w14:textId="0A7CCC2C" w:rsidR="00817104" w:rsidRDefault="00817104" w:rsidP="00817104">
      <w:pPr>
        <w:pStyle w:val="Body"/>
      </w:pPr>
      <w:r w:rsidRPr="00C641AE">
        <w:t xml:space="preserve">Under the </w:t>
      </w:r>
      <w:r>
        <w:t xml:space="preserve">Health Services </w:t>
      </w:r>
      <w:r w:rsidRPr="00C641AE">
        <w:t>Act, the Minister for Health is required to establish a</w:t>
      </w:r>
      <w:r w:rsidR="00B96752">
        <w:t xml:space="preserve"> </w:t>
      </w:r>
      <w:r w:rsidR="00B96752" w:rsidRPr="00C641AE">
        <w:t>P</w:t>
      </w:r>
      <w:r w:rsidR="00B96752">
        <w:t>rivacy Management Framework</w:t>
      </w:r>
      <w:r w:rsidRPr="00C641AE">
        <w:t xml:space="preserve"> for CareSync Exchange</w:t>
      </w:r>
      <w:r w:rsidR="008267BB">
        <w:t>, which</w:t>
      </w:r>
      <w:r w:rsidR="00B96752" w:rsidRPr="00D9434B">
        <w:t xml:space="preserve"> </w:t>
      </w:r>
      <w:r w:rsidRPr="00D9434B">
        <w:t xml:space="preserve">outlines the roles, obligations and governance </w:t>
      </w:r>
      <w:r w:rsidRPr="00194FD5">
        <w:t>arrangements that apply to the department, health services and authorised users to protect the privacy of Victorian health consumers when using the system.</w:t>
      </w:r>
    </w:p>
    <w:p w14:paraId="0F9826AD" w14:textId="30ACA2C6" w:rsidR="00817104" w:rsidRPr="00D9434B" w:rsidRDefault="00817104" w:rsidP="00817104">
      <w:pPr>
        <w:pStyle w:val="Body"/>
      </w:pPr>
      <w:r w:rsidRPr="00D9434B">
        <w:t>The</w:t>
      </w:r>
      <w:r w:rsidRPr="00D9434B" w:rsidDel="00194FD5">
        <w:t xml:space="preserve"> </w:t>
      </w:r>
      <w:r w:rsidR="00B96752" w:rsidRPr="00C641AE">
        <w:t>P</w:t>
      </w:r>
      <w:r w:rsidR="00B96752">
        <w:t>rivacy Management Framework</w:t>
      </w:r>
      <w:r w:rsidRPr="00D9434B">
        <w:t xml:space="preserve"> was developed following extensive consultation with clinicians, consumers, health services and other relevant stakeholders, including privacy regulators, industry and representative bodies.</w:t>
      </w:r>
      <w:r>
        <w:t xml:space="preserve"> All</w:t>
      </w:r>
      <w:r w:rsidRPr="009C1C24">
        <w:t xml:space="preserve"> authorised users of CareSync Exchange, including health services, clinicians and the department, are required to comply with the framework.</w:t>
      </w:r>
    </w:p>
    <w:p w14:paraId="5B106CD3" w14:textId="77777777" w:rsidR="00817104" w:rsidRPr="000B18C9" w:rsidRDefault="00817104" w:rsidP="00817104">
      <w:pPr>
        <w:pStyle w:val="Body"/>
      </w:pPr>
      <w:r w:rsidRPr="00882CBC">
        <w:t xml:space="preserve">The </w:t>
      </w:r>
      <w:r>
        <w:t xml:space="preserve">Health Services </w:t>
      </w:r>
      <w:r w:rsidRPr="00882CBC">
        <w:t xml:space="preserve">Act also requires </w:t>
      </w:r>
      <w:r>
        <w:t>the Minister for Health to establish</w:t>
      </w:r>
      <w:r w:rsidRPr="00882CBC">
        <w:t xml:space="preserve"> an independent review of Part 6C of the </w:t>
      </w:r>
      <w:r>
        <w:t>Act</w:t>
      </w:r>
      <w:r w:rsidRPr="00882CBC">
        <w:t xml:space="preserve"> and the operation of CareSync Exchange. The review is scheduled to be conducted in 2026 and will provide </w:t>
      </w:r>
      <w:r>
        <w:t>expert</w:t>
      </w:r>
      <w:r w:rsidRPr="00882CBC">
        <w:t xml:space="preserve"> advice to the Minister on the effectiveness, operation and governance of the system, including privacy protections.</w:t>
      </w:r>
    </w:p>
    <w:p w14:paraId="202BBA6A" w14:textId="77777777" w:rsidR="00817104" w:rsidRDefault="00817104" w:rsidP="00817104">
      <w:pPr>
        <w:pStyle w:val="Body"/>
      </w:pPr>
      <w:r w:rsidRPr="000B18C9">
        <w:t xml:space="preserve">An expert panel will be appointed to </w:t>
      </w:r>
      <w:r>
        <w:t>undertake the review</w:t>
      </w:r>
      <w:r w:rsidRPr="000B18C9">
        <w:t xml:space="preserve">, bringing together individuals with experience across areas such as digital health, clinical practice, health governance, law and privacy, and consumer perspectives. </w:t>
      </w:r>
      <w:r w:rsidRPr="00BB484D">
        <w:t>The review will include engagement with relevant stakeholders, including public health services, clinicians, consumers, peak bodies and regulators.</w:t>
      </w:r>
    </w:p>
    <w:p w14:paraId="489B2D3A" w14:textId="77777777" w:rsidR="00817104" w:rsidRPr="00A2152A" w:rsidRDefault="00817104" w:rsidP="00817104">
      <w:pPr>
        <w:pStyle w:val="Body"/>
      </w:pPr>
      <w:r>
        <w:t>A final report of the review will be provided to the Minister in February 2027.</w:t>
      </w:r>
    </w:p>
    <w:p w14:paraId="0422F72B" w14:textId="6BFF235E" w:rsidR="00817104" w:rsidRPr="00D9434B" w:rsidRDefault="00817104" w:rsidP="00817104">
      <w:pPr>
        <w:pStyle w:val="Body"/>
      </w:pPr>
      <w:r w:rsidRPr="00D9434B">
        <w:t>For more information</w:t>
      </w:r>
      <w:r>
        <w:t xml:space="preserve"> about </w:t>
      </w:r>
      <w:r w:rsidRPr="00D9434B">
        <w:t>CareSync Exchange</w:t>
      </w:r>
      <w:r>
        <w:t xml:space="preserve"> and the P</w:t>
      </w:r>
      <w:r w:rsidR="00A110C5">
        <w:t>rivacy Management Framework</w:t>
      </w:r>
      <w:r w:rsidRPr="00D9434B">
        <w:t xml:space="preserve">, visit </w:t>
      </w:r>
      <w:hyperlink r:id="rId397" w:history="1">
        <w:r w:rsidRPr="0053647F">
          <w:rPr>
            <w:rStyle w:val="Hyperlink"/>
          </w:rPr>
          <w:t>CareSync Exchange</w:t>
        </w:r>
      </w:hyperlink>
      <w:r w:rsidRPr="00D9434B">
        <w:t xml:space="preserve"> </w:t>
      </w:r>
      <w:r>
        <w:t>&lt;</w:t>
      </w:r>
      <w:r w:rsidRPr="00A2152A">
        <w:t>https://www.health.vic.gov.au/caresync-exchange</w:t>
      </w:r>
      <w:r>
        <w:t>&gt; or</w:t>
      </w:r>
      <w:r w:rsidRPr="00D9434B">
        <w:t xml:space="preserve"> </w:t>
      </w:r>
      <w:r>
        <w:t>email</w:t>
      </w:r>
      <w:r w:rsidRPr="00D9434B">
        <w:t xml:space="preserve"> the </w:t>
      </w:r>
      <w:hyperlink r:id="rId398" w:history="1">
        <w:r w:rsidRPr="00E14141">
          <w:rPr>
            <w:rStyle w:val="Hyperlink"/>
          </w:rPr>
          <w:t>Health Information Sharing Team</w:t>
        </w:r>
      </w:hyperlink>
      <w:r w:rsidRPr="00D9434B">
        <w:t xml:space="preserve"> &lt;HIEprogram@health.vic.gov.au&gt;. </w:t>
      </w:r>
    </w:p>
    <w:p w14:paraId="4C70F214" w14:textId="0A2F7562" w:rsidR="00817104" w:rsidRDefault="00817104" w:rsidP="00817104">
      <w:pPr>
        <w:pStyle w:val="Heading3"/>
      </w:pPr>
      <w:r>
        <w:t>Strategic ICT investments</w:t>
      </w:r>
    </w:p>
    <w:p w14:paraId="2403D1B8" w14:textId="77777777" w:rsidR="00817104" w:rsidRPr="00302436" w:rsidRDefault="00817104" w:rsidP="00817104">
      <w:pPr>
        <w:pStyle w:val="Body"/>
        <w:rPr>
          <w:lang w:val="en-US"/>
        </w:rPr>
      </w:pPr>
      <w:r w:rsidRPr="005C3EC7">
        <w:t>Strategic ICT investments are technology</w:t>
      </w:r>
      <w:r w:rsidRPr="005C3EC7">
        <w:rPr>
          <w:rFonts w:ascii="Cambria Math" w:hAnsi="Cambria Math" w:cs="Cambria Math"/>
        </w:rPr>
        <w:t>‑</w:t>
      </w:r>
      <w:r w:rsidRPr="005C3EC7">
        <w:t>enabled initiatives that materially affect patient safety, service continuity, system interoperability or the long</w:t>
      </w:r>
      <w:r w:rsidRPr="005C3EC7">
        <w:rPr>
          <w:rFonts w:ascii="Cambria Math" w:hAnsi="Cambria Math" w:cs="Cambria Math"/>
        </w:rPr>
        <w:t>‑</w:t>
      </w:r>
      <w:r w:rsidRPr="005C3EC7">
        <w:t>term sustainability of healthcare delivery.</w:t>
      </w:r>
      <w:r>
        <w:t xml:space="preserve"> Strategic projects should align with the Digital Health Roadmap and, where appropriate, leverage statewide platforms and solutions</w:t>
      </w:r>
      <w:r w:rsidRPr="0670E279">
        <w:rPr>
          <w:i/>
          <w:iCs/>
        </w:rPr>
        <w:t>.</w:t>
      </w:r>
      <w:r>
        <w:t xml:space="preserve"> Where there is ambiguity or where the scope of the project impacts another health service, health services must seek approval from the eHealth division (Digital Health Branch).</w:t>
      </w:r>
    </w:p>
    <w:p w14:paraId="41913B43" w14:textId="77777777" w:rsidR="00817104" w:rsidRDefault="00817104" w:rsidP="00817104">
      <w:pPr>
        <w:pStyle w:val="Body"/>
      </w:pPr>
      <w:r>
        <w:t>Health services must report their ICT strategies, plans and projects to the Digital Health Branch, which has planning and assurance roles for the sector to support:</w:t>
      </w:r>
    </w:p>
    <w:p w14:paraId="7B9B54C0" w14:textId="77777777" w:rsidR="00817104" w:rsidRPr="000F0734" w:rsidRDefault="00817104" w:rsidP="00817104">
      <w:pPr>
        <w:pStyle w:val="Bullet1"/>
        <w:numPr>
          <w:ilvl w:val="0"/>
          <w:numId w:val="2"/>
        </w:numPr>
      </w:pPr>
      <w:r>
        <w:t>prescribed levels of ICT and cybersecurity capability are in place to support safe clinical care, mitigate risk of unplanned outages and cyber threats, and provide a standard approach to incident management and resolution of issues</w:t>
      </w:r>
    </w:p>
    <w:p w14:paraId="110F3AAC" w14:textId="77777777" w:rsidR="00817104" w:rsidRPr="000F0734" w:rsidRDefault="00817104" w:rsidP="00817104">
      <w:pPr>
        <w:pStyle w:val="Bullet1"/>
        <w:numPr>
          <w:ilvl w:val="0"/>
          <w:numId w:val="2"/>
        </w:numPr>
      </w:pPr>
      <w:r>
        <w:t>appropriate project governance and planning is in place to support the delivery of successful ICT-enabled health service projects</w:t>
      </w:r>
    </w:p>
    <w:p w14:paraId="104A81C6" w14:textId="77777777" w:rsidR="00817104" w:rsidRPr="00DD418E" w:rsidRDefault="00817104" w:rsidP="00817104">
      <w:pPr>
        <w:pStyle w:val="Bullet1"/>
        <w:numPr>
          <w:ilvl w:val="0"/>
          <w:numId w:val="2"/>
        </w:numPr>
      </w:pPr>
      <w:r>
        <w:t>project assurance on the full lifecycle of the project.</w:t>
      </w:r>
    </w:p>
    <w:p w14:paraId="15613FA1" w14:textId="77777777" w:rsidR="00817104" w:rsidRDefault="00817104" w:rsidP="00817104">
      <w:pPr>
        <w:pStyle w:val="Bodyafterbullets"/>
        <w:rPr>
          <w:rFonts w:cs="Arial"/>
        </w:rPr>
      </w:pPr>
      <w:r>
        <w:t xml:space="preserve">All health service projects with an ICT component greater than $1 million are to be subjected to departmental project assurance. These must be reported via the department to the Department of </w:t>
      </w:r>
      <w:r w:rsidRPr="0670E279">
        <w:rPr>
          <w:rFonts w:cs="Arial"/>
        </w:rPr>
        <w:lastRenderedPageBreak/>
        <w:t xml:space="preserve">Government Services for inclusion in the </w:t>
      </w:r>
      <w:r>
        <w:rPr>
          <w:rFonts w:cs="Arial"/>
        </w:rPr>
        <w:t xml:space="preserve">Victorian Government’s </w:t>
      </w:r>
      <w:r w:rsidRPr="0670E279">
        <w:rPr>
          <w:rFonts w:cs="Arial"/>
        </w:rPr>
        <w:t>public quarterly ICT project dashboard.</w:t>
      </w:r>
    </w:p>
    <w:p w14:paraId="4ED2CDE4" w14:textId="77777777" w:rsidR="00817104" w:rsidRDefault="00817104" w:rsidP="00817104">
      <w:pPr>
        <w:pStyle w:val="Bodyafterbullets"/>
      </w:pPr>
      <w:r w:rsidRPr="0670E279">
        <w:t xml:space="preserve">Projects managed by a Rural Health ICT Alliance are to be reported by the </w:t>
      </w:r>
      <w:r>
        <w:t>A</w:t>
      </w:r>
      <w:r w:rsidRPr="0670E279">
        <w:t>lliance. Alliance member projects are also to be reported via the designated project reporting coordinator for submission. All</w:t>
      </w:r>
      <w:r>
        <w:t xml:space="preserve"> </w:t>
      </w:r>
      <w:r w:rsidRPr="00707386">
        <w:t>projects</w:t>
      </w:r>
      <w:r>
        <w:t xml:space="preserve"> on this dashboard with an ICT budget exceeding $10 million are to be subject to independent project quality assurance, commissioned by the Digital Health Branch.</w:t>
      </w:r>
    </w:p>
    <w:p w14:paraId="08318BD5" w14:textId="77777777" w:rsidR="00817104" w:rsidRDefault="00817104" w:rsidP="00817104">
      <w:pPr>
        <w:pStyle w:val="Body"/>
      </w:pPr>
      <w:r>
        <w:t xml:space="preserve">Health services must ensure that all ICT procurements are conducted in a manner consistent with the relevant </w:t>
      </w:r>
      <w:r w:rsidRPr="00707386">
        <w:t>Victorian</w:t>
      </w:r>
      <w:r>
        <w:t xml:space="preserve"> Government Purchasing Board best-practice procurement guidelines and HealthShare Victoria health-purchasing policies. Exemption from these guidelines and policies requires approval from the Secretary of the department.</w:t>
      </w:r>
    </w:p>
    <w:p w14:paraId="6FCE2259" w14:textId="7C068737" w:rsidR="00817104" w:rsidRDefault="00817104" w:rsidP="00817104">
      <w:pPr>
        <w:pStyle w:val="Body"/>
      </w:pPr>
      <w:r>
        <w:t xml:space="preserve">Health services should leverage the Australian Digital Health Agency’s </w:t>
      </w:r>
      <w:hyperlink r:id="rId399" w:history="1">
        <w:r w:rsidRPr="00BB22DA">
          <w:rPr>
            <w:rStyle w:val="Hyperlink"/>
          </w:rPr>
          <w:t>Digital Health Procurement Guidelines</w:t>
        </w:r>
      </w:hyperlink>
      <w:r>
        <w:t xml:space="preserve"> &lt;</w:t>
      </w:r>
      <w:r w:rsidRPr="002D5F31">
        <w:t>https://www.digitalhealth.gov.au/healthcare-providers/initiatives-and-programs/digital-health-standards/digital-health-standards-guidelines/get-started</w:t>
      </w:r>
      <w:r>
        <w:t xml:space="preserve">&gt; to inform requirements associated with digital health procurements, as detailed in </w:t>
      </w:r>
      <w:hyperlink w:anchor="_Health_ICT_asset" w:history="1">
        <w:r w:rsidRPr="006C39A9">
          <w:rPr>
            <w:rStyle w:val="Hyperlink"/>
          </w:rPr>
          <w:t>section 24.6</w:t>
        </w:r>
      </w:hyperlink>
      <w:r>
        <w:t>.</w:t>
      </w:r>
    </w:p>
    <w:p w14:paraId="5208A478" w14:textId="77777777" w:rsidR="00817104" w:rsidRPr="00A00318" w:rsidRDefault="00817104" w:rsidP="00817104">
      <w:pPr>
        <w:pStyle w:val="Heading4"/>
      </w:pPr>
      <w:r>
        <w:t xml:space="preserve">Assessment using </w:t>
      </w:r>
      <w:r w:rsidRPr="00707386">
        <w:t>Victoria’s</w:t>
      </w:r>
      <w:r>
        <w:t xml:space="preserve"> digital health maturity model</w:t>
      </w:r>
    </w:p>
    <w:p w14:paraId="309A7E6A" w14:textId="77777777" w:rsidR="00817104" w:rsidRDefault="00817104" w:rsidP="00817104">
      <w:pPr>
        <w:pStyle w:val="Bodyafterbullets"/>
      </w:pPr>
      <w:r>
        <w:t xml:space="preserve">The Victorian Auditor-General’s 2017 report, </w:t>
      </w:r>
      <w:r w:rsidRPr="00A2152A">
        <w:t>ICT strategic planning in the health sector</w:t>
      </w:r>
      <w:r>
        <w:t>, recommended that the department comprehensively assess the health sector’s ICT maturity to ensure digital health investment decisions have been informed by clinical ICT maturity.</w:t>
      </w:r>
    </w:p>
    <w:p w14:paraId="31F074C9" w14:textId="77777777" w:rsidR="00817104" w:rsidRDefault="00817104" w:rsidP="00817104">
      <w:pPr>
        <w:pStyle w:val="Bodyafterbullets"/>
      </w:pPr>
      <w:r>
        <w:t>In 2019, Victoria’s digital health maturity model was developed and maturity assessments across health services were conducted.</w:t>
      </w:r>
    </w:p>
    <w:p w14:paraId="70BD1969" w14:textId="77777777" w:rsidR="00817104" w:rsidRPr="00A14225" w:rsidRDefault="00817104" w:rsidP="00817104">
      <w:pPr>
        <w:pStyle w:val="Bodyafterbullets"/>
      </w:pPr>
      <w:r>
        <w:t xml:space="preserve">During 2022–23, public health services participated in the second cycle of maturity assessment. Health services are required to self-assess against the model at least every two years. The next cycle is due to commence in 2026–27. The </w:t>
      </w:r>
      <w:r w:rsidRPr="00A14225">
        <w:t>2026–27</w:t>
      </w:r>
      <w:r>
        <w:t xml:space="preserve"> assessment </w:t>
      </w:r>
      <w:r w:rsidRPr="00A14225">
        <w:t xml:space="preserve">cycle </w:t>
      </w:r>
      <w:r>
        <w:t xml:space="preserve">will </w:t>
      </w:r>
      <w:r w:rsidRPr="00A14225">
        <w:t>expand the model</w:t>
      </w:r>
      <w:r>
        <w:t xml:space="preserve"> to </w:t>
      </w:r>
      <w:r w:rsidRPr="00A14225">
        <w:t>incorporate</w:t>
      </w:r>
      <w:r>
        <w:t xml:space="preserve"> AI and virtual care, as well as</w:t>
      </w:r>
      <w:r w:rsidRPr="00A14225">
        <w:t xml:space="preserve"> introduce an aggregated</w:t>
      </w:r>
      <w:r>
        <w:t xml:space="preserve"> Local Health Service Network </w:t>
      </w:r>
      <w:r w:rsidRPr="00A14225">
        <w:t>perspective to better inform policy and investment decisions.</w:t>
      </w:r>
    </w:p>
    <w:p w14:paraId="2184BB8B" w14:textId="77777777" w:rsidR="00817104" w:rsidRPr="004A59E4" w:rsidRDefault="00817104" w:rsidP="00817104">
      <w:pPr>
        <w:pStyle w:val="Bodyafterbullets"/>
      </w:pPr>
      <w:r>
        <w:t xml:space="preserve">For more information, visit </w:t>
      </w:r>
      <w:hyperlink r:id="rId400" w:history="1">
        <w:r w:rsidRPr="00CA2BAA">
          <w:rPr>
            <w:rStyle w:val="Hyperlink"/>
          </w:rPr>
          <w:t>Victoria's digital health maturity model</w:t>
        </w:r>
      </w:hyperlink>
      <w:r>
        <w:t xml:space="preserve"> &lt;</w:t>
      </w:r>
      <w:r w:rsidRPr="00CA2BAA">
        <w:t>https://www.health.vic.gov.au/quality-safety-service/victorias-digital-health-maturity-model</w:t>
      </w:r>
      <w:r>
        <w:t>&gt;.</w:t>
      </w:r>
    </w:p>
    <w:p w14:paraId="7C1B9AA2" w14:textId="59B6F037" w:rsidR="00817104" w:rsidRPr="00034D75" w:rsidRDefault="00817104" w:rsidP="00817104">
      <w:pPr>
        <w:pStyle w:val="Heading2"/>
      </w:pPr>
      <w:bookmarkStart w:id="2643" w:name="_Toc167226126"/>
      <w:bookmarkStart w:id="2644" w:name="_Toc167226127"/>
      <w:bookmarkStart w:id="2645" w:name="_Toc167226128"/>
      <w:bookmarkStart w:id="2646" w:name="_Toc165964748"/>
      <w:bookmarkStart w:id="2647" w:name="_Toc167174608"/>
      <w:bookmarkStart w:id="2648" w:name="_Toc224127317"/>
      <w:bookmarkStart w:id="2649" w:name="_Toc231982363"/>
      <w:bookmarkEnd w:id="2643"/>
      <w:bookmarkEnd w:id="2644"/>
      <w:bookmarkEnd w:id="2645"/>
      <w:r>
        <w:t>ICT and c</w:t>
      </w:r>
      <w:r w:rsidRPr="00707386">
        <w:t>ybersecurity</w:t>
      </w:r>
      <w:r>
        <w:t xml:space="preserve"> incidents</w:t>
      </w:r>
      <w:bookmarkEnd w:id="2646"/>
      <w:bookmarkEnd w:id="2647"/>
      <w:bookmarkEnd w:id="2648"/>
      <w:bookmarkEnd w:id="2649"/>
      <w:r>
        <w:t xml:space="preserve"> </w:t>
      </w:r>
    </w:p>
    <w:p w14:paraId="4A084292" w14:textId="77777777" w:rsidR="00817104" w:rsidRDefault="00817104" w:rsidP="00817104">
      <w:pPr>
        <w:pStyle w:val="Body"/>
      </w:pPr>
      <w:r>
        <w:t>In its role as system manager, the eHealth Incident Management Team must be informed of significant ICT incidents within the hour, when they occur in health services or their third-party providers. All cybersecurity incidents, including data breaches, regardless of severity, must be reported to the Incident Management Team as soon as the intrusion is detected or suspected. Health services must follow the eHealth ICT and cybersecurity communications protocol.</w:t>
      </w:r>
    </w:p>
    <w:p w14:paraId="39EEAF7C" w14:textId="77777777" w:rsidR="00817104" w:rsidRDefault="00817104" w:rsidP="00817104">
      <w:pPr>
        <w:pStyle w:val="Body"/>
      </w:pPr>
      <w:r>
        <w:t xml:space="preserve">Notification of ICT incidents and cybersecurity incidents must be made by calling 1300 598 686, then providing a report of the incident by </w:t>
      </w:r>
      <w:hyperlink r:id="rId401">
        <w:r w:rsidRPr="0670E279">
          <w:rPr>
            <w:rStyle w:val="Hyperlink"/>
          </w:rPr>
          <w:t>emailing the Incident Management Team</w:t>
        </w:r>
      </w:hyperlink>
      <w:r>
        <w:t xml:space="preserve"> &lt;Digital.Health.Incident.Notification@health.vic.gov.au&gt;. </w:t>
      </w:r>
    </w:p>
    <w:p w14:paraId="14CEF6B9" w14:textId="77777777" w:rsidR="00817104" w:rsidRPr="00A53802" w:rsidRDefault="00817104" w:rsidP="00817104">
      <w:pPr>
        <w:pStyle w:val="Body"/>
      </w:pPr>
      <w:r>
        <w:t>Health services are responsible for reporting cybersecurity incidents and data breaches from third-party suppliers to the eHealth Incident Management Team.</w:t>
      </w:r>
    </w:p>
    <w:p w14:paraId="62DBE668" w14:textId="77777777" w:rsidR="00817104" w:rsidRDefault="00817104" w:rsidP="00817104">
      <w:pPr>
        <w:pStyle w:val="Body"/>
      </w:pPr>
      <w:r>
        <w:t xml:space="preserve">Depending on the type of incident, health services may need to consider national reporting obligations, such as to the Office of the Australian Information Commissioner, and the Department of Home Affairs under the </w:t>
      </w:r>
      <w:r w:rsidRPr="002D6AE5">
        <w:rPr>
          <w:iCs/>
        </w:rPr>
        <w:t>Security of Critical Infrastructure Act</w:t>
      </w:r>
      <w:r w:rsidRPr="00B904F6">
        <w:rPr>
          <w:i/>
        </w:rPr>
        <w:t>.</w:t>
      </w:r>
    </w:p>
    <w:p w14:paraId="2922FD66" w14:textId="77777777" w:rsidR="00817104" w:rsidRDefault="00817104" w:rsidP="00817104">
      <w:pPr>
        <w:pStyle w:val="Body"/>
      </w:pPr>
      <w:r>
        <w:lastRenderedPageBreak/>
        <w:t>Health services are required to work with the eHealth Incident Management Team throughout the life cycle of ICT incidents and cybersecurity incidents. This means department staff must attend incident management meetings and be provided with incident documentation, reporting and planning.</w:t>
      </w:r>
    </w:p>
    <w:p w14:paraId="3E5FEED2" w14:textId="77777777" w:rsidR="00817104" w:rsidRDefault="00817104" w:rsidP="00817104">
      <w:pPr>
        <w:pStyle w:val="Body"/>
      </w:pPr>
      <w:r>
        <w:t xml:space="preserve">The department manages the reporting and engagement with the Department of Government Services Cyber Incident Response Service and aligns with the Victorian Government’s </w:t>
      </w:r>
      <w:hyperlink r:id="rId402">
        <w:r w:rsidRPr="0670E279">
          <w:rPr>
            <w:rStyle w:val="Hyperlink"/>
          </w:rPr>
          <w:t>Cyber Security Incident Management Plan</w:t>
        </w:r>
      </w:hyperlink>
      <w:r>
        <w:t xml:space="preserve"> &lt;https://www.vic.gov.au/cyber-incident-management-plan&gt;. </w:t>
      </w:r>
    </w:p>
    <w:p w14:paraId="0159D40C" w14:textId="77777777" w:rsidR="00817104" w:rsidRPr="002C3550" w:rsidRDefault="00817104" w:rsidP="00817104">
      <w:pPr>
        <w:pStyle w:val="Body"/>
      </w:pPr>
      <w:r>
        <w:t>ICT and cybersecurity incident management requirements are subject to periodic review to ensure continued alignment with government policy, threat conditions and operational practice.</w:t>
      </w:r>
    </w:p>
    <w:p w14:paraId="216DD067" w14:textId="5A2A4FFC" w:rsidR="00817104" w:rsidRDefault="00817104" w:rsidP="00817104">
      <w:pPr>
        <w:pStyle w:val="Heading2"/>
      </w:pPr>
      <w:bookmarkStart w:id="2650" w:name="_24.6_Health_ICT"/>
      <w:bookmarkStart w:id="2651" w:name="_Health_ICT_asset"/>
      <w:bookmarkStart w:id="2652" w:name="_Toc231982364"/>
      <w:bookmarkStart w:id="2653" w:name="_Toc165964749"/>
      <w:bookmarkStart w:id="2654" w:name="_Toc167174609"/>
      <w:bookmarkStart w:id="2655" w:name="_Toc224127318"/>
      <w:bookmarkEnd w:id="2650"/>
      <w:bookmarkEnd w:id="2651"/>
      <w:r>
        <w:t xml:space="preserve">Health ICT </w:t>
      </w:r>
      <w:r w:rsidRPr="00707386">
        <w:t>asset</w:t>
      </w:r>
      <w:r>
        <w:t xml:space="preserve"> management</w:t>
      </w:r>
      <w:bookmarkEnd w:id="2652"/>
    </w:p>
    <w:bookmarkEnd w:id="2653"/>
    <w:bookmarkEnd w:id="2654"/>
    <w:bookmarkEnd w:id="2655"/>
    <w:p w14:paraId="0CE0C807" w14:textId="77777777" w:rsidR="00817104" w:rsidRPr="00034D75" w:rsidRDefault="00817104" w:rsidP="00817104">
      <w:pPr>
        <w:pStyle w:val="Body"/>
      </w:pPr>
      <w:r w:rsidRPr="005C66D8">
        <w:t>Health services must manage, maintain and replace ICT assets in accordance with the Standing Directions and the AMAF. Compliance with the AMAF applies to all health ICT assets, including hardware, software and ICT services</w:t>
      </w:r>
      <w:r>
        <w:t>.</w:t>
      </w:r>
    </w:p>
    <w:p w14:paraId="26666865" w14:textId="77777777" w:rsidR="00817104" w:rsidRDefault="00817104" w:rsidP="00817104">
      <w:pPr>
        <w:pStyle w:val="Body"/>
      </w:pPr>
      <w:r w:rsidRPr="00613920">
        <w:t>Health ICT asset management refers to coordinated activities undertaken across the full asset lifecycle to realise value in support of service delivery objectives, including patient care, data security and operational reliability. This includes planning, acquisition, operation and maintenance, and disposal of ICT assets</w:t>
      </w:r>
      <w:r>
        <w:t xml:space="preserve">. </w:t>
      </w:r>
    </w:p>
    <w:p w14:paraId="41BFB8D8" w14:textId="77777777" w:rsidR="00817104" w:rsidRDefault="00817104" w:rsidP="00817104">
      <w:pPr>
        <w:pStyle w:val="Body"/>
      </w:pPr>
      <w:r>
        <w:t>For the purposes of this section, ICT assets and services include cloud</w:t>
      </w:r>
      <w:r>
        <w:rPr>
          <w:rFonts w:ascii="Cambria Math" w:hAnsi="Cambria Math" w:cs="Cambria Math"/>
        </w:rPr>
        <w:t>‑</w:t>
      </w:r>
      <w:r>
        <w:t>based service models (such as infrastructure</w:t>
      </w:r>
      <w:r>
        <w:rPr>
          <w:rFonts w:ascii="Cambria Math" w:hAnsi="Cambria Math" w:cs="Cambria Math"/>
        </w:rPr>
        <w:t>‑</w:t>
      </w:r>
      <w:r>
        <w:t>as</w:t>
      </w:r>
      <w:r>
        <w:rPr>
          <w:rFonts w:ascii="Cambria Math" w:hAnsi="Cambria Math" w:cs="Cambria Math"/>
        </w:rPr>
        <w:t>‑</w:t>
      </w:r>
      <w:r>
        <w:t>a</w:t>
      </w:r>
      <w:r>
        <w:rPr>
          <w:rFonts w:ascii="Cambria Math" w:hAnsi="Cambria Math" w:cs="Cambria Math"/>
        </w:rPr>
        <w:t>‑</w:t>
      </w:r>
      <w:r>
        <w:t>service and platform</w:t>
      </w:r>
      <w:r>
        <w:rPr>
          <w:rFonts w:ascii="Cambria Math" w:hAnsi="Cambria Math" w:cs="Cambria Math"/>
        </w:rPr>
        <w:t>‑</w:t>
      </w:r>
      <w:r>
        <w:t>as</w:t>
      </w:r>
      <w:r>
        <w:rPr>
          <w:rFonts w:ascii="Cambria Math" w:hAnsi="Cambria Math" w:cs="Cambria Math"/>
        </w:rPr>
        <w:t>‑</w:t>
      </w:r>
      <w:r>
        <w:t>a</w:t>
      </w:r>
      <w:r>
        <w:rPr>
          <w:rFonts w:ascii="Cambria Math" w:hAnsi="Cambria Math" w:cs="Cambria Math"/>
        </w:rPr>
        <w:t>‑</w:t>
      </w:r>
      <w:r>
        <w:t>service), regardless of deployment or hosting arrangement.</w:t>
      </w:r>
    </w:p>
    <w:p w14:paraId="7322FB40" w14:textId="77777777" w:rsidR="00817104" w:rsidRPr="00034D75" w:rsidRDefault="00817104" w:rsidP="00817104">
      <w:pPr>
        <w:pStyle w:val="Body"/>
      </w:pPr>
      <w:r>
        <w:t xml:space="preserve">The four key stages of the asset life cycle are: </w:t>
      </w:r>
    </w:p>
    <w:p w14:paraId="200DBCB7" w14:textId="77777777" w:rsidR="00817104" w:rsidRPr="00BB2615" w:rsidRDefault="00817104" w:rsidP="00817104">
      <w:pPr>
        <w:pStyle w:val="Bullet1"/>
        <w:numPr>
          <w:ilvl w:val="0"/>
          <w:numId w:val="2"/>
        </w:numPr>
      </w:pPr>
      <w:r>
        <w:t>planning – determination of asset requirements, based on an assessment of both service delivery needs and the capability of the existing asset base to meet these needs. This could involve evaluating current ICT infrastructure, identifying gaps and forecasting future needs</w:t>
      </w:r>
    </w:p>
    <w:p w14:paraId="4A0D72B3" w14:textId="77777777" w:rsidR="00817104" w:rsidRPr="00BB2615" w:rsidRDefault="00817104" w:rsidP="00817104">
      <w:pPr>
        <w:pStyle w:val="Bullet1"/>
        <w:numPr>
          <w:ilvl w:val="0"/>
          <w:numId w:val="2"/>
        </w:numPr>
      </w:pPr>
      <w:r>
        <w:t>acquisition – procurement of assets to meet an identified service need, including the assessment of procurement options such as leasing, purchasing or developing in-house</w:t>
      </w:r>
    </w:p>
    <w:p w14:paraId="00F61C0A" w14:textId="77777777" w:rsidR="00817104" w:rsidRPr="00BB2615" w:rsidRDefault="00817104" w:rsidP="00817104">
      <w:pPr>
        <w:pStyle w:val="Bullet1"/>
        <w:numPr>
          <w:ilvl w:val="0"/>
          <w:numId w:val="2"/>
        </w:numPr>
      </w:pPr>
      <w:r>
        <w:t>operation and maintenance – management and use of an asset to deliver services, including routine maintenance tasks, software updates and monitoring system performance</w:t>
      </w:r>
    </w:p>
    <w:p w14:paraId="7C9E6B65" w14:textId="77777777" w:rsidR="00817104" w:rsidRPr="00BB2615" w:rsidRDefault="00817104" w:rsidP="00817104">
      <w:pPr>
        <w:pStyle w:val="Bullet1"/>
        <w:numPr>
          <w:ilvl w:val="0"/>
          <w:numId w:val="2"/>
        </w:numPr>
      </w:pPr>
      <w:r>
        <w:t>disposal – treatment of an asset that has either reached the end of its useful life, is considered surplus or is underperforming. This could involve selling, recycling or decommissioning the asset.</w:t>
      </w:r>
    </w:p>
    <w:p w14:paraId="648AF1A2" w14:textId="77777777" w:rsidR="00817104" w:rsidRDefault="00817104" w:rsidP="00817104">
      <w:pPr>
        <w:pStyle w:val="Bodyafterbullets"/>
      </w:pPr>
      <w:r w:rsidRPr="000F012F">
        <w:t>Health services must submit ICT asset management data on a quarterly basis. This data must include asset type, asset category and usage, and supports sector</w:t>
      </w:r>
      <w:r w:rsidRPr="000F012F">
        <w:rPr>
          <w:rFonts w:ascii="Cambria Math" w:hAnsi="Cambria Math" w:cs="Cambria Math"/>
        </w:rPr>
        <w:t>‑</w:t>
      </w:r>
      <w:r w:rsidRPr="000F012F">
        <w:t>wide cyber incident response, risk analysis and evidence</w:t>
      </w:r>
      <w:r w:rsidRPr="000F012F">
        <w:rPr>
          <w:rFonts w:ascii="Cambria Math" w:hAnsi="Cambria Math" w:cs="Cambria Math"/>
        </w:rPr>
        <w:t>‑</w:t>
      </w:r>
      <w:r w:rsidRPr="000F012F">
        <w:t>based investment decision</w:t>
      </w:r>
      <w:r w:rsidRPr="000F012F">
        <w:rPr>
          <w:rFonts w:ascii="Cambria Math" w:hAnsi="Cambria Math" w:cs="Cambria Math"/>
        </w:rPr>
        <w:t>‑</w:t>
      </w:r>
      <w:r w:rsidRPr="000F012F">
        <w:t>making, including technology refresh and remediation fundin</w:t>
      </w:r>
      <w:r>
        <w:t xml:space="preserve">g. </w:t>
      </w:r>
    </w:p>
    <w:p w14:paraId="4164C777" w14:textId="77777777" w:rsidR="00817104" w:rsidRDefault="00817104" w:rsidP="00817104">
      <w:pPr>
        <w:pStyle w:val="Bodyafterbullets"/>
      </w:pPr>
      <w:r>
        <w:t>Effective ICT asset management is crucial for health services to deliver their service objectives. Regular assessment and updating of ICT asset records, along with timely data submission, can help in managing cyber incidents.</w:t>
      </w:r>
    </w:p>
    <w:p w14:paraId="5245047C" w14:textId="77777777" w:rsidR="00817104" w:rsidRDefault="00817104" w:rsidP="00817104">
      <w:pPr>
        <w:pStyle w:val="Bodyafterbullets"/>
      </w:pPr>
      <w:r>
        <w:t>Health services should consult the Medical Device Security Practice Areas for management of cybersecurity risk for medical devices across the device life cycle. The practice areas provide guidance in a security context for risk management, acquisition, network design, operation and monitoring, vulnerability management, legacy management and security incident response.</w:t>
      </w:r>
    </w:p>
    <w:p w14:paraId="3CC9E43C" w14:textId="77777777" w:rsidR="00817104" w:rsidRPr="00BB2615" w:rsidRDefault="00817104" w:rsidP="00817104">
      <w:pPr>
        <w:pStyle w:val="Body"/>
      </w:pPr>
      <w:r>
        <w:t xml:space="preserve">The ICT hardware assets that are </w:t>
      </w:r>
      <w:r w:rsidRPr="00707386">
        <w:t>in</w:t>
      </w:r>
      <w:r>
        <w:t xml:space="preserve"> scope include: </w:t>
      </w:r>
    </w:p>
    <w:p w14:paraId="2845ADD0" w14:textId="77777777" w:rsidR="00817104" w:rsidRDefault="00817104" w:rsidP="00817104">
      <w:pPr>
        <w:pStyle w:val="Bullet1"/>
        <w:numPr>
          <w:ilvl w:val="0"/>
          <w:numId w:val="2"/>
        </w:numPr>
      </w:pPr>
      <w:r>
        <w:lastRenderedPageBreak/>
        <w:t>servers (virtual and physical)</w:t>
      </w:r>
    </w:p>
    <w:p w14:paraId="1429BA24" w14:textId="77777777" w:rsidR="00817104" w:rsidRDefault="00817104" w:rsidP="00817104">
      <w:pPr>
        <w:pStyle w:val="Bullet1"/>
        <w:numPr>
          <w:ilvl w:val="0"/>
          <w:numId w:val="2"/>
        </w:numPr>
      </w:pPr>
      <w:r>
        <w:t>network appliances (wi-fi access points, firewalls, switches, routers, bridges, gateways, modems, repeaters and hubs)</w:t>
      </w:r>
    </w:p>
    <w:p w14:paraId="1FD6A5B0" w14:textId="77777777" w:rsidR="00817104" w:rsidRDefault="00817104" w:rsidP="00817104">
      <w:pPr>
        <w:pStyle w:val="Bullet1"/>
        <w:numPr>
          <w:ilvl w:val="0"/>
          <w:numId w:val="2"/>
        </w:numPr>
      </w:pPr>
      <w:r>
        <w:t>personal computers (laptops and desktops)</w:t>
      </w:r>
    </w:p>
    <w:p w14:paraId="089F03AB" w14:textId="77777777" w:rsidR="00817104" w:rsidRDefault="00817104" w:rsidP="00817104">
      <w:pPr>
        <w:pStyle w:val="Bullet1"/>
        <w:numPr>
          <w:ilvl w:val="0"/>
          <w:numId w:val="2"/>
        </w:numPr>
      </w:pPr>
      <w:r>
        <w:t>mobile devices, smartphones, tablets and SIM cards issued by the department or agency</w:t>
      </w:r>
    </w:p>
    <w:p w14:paraId="575C6979" w14:textId="77777777" w:rsidR="00817104" w:rsidRDefault="00817104" w:rsidP="00817104">
      <w:pPr>
        <w:pStyle w:val="Bullet1"/>
        <w:numPr>
          <w:ilvl w:val="0"/>
          <w:numId w:val="2"/>
        </w:numPr>
      </w:pPr>
      <w:r>
        <w:t>business-critical intellectual property (IP) phones and phone lines, and cloud phone systems</w:t>
      </w:r>
    </w:p>
    <w:p w14:paraId="0F472332" w14:textId="77777777" w:rsidR="00817104" w:rsidRPr="00B904F6" w:rsidRDefault="00817104" w:rsidP="00817104">
      <w:pPr>
        <w:pStyle w:val="Bullet1"/>
        <w:numPr>
          <w:ilvl w:val="0"/>
          <w:numId w:val="2"/>
        </w:numPr>
        <w:rPr>
          <w:rFonts w:ascii="Calibri" w:eastAsia="Calibri" w:hAnsi="Calibri" w:cs="Calibri"/>
          <w:color w:val="000000" w:themeColor="text1"/>
          <w:sz w:val="22"/>
          <w:szCs w:val="22"/>
        </w:rPr>
      </w:pPr>
      <w:r>
        <w:t>networked multifunction devices, printers, scanners and faxes</w:t>
      </w:r>
      <w:r w:rsidRPr="009C2041">
        <w:t xml:space="preserve"> </w:t>
      </w:r>
    </w:p>
    <w:p w14:paraId="371DFFA5" w14:textId="77777777" w:rsidR="00817104" w:rsidRPr="00B904F6" w:rsidRDefault="00817104" w:rsidP="00817104">
      <w:pPr>
        <w:pStyle w:val="Bullet1"/>
        <w:numPr>
          <w:ilvl w:val="0"/>
          <w:numId w:val="2"/>
        </w:numPr>
        <w:rPr>
          <w:rFonts w:ascii="Calibri" w:eastAsia="Calibri" w:hAnsi="Calibri" w:cs="Calibri"/>
          <w:color w:val="000000" w:themeColor="text1"/>
          <w:sz w:val="22"/>
          <w:szCs w:val="22"/>
        </w:rPr>
      </w:pPr>
      <w:r>
        <w:t>internet of things</w:t>
      </w:r>
    </w:p>
    <w:p w14:paraId="14E5258D" w14:textId="77777777" w:rsidR="00817104" w:rsidRPr="00B904F6" w:rsidRDefault="00817104" w:rsidP="00817104">
      <w:pPr>
        <w:pStyle w:val="Bullet1"/>
        <w:numPr>
          <w:ilvl w:val="0"/>
          <w:numId w:val="2"/>
        </w:numPr>
        <w:rPr>
          <w:rFonts w:ascii="Calibri" w:eastAsia="Calibri" w:hAnsi="Calibri" w:cs="Calibri"/>
          <w:color w:val="000000" w:themeColor="text1"/>
          <w:sz w:val="22"/>
          <w:szCs w:val="22"/>
        </w:rPr>
      </w:pPr>
      <w:r>
        <w:t xml:space="preserve">operational technology (including control systems) </w:t>
      </w:r>
    </w:p>
    <w:p w14:paraId="35DE4613" w14:textId="77777777" w:rsidR="00817104" w:rsidRDefault="00817104" w:rsidP="00817104">
      <w:pPr>
        <w:pStyle w:val="Bullet1"/>
        <w:numPr>
          <w:ilvl w:val="0"/>
          <w:numId w:val="2"/>
        </w:numPr>
      </w:pPr>
      <w:r>
        <w:t xml:space="preserve">medical </w:t>
      </w:r>
      <w:r w:rsidRPr="00D16E76">
        <w:rPr>
          <w:rFonts w:cs="Arial"/>
          <w:szCs w:val="21"/>
        </w:rPr>
        <w:t>d</w:t>
      </w:r>
      <w:r>
        <w:t xml:space="preserve">evices. </w:t>
      </w:r>
    </w:p>
    <w:p w14:paraId="2B33150E" w14:textId="77777777" w:rsidR="00817104" w:rsidRPr="00BB2615" w:rsidRDefault="00817104" w:rsidP="00817104">
      <w:pPr>
        <w:pStyle w:val="Bodyafterbullets"/>
      </w:pPr>
      <w:r>
        <w:t xml:space="preserve">The ICT software assets that are </w:t>
      </w:r>
      <w:r w:rsidRPr="00707386">
        <w:t>in</w:t>
      </w:r>
      <w:r>
        <w:t xml:space="preserve"> scope include: </w:t>
      </w:r>
    </w:p>
    <w:p w14:paraId="61BB7EDE" w14:textId="77777777" w:rsidR="00817104" w:rsidRDefault="00817104" w:rsidP="00817104">
      <w:pPr>
        <w:pStyle w:val="Bullet1"/>
        <w:numPr>
          <w:ilvl w:val="0"/>
          <w:numId w:val="2"/>
        </w:numPr>
      </w:pPr>
      <w:r>
        <w:t>applications (client-side, on-premises data centre and cloud-hosted)</w:t>
      </w:r>
    </w:p>
    <w:p w14:paraId="70FF011B" w14:textId="77777777" w:rsidR="00817104" w:rsidRDefault="00817104" w:rsidP="00817104">
      <w:pPr>
        <w:pStyle w:val="Bullet1"/>
        <w:numPr>
          <w:ilvl w:val="0"/>
          <w:numId w:val="2"/>
        </w:numPr>
      </w:pPr>
      <w:r>
        <w:t>databases and middleware</w:t>
      </w:r>
    </w:p>
    <w:p w14:paraId="01DA6FAF" w14:textId="77777777" w:rsidR="00817104" w:rsidRDefault="00817104" w:rsidP="00817104">
      <w:pPr>
        <w:pStyle w:val="Bullet1"/>
        <w:numPr>
          <w:ilvl w:val="0"/>
          <w:numId w:val="2"/>
        </w:numPr>
      </w:pPr>
      <w:r>
        <w:t>security certificates</w:t>
      </w:r>
    </w:p>
    <w:p w14:paraId="33FB3E41" w14:textId="77777777" w:rsidR="00817104" w:rsidRDefault="00817104" w:rsidP="00817104">
      <w:pPr>
        <w:pStyle w:val="Bullet1"/>
        <w:numPr>
          <w:ilvl w:val="0"/>
          <w:numId w:val="2"/>
        </w:numPr>
      </w:pPr>
      <w:r>
        <w:t>cloud applications</w:t>
      </w:r>
    </w:p>
    <w:p w14:paraId="48900780" w14:textId="77777777" w:rsidR="00817104" w:rsidRDefault="00817104" w:rsidP="00817104">
      <w:pPr>
        <w:pStyle w:val="Bullet1"/>
        <w:numPr>
          <w:ilvl w:val="0"/>
          <w:numId w:val="2"/>
        </w:numPr>
      </w:pPr>
      <w:r>
        <w:t>cloud platforms</w:t>
      </w:r>
    </w:p>
    <w:p w14:paraId="587C99B5" w14:textId="77777777" w:rsidR="00817104" w:rsidRDefault="00817104" w:rsidP="00817104">
      <w:pPr>
        <w:pStyle w:val="Bullet1"/>
        <w:numPr>
          <w:ilvl w:val="0"/>
          <w:numId w:val="2"/>
        </w:numPr>
      </w:pPr>
      <w:r>
        <w:t>cloud infrastructure.</w:t>
      </w:r>
    </w:p>
    <w:p w14:paraId="3F219749" w14:textId="77777777" w:rsidR="00817104" w:rsidRDefault="00817104" w:rsidP="00817104">
      <w:pPr>
        <w:pStyle w:val="Bodyafterbullets"/>
      </w:pPr>
      <w:r>
        <w:t xml:space="preserve">The ICT services assets that are </w:t>
      </w:r>
      <w:r w:rsidRPr="00707386">
        <w:t>in</w:t>
      </w:r>
      <w:r>
        <w:t xml:space="preserve"> scope include outsourced, third-party hosted and managed services. </w:t>
      </w:r>
    </w:p>
    <w:p w14:paraId="06B59FE5" w14:textId="77777777" w:rsidR="00817104" w:rsidRDefault="00817104" w:rsidP="00817104">
      <w:pPr>
        <w:pStyle w:val="Bodyafterbullets"/>
      </w:pPr>
      <w:r>
        <w:t>The department administers several capital grant programs to assist health services with the costs of hospital equipment and infrastructure replacement needs.</w:t>
      </w:r>
    </w:p>
    <w:p w14:paraId="00C3B58A" w14:textId="77777777" w:rsidR="00817104" w:rsidRDefault="00817104" w:rsidP="00817104">
      <w:pPr>
        <w:pStyle w:val="Bodyafterbullets"/>
      </w:pPr>
      <w:r>
        <w:t>These include the:</w:t>
      </w:r>
    </w:p>
    <w:p w14:paraId="6F181C16" w14:textId="77777777" w:rsidR="00817104" w:rsidRDefault="00817104" w:rsidP="00817104">
      <w:pPr>
        <w:pStyle w:val="Bullet1"/>
        <w:numPr>
          <w:ilvl w:val="0"/>
          <w:numId w:val="2"/>
        </w:numPr>
      </w:pPr>
      <w:r>
        <w:t>IRCG</w:t>
      </w:r>
    </w:p>
    <w:p w14:paraId="0AFA779A" w14:textId="77777777" w:rsidR="00817104" w:rsidRDefault="00817104" w:rsidP="00817104">
      <w:pPr>
        <w:pStyle w:val="Bullet1"/>
        <w:numPr>
          <w:ilvl w:val="0"/>
          <w:numId w:val="2"/>
        </w:numPr>
      </w:pPr>
      <w:r>
        <w:t>RHIF</w:t>
      </w:r>
    </w:p>
    <w:p w14:paraId="45CAF47C" w14:textId="77777777" w:rsidR="00817104" w:rsidRDefault="00817104" w:rsidP="00817104">
      <w:pPr>
        <w:pStyle w:val="Bullet1"/>
        <w:numPr>
          <w:ilvl w:val="0"/>
          <w:numId w:val="2"/>
        </w:numPr>
      </w:pPr>
      <w:r>
        <w:t>MHIF</w:t>
      </w:r>
    </w:p>
    <w:p w14:paraId="161212F7" w14:textId="77777777" w:rsidR="00817104" w:rsidRPr="00E470A2" w:rsidRDefault="00817104" w:rsidP="00817104">
      <w:pPr>
        <w:pStyle w:val="Bullet1"/>
        <w:numPr>
          <w:ilvl w:val="0"/>
          <w:numId w:val="2"/>
        </w:numPr>
      </w:pPr>
      <w:r w:rsidRPr="00A2152A">
        <w:t>Medical Equipment Replacement Program</w:t>
      </w:r>
    </w:p>
    <w:p w14:paraId="4E6E4002" w14:textId="77777777" w:rsidR="00817104" w:rsidRDefault="00817104" w:rsidP="00817104">
      <w:pPr>
        <w:pStyle w:val="Bullet1"/>
        <w:numPr>
          <w:ilvl w:val="0"/>
          <w:numId w:val="2"/>
        </w:numPr>
      </w:pPr>
      <w:r>
        <w:t>Engineering Infrastructure Replacement Program.</w:t>
      </w:r>
    </w:p>
    <w:p w14:paraId="769A61FE" w14:textId="77777777" w:rsidR="00817104" w:rsidRDefault="00817104" w:rsidP="00817104">
      <w:pPr>
        <w:pStyle w:val="Bodyafterbullets"/>
      </w:pPr>
      <w:r>
        <w:t xml:space="preserve">Health ICT asset management should align with the principles of these programs, since ICT is a dependency for hospital equipment and infrastructure. Further information is available in </w:t>
      </w:r>
      <w:hyperlink w:anchor="_Capital_funding_programs" w:history="1">
        <w:r w:rsidRPr="004C5BC5">
          <w:rPr>
            <w:rStyle w:val="Hyperlink"/>
          </w:rPr>
          <w:t>section 11</w:t>
        </w:r>
      </w:hyperlink>
      <w:r>
        <w:t xml:space="preserve">. </w:t>
      </w:r>
    </w:p>
    <w:p w14:paraId="1BAE423D" w14:textId="77777777" w:rsidR="00817104" w:rsidRDefault="00817104" w:rsidP="00817104">
      <w:pPr>
        <w:pStyle w:val="Bodyafterbullets"/>
      </w:pPr>
      <w:r w:rsidRPr="00CC13C1">
        <w:t xml:space="preserve">ICT asset management requirements are subject to periodic review to ensure continued alignment with risk, </w:t>
      </w:r>
      <w:r>
        <w:t>cyber</w:t>
      </w:r>
      <w:r w:rsidRPr="00CC13C1">
        <w:t>security and assurance expectations.</w:t>
      </w:r>
    </w:p>
    <w:p w14:paraId="072FE678" w14:textId="244B66DE" w:rsidR="00817104" w:rsidRPr="001467BB" w:rsidRDefault="00817104" w:rsidP="00817104">
      <w:pPr>
        <w:pStyle w:val="Heading2"/>
      </w:pPr>
      <w:bookmarkStart w:id="2656" w:name="_Digital_health_foundations"/>
      <w:bookmarkStart w:id="2657" w:name="_Toc165964750"/>
      <w:bookmarkStart w:id="2658" w:name="_Toc167174610"/>
      <w:bookmarkStart w:id="2659" w:name="_Toc224127319"/>
      <w:bookmarkStart w:id="2660" w:name="_Toc231982365"/>
      <w:bookmarkEnd w:id="2656"/>
      <w:r w:rsidRPr="001467BB">
        <w:t xml:space="preserve">Digital health </w:t>
      </w:r>
      <w:bookmarkEnd w:id="2657"/>
      <w:bookmarkEnd w:id="2658"/>
      <w:bookmarkEnd w:id="2659"/>
      <w:r w:rsidRPr="001467BB">
        <w:t>standards</w:t>
      </w:r>
      <w:bookmarkEnd w:id="2660"/>
    </w:p>
    <w:p w14:paraId="53A947EF" w14:textId="77777777" w:rsidR="00817104" w:rsidRDefault="00817104" w:rsidP="00817104">
      <w:pPr>
        <w:pStyle w:val="Body"/>
      </w:pPr>
      <w:r>
        <w:t>Victorian public health services must apply relevant statewide and national digital health standards, policies and guidelines when planning, delivering and operating digitally enabled programs and services.</w:t>
      </w:r>
    </w:p>
    <w:p w14:paraId="20397A76" w14:textId="77777777" w:rsidR="00817104" w:rsidRDefault="00817104" w:rsidP="00817104">
      <w:pPr>
        <w:pStyle w:val="Body"/>
      </w:pPr>
      <w:r>
        <w:t>Digital health standards set the minimum requirements health services must meet to ensure digital systems are safe, secure, resilient, compliant and interoperable, and support high</w:t>
      </w:r>
      <w:r>
        <w:rPr>
          <w:rFonts w:ascii="Cambria Math" w:hAnsi="Cambria Math" w:cs="Cambria Math"/>
        </w:rPr>
        <w:t>‑</w:t>
      </w:r>
      <w:r>
        <w:t>quality, reliable care across the Victorian public health system.</w:t>
      </w:r>
    </w:p>
    <w:p w14:paraId="581BC427" w14:textId="77777777" w:rsidR="00817104" w:rsidRPr="00D03115" w:rsidRDefault="00817104" w:rsidP="00817104">
      <w:pPr>
        <w:pStyle w:val="Body"/>
      </w:pPr>
      <w:r>
        <w:t xml:space="preserve">National digital health standards, specifications and implementation guidance are published by the Australian Digital Health Agency, with technical specifications available through </w:t>
      </w:r>
      <w:r w:rsidRPr="0021266B">
        <w:t>the</w:t>
      </w:r>
      <w:r>
        <w:t xml:space="preserve"> </w:t>
      </w:r>
      <w:hyperlink r:id="rId403">
        <w:r>
          <w:rPr>
            <w:rStyle w:val="Hyperlink"/>
          </w:rPr>
          <w:t>Digital Health Implementer Hub</w:t>
        </w:r>
      </w:hyperlink>
      <w:r>
        <w:t xml:space="preserve"> &lt;https://developer.digitalhealth.gov.au/?from=corporate&gt;.</w:t>
      </w:r>
      <w:r>
        <w:rPr>
          <w:lang w:val="en-US"/>
        </w:rPr>
        <w:t xml:space="preserve"> </w:t>
      </w:r>
    </w:p>
    <w:p w14:paraId="3C40EA5A" w14:textId="7BB610D6" w:rsidR="00817104" w:rsidRPr="008A3AA6" w:rsidRDefault="00817104" w:rsidP="00817104">
      <w:pPr>
        <w:pStyle w:val="Heading2"/>
      </w:pPr>
      <w:bookmarkStart w:id="2661" w:name="_Toc231982366"/>
      <w:r>
        <w:lastRenderedPageBreak/>
        <w:t>AI</w:t>
      </w:r>
      <w:bookmarkEnd w:id="2661"/>
    </w:p>
    <w:p w14:paraId="216B64E6" w14:textId="77777777" w:rsidR="00817104" w:rsidRDefault="00817104" w:rsidP="00817104">
      <w:r w:rsidRPr="002635F3">
        <w:t>AI systems are increasingly being proposed or used to support clinical care, operational decision</w:t>
      </w:r>
      <w:r w:rsidRPr="002635F3">
        <w:noBreakHyphen/>
        <w:t>making and service planning. While AI has the potential to improve care and efficiency, it also introduces new safety, ethical and governance risks.</w:t>
      </w:r>
    </w:p>
    <w:p w14:paraId="300A9C1B" w14:textId="77777777" w:rsidR="00817104" w:rsidRDefault="00817104" w:rsidP="00817104">
      <w:r>
        <w:t>T</w:t>
      </w:r>
      <w:r w:rsidRPr="003C1C1F">
        <w:t xml:space="preserve">he </w:t>
      </w:r>
      <w:r>
        <w:t>d</w:t>
      </w:r>
      <w:r w:rsidRPr="003C1C1F">
        <w:t xml:space="preserve">epartment provides statewide guidance for the safe and appropriate use of AI in the public health system. Health services </w:t>
      </w:r>
      <w:r>
        <w:t>should apply</w:t>
      </w:r>
      <w:r w:rsidRPr="003C1C1F">
        <w:t xml:space="preserve"> department</w:t>
      </w:r>
      <w:r>
        <w:rPr>
          <w:rFonts w:ascii="Cambria Math" w:hAnsi="Cambria Math" w:cs="Cambria Math"/>
        </w:rPr>
        <w:t>-</w:t>
      </w:r>
      <w:r w:rsidRPr="003C1C1F">
        <w:t>issued AI guidance and any associated standard</w:t>
      </w:r>
      <w:r>
        <w:t xml:space="preserve"> when implementing and operating AI solutions.</w:t>
      </w:r>
    </w:p>
    <w:p w14:paraId="22137567" w14:textId="77777777" w:rsidR="00817104" w:rsidRDefault="00817104" w:rsidP="00817104">
      <w:r>
        <w:t>These include:</w:t>
      </w:r>
    </w:p>
    <w:p w14:paraId="5F8BAFBB" w14:textId="77777777" w:rsidR="00817104" w:rsidRDefault="00817104" w:rsidP="00817104">
      <w:pPr>
        <w:pStyle w:val="Bullet1"/>
        <w:numPr>
          <w:ilvl w:val="0"/>
          <w:numId w:val="2"/>
        </w:numPr>
      </w:pPr>
      <w:r>
        <w:t>Standards for the use of AI in Victorian Public Health Services, which establish the minimum safety, ethical, legal and regulatory requirements that must be met before any AI solution is used</w:t>
      </w:r>
    </w:p>
    <w:p w14:paraId="0CE1856F" w14:textId="77777777" w:rsidR="00817104" w:rsidRDefault="00817104" w:rsidP="00817104">
      <w:pPr>
        <w:pStyle w:val="Bullet1"/>
        <w:numPr>
          <w:ilvl w:val="0"/>
          <w:numId w:val="2"/>
        </w:numPr>
      </w:pPr>
      <w:r>
        <w:t>Governance Models for AI Solutions in Victorian Public Health Services, which sets out proportionate, risk</w:t>
      </w:r>
      <w:r w:rsidRPr="000624B2">
        <w:rPr>
          <w:rFonts w:ascii="Cambria Math" w:hAnsi="Cambria Math" w:cs="Cambria Math"/>
        </w:rPr>
        <w:t>‑</w:t>
      </w:r>
      <w:r>
        <w:t>based governance, approval, monitoring and lifecycle management expectations for AI solutions</w:t>
      </w:r>
    </w:p>
    <w:p w14:paraId="42C8A766" w14:textId="77777777" w:rsidR="00817104" w:rsidRDefault="00817104" w:rsidP="00817104">
      <w:pPr>
        <w:pStyle w:val="Bullet1"/>
        <w:numPr>
          <w:ilvl w:val="0"/>
          <w:numId w:val="2"/>
        </w:numPr>
      </w:pPr>
      <w:r>
        <w:t>Roles, Responsibilities and Escalation Pathways for AI in Victorian Public Health Services, which defines accountability, and when and how AI</w:t>
      </w:r>
      <w:r w:rsidRPr="000624B2">
        <w:rPr>
          <w:rFonts w:ascii="Cambria Math" w:hAnsi="Cambria Math" w:cs="Cambria Math"/>
        </w:rPr>
        <w:t>‑</w:t>
      </w:r>
      <w:r>
        <w:t>related risks, issues and incidents must be escalated within health services and to the department</w:t>
      </w:r>
    </w:p>
    <w:p w14:paraId="26CAD71D" w14:textId="77777777" w:rsidR="00817104" w:rsidRDefault="00817104" w:rsidP="00817104">
      <w:pPr>
        <w:pStyle w:val="Bullet1"/>
        <w:numPr>
          <w:ilvl w:val="0"/>
          <w:numId w:val="2"/>
        </w:numPr>
      </w:pPr>
      <w:r>
        <w:t>Ambient AI Scribes Advisory, which sets specific requirements and constraints for the use of AI</w:t>
      </w:r>
      <w:r>
        <w:rPr>
          <w:rFonts w:ascii="Cambria Math" w:hAnsi="Cambria Math" w:cs="Cambria Math"/>
        </w:rPr>
        <w:t>-</w:t>
      </w:r>
      <w:r>
        <w:t>enabled clinical documentation tools.</w:t>
      </w:r>
    </w:p>
    <w:p w14:paraId="4EAB2BF5" w14:textId="77777777" w:rsidR="00817104" w:rsidRDefault="00817104" w:rsidP="00817104">
      <w:pPr>
        <w:spacing w:after="0" w:line="240" w:lineRule="auto"/>
        <w:rPr>
          <w:rFonts w:ascii="Times New Roman" w:hAnsi="Times New Roman"/>
          <w:sz w:val="20"/>
          <w:lang w:eastAsia="en-AU"/>
        </w:rPr>
      </w:pPr>
    </w:p>
    <w:p w14:paraId="17C2273B" w14:textId="77777777" w:rsidR="00817104" w:rsidRDefault="00817104" w:rsidP="00817104">
      <w:pPr>
        <w:spacing w:after="0" w:line="240" w:lineRule="auto"/>
        <w:rPr>
          <w:rFonts w:ascii="Times New Roman" w:hAnsi="Times New Roman"/>
          <w:sz w:val="20"/>
          <w:lang w:eastAsia="en-AU"/>
        </w:rPr>
      </w:pPr>
      <w:r>
        <w:rPr>
          <w:rFonts w:ascii="Times New Roman" w:hAnsi="Times New Roman"/>
          <w:sz w:val="20"/>
          <w:lang w:eastAsia="en-AU"/>
        </w:rPr>
        <w:br w:type="page"/>
      </w:r>
    </w:p>
    <w:p w14:paraId="0E67B204" w14:textId="77777777" w:rsidR="00817104" w:rsidRDefault="00817104" w:rsidP="008D45A5">
      <w:pPr>
        <w:pStyle w:val="Heading1"/>
      </w:pPr>
      <w:bookmarkStart w:id="2662" w:name="_Risk_management"/>
      <w:bookmarkStart w:id="2663" w:name="_Ref164675445"/>
      <w:bookmarkStart w:id="2664" w:name="_Toc165964751"/>
      <w:bookmarkStart w:id="2665" w:name="_Toc167174611"/>
      <w:bookmarkStart w:id="2666" w:name="_Toc224127320"/>
      <w:bookmarkStart w:id="2667" w:name="_Toc231982367"/>
      <w:bookmarkEnd w:id="2662"/>
      <w:r>
        <w:lastRenderedPageBreak/>
        <w:t xml:space="preserve">Risk </w:t>
      </w:r>
      <w:r w:rsidRPr="005D6C44">
        <w:t>management</w:t>
      </w:r>
      <w:bookmarkEnd w:id="2663"/>
      <w:bookmarkEnd w:id="2664"/>
      <w:bookmarkEnd w:id="2665"/>
      <w:bookmarkEnd w:id="2666"/>
      <w:bookmarkEnd w:id="2667"/>
    </w:p>
    <w:p w14:paraId="3B25040B" w14:textId="0EE5D53C" w:rsidR="00817104" w:rsidRDefault="00817104" w:rsidP="00817104">
      <w:pPr>
        <w:pStyle w:val="Heading2"/>
      </w:pPr>
      <w:bookmarkStart w:id="2668" w:name="_Toc165964752"/>
      <w:bookmarkStart w:id="2669" w:name="_Toc167174612"/>
      <w:bookmarkStart w:id="2670" w:name="_Toc224127321"/>
      <w:bookmarkStart w:id="2671" w:name="_Toc231982368"/>
      <w:r>
        <w:t>Risk management and assurance</w:t>
      </w:r>
      <w:bookmarkEnd w:id="2668"/>
      <w:bookmarkEnd w:id="2669"/>
      <w:bookmarkEnd w:id="2670"/>
      <w:bookmarkEnd w:id="2671"/>
    </w:p>
    <w:p w14:paraId="1618E381" w14:textId="77777777" w:rsidR="00817104" w:rsidRPr="00B61A4E" w:rsidRDefault="00817104" w:rsidP="00817104">
      <w:pPr>
        <w:pStyle w:val="Body"/>
      </w:pPr>
      <w:r>
        <w:t>Risk management and assurance activities are essential components of good corporate governance for all funded organisations. These activities facilitate better service outcomes and quality care, and minimise claims and losses.</w:t>
      </w:r>
    </w:p>
    <w:p w14:paraId="53DC869B" w14:textId="22321A38" w:rsidR="00817104" w:rsidRPr="007B7904" w:rsidRDefault="00817104" w:rsidP="00817104">
      <w:pPr>
        <w:pStyle w:val="Heading3"/>
      </w:pPr>
      <w:r>
        <w:t>Risk management</w:t>
      </w:r>
    </w:p>
    <w:p w14:paraId="4E24D1BB" w14:textId="77777777" w:rsidR="00817104" w:rsidRPr="005D6C44" w:rsidRDefault="00817104" w:rsidP="00817104">
      <w:pPr>
        <w:pStyle w:val="Body"/>
      </w:pPr>
      <w:r w:rsidRPr="005D6C44">
        <w:t xml:space="preserve">The </w:t>
      </w:r>
      <w:r w:rsidRPr="005D07D5">
        <w:rPr>
          <w:i/>
          <w:iCs/>
        </w:rPr>
        <w:t>Health Services Act 1988</w:t>
      </w:r>
      <w:r w:rsidRPr="005A7322">
        <w:t xml:space="preserve">, </w:t>
      </w:r>
      <w:r w:rsidRPr="005D07D5">
        <w:rPr>
          <w:i/>
          <w:iCs/>
        </w:rPr>
        <w:t>Public Administration Act 2004</w:t>
      </w:r>
      <w:r w:rsidRPr="005A7322">
        <w:t xml:space="preserve"> </w:t>
      </w:r>
      <w:r w:rsidRPr="005D6C44">
        <w:t>and the</w:t>
      </w:r>
      <w:r w:rsidRPr="005A7322">
        <w:t xml:space="preserve"> </w:t>
      </w:r>
      <w:r w:rsidRPr="005D07D5">
        <w:rPr>
          <w:i/>
          <w:iCs/>
        </w:rPr>
        <w:t xml:space="preserve">Financial Management Act 1994 </w:t>
      </w:r>
      <w:r w:rsidRPr="005D6C44">
        <w:t>require funded organisations to have effective and accountable risk management systems and strategies in place.</w:t>
      </w:r>
    </w:p>
    <w:p w14:paraId="758EE293" w14:textId="77777777" w:rsidR="00817104" w:rsidRPr="00B61A4E" w:rsidRDefault="00817104" w:rsidP="00817104">
      <w:pPr>
        <w:pStyle w:val="Body"/>
      </w:pPr>
      <w:r>
        <w:t>Health service management and boards are responsible for their organisation’s governance, risk management and control processes. Internal auditors assist both management and the audit committee by examining, evaluating, reporting and recommending improvements to the adequacy, efficiencies and effectiveness of these processes.</w:t>
      </w:r>
    </w:p>
    <w:p w14:paraId="059713F9" w14:textId="77777777" w:rsidR="00817104" w:rsidRPr="005D6C44" w:rsidRDefault="00817104" w:rsidP="00817104">
      <w:pPr>
        <w:pStyle w:val="Body"/>
      </w:pPr>
      <w:r w:rsidRPr="005D6C44">
        <w:t xml:space="preserve">To ensure risks are being managed </w:t>
      </w:r>
      <w:r>
        <w:t>consistently</w:t>
      </w:r>
      <w:r w:rsidRPr="005D6C44">
        <w:t xml:space="preserve">, some funded organisations are required under the department’s service agreement, </w:t>
      </w:r>
      <w:r w:rsidRPr="005A7322">
        <w:t>Standing Direction 3.7.1</w:t>
      </w:r>
      <w:r w:rsidRPr="005D6C44">
        <w:rPr>
          <w:i/>
          <w:iCs/>
        </w:rPr>
        <w:t xml:space="preserve"> </w:t>
      </w:r>
      <w:r w:rsidRPr="005A7322">
        <w:t>of the</w:t>
      </w:r>
      <w:r w:rsidRPr="005D6C44">
        <w:rPr>
          <w:i/>
          <w:iCs/>
        </w:rPr>
        <w:t xml:space="preserve"> Standing Directions of the Minister for Finance</w:t>
      </w:r>
      <w:r w:rsidRPr="005D6C44">
        <w:t xml:space="preserve"> and the </w:t>
      </w:r>
      <w:r w:rsidRPr="004A5E07">
        <w:rPr>
          <w:i/>
          <w:iCs/>
        </w:rPr>
        <w:t>Victorian Government risk management framework</w:t>
      </w:r>
      <w:r w:rsidRPr="005D6C44">
        <w:t xml:space="preserve"> to attest annually that the responsible body is satisfied that:</w:t>
      </w:r>
    </w:p>
    <w:p w14:paraId="0FE5E099" w14:textId="77777777" w:rsidR="00817104" w:rsidRPr="00FB4CA1" w:rsidRDefault="00817104" w:rsidP="00817104">
      <w:pPr>
        <w:pStyle w:val="Bullet1"/>
        <w:numPr>
          <w:ilvl w:val="0"/>
          <w:numId w:val="2"/>
        </w:numPr>
      </w:pPr>
      <w:r>
        <w:t>the organisation has a risk management framework in place, consistent with AS ISO 31000:2018 Risk Management – Guidelines</w:t>
      </w:r>
    </w:p>
    <w:p w14:paraId="00E5F659" w14:textId="77777777" w:rsidR="00817104" w:rsidRPr="00FB4CA1" w:rsidRDefault="00817104" w:rsidP="00817104">
      <w:pPr>
        <w:pStyle w:val="Bullet1"/>
        <w:numPr>
          <w:ilvl w:val="0"/>
          <w:numId w:val="2"/>
        </w:numPr>
      </w:pPr>
      <w:r>
        <w:t xml:space="preserve">the risk management framework is reviewed annually to ensure it remains current and is enhanced as required, and that the organisation demonstrates a positive risk culture </w:t>
      </w:r>
    </w:p>
    <w:p w14:paraId="1128609E" w14:textId="77777777" w:rsidR="00817104" w:rsidRPr="00FB4CA1" w:rsidRDefault="00817104" w:rsidP="00817104">
      <w:pPr>
        <w:pStyle w:val="Bullet1"/>
        <w:numPr>
          <w:ilvl w:val="0"/>
          <w:numId w:val="2"/>
        </w:numPr>
      </w:pPr>
      <w:r>
        <w:t>the organisation defines its risk appetite</w:t>
      </w:r>
    </w:p>
    <w:p w14:paraId="550F4E49" w14:textId="77777777" w:rsidR="00817104" w:rsidRPr="00FB4CA1" w:rsidRDefault="00817104" w:rsidP="00817104">
      <w:pPr>
        <w:pStyle w:val="Bullet1"/>
        <w:numPr>
          <w:ilvl w:val="0"/>
          <w:numId w:val="2"/>
        </w:numPr>
      </w:pPr>
      <w:r>
        <w:t>it is clear who is responsible for managing each risk</w:t>
      </w:r>
    </w:p>
    <w:p w14:paraId="473B3766" w14:textId="77777777" w:rsidR="00817104" w:rsidRPr="00FB4CA1" w:rsidRDefault="00817104" w:rsidP="00817104">
      <w:pPr>
        <w:pStyle w:val="Bullet1"/>
        <w:numPr>
          <w:ilvl w:val="0"/>
          <w:numId w:val="2"/>
        </w:numPr>
      </w:pPr>
      <w:r>
        <w:t>shared risks are identified and managed through communication, collaboration and/or coordination, by the affected agencies</w:t>
      </w:r>
    </w:p>
    <w:p w14:paraId="45C9235D" w14:textId="77777777" w:rsidR="00817104" w:rsidRPr="00FB4CA1" w:rsidRDefault="00817104" w:rsidP="00817104">
      <w:pPr>
        <w:pStyle w:val="Bullet1"/>
        <w:numPr>
          <w:ilvl w:val="0"/>
          <w:numId w:val="2"/>
        </w:numPr>
      </w:pPr>
      <w:r>
        <w:t>the organisation contributes to the identification and management of shared risks, as appropriate</w:t>
      </w:r>
    </w:p>
    <w:p w14:paraId="505E826C" w14:textId="77777777" w:rsidR="00817104" w:rsidRPr="00FB4CA1" w:rsidRDefault="00817104" w:rsidP="00817104">
      <w:pPr>
        <w:pStyle w:val="Bullet1"/>
        <w:numPr>
          <w:ilvl w:val="0"/>
          <w:numId w:val="2"/>
        </w:numPr>
      </w:pPr>
      <w:r>
        <w:t>strategic and business planning, and decision-making processes embed risk management and demonstrate consideration of the organisation’s material risks</w:t>
      </w:r>
    </w:p>
    <w:p w14:paraId="54BE48B1" w14:textId="77777777" w:rsidR="00817104" w:rsidRPr="00FB4CA1" w:rsidRDefault="00817104" w:rsidP="00817104">
      <w:pPr>
        <w:pStyle w:val="Bullet1"/>
        <w:numPr>
          <w:ilvl w:val="0"/>
          <w:numId w:val="2"/>
        </w:numPr>
      </w:pPr>
      <w:r>
        <w:t>adequate resources are assigned to risk management</w:t>
      </w:r>
    </w:p>
    <w:p w14:paraId="22F797E0" w14:textId="77777777" w:rsidR="00817104" w:rsidRPr="00FB4CA1" w:rsidRDefault="00817104" w:rsidP="00817104">
      <w:pPr>
        <w:pStyle w:val="Bullet1"/>
        <w:numPr>
          <w:ilvl w:val="0"/>
          <w:numId w:val="2"/>
        </w:numPr>
      </w:pPr>
      <w:r>
        <w:t>the organisation’s risk profile and risk appetite is reviewed at least annually.</w:t>
      </w:r>
    </w:p>
    <w:p w14:paraId="0F8A4398" w14:textId="77777777" w:rsidR="00817104" w:rsidRPr="004F08F8" w:rsidRDefault="00817104" w:rsidP="00817104">
      <w:pPr>
        <w:pStyle w:val="Bodyafterbullets"/>
      </w:pPr>
      <w:r>
        <w:t>An organisation’s risk management framework can consist of:</w:t>
      </w:r>
    </w:p>
    <w:p w14:paraId="464FE22E" w14:textId="77777777" w:rsidR="00817104" w:rsidRPr="00FB4CA1" w:rsidRDefault="00817104" w:rsidP="00817104">
      <w:pPr>
        <w:pStyle w:val="Bullet1"/>
        <w:numPr>
          <w:ilvl w:val="0"/>
          <w:numId w:val="2"/>
        </w:numPr>
      </w:pPr>
      <w:r>
        <w:t>a risk management policy and plan that integrates with corporate and business planning</w:t>
      </w:r>
    </w:p>
    <w:p w14:paraId="01A4CEE3" w14:textId="77777777" w:rsidR="00817104" w:rsidRPr="00FB4CA1" w:rsidRDefault="00817104" w:rsidP="00817104">
      <w:pPr>
        <w:pStyle w:val="Bullet1"/>
        <w:numPr>
          <w:ilvl w:val="0"/>
          <w:numId w:val="2"/>
        </w:numPr>
      </w:pPr>
      <w:r>
        <w:t>risk appetite statements</w:t>
      </w:r>
    </w:p>
    <w:p w14:paraId="2AA19B94" w14:textId="77777777" w:rsidR="00817104" w:rsidRPr="00FB4CA1" w:rsidRDefault="00817104" w:rsidP="00817104">
      <w:pPr>
        <w:pStyle w:val="Bullet1"/>
        <w:numPr>
          <w:ilvl w:val="0"/>
          <w:numId w:val="2"/>
        </w:numPr>
      </w:pPr>
      <w:r>
        <w:t>risk registers and profiles</w:t>
      </w:r>
    </w:p>
    <w:p w14:paraId="14DA50B0" w14:textId="77777777" w:rsidR="00817104" w:rsidRPr="00FB4CA1" w:rsidRDefault="00817104" w:rsidP="00817104">
      <w:pPr>
        <w:pStyle w:val="Bullet1"/>
        <w:numPr>
          <w:ilvl w:val="0"/>
          <w:numId w:val="2"/>
        </w:numPr>
      </w:pPr>
      <w:r>
        <w:t>an incident management system</w:t>
      </w:r>
    </w:p>
    <w:p w14:paraId="16563FB4" w14:textId="77777777" w:rsidR="00817104" w:rsidRPr="00FB4CA1" w:rsidRDefault="00817104" w:rsidP="00817104">
      <w:pPr>
        <w:pStyle w:val="Bullet1"/>
        <w:numPr>
          <w:ilvl w:val="0"/>
          <w:numId w:val="2"/>
        </w:numPr>
      </w:pPr>
      <w:r>
        <w:t>risk management tools, templates and training</w:t>
      </w:r>
    </w:p>
    <w:p w14:paraId="05D68A5D" w14:textId="77777777" w:rsidR="00817104" w:rsidRPr="00FB4CA1" w:rsidRDefault="00817104" w:rsidP="00817104">
      <w:pPr>
        <w:pStyle w:val="Bullet1"/>
        <w:numPr>
          <w:ilvl w:val="0"/>
          <w:numId w:val="2"/>
        </w:numPr>
      </w:pPr>
      <w:r>
        <w:t>business continuity, cybersecurity and emergency management plans</w:t>
      </w:r>
    </w:p>
    <w:p w14:paraId="1286C2D4" w14:textId="77777777" w:rsidR="00817104" w:rsidRPr="00FB4CA1" w:rsidRDefault="00817104" w:rsidP="00817104">
      <w:pPr>
        <w:pStyle w:val="Bullet1"/>
        <w:numPr>
          <w:ilvl w:val="0"/>
          <w:numId w:val="2"/>
        </w:numPr>
      </w:pPr>
      <w:r>
        <w:t>compliance and quality systems</w:t>
      </w:r>
    </w:p>
    <w:p w14:paraId="56ED0137" w14:textId="77777777" w:rsidR="00817104" w:rsidRPr="00FB4CA1" w:rsidRDefault="00817104" w:rsidP="00817104">
      <w:pPr>
        <w:pStyle w:val="Bullet1"/>
        <w:numPr>
          <w:ilvl w:val="0"/>
          <w:numId w:val="2"/>
        </w:numPr>
      </w:pPr>
      <w:r>
        <w:t>a fraud and corruption control plan.</w:t>
      </w:r>
    </w:p>
    <w:p w14:paraId="5D547408" w14:textId="77777777" w:rsidR="00817104" w:rsidRPr="00F826DC" w:rsidRDefault="00817104" w:rsidP="00817104">
      <w:pPr>
        <w:pStyle w:val="Bodyafterbullets"/>
      </w:pPr>
      <w:r>
        <w:lastRenderedPageBreak/>
        <w:t>These components assist funded organisations to develop an effective positive risk and organisational culture, which includes clinical and all other operational activities.</w:t>
      </w:r>
    </w:p>
    <w:p w14:paraId="0BF43F5C" w14:textId="77777777" w:rsidR="00817104" w:rsidRPr="00B61A4E" w:rsidRDefault="00817104" w:rsidP="00817104">
      <w:pPr>
        <w:pStyle w:val="Body"/>
      </w:pPr>
      <w:r>
        <w:t>Health services should articulate how they manage asset-related risk in their asset management strategy, developed as part of their compliance with the AMAF.</w:t>
      </w:r>
    </w:p>
    <w:p w14:paraId="342F67D7" w14:textId="77777777" w:rsidR="00817104" w:rsidRDefault="00817104" w:rsidP="00817104">
      <w:pPr>
        <w:pStyle w:val="Body"/>
        <w:rPr>
          <w:rFonts w:cs="Calibri"/>
        </w:rPr>
      </w:pPr>
      <w:r w:rsidRPr="0670E279">
        <w:rPr>
          <w:rFonts w:cs="Calibri"/>
        </w:rPr>
        <w:t>For more information</w:t>
      </w:r>
      <w:r>
        <w:rPr>
          <w:rFonts w:cs="Calibri"/>
        </w:rPr>
        <w:t>, visit:</w:t>
      </w:r>
    </w:p>
    <w:p w14:paraId="19AF7E85" w14:textId="77777777" w:rsidR="00817104" w:rsidRDefault="00817104" w:rsidP="00817104">
      <w:pPr>
        <w:pStyle w:val="Bullet1"/>
        <w:numPr>
          <w:ilvl w:val="0"/>
          <w:numId w:val="2"/>
        </w:numPr>
      </w:pPr>
      <w:hyperlink r:id="rId404">
        <w:r>
          <w:rPr>
            <w:rStyle w:val="Hyperlink"/>
            <w:rFonts w:cs="Calibri"/>
          </w:rPr>
          <w:t>AS ISO 31000:2018 Ri</w:t>
        </w:r>
        <w:r w:rsidRPr="0670E279">
          <w:rPr>
            <w:rStyle w:val="Hyperlink"/>
            <w:rFonts w:cs="Calibri"/>
          </w:rPr>
          <w:t>sk management</w:t>
        </w:r>
      </w:hyperlink>
      <w:r w:rsidRPr="0670E279">
        <w:rPr>
          <w:rFonts w:cs="Calibri"/>
        </w:rPr>
        <w:t xml:space="preserve"> </w:t>
      </w:r>
      <w:r>
        <w:t>&lt;https://infostore.saiglobal.com/en-au/Standards/AS-ISO-31000-2018-1134720_SAIG_AS_AS_2680492&gt;</w:t>
      </w:r>
    </w:p>
    <w:p w14:paraId="7C957EDE" w14:textId="77777777" w:rsidR="00817104" w:rsidRPr="00D54FCE" w:rsidRDefault="00817104" w:rsidP="00817104">
      <w:pPr>
        <w:pStyle w:val="Bullet1"/>
        <w:numPr>
          <w:ilvl w:val="0"/>
          <w:numId w:val="2"/>
        </w:numPr>
      </w:pPr>
      <w:hyperlink r:id="rId405">
        <w:r>
          <w:rPr>
            <w:rStyle w:val="Hyperlink"/>
          </w:rPr>
          <w:t>HB 158-2010 R</w:t>
        </w:r>
        <w:r w:rsidRPr="0670E279">
          <w:rPr>
            <w:rStyle w:val="Hyperlink"/>
          </w:rPr>
          <w:t xml:space="preserve">isk management – </w:t>
        </w:r>
        <w:r>
          <w:rPr>
            <w:rStyle w:val="Hyperlink"/>
          </w:rPr>
          <w:t>p</w:t>
        </w:r>
        <w:r w:rsidRPr="0670E279">
          <w:rPr>
            <w:rStyle w:val="Hyperlink"/>
          </w:rPr>
          <w:t>rinciples and guidelines</w:t>
        </w:r>
      </w:hyperlink>
      <w:r w:rsidRPr="0670E279">
        <w:rPr>
          <w:rStyle w:val="Hyperlink"/>
        </w:rPr>
        <w:t xml:space="preserve"> </w:t>
      </w:r>
      <w:r w:rsidRPr="0670E279">
        <w:rPr>
          <w:rFonts w:cs="Calibri"/>
        </w:rPr>
        <w:t>&lt;</w:t>
      </w:r>
      <w:r>
        <w:t>https://infostore.saiglobal.com/en-au/Standards/HB-158-2010-129591_SAIG_AS_AS_274229&gt;.</w:t>
      </w:r>
    </w:p>
    <w:p w14:paraId="0E310097" w14:textId="77248B64" w:rsidR="00817104" w:rsidRPr="007B7904" w:rsidRDefault="00817104" w:rsidP="00817104">
      <w:pPr>
        <w:pStyle w:val="Heading3"/>
      </w:pPr>
      <w:r>
        <w:t>Assurance activities</w:t>
      </w:r>
    </w:p>
    <w:p w14:paraId="08F050BD" w14:textId="77777777" w:rsidR="00817104" w:rsidRDefault="00817104" w:rsidP="00817104">
      <w:pPr>
        <w:pStyle w:val="Body"/>
      </w:pPr>
      <w:r>
        <w:t>Assurance activities provide a degree of confidence regarding the outcome of the evaluation or measurement of the subject matter against predetermined criteria.</w:t>
      </w:r>
    </w:p>
    <w:p w14:paraId="065618C3" w14:textId="77777777" w:rsidR="00817104" w:rsidRPr="00B61A4E" w:rsidRDefault="00817104" w:rsidP="00817104">
      <w:pPr>
        <w:pStyle w:val="Body"/>
      </w:pPr>
      <w:r>
        <w:t>The subject matter can take many forms, such as:</w:t>
      </w:r>
    </w:p>
    <w:p w14:paraId="3000A9DD" w14:textId="77777777" w:rsidR="00817104" w:rsidRPr="00FB4CA1" w:rsidRDefault="00817104" w:rsidP="00817104">
      <w:pPr>
        <w:pStyle w:val="Bullet1"/>
        <w:numPr>
          <w:ilvl w:val="0"/>
          <w:numId w:val="2"/>
        </w:numPr>
      </w:pPr>
      <w:r>
        <w:t>corporate governance practices</w:t>
      </w:r>
    </w:p>
    <w:p w14:paraId="24813F88" w14:textId="77777777" w:rsidR="00817104" w:rsidRPr="00FB4CA1" w:rsidRDefault="00817104" w:rsidP="00817104">
      <w:pPr>
        <w:pStyle w:val="Bullet1"/>
        <w:numPr>
          <w:ilvl w:val="0"/>
          <w:numId w:val="2"/>
        </w:numPr>
      </w:pPr>
      <w:r>
        <w:t>management of risk</w:t>
      </w:r>
    </w:p>
    <w:p w14:paraId="0D6EF962" w14:textId="77777777" w:rsidR="00817104" w:rsidRPr="00FB4CA1" w:rsidRDefault="00817104" w:rsidP="00817104">
      <w:pPr>
        <w:pStyle w:val="Bullet1"/>
        <w:numPr>
          <w:ilvl w:val="0"/>
          <w:numId w:val="2"/>
        </w:numPr>
      </w:pPr>
      <w:r>
        <w:t>effectiveness and efficiency of operations</w:t>
      </w:r>
    </w:p>
    <w:p w14:paraId="7561E82F" w14:textId="77777777" w:rsidR="00817104" w:rsidRPr="00FB4CA1" w:rsidRDefault="00817104" w:rsidP="00817104">
      <w:pPr>
        <w:pStyle w:val="Bullet1"/>
        <w:numPr>
          <w:ilvl w:val="0"/>
          <w:numId w:val="2"/>
        </w:numPr>
      </w:pPr>
      <w:r>
        <w:t>systems, processes, people and performance</w:t>
      </w:r>
    </w:p>
    <w:p w14:paraId="48154D22" w14:textId="77777777" w:rsidR="00817104" w:rsidRPr="00FB4CA1" w:rsidRDefault="00817104" w:rsidP="00817104">
      <w:pPr>
        <w:pStyle w:val="Bullet1"/>
        <w:numPr>
          <w:ilvl w:val="0"/>
          <w:numId w:val="2"/>
        </w:numPr>
      </w:pPr>
      <w:r>
        <w:t>data reliability, completeness, integrity and availability</w:t>
      </w:r>
    </w:p>
    <w:p w14:paraId="743CE724" w14:textId="77777777" w:rsidR="00817104" w:rsidRPr="00FB4CA1" w:rsidRDefault="00817104" w:rsidP="00817104">
      <w:pPr>
        <w:pStyle w:val="Bullet1"/>
        <w:numPr>
          <w:ilvl w:val="0"/>
          <w:numId w:val="2"/>
        </w:numPr>
      </w:pPr>
      <w:r>
        <w:t>accreditation and certifications</w:t>
      </w:r>
    </w:p>
    <w:p w14:paraId="5F7C4F74" w14:textId="77777777" w:rsidR="00817104" w:rsidRPr="00FB4CA1" w:rsidRDefault="00817104" w:rsidP="00817104">
      <w:pPr>
        <w:pStyle w:val="Bullet1"/>
        <w:numPr>
          <w:ilvl w:val="0"/>
          <w:numId w:val="2"/>
        </w:numPr>
      </w:pPr>
      <w:r>
        <w:t>patient or client outcomes and satisfaction</w:t>
      </w:r>
    </w:p>
    <w:p w14:paraId="3F010D40" w14:textId="77777777" w:rsidR="00817104" w:rsidRPr="00FB4CA1" w:rsidRDefault="00817104" w:rsidP="00817104">
      <w:pPr>
        <w:pStyle w:val="Bullet1"/>
        <w:numPr>
          <w:ilvl w:val="0"/>
          <w:numId w:val="2"/>
        </w:numPr>
      </w:pPr>
      <w:r>
        <w:t>compliance with laws, regulations and contracts.</w:t>
      </w:r>
    </w:p>
    <w:p w14:paraId="2666309C" w14:textId="77777777" w:rsidR="00817104" w:rsidRPr="00B61A4E" w:rsidRDefault="00817104" w:rsidP="00817104">
      <w:pPr>
        <w:pStyle w:val="Bodyafterbullets"/>
      </w:pPr>
      <w:r>
        <w:t>Internal and external audits (which are independent), second-line reviews, attestations, accreditations and surveys are some categories of assurance activities, which funded organisations may use to provide reasonable assurance to their board, audit committee and management that they are on track to achieve their objectives.</w:t>
      </w:r>
    </w:p>
    <w:p w14:paraId="39639AC7" w14:textId="77777777" w:rsidR="00817104" w:rsidRPr="00B61A4E" w:rsidRDefault="00817104" w:rsidP="00817104">
      <w:pPr>
        <w:pStyle w:val="Body"/>
      </w:pPr>
      <w:r>
        <w:t>An organisation’s assurance framework can consist of:</w:t>
      </w:r>
    </w:p>
    <w:p w14:paraId="3D35906C" w14:textId="77777777" w:rsidR="00817104" w:rsidRPr="00FB4CA1" w:rsidRDefault="00817104" w:rsidP="00817104">
      <w:pPr>
        <w:pStyle w:val="Bullet1"/>
        <w:numPr>
          <w:ilvl w:val="0"/>
          <w:numId w:val="2"/>
        </w:numPr>
      </w:pPr>
      <w:r>
        <w:t>an assurance strategy aligned to the internationally accepted three-lines model</w:t>
      </w:r>
    </w:p>
    <w:p w14:paraId="4AF247B1" w14:textId="77777777" w:rsidR="00817104" w:rsidRPr="00FB4CA1" w:rsidRDefault="00817104" w:rsidP="00817104">
      <w:pPr>
        <w:pStyle w:val="Bullet1"/>
        <w:numPr>
          <w:ilvl w:val="0"/>
          <w:numId w:val="2"/>
        </w:numPr>
      </w:pPr>
      <w:r>
        <w:t>an internal audit function aligned to internal audit standards</w:t>
      </w:r>
    </w:p>
    <w:p w14:paraId="4BB51D94" w14:textId="77777777" w:rsidR="00817104" w:rsidRDefault="00817104" w:rsidP="00817104">
      <w:pPr>
        <w:pStyle w:val="Bullet1"/>
        <w:numPr>
          <w:ilvl w:val="0"/>
          <w:numId w:val="2"/>
        </w:numPr>
      </w:pPr>
      <w:r>
        <w:t>an assurance map detailing the sources of all assurance activities</w:t>
      </w:r>
    </w:p>
    <w:p w14:paraId="7E3C8D28" w14:textId="77777777" w:rsidR="00817104" w:rsidRPr="00FB4CA1" w:rsidRDefault="00817104" w:rsidP="00817104">
      <w:pPr>
        <w:pStyle w:val="Bullet1"/>
        <w:numPr>
          <w:ilvl w:val="0"/>
          <w:numId w:val="2"/>
        </w:numPr>
      </w:pPr>
      <w:r>
        <w:t xml:space="preserve">management assurance mechanisms, such as control self-assessments, certifications and attestations </w:t>
      </w:r>
    </w:p>
    <w:p w14:paraId="740021ED" w14:textId="77777777" w:rsidR="00817104" w:rsidRPr="00FB4CA1" w:rsidRDefault="00817104" w:rsidP="00817104">
      <w:pPr>
        <w:pStyle w:val="Bullet1"/>
        <w:numPr>
          <w:ilvl w:val="0"/>
          <w:numId w:val="2"/>
        </w:numPr>
      </w:pPr>
      <w:r>
        <w:t>registers and reports to track implementation progress of management actions to address issues and recommendations</w:t>
      </w:r>
    </w:p>
    <w:p w14:paraId="44227E9A" w14:textId="77777777" w:rsidR="00817104" w:rsidRPr="00FB4CA1" w:rsidRDefault="00817104" w:rsidP="00817104">
      <w:pPr>
        <w:pStyle w:val="Bullet1"/>
        <w:numPr>
          <w:ilvl w:val="0"/>
          <w:numId w:val="2"/>
        </w:numPr>
      </w:pPr>
      <w:r>
        <w:t>key performance indicators of assurance activities.</w:t>
      </w:r>
    </w:p>
    <w:p w14:paraId="7A5FBD5F" w14:textId="50046C3F" w:rsidR="00817104" w:rsidRDefault="00817104" w:rsidP="00817104">
      <w:pPr>
        <w:pStyle w:val="Heading3"/>
      </w:pPr>
      <w:r>
        <w:t>Integrity governance</w:t>
      </w:r>
    </w:p>
    <w:p w14:paraId="45F0E723" w14:textId="77777777" w:rsidR="00817104" w:rsidRDefault="00817104" w:rsidP="00817104">
      <w:pPr>
        <w:pStyle w:val="Body"/>
      </w:pPr>
      <w:r>
        <w:t>Publicly funded health services are expected to use resources in a responsible and ethical manner that delivers value for money. All health services must have the appropriate assessment and mitigation strategies in place to ensure robust integrity practice across their organisation.</w:t>
      </w:r>
    </w:p>
    <w:p w14:paraId="45E00CD8" w14:textId="77777777" w:rsidR="00817104" w:rsidRPr="00A47CE8" w:rsidRDefault="00817104" w:rsidP="00817104">
      <w:pPr>
        <w:pStyle w:val="Body"/>
      </w:pPr>
      <w:r>
        <w:t xml:space="preserve">The </w:t>
      </w:r>
      <w:r w:rsidRPr="0670E279">
        <w:rPr>
          <w:i/>
          <w:iCs/>
        </w:rPr>
        <w:t>Integrity governance framework</w:t>
      </w:r>
      <w:r>
        <w:t xml:space="preserve"> and assessment tool have been developed as a good practice assessment and reporting tool to guide and support robust integrity practice.</w:t>
      </w:r>
    </w:p>
    <w:p w14:paraId="3F59A039" w14:textId="77777777" w:rsidR="00817104" w:rsidRPr="00A47CE8" w:rsidRDefault="00817104" w:rsidP="00817104">
      <w:pPr>
        <w:pStyle w:val="Body"/>
      </w:pPr>
      <w:r>
        <w:lastRenderedPageBreak/>
        <w:t xml:space="preserve">The framework is aimed at health service leaders of all levels, including team leaders, managers, executive management and the board. It emphasises the important role that leadership plays in managing integrity risks, and that risks can occur at any level of an organisation. </w:t>
      </w:r>
    </w:p>
    <w:p w14:paraId="6C6477CE" w14:textId="77777777" w:rsidR="00817104" w:rsidRDefault="00817104" w:rsidP="00817104">
      <w:pPr>
        <w:pStyle w:val="Body"/>
      </w:pPr>
      <w:r>
        <w:t>The tool focuses on four domains of integrity risks within a health service, being:</w:t>
      </w:r>
    </w:p>
    <w:p w14:paraId="65551684" w14:textId="77777777" w:rsidR="00817104" w:rsidRDefault="00817104" w:rsidP="00817104">
      <w:pPr>
        <w:pStyle w:val="Bullet1"/>
        <w:numPr>
          <w:ilvl w:val="0"/>
          <w:numId w:val="2"/>
        </w:numPr>
      </w:pPr>
      <w:r>
        <w:t>employment principles and personnel procurement</w:t>
      </w:r>
    </w:p>
    <w:p w14:paraId="0C4DA963" w14:textId="77777777" w:rsidR="00817104" w:rsidRDefault="00817104" w:rsidP="00817104">
      <w:pPr>
        <w:pStyle w:val="Bullet1"/>
        <w:numPr>
          <w:ilvl w:val="0"/>
          <w:numId w:val="2"/>
        </w:numPr>
      </w:pPr>
      <w:r>
        <w:t>contract and project management</w:t>
      </w:r>
    </w:p>
    <w:p w14:paraId="1A67EFDE" w14:textId="77777777" w:rsidR="00817104" w:rsidRDefault="00817104" w:rsidP="00817104">
      <w:pPr>
        <w:pStyle w:val="Bullet1"/>
        <w:numPr>
          <w:ilvl w:val="0"/>
          <w:numId w:val="2"/>
        </w:numPr>
      </w:pPr>
      <w:r>
        <w:t>finance</w:t>
      </w:r>
    </w:p>
    <w:p w14:paraId="2069D445" w14:textId="77777777" w:rsidR="00817104" w:rsidRDefault="00817104" w:rsidP="00817104">
      <w:pPr>
        <w:pStyle w:val="Bullet1"/>
        <w:numPr>
          <w:ilvl w:val="0"/>
          <w:numId w:val="2"/>
        </w:numPr>
      </w:pPr>
      <w:r>
        <w:t>governance.</w:t>
      </w:r>
    </w:p>
    <w:p w14:paraId="17010C86" w14:textId="77777777" w:rsidR="00817104" w:rsidRDefault="00817104" w:rsidP="00817104">
      <w:pPr>
        <w:pStyle w:val="Bodyafterbullets"/>
      </w:pPr>
      <w:r>
        <w:t xml:space="preserve">For more information and to access the tool, visit </w:t>
      </w:r>
      <w:hyperlink r:id="rId406">
        <w:r w:rsidRPr="004A5E07">
          <w:rPr>
            <w:rStyle w:val="Hyperlink"/>
          </w:rPr>
          <w:t>Integrity governance framework</w:t>
        </w:r>
        <w:r w:rsidRPr="00132331">
          <w:rPr>
            <w:rStyle w:val="Hyperlink"/>
          </w:rPr>
          <w:t xml:space="preserve"> and assessment tool</w:t>
        </w:r>
      </w:hyperlink>
      <w:r w:rsidRPr="0670E279">
        <w:rPr>
          <w:rStyle w:val="Hyperlink"/>
        </w:rPr>
        <w:t xml:space="preserve"> </w:t>
      </w:r>
      <w:r>
        <w:t>&lt;https://www.health.vic.gov.au/funding-performance-accountability/integrity-governance-framework-and-assessment-tool&gt;.</w:t>
      </w:r>
    </w:p>
    <w:p w14:paraId="1E4A1FAA" w14:textId="77777777" w:rsidR="00817104" w:rsidRPr="00FC7CED" w:rsidRDefault="00817104" w:rsidP="00817104">
      <w:pPr>
        <w:pStyle w:val="Body"/>
      </w:pPr>
      <w:r>
        <w:t>Health services are required to attest in their annual report that appropriate internal controls exist to review and address integrity, fraud and corruption risks.</w:t>
      </w:r>
    </w:p>
    <w:p w14:paraId="1CAD6BF7" w14:textId="54B97C89" w:rsidR="00817104" w:rsidRDefault="00817104" w:rsidP="00817104">
      <w:pPr>
        <w:pStyle w:val="Heading2"/>
      </w:pPr>
      <w:bookmarkStart w:id="2672" w:name="_Toc165964753"/>
      <w:bookmarkStart w:id="2673" w:name="_Toc167174613"/>
      <w:bookmarkStart w:id="2674" w:name="_Toc224127322"/>
      <w:bookmarkStart w:id="2675" w:name="_Toc231982369"/>
      <w:r>
        <w:t xml:space="preserve">Emergency </w:t>
      </w:r>
      <w:r w:rsidRPr="00046722">
        <w:t>management</w:t>
      </w:r>
      <w:bookmarkEnd w:id="2672"/>
      <w:bookmarkEnd w:id="2673"/>
      <w:bookmarkEnd w:id="2674"/>
      <w:bookmarkEnd w:id="2675"/>
    </w:p>
    <w:p w14:paraId="4413A6D7" w14:textId="77777777" w:rsidR="00817104" w:rsidRDefault="00817104" w:rsidP="00817104">
      <w:pPr>
        <w:pStyle w:val="Body"/>
      </w:pPr>
      <w:r>
        <w:t>The Health Services Emergency Management Policy 2021 requires health services to have arrangements in place to minimise health and health system impacts (including service disruption) from health emergencies and emergencies with health impacts.</w:t>
      </w:r>
    </w:p>
    <w:p w14:paraId="40F46437" w14:textId="77777777" w:rsidR="00817104" w:rsidRDefault="00817104" w:rsidP="00817104">
      <w:pPr>
        <w:pStyle w:val="Body"/>
      </w:pPr>
      <w:r>
        <w:t xml:space="preserve">Health services covered by the </w:t>
      </w:r>
      <w:r w:rsidRPr="0007168C">
        <w:rPr>
          <w:i/>
        </w:rPr>
        <w:t>Health Services Act 1988</w:t>
      </w:r>
      <w:r>
        <w:t xml:space="preserve"> (including public hospitals, rural health services and community health services) are required to have the following arrangements in place:</w:t>
      </w:r>
    </w:p>
    <w:p w14:paraId="7AB57136" w14:textId="77777777" w:rsidR="00817104" w:rsidRDefault="00817104" w:rsidP="00817104">
      <w:pPr>
        <w:pStyle w:val="Bullet1"/>
        <w:numPr>
          <w:ilvl w:val="0"/>
          <w:numId w:val="2"/>
        </w:numPr>
      </w:pPr>
      <w:r>
        <w:t>Emergency management planning – Maintain a current emergency management plan tailored to the service’s risk profile, covering prevention through recovery, and aligned to the State Emergency Management Plan (SEMP) and sub-plans.</w:t>
      </w:r>
    </w:p>
    <w:p w14:paraId="1DC51FA7" w14:textId="77777777" w:rsidR="00817104" w:rsidRDefault="00817104" w:rsidP="00817104">
      <w:pPr>
        <w:pStyle w:val="Bullet1"/>
        <w:numPr>
          <w:ilvl w:val="0"/>
          <w:numId w:val="2"/>
        </w:numPr>
      </w:pPr>
      <w:r>
        <w:t>Risk-based planning – Undertake local emergency risk assessments to identify hazards to service delivery, workforce safety and patient care, and use the results to set planning priorities and mitigation strategies.</w:t>
      </w:r>
    </w:p>
    <w:p w14:paraId="2E5C0709" w14:textId="77777777" w:rsidR="00817104" w:rsidRDefault="00817104" w:rsidP="00817104">
      <w:pPr>
        <w:pStyle w:val="Bullet1"/>
        <w:numPr>
          <w:ilvl w:val="0"/>
          <w:numId w:val="2"/>
        </w:numPr>
      </w:pPr>
      <w:r>
        <w:t>Activation and response processes – Documented processes to enable the activation of health service emergency management plans immediately when an emerging risk or emergency is identified, without waiting for direction from the department or emergency services.</w:t>
      </w:r>
    </w:p>
    <w:p w14:paraId="1B86B50B" w14:textId="77777777" w:rsidR="00817104" w:rsidRDefault="00817104" w:rsidP="00817104">
      <w:pPr>
        <w:pStyle w:val="Bullet1"/>
        <w:numPr>
          <w:ilvl w:val="0"/>
          <w:numId w:val="2"/>
        </w:numPr>
      </w:pPr>
      <w:r>
        <w:t>Communication and notification processes – Documented processes to enable notification to the department when an emergency is impacting, or likely to impact, service delivery, capability or capacity, and maintain two-way communication throughout the event to support coordination and situational awareness.</w:t>
      </w:r>
    </w:p>
    <w:p w14:paraId="19DC397F" w14:textId="77777777" w:rsidR="00817104" w:rsidRDefault="00817104" w:rsidP="00817104">
      <w:pPr>
        <w:pStyle w:val="Bullet1"/>
        <w:numPr>
          <w:ilvl w:val="0"/>
          <w:numId w:val="2"/>
        </w:numPr>
      </w:pPr>
      <w:r>
        <w:t>Monitoring and risk awareness – Maintain active monitoring of relevant hazards and official warnings, and regularly share risk updates internally to support timely decision-making, escalation and activation of emergency arrangements.</w:t>
      </w:r>
    </w:p>
    <w:p w14:paraId="30967017" w14:textId="77777777" w:rsidR="00817104" w:rsidRDefault="00817104" w:rsidP="00817104">
      <w:pPr>
        <w:pStyle w:val="Bullet1"/>
        <w:numPr>
          <w:ilvl w:val="0"/>
          <w:numId w:val="2"/>
        </w:numPr>
      </w:pPr>
      <w:r>
        <w:t>Workforce readiness – Ensure staff understand their emergency roles, responsibilities and activation arrangements, and support workforce safety, welfare and sustainability during prolonged events.</w:t>
      </w:r>
    </w:p>
    <w:p w14:paraId="1656E99D" w14:textId="77777777" w:rsidR="00817104" w:rsidRDefault="00817104" w:rsidP="00817104">
      <w:pPr>
        <w:pStyle w:val="Bullet1"/>
        <w:numPr>
          <w:ilvl w:val="0"/>
          <w:numId w:val="2"/>
        </w:numPr>
      </w:pPr>
      <w:r>
        <w:t>Exercises and continuous improvement – Regularly test, review and update emergency management plans, and incorporate lessons identified from exercises, real events and post-incident reviews into planning and training.</w:t>
      </w:r>
    </w:p>
    <w:p w14:paraId="1F4CFBE9" w14:textId="77777777" w:rsidR="00817104" w:rsidRPr="004270F5" w:rsidRDefault="00817104" w:rsidP="00817104">
      <w:pPr>
        <w:pStyle w:val="Bodyafterbullets"/>
      </w:pPr>
      <w:r>
        <w:t xml:space="preserve">For more information visit the </w:t>
      </w:r>
      <w:hyperlink r:id="rId407" w:history="1">
        <w:r w:rsidRPr="0927681C">
          <w:rPr>
            <w:rStyle w:val="Hyperlink"/>
          </w:rPr>
          <w:t>Health Services Emergency Management Policy</w:t>
        </w:r>
      </w:hyperlink>
      <w:r>
        <w:t xml:space="preserve"> &lt;</w:t>
      </w:r>
      <w:r w:rsidRPr="00C664FE">
        <w:t xml:space="preserve"> https://www.vgls.vic.gov.au/client/en_AU/search/asset/1303701/0</w:t>
      </w:r>
      <w:r>
        <w:t xml:space="preserve">&gt;. </w:t>
      </w:r>
    </w:p>
    <w:p w14:paraId="6768E53F" w14:textId="6AEB70D4" w:rsidR="00817104" w:rsidRDefault="00817104" w:rsidP="00817104">
      <w:pPr>
        <w:pStyle w:val="Heading3"/>
        <w:rPr>
          <w:szCs w:val="30"/>
        </w:rPr>
      </w:pPr>
      <w:bookmarkStart w:id="2676" w:name="_Toc165964754"/>
      <w:bookmarkStart w:id="2677" w:name="_Toc167174614"/>
      <w:r>
        <w:lastRenderedPageBreak/>
        <w:t>Health Emergencies Sub-Plan</w:t>
      </w:r>
    </w:p>
    <w:p w14:paraId="3E2F864B" w14:textId="77777777" w:rsidR="00817104" w:rsidRDefault="00817104" w:rsidP="00817104">
      <w:pPr>
        <w:pStyle w:val="Body"/>
      </w:pPr>
      <w:r>
        <w:t xml:space="preserve">The SEMP Health Emergencies Sub-Plan sets out the arrangements for the department as both a control agency and a support agency in the management of health emergencies in Victoria. </w:t>
      </w:r>
    </w:p>
    <w:p w14:paraId="403FAE02" w14:textId="77777777" w:rsidR="00817104" w:rsidRPr="00D1655D" w:rsidRDefault="00817104" w:rsidP="00817104">
      <w:pPr>
        <w:pStyle w:val="Body"/>
      </w:pPr>
      <w:r>
        <w:t xml:space="preserve">It details the coordination of roles and responsibilities, and provides guidance on mitigation, preparedness, response, relief and recovery arrangements. The Sub-Plan outlines an integrated and coordinated approach to minimising the impact of emergencies on the health system and the health and wellbeing of Victorians. </w:t>
      </w:r>
    </w:p>
    <w:p w14:paraId="6603567F" w14:textId="77777777" w:rsidR="00817104" w:rsidRPr="001512BF" w:rsidRDefault="00817104" w:rsidP="00817104">
      <w:pPr>
        <w:pStyle w:val="Body"/>
      </w:pPr>
      <w:r>
        <w:t xml:space="preserve">For more information on the current Sub-Plan visit </w:t>
      </w:r>
      <w:hyperlink r:id="rId408">
        <w:r w:rsidRPr="008A52D8">
          <w:rPr>
            <w:rStyle w:val="Hyperlink"/>
          </w:rPr>
          <w:t>SEMP Health Emergencies Sub-Plan</w:t>
        </w:r>
      </w:hyperlink>
      <w:r>
        <w:t xml:space="preserve"> &lt;</w:t>
      </w:r>
      <w:r w:rsidRPr="001512BF">
        <w:t>https://www.emv.vic.gov.au/responsibilities/state-emergency-management-plan-sub-plans/semp-health-emergencies-sub-plan</w:t>
      </w:r>
      <w:r>
        <w:t>&gt;.</w:t>
      </w:r>
    </w:p>
    <w:p w14:paraId="291A22D3" w14:textId="71D191BB" w:rsidR="00817104" w:rsidRDefault="00817104" w:rsidP="00817104">
      <w:pPr>
        <w:pStyle w:val="Heading3"/>
      </w:pPr>
      <w:r>
        <w:t>Code Brown guidelines</w:t>
      </w:r>
    </w:p>
    <w:p w14:paraId="6AB6C693" w14:textId="77777777" w:rsidR="00817104" w:rsidRDefault="00817104" w:rsidP="00817104">
      <w:pPr>
        <w:pStyle w:val="Body"/>
      </w:pPr>
      <w:r w:rsidRPr="002E6FC4">
        <w:rPr>
          <w:rFonts w:hint="eastAsia"/>
        </w:rPr>
        <w:t xml:space="preserve">The Code Brown </w:t>
      </w:r>
      <w:r>
        <w:t>g</w:t>
      </w:r>
      <w:r w:rsidRPr="002E6FC4">
        <w:rPr>
          <w:rFonts w:hint="eastAsia"/>
        </w:rPr>
        <w:t>uidelines have been developed to help health services and facilities prepare their Code Brown plans by providing some information about the purpose of a Code Brown plan.</w:t>
      </w:r>
    </w:p>
    <w:p w14:paraId="00ECF203" w14:textId="77777777" w:rsidR="00817104" w:rsidRPr="00D1655D" w:rsidRDefault="00817104" w:rsidP="00817104">
      <w:pPr>
        <w:pStyle w:val="Body"/>
      </w:pPr>
      <w:r>
        <w:t xml:space="preserve">To access the guidelines, visit </w:t>
      </w:r>
      <w:hyperlink r:id="rId409">
        <w:r w:rsidRPr="0927681C">
          <w:rPr>
            <w:rStyle w:val="Hyperlink"/>
          </w:rPr>
          <w:t>Code Brown guidelines</w:t>
        </w:r>
      </w:hyperlink>
      <w:r>
        <w:t xml:space="preserve"> &lt;</w:t>
      </w:r>
      <w:r w:rsidRPr="002E6FC4">
        <w:t>https://www.health.vic.gov.au/publications/code-brown-guidelines</w:t>
      </w:r>
      <w:r>
        <w:t>&gt;.</w:t>
      </w:r>
    </w:p>
    <w:p w14:paraId="1D0D1331" w14:textId="0FD0983D" w:rsidR="00817104" w:rsidRDefault="00817104" w:rsidP="00817104">
      <w:pPr>
        <w:pStyle w:val="Heading2"/>
      </w:pPr>
      <w:bookmarkStart w:id="2678" w:name="_Toc224127323"/>
      <w:bookmarkStart w:id="2679" w:name="_Toc231982370"/>
      <w:r>
        <w:t>Fire risk management</w:t>
      </w:r>
      <w:bookmarkEnd w:id="2676"/>
      <w:bookmarkEnd w:id="2677"/>
      <w:bookmarkEnd w:id="2678"/>
      <w:bookmarkEnd w:id="2679"/>
    </w:p>
    <w:p w14:paraId="19A5F7D3" w14:textId="77777777" w:rsidR="00817104" w:rsidRPr="000A5DA9" w:rsidRDefault="00817104" w:rsidP="00817104">
      <w:pPr>
        <w:pStyle w:val="Body"/>
      </w:pPr>
      <w:r>
        <w:t>Funded organisations are responsible for ensuring they comply with the Department of Families, Fairness and Housing’s</w:t>
      </w:r>
      <w:r w:rsidRPr="0670E279">
        <w:rPr>
          <w:i/>
          <w:iCs/>
        </w:rPr>
        <w:t xml:space="preserve"> </w:t>
      </w:r>
      <w:r w:rsidRPr="002D6AE5">
        <w:t>Fire risk management procedures and guidelines</w:t>
      </w:r>
      <w:r w:rsidRPr="004A5E07">
        <w:t xml:space="preserve"> </w:t>
      </w:r>
      <w:r>
        <w:t xml:space="preserve">that are relevant to the premises they operate. </w:t>
      </w:r>
    </w:p>
    <w:p w14:paraId="0F212166" w14:textId="77777777" w:rsidR="00817104" w:rsidRDefault="00817104" w:rsidP="00817104">
      <w:pPr>
        <w:pStyle w:val="Body"/>
      </w:pPr>
      <w:r>
        <w:t xml:space="preserve">Any building surveyor, fire safety engineer or auditor appointed for any works must be accredited by the Department of Families, Fairness and Housing. For the list of </w:t>
      </w:r>
      <w:r w:rsidRPr="004A5E07">
        <w:t>accredited practitioners</w:t>
      </w:r>
      <w:r>
        <w:t xml:space="preserve">, visit </w:t>
      </w:r>
      <w:hyperlink r:id="rId410" w:history="1">
        <w:r w:rsidRPr="00D67B1D">
          <w:rPr>
            <w:rStyle w:val="Hyperlink"/>
          </w:rPr>
          <w:t>Fire risk management accreditation</w:t>
        </w:r>
      </w:hyperlink>
      <w:r>
        <w:t xml:space="preserve"> &lt;https://providers.dffh.vic.gov.au/fire-risk-management-accreditation&gt;.</w:t>
      </w:r>
    </w:p>
    <w:p w14:paraId="050B09AE" w14:textId="77777777" w:rsidR="00817104" w:rsidRPr="000A5DA9" w:rsidRDefault="00817104" w:rsidP="00817104">
      <w:pPr>
        <w:pStyle w:val="Body"/>
      </w:pPr>
      <w:r>
        <w:t>Funded organisations are responsible for ensuring they comply with all laws, regulations and mandatory standards relating to fire and life safety in buildings (which includes protection from external threats, such as bushfire), and general safety requirements that apply to any premises from which the funded organisation operates. This is irrespective of whether the relevant regulatory requirements place the obligation on the owner or occupier of those premises.</w:t>
      </w:r>
    </w:p>
    <w:p w14:paraId="137F1C36" w14:textId="77777777" w:rsidR="00817104" w:rsidRPr="000A5DA9" w:rsidRDefault="00817104" w:rsidP="00817104">
      <w:pPr>
        <w:pStyle w:val="Body"/>
      </w:pPr>
      <w:r>
        <w:t>Key fire risk management requirements include that funded organisations must:</w:t>
      </w:r>
    </w:p>
    <w:p w14:paraId="0E6A0419" w14:textId="77777777" w:rsidR="00817104" w:rsidRPr="007130D5" w:rsidRDefault="00817104" w:rsidP="00817104">
      <w:pPr>
        <w:pStyle w:val="Bullet1"/>
        <w:numPr>
          <w:ilvl w:val="0"/>
          <w:numId w:val="2"/>
        </w:numPr>
      </w:pPr>
      <w:r>
        <w:t>ensure appropriate operational readiness measures are developed, implemented and reviewed. In doing this, funded organisations should prepare for, respond to and recover from emergencies, in accordance with the ‘all hazards’ approach. This includes bushfire, flood, relocation and evacuation, and prolonged service interruption</w:t>
      </w:r>
    </w:p>
    <w:p w14:paraId="142BDEF5" w14:textId="77777777" w:rsidR="00817104" w:rsidRPr="007130D5" w:rsidRDefault="00817104" w:rsidP="00817104">
      <w:pPr>
        <w:pStyle w:val="Bullet1"/>
        <w:numPr>
          <w:ilvl w:val="0"/>
          <w:numId w:val="2"/>
        </w:numPr>
      </w:pPr>
      <w:r>
        <w:t>ensure essential services are maintained</w:t>
      </w:r>
    </w:p>
    <w:p w14:paraId="72150ABF" w14:textId="77777777" w:rsidR="00817104" w:rsidRDefault="00817104" w:rsidP="00817104">
      <w:pPr>
        <w:pStyle w:val="Bullet1"/>
        <w:numPr>
          <w:ilvl w:val="0"/>
          <w:numId w:val="2"/>
        </w:numPr>
      </w:pPr>
      <w:r>
        <w:t>comply with the Department of Families, Fairness and Housing’s Capital Development Guidelines – Series 7 on fire risk management</w:t>
      </w:r>
    </w:p>
    <w:p w14:paraId="2C4A2A40" w14:textId="77777777" w:rsidR="00817104" w:rsidRPr="007130D5" w:rsidRDefault="00817104" w:rsidP="00817104">
      <w:pPr>
        <w:pStyle w:val="Bullet1"/>
        <w:numPr>
          <w:ilvl w:val="0"/>
          <w:numId w:val="2"/>
        </w:numPr>
      </w:pPr>
      <w:r>
        <w:t>ensure that (at the time of client placement in any premises) the premises comply with all laws relating to fire protection, fire safety, health and general safety that apply to any premises from which the organisation operates</w:t>
      </w:r>
    </w:p>
    <w:p w14:paraId="3443A7DA" w14:textId="77777777" w:rsidR="00817104" w:rsidRPr="007130D5" w:rsidRDefault="00817104" w:rsidP="00817104">
      <w:pPr>
        <w:pStyle w:val="Bullet1"/>
        <w:numPr>
          <w:ilvl w:val="0"/>
          <w:numId w:val="2"/>
        </w:numPr>
      </w:pPr>
      <w:r>
        <w:t xml:space="preserve">ensure the premises are suitable for efficient client evacuation, taking into account the fire systems installed, and the relocation and evacuation capacities of the client. If any relevant </w:t>
      </w:r>
      <w:r>
        <w:lastRenderedPageBreak/>
        <w:t>change occurs that may affect a client’s ongoing ability to evacuate safely, the organisation’s Emergency Planning Committee must be informed and appropriate action taken.</w:t>
      </w:r>
    </w:p>
    <w:p w14:paraId="228B1E6E" w14:textId="77777777" w:rsidR="00817104" w:rsidRPr="000A5DA9" w:rsidRDefault="00817104" w:rsidP="00817104">
      <w:pPr>
        <w:pStyle w:val="Bodyafterbullets"/>
      </w:pPr>
      <w:r>
        <w:t xml:space="preserve">Health services funded by the department must comply with the Department of Families, Fairness and Housing’s guidelines on fire risk management, and must complete and email an Annual Fire Safety Certificate to the </w:t>
      </w:r>
      <w:hyperlink r:id="rId411" w:history="1">
        <w:r w:rsidRPr="00F31553">
          <w:rPr>
            <w:rStyle w:val="Hyperlink"/>
          </w:rPr>
          <w:t>Fire Services Team</w:t>
        </w:r>
      </w:hyperlink>
      <w:r>
        <w:t xml:space="preserve"> &lt;FRMUCertificates@homes.vic.gov.au&gt;, or through their respective fire services coordinator by 1 September each year.</w:t>
      </w:r>
    </w:p>
    <w:p w14:paraId="4E1B1955" w14:textId="77777777" w:rsidR="00817104" w:rsidRDefault="00817104" w:rsidP="00817104">
      <w:pPr>
        <w:pStyle w:val="Body"/>
      </w:pPr>
      <w:r>
        <w:t xml:space="preserve">For more information on fire risk management and annual fire safety certificates, </w:t>
      </w:r>
      <w:r w:rsidRPr="00046722">
        <w:t>visit</w:t>
      </w:r>
      <w:r w:rsidRPr="005A7322">
        <w:t xml:space="preserve"> </w:t>
      </w:r>
      <w:hyperlink r:id="rId412">
        <w:r>
          <w:rPr>
            <w:rStyle w:val="Hyperlink"/>
          </w:rPr>
          <w:t>F</w:t>
        </w:r>
        <w:r w:rsidRPr="0670E279">
          <w:rPr>
            <w:rStyle w:val="Hyperlink"/>
          </w:rPr>
          <w:t xml:space="preserve">ire risk management </w:t>
        </w:r>
        <w:r>
          <w:rPr>
            <w:rStyle w:val="Hyperlink"/>
          </w:rPr>
          <w:t xml:space="preserve">procedures </w:t>
        </w:r>
        <w:r w:rsidRPr="0670E279">
          <w:rPr>
            <w:rStyle w:val="Hyperlink"/>
          </w:rPr>
          <w:t xml:space="preserve">and </w:t>
        </w:r>
        <w:r>
          <w:rPr>
            <w:rStyle w:val="Hyperlink"/>
          </w:rPr>
          <w:t>guidelines</w:t>
        </w:r>
      </w:hyperlink>
      <w:r w:rsidRPr="0670E279">
        <w:rPr>
          <w:rStyle w:val="Hyperlink"/>
        </w:rPr>
        <w:t xml:space="preserve"> </w:t>
      </w:r>
      <w:r w:rsidRPr="005A7322">
        <w:t>&lt;https://providers.dffh.vic.gov.au/fire-risk-management-procedures-and-guidelines&gt; or</w:t>
      </w:r>
      <w:r>
        <w:t xml:space="preserve"> email the</w:t>
      </w:r>
      <w:r w:rsidRPr="005A7322">
        <w:t xml:space="preserve"> </w:t>
      </w:r>
      <w:hyperlink r:id="rId413" w:history="1">
        <w:r w:rsidRPr="00026DCA">
          <w:rPr>
            <w:rStyle w:val="Hyperlink"/>
          </w:rPr>
          <w:t xml:space="preserve">Fire Services Team </w:t>
        </w:r>
      </w:hyperlink>
      <w:r w:rsidRPr="00046722">
        <w:t>&lt;fireservicesteam@homes.vic.gov.au&gt;.</w:t>
      </w:r>
    </w:p>
    <w:p w14:paraId="00A7B4A3" w14:textId="77777777" w:rsidR="00817104" w:rsidRDefault="00817104" w:rsidP="00817104">
      <w:pPr>
        <w:spacing w:after="0" w:line="240" w:lineRule="auto"/>
        <w:rPr>
          <w:rFonts w:eastAsia="Times"/>
        </w:rPr>
      </w:pPr>
      <w:r>
        <w:br w:type="page"/>
      </w:r>
    </w:p>
    <w:p w14:paraId="3CC99420" w14:textId="77777777" w:rsidR="00817104" w:rsidRDefault="00817104" w:rsidP="008D45A5">
      <w:pPr>
        <w:pStyle w:val="Heading1"/>
      </w:pPr>
      <w:bookmarkStart w:id="2680" w:name="_Toc165964755"/>
      <w:bookmarkStart w:id="2681" w:name="_Toc167174615"/>
      <w:bookmarkStart w:id="2682" w:name="_Toc224127324"/>
      <w:bookmarkStart w:id="2683" w:name="_Toc231982371"/>
      <w:r>
        <w:lastRenderedPageBreak/>
        <w:t xml:space="preserve">Legal </w:t>
      </w:r>
      <w:r w:rsidRPr="005D6C44">
        <w:t>obligations</w:t>
      </w:r>
      <w:bookmarkEnd w:id="2680"/>
      <w:bookmarkEnd w:id="2681"/>
      <w:bookmarkEnd w:id="2682"/>
      <w:bookmarkEnd w:id="2683"/>
    </w:p>
    <w:p w14:paraId="1C447156" w14:textId="79C56314" w:rsidR="00817104" w:rsidRDefault="00817104" w:rsidP="00817104">
      <w:pPr>
        <w:pStyle w:val="Heading2"/>
      </w:pPr>
      <w:bookmarkStart w:id="2684" w:name="_Toc165964756"/>
      <w:bookmarkStart w:id="2685" w:name="_Toc167174616"/>
      <w:bookmarkStart w:id="2686" w:name="_Toc224127325"/>
      <w:bookmarkStart w:id="2687" w:name="_Toc231982372"/>
      <w:r>
        <w:t>Privacy</w:t>
      </w:r>
      <w:bookmarkEnd w:id="2684"/>
      <w:bookmarkEnd w:id="2685"/>
      <w:bookmarkEnd w:id="2686"/>
      <w:bookmarkEnd w:id="2687"/>
    </w:p>
    <w:p w14:paraId="08BCA9CA" w14:textId="77777777" w:rsidR="00817104" w:rsidRPr="00B61A4E" w:rsidRDefault="00817104" w:rsidP="00817104">
      <w:pPr>
        <w:pStyle w:val="Body"/>
      </w:pPr>
      <w:r>
        <w:t>Funding is provided on the condition that the funded organisation:</w:t>
      </w:r>
    </w:p>
    <w:p w14:paraId="48CA710A" w14:textId="77777777" w:rsidR="00817104" w:rsidRPr="005D6C44" w:rsidRDefault="00817104" w:rsidP="00817104">
      <w:pPr>
        <w:pStyle w:val="Bullet1"/>
        <w:numPr>
          <w:ilvl w:val="0"/>
          <w:numId w:val="2"/>
        </w:numPr>
        <w:spacing w:after="120"/>
      </w:pPr>
      <w:r w:rsidRPr="005D6C44">
        <w:t xml:space="preserve">complies with the provisions of the </w:t>
      </w:r>
      <w:r w:rsidRPr="005A7322">
        <w:rPr>
          <w:i/>
          <w:iCs/>
        </w:rPr>
        <w:t>Privacy and Data Protection Act 2014</w:t>
      </w:r>
      <w:r w:rsidRPr="005A7322">
        <w:t xml:space="preserve"> (Vic)</w:t>
      </w:r>
      <w:r w:rsidRPr="005D6C44">
        <w:t xml:space="preserve">, the </w:t>
      </w:r>
      <w:r w:rsidRPr="002D6AE5">
        <w:rPr>
          <w:iCs/>
        </w:rPr>
        <w:t>Health Records Act</w:t>
      </w:r>
      <w:r w:rsidRPr="0037332A">
        <w:t>,</w:t>
      </w:r>
      <w:r w:rsidRPr="005A7322">
        <w:t xml:space="preserve"> </w:t>
      </w:r>
      <w:r w:rsidRPr="005D6C44">
        <w:t xml:space="preserve">and other applicable information-sharing and privacy obligations imposed by law, </w:t>
      </w:r>
      <w:r>
        <w:t xml:space="preserve">and </w:t>
      </w:r>
      <w:r w:rsidRPr="005D6C44">
        <w:t>codes of practice or guidelines made under those laws (collectively the Privacy Legislation) in performing funded services</w:t>
      </w:r>
    </w:p>
    <w:p w14:paraId="195F717D" w14:textId="77777777" w:rsidR="00817104" w:rsidRPr="00BE067E" w:rsidRDefault="00817104" w:rsidP="00817104">
      <w:pPr>
        <w:pStyle w:val="Bullet1"/>
        <w:numPr>
          <w:ilvl w:val="0"/>
          <w:numId w:val="2"/>
        </w:numPr>
        <w:spacing w:after="120"/>
        <w:rPr>
          <w:rFonts w:eastAsia="Arial" w:cs="Arial"/>
        </w:rPr>
      </w:pPr>
      <w:r>
        <w:t>ensures its employees, officers, agents and subcontractors comply with the terms of any funding agreement(s) between the de</w:t>
      </w:r>
      <w:r w:rsidRPr="00506893">
        <w:rPr>
          <w:rFonts w:eastAsia="Arial" w:cs="Arial"/>
        </w:rPr>
        <w:t>partment and the funded organisation, including any Privacy Legislation, where applicable</w:t>
      </w:r>
      <w:r>
        <w:rPr>
          <w:rFonts w:eastAsia="Arial" w:cs="Arial"/>
        </w:rPr>
        <w:t xml:space="preserve"> </w:t>
      </w:r>
    </w:p>
    <w:p w14:paraId="7D918E9D" w14:textId="77777777" w:rsidR="00817104" w:rsidRPr="00A03050" w:rsidRDefault="00817104" w:rsidP="00817104">
      <w:pPr>
        <w:pStyle w:val="Bullet1"/>
        <w:numPr>
          <w:ilvl w:val="0"/>
          <w:numId w:val="2"/>
        </w:numPr>
        <w:spacing w:after="120"/>
        <w:rPr>
          <w:rFonts w:eastAsia="Arial" w:cs="Arial"/>
        </w:rPr>
      </w:pPr>
      <w:r w:rsidRPr="00A03050">
        <w:t>notifies the department of a privacy incident, including a description and assessment of the incident. A thorough investigation must be undertaken and appropriate mitigation strategies implemented. Regulators and affected individuals must also be notified as required. Privacy incidents can be notified to the department</w:t>
      </w:r>
      <w:r>
        <w:t xml:space="preserve"> by emailing the</w:t>
      </w:r>
      <w:r w:rsidRPr="00A03050">
        <w:t xml:space="preserve"> </w:t>
      </w:r>
      <w:hyperlink r:id="rId414" w:history="1">
        <w:r w:rsidRPr="00A6186D">
          <w:rPr>
            <w:rStyle w:val="Hyperlink"/>
            <w:rFonts w:eastAsia="Arial" w:cs="Arial"/>
            <w:szCs w:val="21"/>
          </w:rPr>
          <w:t>Incident Management Team</w:t>
        </w:r>
      </w:hyperlink>
      <w:r>
        <w:rPr>
          <w:rFonts w:eastAsia="Arial" w:cs="Arial"/>
          <w:szCs w:val="21"/>
        </w:rPr>
        <w:t xml:space="preserve"> &lt;</w:t>
      </w:r>
      <w:hyperlink r:id="rId415" w:history="1">
        <w:r w:rsidRPr="002D6AE5">
          <w:t>Digital.Health.Incident.Notification@health.vic.gov.au</w:t>
        </w:r>
      </w:hyperlink>
      <w:r>
        <w:t>&gt;.</w:t>
      </w:r>
      <w:r>
        <w:rPr>
          <w:rFonts w:eastAsia="Arial" w:cs="Arial"/>
          <w:szCs w:val="21"/>
        </w:rPr>
        <w:t xml:space="preserve"> </w:t>
      </w:r>
    </w:p>
    <w:p w14:paraId="541924CE" w14:textId="2476E071" w:rsidR="00817104" w:rsidRPr="006D19B5" w:rsidRDefault="00817104" w:rsidP="00817104">
      <w:pPr>
        <w:pStyle w:val="Heading2"/>
      </w:pPr>
      <w:bookmarkStart w:id="2688" w:name="_Toc165964757"/>
      <w:bookmarkStart w:id="2689" w:name="_Toc167174617"/>
      <w:bookmarkStart w:id="2690" w:name="_Toc224127326"/>
      <w:bookmarkStart w:id="2691" w:name="_Toc231982373"/>
      <w:r>
        <w:t xml:space="preserve">Public interest </w:t>
      </w:r>
      <w:r w:rsidRPr="005D6C44">
        <w:t>disclosures</w:t>
      </w:r>
      <w:r>
        <w:t xml:space="preserve"> and mandatory notifications</w:t>
      </w:r>
      <w:bookmarkEnd w:id="2688"/>
      <w:bookmarkEnd w:id="2689"/>
      <w:bookmarkEnd w:id="2690"/>
      <w:bookmarkEnd w:id="2691"/>
    </w:p>
    <w:p w14:paraId="63A5D1C5" w14:textId="77777777" w:rsidR="00817104" w:rsidRDefault="00817104" w:rsidP="00817104">
      <w:pPr>
        <w:pStyle w:val="Body"/>
      </w:pPr>
      <w:r w:rsidRPr="005D6C44">
        <w:t xml:space="preserve">Where applicable, the funded organisation agrees to </w:t>
      </w:r>
      <w:r w:rsidRPr="002013B3">
        <w:t>comply</w:t>
      </w:r>
      <w:r w:rsidRPr="005D6C44">
        <w:t xml:space="preserve"> with and be bound by the provisions of the </w:t>
      </w:r>
      <w:r w:rsidRPr="004A5E07">
        <w:rPr>
          <w:rFonts w:eastAsia="Times New Roman"/>
          <w:i/>
          <w:iCs/>
        </w:rPr>
        <w:t>Public Interest Disclosures Act 2012</w:t>
      </w:r>
      <w:r w:rsidRPr="005D6C44">
        <w:t xml:space="preserve"> (Vic) and the mandatory notification obligation under </w:t>
      </w:r>
      <w:r>
        <w:t>s.</w:t>
      </w:r>
      <w:r w:rsidRPr="005D6C44">
        <w:t xml:space="preserve"> 57 of the </w:t>
      </w:r>
      <w:r w:rsidRPr="005D6C44">
        <w:rPr>
          <w:i/>
          <w:iCs/>
        </w:rPr>
        <w:t>Independent Broad-based Anti-corruption Commission Act 2011</w:t>
      </w:r>
      <w:r w:rsidRPr="005A7322">
        <w:rPr>
          <w:rFonts w:eastAsia="Times New Roman"/>
        </w:rPr>
        <w:t xml:space="preserve"> </w:t>
      </w:r>
      <w:r w:rsidRPr="005D6C44">
        <w:t>(Vic).</w:t>
      </w:r>
    </w:p>
    <w:p w14:paraId="6B6D51B9" w14:textId="77777777" w:rsidR="00817104" w:rsidRPr="005D6C44" w:rsidRDefault="00817104" w:rsidP="00817104">
      <w:pPr>
        <w:pStyle w:val="Body"/>
      </w:pPr>
      <w:r>
        <w:t xml:space="preserve">For guidance provided by the Independent Broad-based Anti-corruption Commission, visit </w:t>
      </w:r>
      <w:hyperlink r:id="rId416" w:history="1">
        <w:r w:rsidRPr="00A47A53">
          <w:rPr>
            <w:rStyle w:val="Hyperlink"/>
          </w:rPr>
          <w:t>Mandatory notifications</w:t>
        </w:r>
      </w:hyperlink>
      <w:r>
        <w:t xml:space="preserve"> &lt;</w:t>
      </w:r>
      <w:r w:rsidRPr="00C420B5">
        <w:t>https://www.ibac.vic.gov.au/mandatory-notifications</w:t>
      </w:r>
      <w:r>
        <w:t>&gt;.</w:t>
      </w:r>
    </w:p>
    <w:p w14:paraId="5BE51A45" w14:textId="1034A9E3" w:rsidR="00817104" w:rsidRDefault="00FD4084" w:rsidP="00817104">
      <w:pPr>
        <w:pStyle w:val="Heading2"/>
      </w:pPr>
      <w:bookmarkStart w:id="2692" w:name="_Toc231982374"/>
      <w:r w:rsidRPr="00FD4084">
        <w:t xml:space="preserve">Intellectual Property </w:t>
      </w:r>
      <w:r>
        <w:t>(</w:t>
      </w:r>
      <w:r w:rsidR="00817104">
        <w:t>IP</w:t>
      </w:r>
      <w:r>
        <w:t>)</w:t>
      </w:r>
      <w:bookmarkEnd w:id="2692"/>
    </w:p>
    <w:p w14:paraId="7F2DB0D7" w14:textId="17978321" w:rsidR="00817104" w:rsidRDefault="00817104" w:rsidP="00817104">
      <w:pPr>
        <w:pStyle w:val="Body"/>
      </w:pPr>
      <w:r>
        <w:t xml:space="preserve">The rights and obligations of funded organisations and the State of Victoria, regarding ownership and management of IP, reflect the </w:t>
      </w:r>
      <w:r w:rsidRPr="005A7322">
        <w:rPr>
          <w:i/>
          <w:iCs/>
        </w:rPr>
        <w:t xml:space="preserve">Whole of Victorian Government </w:t>
      </w:r>
      <w:r w:rsidRPr="0D08EEF8">
        <w:rPr>
          <w:i/>
          <w:iCs/>
        </w:rPr>
        <w:t>Intellectual Property Policy 2024</w:t>
      </w:r>
      <w:r w:rsidR="00F70F7E">
        <w:rPr>
          <w:i/>
          <w:iCs/>
        </w:rPr>
        <w:t xml:space="preserve"> </w:t>
      </w:r>
      <w:r w:rsidR="00F70F7E">
        <w:t xml:space="preserve">and the </w:t>
      </w:r>
      <w:r w:rsidR="00F70F7E" w:rsidRPr="008A4006">
        <w:rPr>
          <w:i/>
        </w:rPr>
        <w:t>Intellectual Property Guidelines for the Victorian Public Sector</w:t>
      </w:r>
      <w:r>
        <w:t xml:space="preserve">. </w:t>
      </w:r>
    </w:p>
    <w:p w14:paraId="16E617E7" w14:textId="28997655" w:rsidR="00817104" w:rsidRPr="00B61A4E" w:rsidRDefault="00F53096" w:rsidP="00817104">
      <w:pPr>
        <w:pStyle w:val="Body"/>
      </w:pPr>
      <w:r>
        <w:t xml:space="preserve">For more information, visit </w:t>
      </w:r>
      <w:hyperlink r:id="rId417" w:history="1">
        <w:r>
          <w:rPr>
            <w:rStyle w:val="Hyperlink"/>
            <w:iCs/>
          </w:rPr>
          <w:t>Intellectual property policy and copyright arrangements</w:t>
        </w:r>
      </w:hyperlink>
      <w:r w:rsidR="00817104">
        <w:rPr>
          <w:i/>
          <w:iCs/>
        </w:rPr>
        <w:t xml:space="preserve"> &lt;</w:t>
      </w:r>
      <w:r w:rsidR="00817104" w:rsidRPr="00C951C7">
        <w:t>https://www.vic.gov.au/intellectual-property-policy</w:t>
      </w:r>
      <w:r w:rsidR="00817104">
        <w:t>&gt;.</w:t>
      </w:r>
    </w:p>
    <w:p w14:paraId="142FACB2" w14:textId="77777777" w:rsidR="00817104" w:rsidRPr="00B61A4E" w:rsidRDefault="00817104" w:rsidP="00817104">
      <w:pPr>
        <w:pStyle w:val="Body"/>
      </w:pPr>
      <w:r>
        <w:t>Funding is provided with the following conditions:</w:t>
      </w:r>
    </w:p>
    <w:p w14:paraId="0400EFDA" w14:textId="77777777" w:rsidR="00817104" w:rsidRPr="00BE067E" w:rsidRDefault="00817104" w:rsidP="00817104">
      <w:pPr>
        <w:pStyle w:val="Bullet1"/>
        <w:numPr>
          <w:ilvl w:val="0"/>
          <w:numId w:val="2"/>
        </w:numPr>
      </w:pPr>
      <w:r>
        <w:t>All IP developed by a funded organisation with funding provided by the department (Project IP) vests in the funded organisation, unless the department advises the funded organisation in writing, prior to the delivery of all or part of the funded services, that the State of Victoria will own the Project IP.</w:t>
      </w:r>
    </w:p>
    <w:p w14:paraId="32FE20BD" w14:textId="77777777" w:rsidR="00817104" w:rsidRPr="00BE067E" w:rsidRDefault="00817104" w:rsidP="00817104">
      <w:pPr>
        <w:pStyle w:val="Bullet1"/>
        <w:numPr>
          <w:ilvl w:val="0"/>
          <w:numId w:val="2"/>
        </w:numPr>
      </w:pPr>
      <w:r>
        <w:t xml:space="preserve">The funded organisation grants to the State of Victoria a non-exclusive, worldwide, perpetual, irrevocable, royalty-free licence to exercise all rights in relation to the Project IP (including background and third-party IP incorporated into the Project IP) to enable the State of Victoria to enjoy the full benefit of the services. The licence includes the right to sublicense Project IP. For the avoidance of doubt, the rights conferred on the State of Victoria under the licence include, </w:t>
      </w:r>
      <w:r>
        <w:lastRenderedPageBreak/>
        <w:t>without limitation, the right to use, reproduce, adapt, broadcast, publish, communicate to the public and otherwise disseminate the Project IP for the benefit of the Victorian public.</w:t>
      </w:r>
    </w:p>
    <w:p w14:paraId="5A3AC262" w14:textId="77777777" w:rsidR="00817104" w:rsidRPr="00BE067E" w:rsidRDefault="00817104" w:rsidP="00817104">
      <w:pPr>
        <w:pStyle w:val="Bullet1"/>
        <w:numPr>
          <w:ilvl w:val="0"/>
          <w:numId w:val="2"/>
        </w:numPr>
      </w:pPr>
      <w:r>
        <w:t>The funded organisation will ensure it obtains all necessary consents (including moral rights consents and consents from owners of third-party IP) to enable the State of Victoria to exercise all the rights conferred on the State of Victoria referred to above.</w:t>
      </w:r>
    </w:p>
    <w:p w14:paraId="1B400DA2" w14:textId="77777777" w:rsidR="00817104" w:rsidRPr="00BE067E" w:rsidRDefault="00817104" w:rsidP="00817104">
      <w:pPr>
        <w:pStyle w:val="Bullet1"/>
        <w:numPr>
          <w:ilvl w:val="0"/>
          <w:numId w:val="2"/>
        </w:numPr>
      </w:pPr>
      <w:r>
        <w:t>Immediately following a written request, the funded organisation will provide all material containing the Project IP to the department, to enable the department to exercise its rights under the licence.</w:t>
      </w:r>
    </w:p>
    <w:p w14:paraId="0357C623" w14:textId="77777777" w:rsidR="00817104" w:rsidRPr="00BE067E" w:rsidRDefault="00817104" w:rsidP="00817104">
      <w:pPr>
        <w:pStyle w:val="Bullet1"/>
        <w:numPr>
          <w:ilvl w:val="0"/>
          <w:numId w:val="2"/>
        </w:numPr>
      </w:pPr>
      <w:r>
        <w:t>The funded organisation will properly manage the Project IP in a manner that allows the State of Victoria to enjoy the full benefit of the funded services.</w:t>
      </w:r>
    </w:p>
    <w:p w14:paraId="5958EEBA" w14:textId="77777777" w:rsidR="00817104" w:rsidRPr="00BE067E" w:rsidRDefault="00817104" w:rsidP="00817104">
      <w:pPr>
        <w:pStyle w:val="Bullet1"/>
        <w:numPr>
          <w:ilvl w:val="0"/>
          <w:numId w:val="2"/>
        </w:numPr>
      </w:pPr>
      <w:r>
        <w:t>The funded organisation must not accept co-funding or involve any person in the delivery of the services, on terms that would jeopardise or limit any licence to be granted to the State of Victoria, without obtaining the department’s prior consent in writing.</w:t>
      </w:r>
    </w:p>
    <w:p w14:paraId="43CB3062" w14:textId="77777777" w:rsidR="00817104" w:rsidRPr="00B61A4E" w:rsidRDefault="00817104" w:rsidP="00817104">
      <w:pPr>
        <w:pStyle w:val="Bodyafterbullets"/>
      </w:pPr>
      <w:r>
        <w:t>Where a funded organisation has a service agreement with the department, the department’s service agreement more fully records the parties’ rights with respect to Project IP and takes precedence over these guidelines.</w:t>
      </w:r>
    </w:p>
    <w:p w14:paraId="650BFF22" w14:textId="77777777" w:rsidR="00817104" w:rsidRDefault="00817104" w:rsidP="00817104">
      <w:pPr>
        <w:spacing w:after="0" w:line="240" w:lineRule="auto"/>
        <w:rPr>
          <w:rFonts w:ascii="Times New Roman" w:hAnsi="Times New Roman"/>
          <w:sz w:val="20"/>
          <w:lang w:eastAsia="en-AU"/>
        </w:rPr>
      </w:pPr>
      <w:r>
        <w:rPr>
          <w:rFonts w:ascii="Times New Roman" w:hAnsi="Times New Roman"/>
          <w:sz w:val="20"/>
          <w:lang w:eastAsia="en-AU"/>
        </w:rPr>
        <w:br w:type="page"/>
      </w:r>
    </w:p>
    <w:p w14:paraId="1847ABE6" w14:textId="77777777" w:rsidR="00817104" w:rsidRDefault="00817104" w:rsidP="008D45A5">
      <w:pPr>
        <w:pStyle w:val="Heading1"/>
      </w:pPr>
      <w:bookmarkStart w:id="2693" w:name="_Toc165964759"/>
      <w:bookmarkStart w:id="2694" w:name="_Toc167174619"/>
      <w:bookmarkStart w:id="2695" w:name="_Toc224127328"/>
      <w:bookmarkStart w:id="2696" w:name="_Toc231982375"/>
      <w:r>
        <w:lastRenderedPageBreak/>
        <w:t xml:space="preserve">Payments and </w:t>
      </w:r>
      <w:r w:rsidRPr="005D6C44">
        <w:t>cash</w:t>
      </w:r>
      <w:r>
        <w:t xml:space="preserve"> flow</w:t>
      </w:r>
      <w:bookmarkEnd w:id="2693"/>
      <w:bookmarkEnd w:id="2694"/>
      <w:bookmarkEnd w:id="2695"/>
      <w:bookmarkEnd w:id="2696"/>
    </w:p>
    <w:p w14:paraId="109A434A" w14:textId="2AB08261" w:rsidR="00817104" w:rsidRDefault="00817104" w:rsidP="00817104">
      <w:pPr>
        <w:pStyle w:val="Heading2"/>
      </w:pPr>
      <w:bookmarkStart w:id="2697" w:name="_Toc165964760"/>
      <w:bookmarkStart w:id="2698" w:name="_Toc167174620"/>
      <w:bookmarkStart w:id="2699" w:name="_Toc224127329"/>
      <w:bookmarkStart w:id="2700" w:name="_Toc231982376"/>
      <w:r>
        <w:t>Payments to funded organisations</w:t>
      </w:r>
      <w:bookmarkEnd w:id="2697"/>
      <w:bookmarkEnd w:id="2698"/>
      <w:bookmarkEnd w:id="2699"/>
      <w:bookmarkEnd w:id="2700"/>
    </w:p>
    <w:p w14:paraId="09143239" w14:textId="03184461" w:rsidR="00817104" w:rsidRPr="00B61A4E" w:rsidRDefault="00817104" w:rsidP="00817104">
      <w:pPr>
        <w:pStyle w:val="Body"/>
      </w:pPr>
      <w:bookmarkStart w:id="2701" w:name="_Toc165964761"/>
      <w:bookmarkStart w:id="2702" w:name="_Toc167174621"/>
      <w:r w:rsidRPr="006F21D3">
        <w:t xml:space="preserve">In </w:t>
      </w:r>
      <w:r>
        <w:rPr>
          <w:rFonts w:cs="Calibri"/>
        </w:rPr>
        <w:t>2026–27</w:t>
      </w:r>
      <w:r w:rsidRPr="006F21D3">
        <w:t>,</w:t>
      </w:r>
      <w:r>
        <w:t xml:space="preserve"> the department will make monthly payments over 13 periods (two payment periods in July) to all health services through the Modelling and Payments System. Details of grants and payments can be accessed via </w:t>
      </w:r>
      <w:hyperlink r:id="rId418" w:history="1">
        <w:r w:rsidRPr="00412ED1">
          <w:rPr>
            <w:rStyle w:val="Hyperlink"/>
          </w:rPr>
          <w:t>Tableau</w:t>
        </w:r>
      </w:hyperlink>
      <w:r>
        <w:t xml:space="preserve"> &lt;</w:t>
      </w:r>
      <w:r w:rsidRPr="00DB5806">
        <w:t>https://tableau.reporting.dhhs.vic.gov.au</w:t>
      </w:r>
      <w:r>
        <w:t>&gt; (requires login). The department will monitor hospital cash flows, as reported monthly in the financial data (HeART) cashflow statement.</w:t>
      </w:r>
    </w:p>
    <w:p w14:paraId="66D75AFE" w14:textId="77777777" w:rsidR="00817104" w:rsidRDefault="00817104" w:rsidP="00817104">
      <w:pPr>
        <w:pStyle w:val="Body"/>
      </w:pPr>
      <w:r>
        <w:t xml:space="preserve">The department will make monthly payments to community service organisations through the Service Agreement Management System. For cashflow percentages of individual payment schedules of service agreements and details of the funded activities, login to My Agency via the </w:t>
      </w:r>
      <w:hyperlink r:id="rId419">
        <w:r w:rsidRPr="0670E279">
          <w:rPr>
            <w:rStyle w:val="Hyperlink"/>
          </w:rPr>
          <w:t>Funded Agency Channel</w:t>
        </w:r>
      </w:hyperlink>
      <w:r>
        <w:t xml:space="preserve"> &lt;https://fac.dffh.vic.gov.au&gt;. The department will monitor community service organisation performance and financial sustainability.</w:t>
      </w:r>
    </w:p>
    <w:p w14:paraId="6ECABB81" w14:textId="77777777" w:rsidR="00817104" w:rsidRDefault="00817104" w:rsidP="00817104">
      <w:pPr>
        <w:pStyle w:val="Body"/>
      </w:pPr>
      <w:r>
        <w:t>Payments may be adjusted for recall, loans, enterprise bargaining agreements, indexation, awards and prepayments.</w:t>
      </w:r>
    </w:p>
    <w:p w14:paraId="72884004" w14:textId="5086992E" w:rsidR="00817104" w:rsidRDefault="00817104" w:rsidP="00817104">
      <w:pPr>
        <w:pStyle w:val="Heading2"/>
      </w:pPr>
      <w:bookmarkStart w:id="2703" w:name="_Toc224127330"/>
      <w:bookmarkStart w:id="2704" w:name="_Toc231982377"/>
      <w:r>
        <w:t>Enterprise bargaining</w:t>
      </w:r>
      <w:bookmarkEnd w:id="2701"/>
      <w:bookmarkEnd w:id="2702"/>
      <w:bookmarkEnd w:id="2703"/>
      <w:bookmarkEnd w:id="2704"/>
    </w:p>
    <w:p w14:paraId="700CD8E7" w14:textId="56AF60A9" w:rsidR="00817104" w:rsidRDefault="00817104" w:rsidP="00817104">
      <w:pPr>
        <w:pStyle w:val="Heading3"/>
      </w:pPr>
      <w:r>
        <w:t xml:space="preserve">Expiring </w:t>
      </w:r>
      <w:r w:rsidRPr="002013B3">
        <w:t>agreements</w:t>
      </w:r>
      <w:r>
        <w:t xml:space="preserve"> and enterprise bargaining</w:t>
      </w:r>
    </w:p>
    <w:p w14:paraId="37EA1512" w14:textId="77777777" w:rsidR="00817104" w:rsidRPr="00CE3EB0" w:rsidRDefault="00817104" w:rsidP="00817104">
      <w:pPr>
        <w:pStyle w:val="Body"/>
      </w:pPr>
      <w:r>
        <w:t>Negotiations for new public health sector enterprise agreements were finalised in financial year 2025-26 for:</w:t>
      </w:r>
    </w:p>
    <w:p w14:paraId="2A3736D2" w14:textId="77777777" w:rsidR="00817104" w:rsidRPr="00844CAE" w:rsidRDefault="00817104" w:rsidP="00817104">
      <w:pPr>
        <w:pStyle w:val="Bullet1"/>
        <w:numPr>
          <w:ilvl w:val="0"/>
          <w:numId w:val="2"/>
        </w:numPr>
      </w:pPr>
      <w:r w:rsidRPr="00844CAE">
        <w:t>health and allied services, managers and administrative workers</w:t>
      </w:r>
    </w:p>
    <w:p w14:paraId="233EE39E" w14:textId="77777777" w:rsidR="00817104" w:rsidRPr="00844CAE" w:rsidRDefault="00817104" w:rsidP="00817104">
      <w:pPr>
        <w:pStyle w:val="Bullet1"/>
        <w:numPr>
          <w:ilvl w:val="0"/>
          <w:numId w:val="2"/>
        </w:numPr>
      </w:pPr>
      <w:r w:rsidRPr="00844CAE">
        <w:t>mental health professionals</w:t>
      </w:r>
    </w:p>
    <w:p w14:paraId="3EAEE942" w14:textId="77777777" w:rsidR="00817104" w:rsidRPr="00844CAE" w:rsidRDefault="00817104" w:rsidP="00817104">
      <w:pPr>
        <w:pStyle w:val="Bullet1"/>
        <w:numPr>
          <w:ilvl w:val="0"/>
          <w:numId w:val="2"/>
        </w:numPr>
      </w:pPr>
      <w:r>
        <w:t>Victorian Institute of Forensic Mental Health Services (Forensicare)</w:t>
      </w:r>
    </w:p>
    <w:p w14:paraId="5737600B" w14:textId="77777777" w:rsidR="00817104" w:rsidRPr="00844CAE" w:rsidRDefault="00817104" w:rsidP="00817104">
      <w:pPr>
        <w:pStyle w:val="Bullet1"/>
        <w:numPr>
          <w:ilvl w:val="0"/>
          <w:numId w:val="2"/>
        </w:numPr>
      </w:pPr>
      <w:r w:rsidRPr="00844CAE">
        <w:t xml:space="preserve">Ambulance Victoria </w:t>
      </w:r>
      <w:r>
        <w:t>a</w:t>
      </w:r>
      <w:r w:rsidRPr="00844CAE">
        <w:t xml:space="preserve">dministration and </w:t>
      </w:r>
      <w:r>
        <w:t>m</w:t>
      </w:r>
      <w:r w:rsidRPr="00844CAE">
        <w:t>anagement</w:t>
      </w:r>
    </w:p>
    <w:p w14:paraId="026C6263" w14:textId="77777777" w:rsidR="00817104" w:rsidRPr="00844CAE" w:rsidRDefault="00817104" w:rsidP="00817104">
      <w:pPr>
        <w:pStyle w:val="Bullet1"/>
        <w:numPr>
          <w:ilvl w:val="0"/>
          <w:numId w:val="2"/>
        </w:numPr>
      </w:pPr>
      <w:r w:rsidRPr="00D31D67">
        <w:t>Geelong Cemeteries Trust</w:t>
      </w:r>
      <w:r w:rsidRPr="00844CAE">
        <w:t xml:space="preserve"> (</w:t>
      </w:r>
      <w:r>
        <w:t>i</w:t>
      </w:r>
      <w:r w:rsidRPr="00844CAE">
        <w:t xml:space="preserve">ndoor and </w:t>
      </w:r>
      <w:r>
        <w:t>o</w:t>
      </w:r>
      <w:r w:rsidRPr="00844CAE">
        <w:t>utdoor employees)</w:t>
      </w:r>
    </w:p>
    <w:p w14:paraId="13072205" w14:textId="77777777" w:rsidR="00817104" w:rsidRDefault="00817104" w:rsidP="00817104">
      <w:pPr>
        <w:pStyle w:val="Bullet1"/>
        <w:numPr>
          <w:ilvl w:val="0"/>
          <w:numId w:val="2"/>
        </w:numPr>
      </w:pPr>
      <w:r>
        <w:t>Southern Metropolitan Cemeteries Trust (indoor employees)</w:t>
      </w:r>
    </w:p>
    <w:p w14:paraId="13B0DA2F" w14:textId="77777777" w:rsidR="00817104" w:rsidRPr="00D31D67" w:rsidRDefault="00817104" w:rsidP="00817104">
      <w:pPr>
        <w:pStyle w:val="Bodyafterbullets"/>
      </w:pPr>
      <w:r w:rsidRPr="00D31D67">
        <w:t xml:space="preserve">Negotiations for new </w:t>
      </w:r>
      <w:r w:rsidRPr="00844CAE">
        <w:t xml:space="preserve">public health sector </w:t>
      </w:r>
      <w:r w:rsidRPr="00D31D67">
        <w:t>enterprise agreements are occurring during the 202</w:t>
      </w:r>
      <w:r w:rsidRPr="00844CAE">
        <w:t>6</w:t>
      </w:r>
      <w:r w:rsidRPr="00D31D67">
        <w:t>–2</w:t>
      </w:r>
      <w:r w:rsidRPr="00844CAE">
        <w:t>7</w:t>
      </w:r>
      <w:r w:rsidRPr="00D31D67">
        <w:t xml:space="preserve"> financial year for:</w:t>
      </w:r>
    </w:p>
    <w:p w14:paraId="02AF08AE" w14:textId="77777777" w:rsidR="00817104" w:rsidRPr="00844CAE" w:rsidRDefault="00817104" w:rsidP="00817104">
      <w:pPr>
        <w:pStyle w:val="Bullet1"/>
        <w:numPr>
          <w:ilvl w:val="0"/>
          <w:numId w:val="2"/>
        </w:numPr>
      </w:pPr>
      <w:r w:rsidRPr="00844CAE">
        <w:t>allied health professionals</w:t>
      </w:r>
    </w:p>
    <w:p w14:paraId="0FECB941" w14:textId="77777777" w:rsidR="00817104" w:rsidRPr="00844CAE" w:rsidRDefault="00817104" w:rsidP="00817104">
      <w:pPr>
        <w:pStyle w:val="Bullet1"/>
        <w:numPr>
          <w:ilvl w:val="0"/>
          <w:numId w:val="2"/>
        </w:numPr>
      </w:pPr>
      <w:r w:rsidRPr="00844CAE">
        <w:t>medical scientists, pharmacists and psychologists</w:t>
      </w:r>
    </w:p>
    <w:p w14:paraId="078BB561" w14:textId="77777777" w:rsidR="00817104" w:rsidRPr="00844CAE" w:rsidRDefault="00817104" w:rsidP="00817104">
      <w:pPr>
        <w:pStyle w:val="Bullet1"/>
        <w:numPr>
          <w:ilvl w:val="0"/>
          <w:numId w:val="2"/>
        </w:numPr>
      </w:pPr>
      <w:r w:rsidRPr="00844CAE">
        <w:t>medical specialists and doctors in training</w:t>
      </w:r>
    </w:p>
    <w:p w14:paraId="15BA0EA7" w14:textId="77777777" w:rsidR="00817104" w:rsidRDefault="00817104" w:rsidP="00817104">
      <w:pPr>
        <w:pStyle w:val="Bullet1"/>
        <w:numPr>
          <w:ilvl w:val="0"/>
          <w:numId w:val="2"/>
        </w:numPr>
      </w:pPr>
      <w:r>
        <w:t>Greater Metropolitan Cemeteries Trust (indoor and outdoor employees)</w:t>
      </w:r>
    </w:p>
    <w:p w14:paraId="1DD0C9ED" w14:textId="77777777" w:rsidR="00817104" w:rsidRDefault="00817104" w:rsidP="00817104">
      <w:pPr>
        <w:pStyle w:val="Bullet1"/>
        <w:numPr>
          <w:ilvl w:val="0"/>
          <w:numId w:val="2"/>
        </w:numPr>
      </w:pPr>
      <w:r>
        <w:t>Southern Metropolitan Cemeteries Trust (outdoor employees)</w:t>
      </w:r>
    </w:p>
    <w:p w14:paraId="6DDF57D8" w14:textId="77777777" w:rsidR="00817104" w:rsidRDefault="00817104" w:rsidP="00817104">
      <w:pPr>
        <w:pStyle w:val="Bullet1"/>
        <w:numPr>
          <w:ilvl w:val="0"/>
          <w:numId w:val="2"/>
        </w:numPr>
      </w:pPr>
      <w:r>
        <w:t>Vic Health</w:t>
      </w:r>
    </w:p>
    <w:p w14:paraId="2C39F600" w14:textId="77777777" w:rsidR="00817104" w:rsidRDefault="00817104" w:rsidP="00817104">
      <w:pPr>
        <w:pStyle w:val="Bullet1"/>
        <w:numPr>
          <w:ilvl w:val="0"/>
          <w:numId w:val="2"/>
        </w:numPr>
        <w:spacing w:after="0" w:line="240" w:lineRule="auto"/>
      </w:pPr>
      <w:r>
        <w:t>maternal and child health nurses.</w:t>
      </w:r>
    </w:p>
    <w:p w14:paraId="469F33A5" w14:textId="211C2344" w:rsidR="00817104" w:rsidRPr="00AB134A" w:rsidRDefault="00817104" w:rsidP="00817104">
      <w:pPr>
        <w:pStyle w:val="Heading3"/>
      </w:pPr>
      <w:r>
        <w:t>Wages policy</w:t>
      </w:r>
    </w:p>
    <w:p w14:paraId="648D0C05" w14:textId="77777777" w:rsidR="00817104" w:rsidRDefault="00817104" w:rsidP="00817104">
      <w:pPr>
        <w:pStyle w:val="Body"/>
        <w:rPr>
          <w:rFonts w:eastAsia="Arial" w:cs="Arial"/>
        </w:rPr>
      </w:pPr>
      <w:r>
        <w:t>T</w:t>
      </w:r>
      <w:r w:rsidRPr="0670E279">
        <w:rPr>
          <w:rFonts w:eastAsia="Arial" w:cs="Arial"/>
        </w:rPr>
        <w:t xml:space="preserve">he Victorian Government’s current </w:t>
      </w:r>
      <w:r w:rsidRPr="004A5E07">
        <w:rPr>
          <w:rFonts w:eastAsia="Arial" w:cs="Arial"/>
        </w:rPr>
        <w:t xml:space="preserve">Wages </w:t>
      </w:r>
      <w:r>
        <w:rPr>
          <w:rFonts w:eastAsia="Arial" w:cs="Arial"/>
        </w:rPr>
        <w:t>P</w:t>
      </w:r>
      <w:r w:rsidRPr="004A5E07">
        <w:rPr>
          <w:rFonts w:eastAsia="Arial" w:cs="Arial"/>
        </w:rPr>
        <w:t>olicy</w:t>
      </w:r>
      <w:r w:rsidRPr="0670E279">
        <w:rPr>
          <w:rFonts w:eastAsia="Arial" w:cs="Arial"/>
          <w:i/>
          <w:iCs/>
        </w:rPr>
        <w:t xml:space="preserve"> </w:t>
      </w:r>
      <w:r w:rsidRPr="005A7322">
        <w:rPr>
          <w:rFonts w:eastAsia="Arial" w:cs="Arial"/>
        </w:rPr>
        <w:t>and the</w:t>
      </w:r>
      <w:r w:rsidRPr="0670E279">
        <w:rPr>
          <w:rFonts w:eastAsia="Arial" w:cs="Arial"/>
        </w:rPr>
        <w:t xml:space="preserve"> </w:t>
      </w:r>
      <w:r w:rsidRPr="0670E279">
        <w:rPr>
          <w:rFonts w:eastAsia="Arial" w:cs="Arial"/>
          <w:i/>
          <w:iCs/>
        </w:rPr>
        <w:t xml:space="preserve">Enterprise </w:t>
      </w:r>
      <w:r>
        <w:rPr>
          <w:rFonts w:eastAsia="Arial" w:cs="Arial"/>
          <w:i/>
          <w:iCs/>
        </w:rPr>
        <w:t>B</w:t>
      </w:r>
      <w:r w:rsidRPr="0670E279">
        <w:rPr>
          <w:rFonts w:eastAsia="Arial" w:cs="Arial"/>
          <w:i/>
          <w:iCs/>
        </w:rPr>
        <w:t xml:space="preserve">argaining </w:t>
      </w:r>
      <w:r>
        <w:rPr>
          <w:rFonts w:eastAsia="Arial" w:cs="Arial"/>
          <w:i/>
          <w:iCs/>
        </w:rPr>
        <w:t>F</w:t>
      </w:r>
      <w:r w:rsidRPr="0670E279">
        <w:rPr>
          <w:rFonts w:eastAsia="Arial" w:cs="Arial"/>
          <w:i/>
          <w:iCs/>
        </w:rPr>
        <w:t>ramework</w:t>
      </w:r>
      <w:r w:rsidRPr="0670E279">
        <w:rPr>
          <w:rFonts w:eastAsia="Arial" w:cs="Arial"/>
        </w:rPr>
        <w:t xml:space="preserve"> </w:t>
      </w:r>
      <w:r>
        <w:rPr>
          <w:rFonts w:eastAsia="Arial" w:cs="Arial"/>
        </w:rPr>
        <w:t>have</w:t>
      </w:r>
      <w:r w:rsidRPr="0670E279">
        <w:rPr>
          <w:rFonts w:eastAsia="Arial" w:cs="Arial"/>
        </w:rPr>
        <w:t xml:space="preserve"> applied since 4 April 2023.</w:t>
      </w:r>
    </w:p>
    <w:p w14:paraId="1212F5CF" w14:textId="77777777" w:rsidR="00817104" w:rsidRDefault="00817104" w:rsidP="00817104">
      <w:pPr>
        <w:pStyle w:val="Body"/>
      </w:pPr>
      <w:r w:rsidRPr="0670E279">
        <w:rPr>
          <w:rFonts w:eastAsia="Arial" w:cs="Arial"/>
        </w:rPr>
        <w:t xml:space="preserve">The three pillars of the </w:t>
      </w:r>
      <w:r w:rsidRPr="004A5E07">
        <w:rPr>
          <w:rFonts w:eastAsia="Arial" w:cs="Arial"/>
        </w:rPr>
        <w:t xml:space="preserve">Wages </w:t>
      </w:r>
      <w:r>
        <w:rPr>
          <w:rFonts w:eastAsia="Arial" w:cs="Arial"/>
        </w:rPr>
        <w:t>P</w:t>
      </w:r>
      <w:r w:rsidRPr="004A5E07">
        <w:rPr>
          <w:rFonts w:eastAsia="Arial" w:cs="Arial"/>
        </w:rPr>
        <w:t>olicy</w:t>
      </w:r>
      <w:r w:rsidRPr="0670E279">
        <w:rPr>
          <w:rFonts w:eastAsia="Arial" w:cs="Arial"/>
        </w:rPr>
        <w:t xml:space="preserve"> are: </w:t>
      </w:r>
    </w:p>
    <w:p w14:paraId="7C6CBF71" w14:textId="77777777" w:rsidR="00817104" w:rsidRDefault="00817104" w:rsidP="00817104">
      <w:pPr>
        <w:pStyle w:val="Bullet1"/>
        <w:numPr>
          <w:ilvl w:val="0"/>
          <w:numId w:val="2"/>
        </w:numPr>
      </w:pPr>
      <w:r>
        <w:lastRenderedPageBreak/>
        <w:t>Wages – increases in wages and conditions capped at a</w:t>
      </w:r>
      <w:r w:rsidRPr="0670E279">
        <w:rPr>
          <w:rFonts w:eastAsia="Arial" w:cs="Arial"/>
        </w:rPr>
        <w:t xml:space="preserve"> rate of growth of 3.0</w:t>
      </w:r>
      <w:r>
        <w:rPr>
          <w:rFonts w:eastAsia="Arial" w:cs="Arial"/>
        </w:rPr>
        <w:t xml:space="preserve"> per cent</w:t>
      </w:r>
      <w:r w:rsidRPr="0670E279">
        <w:rPr>
          <w:rFonts w:eastAsia="Arial" w:cs="Arial"/>
        </w:rPr>
        <w:t xml:space="preserve"> per annum and cash payment(s) distributed across the workforce to a value not exceeding 0.5</w:t>
      </w:r>
      <w:r>
        <w:rPr>
          <w:rFonts w:eastAsia="Arial" w:cs="Arial"/>
        </w:rPr>
        <w:t xml:space="preserve"> per cent</w:t>
      </w:r>
      <w:r w:rsidRPr="0670E279">
        <w:rPr>
          <w:rFonts w:eastAsia="Arial" w:cs="Arial"/>
        </w:rPr>
        <w:t xml:space="preserve"> of the value of wages and allowances</w:t>
      </w:r>
      <w:r>
        <w:rPr>
          <w:rFonts w:eastAsia="Arial" w:cs="Arial"/>
        </w:rPr>
        <w:t>.</w:t>
      </w:r>
    </w:p>
    <w:p w14:paraId="72F9498F" w14:textId="77777777" w:rsidR="00817104" w:rsidRDefault="00817104" w:rsidP="00817104">
      <w:pPr>
        <w:pStyle w:val="Bullet1"/>
        <w:numPr>
          <w:ilvl w:val="0"/>
          <w:numId w:val="2"/>
        </w:numPr>
      </w:pPr>
      <w:r>
        <w:t>B</w:t>
      </w:r>
      <w:r w:rsidRPr="005A7322">
        <w:t>est-</w:t>
      </w:r>
      <w:r>
        <w:t>P</w:t>
      </w:r>
      <w:r w:rsidRPr="005A7322">
        <w:t xml:space="preserve">ractice </w:t>
      </w:r>
      <w:r>
        <w:t>E</w:t>
      </w:r>
      <w:r w:rsidRPr="005A7322">
        <w:t xml:space="preserve">mployment </w:t>
      </w:r>
      <w:r>
        <w:t>C</w:t>
      </w:r>
      <w:r w:rsidRPr="005A7322">
        <w:t>ommitment</w:t>
      </w:r>
      <w:r w:rsidRPr="0670E279">
        <w:t xml:space="preserve"> – public sector agencies are to outline measures to operationalise elements of the government’s public sector priorities that reflect good practice and can be implemented operationally or without significant cost</w:t>
      </w:r>
      <w:r>
        <w:t>.</w:t>
      </w:r>
    </w:p>
    <w:p w14:paraId="6087E85C" w14:textId="77777777" w:rsidR="00817104" w:rsidRPr="00CC7374" w:rsidRDefault="00817104" w:rsidP="00817104">
      <w:pPr>
        <w:pStyle w:val="Bullet1"/>
        <w:numPr>
          <w:ilvl w:val="0"/>
          <w:numId w:val="2"/>
        </w:numPr>
        <w:rPr>
          <w:rFonts w:ascii="Calibri" w:eastAsia="Calibri" w:hAnsi="Calibri" w:cs="Calibri"/>
        </w:rPr>
      </w:pPr>
      <w:r>
        <w:t>A</w:t>
      </w:r>
      <w:r w:rsidRPr="005A7322">
        <w:t>dditional strategic changes</w:t>
      </w:r>
      <w:r w:rsidRPr="0670E279">
        <w:t xml:space="preserve"> – changes to allowances and other conditions will only be allowed if the government agrees that the changes will address key operational or strategic priorities. </w:t>
      </w:r>
    </w:p>
    <w:p w14:paraId="58EA0389" w14:textId="77777777" w:rsidR="00817104" w:rsidRDefault="00817104" w:rsidP="00817104">
      <w:pPr>
        <w:pStyle w:val="Bodyafterbullets"/>
      </w:pPr>
      <w:r>
        <w:t xml:space="preserve">Health services are </w:t>
      </w:r>
      <w:r w:rsidRPr="0670E279">
        <w:t xml:space="preserve">expected to comply with other aspects of government policy, including wages and industrial relations policy, as made from time to time. </w:t>
      </w:r>
    </w:p>
    <w:p w14:paraId="2496911D" w14:textId="77777777" w:rsidR="00817104" w:rsidRPr="00275E83" w:rsidRDefault="00817104" w:rsidP="00817104">
      <w:pPr>
        <w:pStyle w:val="Body"/>
      </w:pPr>
      <w:r>
        <w:t xml:space="preserve">For </w:t>
      </w:r>
      <w:r w:rsidRPr="0670E279">
        <w:rPr>
          <w:rFonts w:eastAsia="Arial" w:cs="Arial"/>
        </w:rPr>
        <w:t>more</w:t>
      </w:r>
      <w:r>
        <w:t xml:space="preserve"> information, visit </w:t>
      </w:r>
      <w:hyperlink r:id="rId420">
        <w:r w:rsidRPr="004A5E07">
          <w:rPr>
            <w:rStyle w:val="Hyperlink"/>
            <w:rFonts w:eastAsia="Arial"/>
          </w:rPr>
          <w:t xml:space="preserve">Wages </w:t>
        </w:r>
        <w:r>
          <w:rPr>
            <w:rStyle w:val="Hyperlink"/>
            <w:rFonts w:eastAsia="Arial"/>
          </w:rPr>
          <w:t>P</w:t>
        </w:r>
        <w:r w:rsidRPr="004A5E07">
          <w:rPr>
            <w:rStyle w:val="Hyperlink"/>
            <w:rFonts w:eastAsia="Arial"/>
          </w:rPr>
          <w:t xml:space="preserve">olicy </w:t>
        </w:r>
        <w:r w:rsidRPr="005A7322">
          <w:rPr>
            <w:rStyle w:val="Hyperlink"/>
            <w:rFonts w:eastAsia="Arial"/>
          </w:rPr>
          <w:t>and the</w:t>
        </w:r>
        <w:r w:rsidRPr="0670E279">
          <w:rPr>
            <w:rStyle w:val="Hyperlink"/>
            <w:rFonts w:eastAsia="Arial"/>
            <w:i/>
            <w:iCs/>
          </w:rPr>
          <w:t xml:space="preserve"> Enterprise </w:t>
        </w:r>
        <w:r>
          <w:rPr>
            <w:rStyle w:val="Hyperlink"/>
            <w:rFonts w:eastAsia="Arial"/>
            <w:i/>
            <w:iCs/>
          </w:rPr>
          <w:t>B</w:t>
        </w:r>
        <w:r w:rsidRPr="0670E279">
          <w:rPr>
            <w:rStyle w:val="Hyperlink"/>
            <w:rFonts w:eastAsia="Arial"/>
            <w:i/>
            <w:iCs/>
          </w:rPr>
          <w:t xml:space="preserve">argaining </w:t>
        </w:r>
        <w:r>
          <w:rPr>
            <w:rStyle w:val="Hyperlink"/>
            <w:rFonts w:eastAsia="Arial"/>
            <w:i/>
            <w:iCs/>
          </w:rPr>
          <w:t>F</w:t>
        </w:r>
        <w:r w:rsidRPr="0670E279">
          <w:rPr>
            <w:rStyle w:val="Hyperlink"/>
            <w:rFonts w:eastAsia="Arial"/>
            <w:i/>
            <w:iCs/>
          </w:rPr>
          <w:t>ramework</w:t>
        </w:r>
      </w:hyperlink>
      <w:r>
        <w:t xml:space="preserve"> &lt;</w:t>
      </w:r>
      <w:r w:rsidRPr="0670E279">
        <w:rPr>
          <w:rFonts w:eastAsia="Arial"/>
        </w:rPr>
        <w:t>https://www.vic.gov.au/wages-policy-and-enterprise-bargaining-framework</w:t>
      </w:r>
      <w:r>
        <w:t xml:space="preserve">&gt;. </w:t>
      </w:r>
    </w:p>
    <w:p w14:paraId="3F49C00E" w14:textId="4F81A272" w:rsidR="00817104" w:rsidRDefault="00817104" w:rsidP="00817104">
      <w:pPr>
        <w:pStyle w:val="Heading3"/>
      </w:pPr>
      <w:r>
        <w:t xml:space="preserve">Budgeting for new </w:t>
      </w:r>
      <w:r w:rsidRPr="005D6C44">
        <w:t>agreements</w:t>
      </w:r>
    </w:p>
    <w:p w14:paraId="0B59AD9C" w14:textId="77777777" w:rsidR="00817104" w:rsidRPr="007A19A1" w:rsidRDefault="00817104" w:rsidP="00817104">
      <w:pPr>
        <w:pStyle w:val="Body"/>
      </w:pPr>
      <w:r>
        <w:t>Enterprise bargaining settlements are rarely timed to coincide with the beginning of a financial year. Therefore, there may be part-year cost effects in any given financial year, relating to both expiring and new enterprise bargaining outcomes. In contrast, budget indexation applies on a full financial year basis.</w:t>
      </w:r>
    </w:p>
    <w:p w14:paraId="0A65E8F5" w14:textId="77777777" w:rsidR="00817104" w:rsidRDefault="00817104" w:rsidP="00817104">
      <w:pPr>
        <w:pStyle w:val="Body"/>
      </w:pPr>
      <w:r>
        <w:t>Health services must identify and account for indexation as it relates to supporting increased wage and salary costs. The baseline wage increases contained in the applicable wages policy must be funded by health services before any additional supplementation is sought from the Department of Treasury and Finance.</w:t>
      </w:r>
    </w:p>
    <w:p w14:paraId="02A6A3B9" w14:textId="77777777" w:rsidR="00817104" w:rsidRPr="007A19A1" w:rsidRDefault="00817104" w:rsidP="00817104">
      <w:pPr>
        <w:pStyle w:val="Body"/>
      </w:pPr>
      <w:r>
        <w:t>When new enterprise agreements take effect or are likely to take effect in a financial year, health services must keep funding equal to these amounts available for such increases. This remains true, even when enterprise bargaining processes become protracted or complex, and remain unresolved at the end of the financial year in which settlement was expected to occur and have cost effect.</w:t>
      </w:r>
    </w:p>
    <w:p w14:paraId="4DE3A3D5" w14:textId="77777777" w:rsidR="00817104" w:rsidRPr="007A19A1" w:rsidRDefault="00817104" w:rsidP="00817104">
      <w:pPr>
        <w:pStyle w:val="Body"/>
      </w:pPr>
      <w:r>
        <w:t>Health services must also ensure enterprise agreement costs are properly attributed to other relevant revenue sources, where existing employment costs are met from those other sources.</w:t>
      </w:r>
    </w:p>
    <w:p w14:paraId="311101FE" w14:textId="3B41D8D7" w:rsidR="00817104" w:rsidRDefault="00817104" w:rsidP="00817104">
      <w:pPr>
        <w:pStyle w:val="Heading2"/>
      </w:pPr>
      <w:bookmarkStart w:id="2705" w:name="_Toc165964762"/>
      <w:bookmarkStart w:id="2706" w:name="_Toc167174622"/>
      <w:bookmarkStart w:id="2707" w:name="_Toc224127331"/>
      <w:bookmarkStart w:id="2708" w:name="_Toc231982378"/>
      <w:r>
        <w:t>Long service leave</w:t>
      </w:r>
      <w:bookmarkEnd w:id="2705"/>
      <w:bookmarkEnd w:id="2706"/>
      <w:bookmarkEnd w:id="2707"/>
      <w:bookmarkEnd w:id="2708"/>
    </w:p>
    <w:p w14:paraId="74862F0F" w14:textId="77777777" w:rsidR="00817104" w:rsidRDefault="00817104" w:rsidP="00817104">
      <w:pPr>
        <w:pStyle w:val="Body"/>
        <w:rPr>
          <w:lang w:eastAsia="en-AU"/>
        </w:rPr>
      </w:pPr>
      <w:r w:rsidRPr="0670E279">
        <w:rPr>
          <w:lang w:eastAsia="en-AU"/>
        </w:rPr>
        <w:t xml:space="preserve">The department assumes the liability arising from the net increase in the long service leave provision for public hospitals, denominational hospitals and some statutory authorities (‘eligible agencies’), except for changes to the long service leave provision due to any subsequent recognition of gains or losses on revaluation, which is in accordance with the Department of Treasury and Finance’s </w:t>
      </w:r>
      <w:r w:rsidRPr="0670E279">
        <w:rPr>
          <w:i/>
          <w:iCs/>
          <w:lang w:eastAsia="en-AU"/>
        </w:rPr>
        <w:t xml:space="preserve">Resource </w:t>
      </w:r>
      <w:r>
        <w:rPr>
          <w:i/>
          <w:iCs/>
          <w:lang w:eastAsia="en-AU"/>
        </w:rPr>
        <w:t>m</w:t>
      </w:r>
      <w:r w:rsidRPr="0670E279">
        <w:rPr>
          <w:i/>
          <w:iCs/>
          <w:lang w:eastAsia="en-AU"/>
        </w:rPr>
        <w:t xml:space="preserve">anagement </w:t>
      </w:r>
      <w:r>
        <w:rPr>
          <w:i/>
          <w:iCs/>
          <w:lang w:eastAsia="en-AU"/>
        </w:rPr>
        <w:t>f</w:t>
      </w:r>
      <w:r w:rsidRPr="0670E279">
        <w:rPr>
          <w:i/>
          <w:iCs/>
          <w:lang w:eastAsia="en-AU"/>
        </w:rPr>
        <w:t>ramework</w:t>
      </w:r>
      <w:r w:rsidRPr="0670E279">
        <w:rPr>
          <w:lang w:eastAsia="en-AU"/>
        </w:rPr>
        <w:t>.</w:t>
      </w:r>
    </w:p>
    <w:p w14:paraId="5AC83EB8" w14:textId="77777777" w:rsidR="00817104" w:rsidRPr="009F34A6" w:rsidRDefault="00817104" w:rsidP="00817104">
      <w:pPr>
        <w:pStyle w:val="Body"/>
        <w:rPr>
          <w:lang w:eastAsia="en-AU"/>
        </w:rPr>
      </w:pPr>
      <w:r w:rsidRPr="0670E279">
        <w:rPr>
          <w:lang w:eastAsia="en-AU"/>
        </w:rPr>
        <w:t>All agencies must, however, reflect the movements in the long service leave provision associated with the revaluations in their long service leave provision, in accordance with accounting standards.</w:t>
      </w:r>
    </w:p>
    <w:p w14:paraId="4F1B04D1" w14:textId="77777777" w:rsidR="00817104" w:rsidRPr="009F34A6" w:rsidRDefault="00817104" w:rsidP="00817104">
      <w:pPr>
        <w:pStyle w:val="Body"/>
        <w:rPr>
          <w:lang w:eastAsia="en-AU"/>
        </w:rPr>
      </w:pPr>
      <w:r w:rsidRPr="009F34A6">
        <w:rPr>
          <w:lang w:eastAsia="en-AU"/>
        </w:rPr>
        <w:t>The</w:t>
      </w:r>
      <w:r>
        <w:rPr>
          <w:lang w:eastAsia="en-AU"/>
        </w:rPr>
        <w:t xml:space="preserve"> </w:t>
      </w:r>
      <w:r w:rsidRPr="009F34A6">
        <w:rPr>
          <w:lang w:eastAsia="en-AU"/>
        </w:rPr>
        <w:t>department</w:t>
      </w:r>
      <w:r>
        <w:rPr>
          <w:lang w:eastAsia="en-AU"/>
        </w:rPr>
        <w:t xml:space="preserve"> </w:t>
      </w:r>
      <w:r w:rsidRPr="009F34A6">
        <w:rPr>
          <w:lang w:eastAsia="en-AU"/>
        </w:rPr>
        <w:t>funds</w:t>
      </w:r>
      <w:r>
        <w:rPr>
          <w:lang w:eastAsia="en-AU"/>
        </w:rPr>
        <w:t xml:space="preserve"> </w:t>
      </w:r>
      <w:r w:rsidRPr="009F34A6">
        <w:rPr>
          <w:lang w:eastAsia="en-AU"/>
        </w:rPr>
        <w:t>the</w:t>
      </w:r>
      <w:r>
        <w:rPr>
          <w:lang w:eastAsia="en-AU"/>
        </w:rPr>
        <w:t xml:space="preserve"> </w:t>
      </w:r>
      <w:r w:rsidRPr="009F34A6">
        <w:rPr>
          <w:lang w:eastAsia="en-AU"/>
        </w:rPr>
        <w:t>annual</w:t>
      </w:r>
      <w:r>
        <w:rPr>
          <w:lang w:eastAsia="en-AU"/>
        </w:rPr>
        <w:t xml:space="preserve"> </w:t>
      </w:r>
      <w:r w:rsidRPr="009F34A6">
        <w:rPr>
          <w:lang w:eastAsia="en-AU"/>
        </w:rPr>
        <w:t>increase</w:t>
      </w:r>
      <w:r>
        <w:rPr>
          <w:lang w:eastAsia="en-AU"/>
        </w:rPr>
        <w:t xml:space="preserve"> </w:t>
      </w:r>
      <w:r w:rsidRPr="009F34A6">
        <w:rPr>
          <w:lang w:eastAsia="en-AU"/>
        </w:rPr>
        <w:t>in</w:t>
      </w:r>
      <w:r>
        <w:rPr>
          <w:lang w:eastAsia="en-AU"/>
        </w:rPr>
        <w:t xml:space="preserve"> </w:t>
      </w:r>
      <w:r w:rsidRPr="009F34A6">
        <w:rPr>
          <w:lang w:eastAsia="en-AU"/>
        </w:rPr>
        <w:t>the</w:t>
      </w:r>
      <w:r>
        <w:rPr>
          <w:lang w:eastAsia="en-AU"/>
        </w:rPr>
        <w:t xml:space="preserve"> </w:t>
      </w:r>
      <w:r w:rsidRPr="009F34A6">
        <w:rPr>
          <w:lang w:eastAsia="en-AU"/>
        </w:rPr>
        <w:t>long</w:t>
      </w:r>
      <w:r>
        <w:rPr>
          <w:lang w:eastAsia="en-AU"/>
        </w:rPr>
        <w:t xml:space="preserve"> </w:t>
      </w:r>
      <w:r w:rsidRPr="009F34A6">
        <w:rPr>
          <w:lang w:eastAsia="en-AU"/>
        </w:rPr>
        <w:t>service</w:t>
      </w:r>
      <w:r>
        <w:rPr>
          <w:lang w:eastAsia="en-AU"/>
        </w:rPr>
        <w:t xml:space="preserve"> </w:t>
      </w:r>
      <w:r w:rsidRPr="009F34A6">
        <w:rPr>
          <w:lang w:eastAsia="en-AU"/>
        </w:rPr>
        <w:t>leave</w:t>
      </w:r>
      <w:r>
        <w:rPr>
          <w:lang w:eastAsia="en-AU"/>
        </w:rPr>
        <w:t xml:space="preserve"> </w:t>
      </w:r>
      <w:r w:rsidRPr="009F34A6">
        <w:rPr>
          <w:lang w:eastAsia="en-AU"/>
        </w:rPr>
        <w:t>provision</w:t>
      </w:r>
      <w:r w:rsidRPr="009F34A6">
        <w:rPr>
          <w:vertAlign w:val="superscript"/>
          <w:lang w:eastAsia="en-AU"/>
        </w:rPr>
        <w:footnoteReference w:id="18"/>
      </w:r>
      <w:r>
        <w:rPr>
          <w:lang w:eastAsia="en-AU"/>
        </w:rPr>
        <w:t xml:space="preserve"> </w:t>
      </w:r>
      <w:r w:rsidRPr="009F34A6">
        <w:rPr>
          <w:lang w:eastAsia="en-AU"/>
        </w:rPr>
        <w:t>of</w:t>
      </w:r>
      <w:r>
        <w:rPr>
          <w:lang w:eastAsia="en-AU"/>
        </w:rPr>
        <w:t xml:space="preserve"> </w:t>
      </w:r>
      <w:r w:rsidRPr="009F34A6">
        <w:rPr>
          <w:lang w:eastAsia="en-AU"/>
        </w:rPr>
        <w:t>its</w:t>
      </w:r>
      <w:r>
        <w:rPr>
          <w:lang w:eastAsia="en-AU"/>
        </w:rPr>
        <w:t xml:space="preserve"> </w:t>
      </w:r>
      <w:r w:rsidRPr="009F34A6">
        <w:rPr>
          <w:lang w:eastAsia="en-AU"/>
        </w:rPr>
        <w:t>eligible</w:t>
      </w:r>
      <w:r>
        <w:rPr>
          <w:lang w:eastAsia="en-AU"/>
        </w:rPr>
        <w:t xml:space="preserve"> </w:t>
      </w:r>
      <w:r w:rsidRPr="009F34A6">
        <w:rPr>
          <w:lang w:eastAsia="en-AU"/>
        </w:rPr>
        <w:t>agencies</w:t>
      </w:r>
      <w:r>
        <w:rPr>
          <w:lang w:eastAsia="en-AU"/>
        </w:rPr>
        <w:t xml:space="preserve"> where</w:t>
      </w:r>
      <w:r w:rsidRPr="009F34A6">
        <w:rPr>
          <w:lang w:eastAsia="en-AU"/>
        </w:rPr>
        <w:t>:</w:t>
      </w:r>
    </w:p>
    <w:p w14:paraId="5A9495F3" w14:textId="77777777" w:rsidR="00817104" w:rsidRPr="00E51156" w:rsidRDefault="00817104" w:rsidP="00817104">
      <w:pPr>
        <w:pStyle w:val="Bullet1"/>
        <w:numPr>
          <w:ilvl w:val="0"/>
          <w:numId w:val="2"/>
        </w:numPr>
      </w:pPr>
      <w:r>
        <w:t>an amount equal to 2.8 per cent of defined salaries and wages is included in the price and paid as grants to the department’s eligible agencies (with a few exceptions)</w:t>
      </w:r>
    </w:p>
    <w:p w14:paraId="114964D2" w14:textId="77777777" w:rsidR="00817104" w:rsidRPr="00E51156" w:rsidRDefault="00817104" w:rsidP="00817104">
      <w:pPr>
        <w:pStyle w:val="Bullet1"/>
        <w:numPr>
          <w:ilvl w:val="0"/>
          <w:numId w:val="2"/>
        </w:numPr>
      </w:pPr>
      <w:r>
        <w:lastRenderedPageBreak/>
        <w:t>a grant payable to the department’s eligible agencies is recognised for the balance not paid as the grant described above (a debtor in respect of this non-cash grant will be recognised by each eligible agency).</w:t>
      </w:r>
    </w:p>
    <w:p w14:paraId="47AD8216" w14:textId="77777777" w:rsidR="00817104" w:rsidRPr="009F34A6" w:rsidRDefault="00817104" w:rsidP="00817104">
      <w:pPr>
        <w:pStyle w:val="Bodyafterbullets"/>
      </w:pPr>
      <w:r>
        <w:t>Eligible agencies will continue to manage their long service leave and cash requirements. Long service leave funding paid by the department in excess of actual long service leave payouts during the current and prior financial years should be maintained and managed by eligible agencies. It should also be used as the first call for any future settlements over and above the (current) 2.8 per cent of long service leave included in the price.</w:t>
      </w:r>
    </w:p>
    <w:p w14:paraId="66646FDD" w14:textId="73C5972A" w:rsidR="00817104" w:rsidRDefault="00817104" w:rsidP="00817104">
      <w:pPr>
        <w:pStyle w:val="Heading2"/>
      </w:pPr>
      <w:bookmarkStart w:id="2709" w:name="_Toc165964763"/>
      <w:bookmarkStart w:id="2710" w:name="_Toc167174623"/>
      <w:bookmarkStart w:id="2711" w:name="_Toc224127332"/>
      <w:bookmarkStart w:id="2712" w:name="_Toc231982379"/>
      <w:r>
        <w:t>Medical indemnity insurance</w:t>
      </w:r>
      <w:bookmarkEnd w:id="2709"/>
      <w:bookmarkEnd w:id="2710"/>
      <w:bookmarkEnd w:id="2711"/>
      <w:bookmarkEnd w:id="2712"/>
    </w:p>
    <w:p w14:paraId="36246460" w14:textId="77777777" w:rsidR="00817104" w:rsidRPr="00B61A4E" w:rsidRDefault="00817104" w:rsidP="00817104">
      <w:pPr>
        <w:pStyle w:val="Body"/>
      </w:pPr>
      <w:r>
        <w:t>The department has developed the medical indemnity risk-rated premium model, in consultation with, and on the advice of, the VMIA and its actuaries. The medical indemnity risk-rated premium model allocates a share of the statewide medical indemnity insurance premium to individual hospitals and health services.</w:t>
      </w:r>
    </w:p>
    <w:p w14:paraId="2D2B90B7" w14:textId="77777777" w:rsidR="00817104" w:rsidRDefault="00817104" w:rsidP="00817104">
      <w:pPr>
        <w:spacing w:after="0" w:line="240" w:lineRule="auto"/>
        <w:rPr>
          <w:rFonts w:ascii="Times New Roman" w:hAnsi="Times New Roman"/>
          <w:sz w:val="20"/>
          <w:lang w:eastAsia="en-AU"/>
        </w:rPr>
      </w:pPr>
      <w:r>
        <w:rPr>
          <w:rFonts w:ascii="Times New Roman" w:hAnsi="Times New Roman"/>
          <w:sz w:val="20"/>
          <w:lang w:eastAsia="en-AU"/>
        </w:rPr>
        <w:br w:type="page"/>
      </w:r>
    </w:p>
    <w:p w14:paraId="7B5B8E26" w14:textId="77777777" w:rsidR="00817104" w:rsidRDefault="00817104" w:rsidP="008D45A5">
      <w:pPr>
        <w:pStyle w:val="Heading1"/>
      </w:pPr>
      <w:bookmarkStart w:id="2713" w:name="_Toc165964764"/>
      <w:bookmarkStart w:id="2714" w:name="_Toc167174624"/>
      <w:bookmarkStart w:id="2715" w:name="_Toc224127333"/>
      <w:bookmarkStart w:id="2716" w:name="_Toc231982380"/>
      <w:r>
        <w:lastRenderedPageBreak/>
        <w:t>Data collection changes</w:t>
      </w:r>
      <w:bookmarkEnd w:id="2713"/>
      <w:bookmarkEnd w:id="2714"/>
      <w:bookmarkEnd w:id="2715"/>
      <w:bookmarkEnd w:id="2716"/>
    </w:p>
    <w:p w14:paraId="02694790" w14:textId="77777777" w:rsidR="00817104" w:rsidRDefault="00817104" w:rsidP="00817104">
      <w:pPr>
        <w:pStyle w:val="Body"/>
      </w:pPr>
      <w:r>
        <w:t xml:space="preserve">The following subsections describe data collection changes. For more information, visit </w:t>
      </w:r>
      <w:hyperlink r:id="rId421">
        <w:r w:rsidRPr="0670E279">
          <w:rPr>
            <w:rStyle w:val="Hyperlink"/>
          </w:rPr>
          <w:t>Annual changes process</w:t>
        </w:r>
      </w:hyperlink>
      <w:r>
        <w:t xml:space="preserve"> &lt;https://www.health.vic.gov.au/data-reporting/annual-changes&gt;.</w:t>
      </w:r>
    </w:p>
    <w:p w14:paraId="1BEB0740" w14:textId="6BC770D3" w:rsidR="00817104" w:rsidRDefault="009544DC" w:rsidP="00817104">
      <w:pPr>
        <w:pStyle w:val="Heading2"/>
      </w:pPr>
      <w:bookmarkStart w:id="2717" w:name="_Toc165964765"/>
      <w:bookmarkStart w:id="2718" w:name="_Toc167174625"/>
      <w:bookmarkStart w:id="2719" w:name="_Toc224127334"/>
      <w:bookmarkStart w:id="2720" w:name="_Toc231982381"/>
      <w:r>
        <w:t>Victorian Admitted Episodes Dataset (</w:t>
      </w:r>
      <w:r w:rsidR="00817104">
        <w:t>VAED</w:t>
      </w:r>
      <w:bookmarkEnd w:id="2717"/>
      <w:bookmarkEnd w:id="2718"/>
      <w:bookmarkEnd w:id="2719"/>
      <w:r>
        <w:t>)</w:t>
      </w:r>
      <w:bookmarkEnd w:id="2720"/>
    </w:p>
    <w:p w14:paraId="2281F4FA" w14:textId="77777777" w:rsidR="00817104" w:rsidRDefault="00817104" w:rsidP="00817104">
      <w:pPr>
        <w:pStyle w:val="Body"/>
      </w:pPr>
      <w:r>
        <w:t xml:space="preserve">In 2026–27, the changes made to the </w:t>
      </w:r>
      <w:r w:rsidRPr="00255553">
        <w:t>VAED</w:t>
      </w:r>
      <w:r>
        <w:t xml:space="preserve"> include</w:t>
      </w:r>
      <w:r w:rsidRPr="00255553">
        <w:t>:</w:t>
      </w:r>
    </w:p>
    <w:p w14:paraId="6E9FD350" w14:textId="77777777" w:rsidR="00817104" w:rsidRDefault="00817104" w:rsidP="00817104">
      <w:pPr>
        <w:pStyle w:val="Bullet1"/>
        <w:numPr>
          <w:ilvl w:val="0"/>
          <w:numId w:val="2"/>
        </w:numPr>
      </w:pPr>
      <w:r>
        <w:t xml:space="preserve">a new data element for </w:t>
      </w:r>
      <w:r w:rsidRPr="00B97982">
        <w:t>Duration of Stay in Neonatal Intensive Care Unit (NICU)</w:t>
      </w:r>
    </w:p>
    <w:p w14:paraId="047AA29F" w14:textId="77777777" w:rsidR="00817104" w:rsidRDefault="00817104" w:rsidP="00817104">
      <w:pPr>
        <w:pStyle w:val="Bullet1"/>
        <w:numPr>
          <w:ilvl w:val="0"/>
          <w:numId w:val="2"/>
        </w:numPr>
      </w:pPr>
      <w:r>
        <w:t xml:space="preserve">a new data element for </w:t>
      </w:r>
      <w:r w:rsidRPr="004469D3">
        <w:t xml:space="preserve">Impairment </w:t>
      </w:r>
      <w:r>
        <w:t>–</w:t>
      </w:r>
      <w:r w:rsidRPr="004469D3">
        <w:t xml:space="preserve"> paediatric</w:t>
      </w:r>
    </w:p>
    <w:p w14:paraId="6FBD594B" w14:textId="77777777" w:rsidR="00817104" w:rsidRPr="002A1003" w:rsidRDefault="00817104" w:rsidP="00817104">
      <w:pPr>
        <w:pStyle w:val="Bodyafterbullets"/>
      </w:pPr>
      <w:r>
        <w:t xml:space="preserve">Victorian health services must ensure their software can create a submission file, in accordance with the </w:t>
      </w:r>
      <w:r>
        <w:rPr>
          <w:i/>
          <w:iCs/>
        </w:rPr>
        <w:t>S</w:t>
      </w:r>
      <w:r w:rsidRPr="00537A24">
        <w:rPr>
          <w:i/>
          <w:iCs/>
        </w:rPr>
        <w:t>pecifications for revisions to the VAED for 202</w:t>
      </w:r>
      <w:r>
        <w:rPr>
          <w:i/>
          <w:iCs/>
        </w:rPr>
        <w:t>6</w:t>
      </w:r>
      <w:r w:rsidRPr="00537A24">
        <w:rPr>
          <w:i/>
          <w:iCs/>
        </w:rPr>
        <w:t>–2</w:t>
      </w:r>
      <w:r>
        <w:rPr>
          <w:i/>
          <w:iCs/>
        </w:rPr>
        <w:t>7</w:t>
      </w:r>
      <w:r>
        <w:t xml:space="preserve"> at</w:t>
      </w:r>
      <w:r w:rsidRPr="00B84DB0">
        <w:t xml:space="preserve"> </w:t>
      </w:r>
      <w:hyperlink r:id="rId422" w:history="1">
        <w:r w:rsidRPr="00242AAB">
          <w:rPr>
            <w:rStyle w:val="Hyperlink"/>
          </w:rPr>
          <w:t>Annual changes process</w:t>
        </w:r>
      </w:hyperlink>
      <w:r>
        <w:t xml:space="preserve"> &lt;</w:t>
      </w:r>
      <w:r w:rsidRPr="000F0D30">
        <w:t>https://www.health.vic.gov.au/data-reporting/annual-changes</w:t>
      </w:r>
      <w:r>
        <w:t>&gt; and ensure reporting capability is achieved to maintain compliance with reporting timeframes.</w:t>
      </w:r>
    </w:p>
    <w:p w14:paraId="4E17808A" w14:textId="0B13C400" w:rsidR="00817104" w:rsidRDefault="009544DC" w:rsidP="00817104">
      <w:pPr>
        <w:pStyle w:val="Heading2"/>
      </w:pPr>
      <w:bookmarkStart w:id="2721" w:name="_Toc165964766"/>
      <w:bookmarkStart w:id="2722" w:name="_Toc167174626"/>
      <w:bookmarkStart w:id="2723" w:name="_Toc224127335"/>
      <w:bookmarkStart w:id="2724" w:name="_Toc231982382"/>
      <w:r w:rsidRPr="009544DC">
        <w:t xml:space="preserve">Elective Surgery Information System </w:t>
      </w:r>
      <w:r>
        <w:t>(</w:t>
      </w:r>
      <w:r w:rsidR="00817104">
        <w:t>ESIS</w:t>
      </w:r>
      <w:bookmarkEnd w:id="2721"/>
      <w:bookmarkEnd w:id="2722"/>
      <w:bookmarkEnd w:id="2723"/>
      <w:r>
        <w:t>)</w:t>
      </w:r>
      <w:bookmarkEnd w:id="2724"/>
    </w:p>
    <w:p w14:paraId="76AB165B" w14:textId="77777777" w:rsidR="00817104" w:rsidRDefault="00817104" w:rsidP="00817104">
      <w:pPr>
        <w:pStyle w:val="Body"/>
        <w:rPr>
          <w:rFonts w:eastAsia="Arial" w:cs="Arial"/>
          <w:szCs w:val="21"/>
        </w:rPr>
      </w:pPr>
      <w:r>
        <w:t xml:space="preserve">In 2026–27, the scope of ESIS was expanded to </w:t>
      </w:r>
      <w:r w:rsidRPr="5ED785B1">
        <w:rPr>
          <w:rFonts w:eastAsia="Arial" w:cs="Arial"/>
          <w:szCs w:val="21"/>
        </w:rPr>
        <w:t xml:space="preserve">include reporting of </w:t>
      </w:r>
      <w:r>
        <w:rPr>
          <w:rFonts w:eastAsia="Arial" w:cs="Arial"/>
          <w:szCs w:val="21"/>
        </w:rPr>
        <w:t>s</w:t>
      </w:r>
      <w:r w:rsidRPr="5ED785B1">
        <w:rPr>
          <w:rFonts w:eastAsia="Arial" w:cs="Arial"/>
          <w:szCs w:val="21"/>
        </w:rPr>
        <w:t>urveillance gastroscop</w:t>
      </w:r>
      <w:r>
        <w:rPr>
          <w:rFonts w:eastAsia="Arial" w:cs="Arial"/>
          <w:szCs w:val="21"/>
        </w:rPr>
        <w:t>ies</w:t>
      </w:r>
      <w:r w:rsidRPr="5ED785B1">
        <w:rPr>
          <w:rFonts w:eastAsia="Arial" w:cs="Arial"/>
          <w:szCs w:val="21"/>
        </w:rPr>
        <w:t xml:space="preserve"> and colonoscop</w:t>
      </w:r>
      <w:r>
        <w:rPr>
          <w:rFonts w:eastAsia="Arial" w:cs="Arial"/>
          <w:szCs w:val="21"/>
        </w:rPr>
        <w:t>ies.</w:t>
      </w:r>
      <w:r w:rsidRPr="5ED785B1">
        <w:rPr>
          <w:rFonts w:eastAsia="Arial" w:cs="Arial"/>
          <w:szCs w:val="21"/>
        </w:rPr>
        <w:t xml:space="preserve"> </w:t>
      </w:r>
    </w:p>
    <w:p w14:paraId="1C85944D" w14:textId="77777777" w:rsidR="00817104" w:rsidRDefault="00817104" w:rsidP="00817104">
      <w:pPr>
        <w:pStyle w:val="Bodyafterbullets"/>
      </w:pPr>
      <w:r>
        <w:t xml:space="preserve">Victorian health services must ensure their software can create a submission file in accordance with the </w:t>
      </w:r>
      <w:r w:rsidRPr="00537A24">
        <w:rPr>
          <w:i/>
          <w:iCs/>
        </w:rPr>
        <w:t>Specifications for revisions to the ESIS for 202</w:t>
      </w:r>
      <w:r w:rsidRPr="5ED785B1">
        <w:rPr>
          <w:i/>
          <w:iCs/>
        </w:rPr>
        <w:t>6–27</w:t>
      </w:r>
      <w:r w:rsidRPr="00B84DB0">
        <w:t xml:space="preserve"> </w:t>
      </w:r>
      <w:r>
        <w:t>at</w:t>
      </w:r>
      <w:r w:rsidRPr="00B84DB0">
        <w:t xml:space="preserve"> </w:t>
      </w:r>
      <w:hyperlink r:id="rId423" w:history="1">
        <w:r w:rsidRPr="007826DB">
          <w:rPr>
            <w:rStyle w:val="Hyperlink"/>
          </w:rPr>
          <w:t>Annual changes process</w:t>
        </w:r>
      </w:hyperlink>
      <w:r>
        <w:t xml:space="preserve"> &lt;</w:t>
      </w:r>
      <w:r w:rsidRPr="000F0D30">
        <w:t>https://www.health.vic.gov.au/data-reporting/annual-changes</w:t>
      </w:r>
      <w:r>
        <w:t>&gt; and ensure reporting capability is achieved to maintain compliance with reporting timeframes.</w:t>
      </w:r>
    </w:p>
    <w:p w14:paraId="4B970F89" w14:textId="7CC72336" w:rsidR="00817104" w:rsidRDefault="00A91956" w:rsidP="00817104">
      <w:pPr>
        <w:pStyle w:val="Heading2"/>
      </w:pPr>
      <w:bookmarkStart w:id="2725" w:name="_AIMS"/>
      <w:bookmarkStart w:id="2726" w:name="_Toc165964767"/>
      <w:bookmarkStart w:id="2727" w:name="_Toc167174627"/>
      <w:bookmarkStart w:id="2728" w:name="_Toc224127336"/>
      <w:bookmarkStart w:id="2729" w:name="_Toc231982383"/>
      <w:bookmarkEnd w:id="2725"/>
      <w:r w:rsidRPr="00A91956">
        <w:t xml:space="preserve">Agency Information Management System </w:t>
      </w:r>
      <w:r>
        <w:t>(</w:t>
      </w:r>
      <w:r w:rsidR="00817104">
        <w:t>AIMS</w:t>
      </w:r>
      <w:bookmarkEnd w:id="2726"/>
      <w:bookmarkEnd w:id="2727"/>
      <w:bookmarkEnd w:id="2728"/>
      <w:r>
        <w:t>)</w:t>
      </w:r>
      <w:bookmarkEnd w:id="2729"/>
    </w:p>
    <w:p w14:paraId="7D3BD222" w14:textId="0B08D249" w:rsidR="00817104" w:rsidRDefault="00817104" w:rsidP="00817104">
      <w:pPr>
        <w:pStyle w:val="Bodyafterbullets"/>
      </w:pPr>
      <w:r>
        <w:t>There are no changes to AIMS data collections in 2026–27.</w:t>
      </w:r>
      <w:r w:rsidR="001D2366">
        <w:t xml:space="preserve"> </w:t>
      </w:r>
      <w:r>
        <w:t xml:space="preserve">Health services must ensure relevant AIMS data collections are completed by the due date, as set out in the </w:t>
      </w:r>
      <w:hyperlink r:id="rId424" w:history="1">
        <w:r w:rsidRPr="005C3102">
          <w:rPr>
            <w:rStyle w:val="Hyperlink"/>
          </w:rPr>
          <w:t>AIMS manual</w:t>
        </w:r>
      </w:hyperlink>
      <w:r>
        <w:t xml:space="preserve"> &lt;</w:t>
      </w:r>
      <w:r w:rsidRPr="00C420B5">
        <w:t>https://www.health.vic.gov.au/data-reporting/agency-information-management-system-aims</w:t>
      </w:r>
      <w:r>
        <w:t xml:space="preserve">&gt;. </w:t>
      </w:r>
    </w:p>
    <w:p w14:paraId="7AF95A9C" w14:textId="6B7CE449" w:rsidR="00817104" w:rsidRDefault="00E25879" w:rsidP="00817104">
      <w:pPr>
        <w:pStyle w:val="Heading2"/>
      </w:pPr>
      <w:bookmarkStart w:id="2730" w:name="_Toc165964768"/>
      <w:bookmarkStart w:id="2731" w:name="_Toc167174628"/>
      <w:bookmarkStart w:id="2732" w:name="_Toc224127337"/>
      <w:bookmarkStart w:id="2733" w:name="_Toc231982384"/>
      <w:r w:rsidRPr="00E25879">
        <w:t>Victorian Emergency Minimum Dataset</w:t>
      </w:r>
      <w:r>
        <w:t xml:space="preserve"> (</w:t>
      </w:r>
      <w:r w:rsidR="00817104" w:rsidRPr="005D6C44">
        <w:t>VEMD</w:t>
      </w:r>
      <w:bookmarkEnd w:id="2730"/>
      <w:bookmarkEnd w:id="2731"/>
      <w:bookmarkEnd w:id="2732"/>
      <w:r>
        <w:t>)</w:t>
      </w:r>
      <w:bookmarkEnd w:id="2733"/>
    </w:p>
    <w:p w14:paraId="4B16010A" w14:textId="77777777" w:rsidR="00817104" w:rsidRDefault="00817104" w:rsidP="00817104">
      <w:pPr>
        <w:pStyle w:val="Body"/>
      </w:pPr>
      <w:r>
        <w:t>In 2026–27, the changes made to the VEMD include:</w:t>
      </w:r>
    </w:p>
    <w:p w14:paraId="2632CBE7" w14:textId="77777777" w:rsidR="00817104" w:rsidRDefault="00817104" w:rsidP="00817104">
      <w:pPr>
        <w:pStyle w:val="Bullet1"/>
        <w:numPr>
          <w:ilvl w:val="0"/>
          <w:numId w:val="2"/>
        </w:numPr>
        <w:rPr>
          <w:rFonts w:eastAsia="Arial" w:cs="Arial"/>
          <w:szCs w:val="21"/>
        </w:rPr>
      </w:pPr>
      <w:r>
        <w:rPr>
          <w:rFonts w:eastAsia="Arial" w:cs="Arial"/>
          <w:szCs w:val="21"/>
        </w:rPr>
        <w:t>updated</w:t>
      </w:r>
      <w:r w:rsidRPr="23DD12DC">
        <w:rPr>
          <w:rFonts w:eastAsia="Arial" w:cs="Arial"/>
          <w:szCs w:val="21"/>
        </w:rPr>
        <w:t xml:space="preserve"> </w:t>
      </w:r>
      <w:r w:rsidRPr="4359B60F">
        <w:rPr>
          <w:rFonts w:eastAsia="Arial" w:cs="Arial"/>
          <w:szCs w:val="21"/>
        </w:rPr>
        <w:t>definition, code set and reporting</w:t>
      </w:r>
      <w:r w:rsidRPr="23DD12DC">
        <w:rPr>
          <w:rFonts w:eastAsia="Arial" w:cs="Arial"/>
          <w:szCs w:val="21"/>
        </w:rPr>
        <w:t xml:space="preserve"> guide for Departure Status, Departure Date, Departure Time and Referred By</w:t>
      </w:r>
    </w:p>
    <w:p w14:paraId="05C52CA5" w14:textId="77777777" w:rsidR="00817104" w:rsidRDefault="00817104" w:rsidP="00817104">
      <w:pPr>
        <w:pStyle w:val="Bullet1"/>
        <w:numPr>
          <w:ilvl w:val="0"/>
          <w:numId w:val="2"/>
        </w:numPr>
        <w:rPr>
          <w:rFonts w:eastAsia="Arial" w:cs="Arial"/>
          <w:szCs w:val="21"/>
        </w:rPr>
      </w:pPr>
      <w:r w:rsidRPr="002C5FAF">
        <w:rPr>
          <w:rFonts w:eastAsia="Arial" w:cs="Arial"/>
          <w:szCs w:val="21"/>
        </w:rPr>
        <w:t>new</w:t>
      </w:r>
      <w:r>
        <w:rPr>
          <w:rFonts w:eastAsia="Arial" w:cs="Arial"/>
          <w:szCs w:val="21"/>
        </w:rPr>
        <w:t xml:space="preserve"> validations for Ambulance Destination Date/Time.</w:t>
      </w:r>
    </w:p>
    <w:p w14:paraId="784E739B" w14:textId="77777777" w:rsidR="00817104" w:rsidRDefault="00817104" w:rsidP="00817104">
      <w:pPr>
        <w:pStyle w:val="Bodyafterbullets"/>
      </w:pPr>
      <w:r>
        <w:t xml:space="preserve">Victorian health services must ensure their software can create a submission file, in accordance with the </w:t>
      </w:r>
      <w:r w:rsidRPr="002D6AE5">
        <w:t>Specifications for revisions to the VEMD for 2026–27</w:t>
      </w:r>
      <w:r>
        <w:t xml:space="preserve"> at</w:t>
      </w:r>
      <w:r w:rsidRPr="00B84DB0">
        <w:t xml:space="preserve"> </w:t>
      </w:r>
      <w:hyperlink r:id="rId425">
        <w:r w:rsidRPr="48E6CFA4">
          <w:rPr>
            <w:rStyle w:val="Hyperlink"/>
          </w:rPr>
          <w:t>Annual changes process</w:t>
        </w:r>
      </w:hyperlink>
      <w:r>
        <w:t xml:space="preserve"> &lt;</w:t>
      </w:r>
      <w:r w:rsidRPr="000F0D30">
        <w:t>https://www.health.vic.gov.au/data-reporting/annual-changes</w:t>
      </w:r>
      <w:r>
        <w:t>&gt; and ensure reporting capability is achieved to maintain compliance with reporting timeframes.</w:t>
      </w:r>
    </w:p>
    <w:p w14:paraId="74B5EDF4" w14:textId="2A68D085" w:rsidR="00817104" w:rsidRDefault="00A91956" w:rsidP="00817104">
      <w:pPr>
        <w:pStyle w:val="Heading2"/>
      </w:pPr>
      <w:bookmarkStart w:id="2734" w:name="_Toc231982385"/>
      <w:bookmarkStart w:id="2735" w:name="_Toc165964769"/>
      <w:bookmarkStart w:id="2736" w:name="_Toc167174629"/>
      <w:bookmarkStart w:id="2737" w:name="_Toc224127338"/>
      <w:r>
        <w:t>Victorian Integrated Non-Admitted Health (VINAH) minimum data set (MDS)</w:t>
      </w:r>
      <w:bookmarkEnd w:id="2734"/>
      <w:r>
        <w:t xml:space="preserve"> </w:t>
      </w:r>
      <w:bookmarkEnd w:id="2735"/>
      <w:bookmarkEnd w:id="2736"/>
      <w:bookmarkEnd w:id="2737"/>
    </w:p>
    <w:p w14:paraId="0276922B" w14:textId="77777777" w:rsidR="00817104" w:rsidRDefault="00817104" w:rsidP="00817104">
      <w:pPr>
        <w:pStyle w:val="Body"/>
      </w:pPr>
      <w:r w:rsidRPr="00503CC9">
        <w:t xml:space="preserve">In </w:t>
      </w:r>
      <w:r>
        <w:t>2026–27</w:t>
      </w:r>
      <w:r w:rsidRPr="002C5FAF">
        <w:t>,</w:t>
      </w:r>
      <w:r>
        <w:t xml:space="preserve"> there are no changes to the VINAH MDS. </w:t>
      </w:r>
    </w:p>
    <w:p w14:paraId="19D23E16" w14:textId="77777777" w:rsidR="00817104" w:rsidRDefault="00817104" w:rsidP="00817104">
      <w:pPr>
        <w:pStyle w:val="Bodyafterbullets"/>
      </w:pPr>
      <w:r>
        <w:lastRenderedPageBreak/>
        <w:t xml:space="preserve">Victorian health services must ensure their software can create a submission file, in accordance with the </w:t>
      </w:r>
      <w:hyperlink r:id="rId426" w:history="1">
        <w:r>
          <w:rPr>
            <w:rStyle w:val="Hyperlink"/>
          </w:rPr>
          <w:t>2026–27</w:t>
        </w:r>
        <w:r w:rsidRPr="005628FE">
          <w:rPr>
            <w:rStyle w:val="Hyperlink"/>
          </w:rPr>
          <w:t xml:space="preserve"> VINAH </w:t>
        </w:r>
        <w:r>
          <w:rPr>
            <w:rStyle w:val="Hyperlink"/>
          </w:rPr>
          <w:t>MDS</w:t>
        </w:r>
        <w:r w:rsidRPr="005628FE">
          <w:rPr>
            <w:rStyle w:val="Hyperlink"/>
          </w:rPr>
          <w:t xml:space="preserve"> manual</w:t>
        </w:r>
      </w:hyperlink>
      <w:r>
        <w:t xml:space="preserve"> &lt;</w:t>
      </w:r>
      <w:r w:rsidRPr="005628FE">
        <w:t>https://www.health.vic.gov.au/data-reporting/victorian-integrated-non-admitted-health-vinah-dataset</w:t>
      </w:r>
      <w:r>
        <w:t>&gt; and ensure reporting capability is achieved to maintain compliance with reporting timeframes.</w:t>
      </w:r>
    </w:p>
    <w:p w14:paraId="31A489E4" w14:textId="25FECFF5" w:rsidR="00817104" w:rsidRDefault="005D218F" w:rsidP="00817104">
      <w:pPr>
        <w:pStyle w:val="Heading2"/>
      </w:pPr>
      <w:bookmarkStart w:id="2738" w:name="_Toc165964770"/>
      <w:bookmarkStart w:id="2739" w:name="_Toc167174630"/>
      <w:bookmarkStart w:id="2740" w:name="_Toc224127339"/>
      <w:bookmarkStart w:id="2741" w:name="_Toc231982386"/>
      <w:r w:rsidRPr="0670E279">
        <w:rPr>
          <w:rFonts w:cs="Calibri"/>
        </w:rPr>
        <w:t xml:space="preserve">Non-Admitted Data Collection </w:t>
      </w:r>
      <w:r>
        <w:rPr>
          <w:rFonts w:cs="Calibri"/>
          <w:b w:val="0"/>
          <w:bCs/>
        </w:rPr>
        <w:t>(</w:t>
      </w:r>
      <w:r w:rsidR="00817104">
        <w:t>NADC</w:t>
      </w:r>
      <w:bookmarkEnd w:id="2738"/>
      <w:bookmarkEnd w:id="2739"/>
      <w:bookmarkEnd w:id="2740"/>
      <w:r>
        <w:t>)</w:t>
      </w:r>
      <w:bookmarkEnd w:id="2741"/>
    </w:p>
    <w:p w14:paraId="104ACDA4" w14:textId="77777777" w:rsidR="00817104" w:rsidRDefault="00817104" w:rsidP="00817104">
      <w:pPr>
        <w:pStyle w:val="Body"/>
      </w:pPr>
      <w:r>
        <w:t>In 2026–27, there are no changes to the NADC.</w:t>
      </w:r>
    </w:p>
    <w:p w14:paraId="20BFCFF1" w14:textId="21BFE65E" w:rsidR="00817104" w:rsidRPr="00E72A95" w:rsidRDefault="00817104" w:rsidP="00817104">
      <w:pPr>
        <w:pStyle w:val="Body"/>
      </w:pPr>
      <w:r>
        <w:t xml:space="preserve">Victorian health services must ensure their submissions file meets the specifications outlined in the NADC manual available on request by emailing </w:t>
      </w:r>
      <w:hyperlink r:id="rId427" w:history="1">
        <w:r w:rsidRPr="001E51E6">
          <w:rPr>
            <w:rStyle w:val="Hyperlink"/>
          </w:rPr>
          <w:t>HDSS helpdesk</w:t>
        </w:r>
      </w:hyperlink>
      <w:r>
        <w:t xml:space="preserve"> &lt;hdss.helpdesk@health.vic.gov.au&gt;. </w:t>
      </w:r>
    </w:p>
    <w:p w14:paraId="79990F56" w14:textId="75AC8835" w:rsidR="00817104" w:rsidRDefault="005D218F" w:rsidP="00817104">
      <w:pPr>
        <w:pStyle w:val="Heading2"/>
      </w:pPr>
      <w:bookmarkStart w:id="2742" w:name="_Victorian_Perinatal_Data"/>
      <w:bookmarkStart w:id="2743" w:name="_28.7_VPDC"/>
      <w:bookmarkStart w:id="2744" w:name="_Toc231982387"/>
      <w:bookmarkStart w:id="2745" w:name="_Toc224127340"/>
      <w:bookmarkEnd w:id="2742"/>
      <w:bookmarkEnd w:id="2743"/>
      <w:r w:rsidRPr="00B35D55">
        <w:t xml:space="preserve">Victorian Perinatal Data </w:t>
      </w:r>
      <w:r>
        <w:t>C</w:t>
      </w:r>
      <w:r w:rsidRPr="00B35D55">
        <w:t>ollection</w:t>
      </w:r>
      <w:r>
        <w:t xml:space="preserve"> (VP</w:t>
      </w:r>
      <w:r w:rsidR="001D2366">
        <w:t>DC)</w:t>
      </w:r>
      <w:bookmarkEnd w:id="2744"/>
      <w:r>
        <w:t xml:space="preserve"> </w:t>
      </w:r>
      <w:bookmarkEnd w:id="2745"/>
    </w:p>
    <w:p w14:paraId="7FEE5EAF" w14:textId="77777777" w:rsidR="00817104" w:rsidRDefault="00817104" w:rsidP="00817104">
      <w:pPr>
        <w:pStyle w:val="Body"/>
      </w:pPr>
      <w:r>
        <w:t>In 2026–27, the changes made to the VPDC include:</w:t>
      </w:r>
    </w:p>
    <w:p w14:paraId="76B356EF" w14:textId="77777777" w:rsidR="00817104" w:rsidRDefault="00817104" w:rsidP="00817104">
      <w:pPr>
        <w:pStyle w:val="Bullet1"/>
        <w:numPr>
          <w:ilvl w:val="0"/>
          <w:numId w:val="2"/>
        </w:numPr>
      </w:pPr>
      <w:r>
        <w:t>updating the ICD-10-AM/ACHI code set to 13</w:t>
      </w:r>
      <w:r w:rsidRPr="00FA1A04">
        <w:rPr>
          <w:vertAlign w:val="superscript"/>
        </w:rPr>
        <w:t>th</w:t>
      </w:r>
      <w:r>
        <w:t xml:space="preserve"> edition</w:t>
      </w:r>
    </w:p>
    <w:p w14:paraId="591AF64D" w14:textId="77777777" w:rsidR="00817104" w:rsidRDefault="00817104" w:rsidP="00817104">
      <w:pPr>
        <w:pStyle w:val="Bullet1"/>
        <w:numPr>
          <w:ilvl w:val="0"/>
          <w:numId w:val="2"/>
        </w:numPr>
      </w:pPr>
      <w:r>
        <w:t>r</w:t>
      </w:r>
      <w:r w:rsidRPr="00CE6BE7">
        <w:t>espiratory syncytial virus (RSV)</w:t>
      </w:r>
      <w:r w:rsidRPr="00CE6BE7" w:rsidDel="00CE6BE7">
        <w:t xml:space="preserve"> </w:t>
      </w:r>
      <w:r>
        <w:t>vaccination status during pregnancy (mother)</w:t>
      </w:r>
    </w:p>
    <w:p w14:paraId="7A67BBF7" w14:textId="77777777" w:rsidR="00817104" w:rsidRDefault="00817104" w:rsidP="00817104">
      <w:pPr>
        <w:pStyle w:val="Bullet1"/>
        <w:numPr>
          <w:ilvl w:val="0"/>
          <w:numId w:val="2"/>
        </w:numPr>
      </w:pPr>
      <w:r>
        <w:t>gestation at RSV vaccination during this pregnancy (mother)</w:t>
      </w:r>
    </w:p>
    <w:p w14:paraId="78A2E452" w14:textId="77777777" w:rsidR="00817104" w:rsidRDefault="00817104" w:rsidP="00817104">
      <w:pPr>
        <w:pStyle w:val="Bullet1"/>
        <w:numPr>
          <w:ilvl w:val="0"/>
          <w:numId w:val="2"/>
        </w:numPr>
      </w:pPr>
      <w:r>
        <w:t>RSV monoclonal antibody administration (baby)</w:t>
      </w:r>
    </w:p>
    <w:p w14:paraId="1C1E05B8" w14:textId="77777777" w:rsidR="00817104" w:rsidRDefault="00817104" w:rsidP="00817104">
      <w:pPr>
        <w:pStyle w:val="Bullet1"/>
        <w:numPr>
          <w:ilvl w:val="0"/>
          <w:numId w:val="2"/>
        </w:numPr>
      </w:pPr>
      <w:r>
        <w:t>deletion of data elements for COVID vaccination gestation and modification to the reporting guide</w:t>
      </w:r>
    </w:p>
    <w:p w14:paraId="46CE14EC" w14:textId="77777777" w:rsidR="00817104" w:rsidRDefault="00817104" w:rsidP="00817104">
      <w:pPr>
        <w:pStyle w:val="Bullet1"/>
        <w:numPr>
          <w:ilvl w:val="0"/>
          <w:numId w:val="2"/>
        </w:numPr>
      </w:pPr>
      <w:r>
        <w:t>update to the head circumference – baby data element.</w:t>
      </w:r>
    </w:p>
    <w:p w14:paraId="6B057A99" w14:textId="77777777" w:rsidR="00817104" w:rsidRDefault="00817104" w:rsidP="00817104">
      <w:pPr>
        <w:pStyle w:val="Bodyafterbullets"/>
      </w:pPr>
      <w:r>
        <w:t xml:space="preserve">Victorian health services must ensure their software can create a submission file, in accordance with the </w:t>
      </w:r>
      <w:bookmarkStart w:id="2746" w:name="_Hlk227312504"/>
      <w:r w:rsidRPr="004640B3">
        <w:fldChar w:fldCharType="begin"/>
      </w:r>
      <w:r w:rsidRPr="004640B3">
        <w:instrText>HYPERLINK "https://www.health.vic.gov.au/quality-safety-service/victorian-perinatal-data-collection"</w:instrText>
      </w:r>
      <w:r w:rsidRPr="004640B3">
        <w:fldChar w:fldCharType="separate"/>
      </w:r>
      <w:r w:rsidRPr="002D6AE5">
        <w:rPr>
          <w:rStyle w:val="Hyperlink"/>
        </w:rPr>
        <w:t>Specifications for revisions to the VPDC for 1 July 2026</w:t>
      </w:r>
      <w:bookmarkEnd w:id="2746"/>
      <w:r w:rsidRPr="004640B3">
        <w:fldChar w:fldCharType="end"/>
      </w:r>
      <w:r>
        <w:t xml:space="preserve"> &lt;</w:t>
      </w:r>
      <w:r w:rsidRPr="000F0D30">
        <w:t>https://www.health.vic.gov.au/</w:t>
      </w:r>
      <w:r w:rsidRPr="00A81BF0">
        <w:t>quality-safety-service/victorian-perinatal-</w:t>
      </w:r>
      <w:r w:rsidRPr="000F0D30">
        <w:t>data-</w:t>
      </w:r>
      <w:r w:rsidRPr="00A81BF0">
        <w:t>collection</w:t>
      </w:r>
      <w:r>
        <w:t>&gt; and ensure reporting capability is achieved to maintain compliance with reporting timeframes.</w:t>
      </w:r>
    </w:p>
    <w:p w14:paraId="4C3D29C1" w14:textId="33493054" w:rsidR="00817104" w:rsidRPr="00D506D5" w:rsidRDefault="00376BEA" w:rsidP="00817104">
      <w:pPr>
        <w:pStyle w:val="Heading2"/>
      </w:pPr>
      <w:bookmarkStart w:id="2747" w:name="_Toc231982388"/>
      <w:r w:rsidRPr="00376BEA">
        <w:t>Public sector residential aged care services</w:t>
      </w:r>
      <w:r w:rsidR="007F3E7E">
        <w:t xml:space="preserve"> (</w:t>
      </w:r>
      <w:r w:rsidR="00817104">
        <w:t>PSRACS</w:t>
      </w:r>
      <w:r w:rsidR="007F3E7E">
        <w:t>)</w:t>
      </w:r>
      <w:bookmarkEnd w:id="2747"/>
    </w:p>
    <w:p w14:paraId="6177B9C9" w14:textId="77777777" w:rsidR="00817104" w:rsidRDefault="00817104" w:rsidP="00817104">
      <w:pPr>
        <w:pStyle w:val="Body"/>
      </w:pPr>
      <w:r>
        <w:t xml:space="preserve">To support reporting changes to the National Quality Indicator Program, an additional comments field for allied health reporting was added to the QIPSRACS: National Quality Indicator collection form in January 2026. </w:t>
      </w:r>
    </w:p>
    <w:p w14:paraId="491F4AB5" w14:textId="77777777" w:rsidR="00817104" w:rsidRDefault="00817104" w:rsidP="00817104">
      <w:pPr>
        <w:pStyle w:val="Body"/>
      </w:pPr>
      <w:r>
        <w:t xml:space="preserve">From 2026–27, funded organisations will be expected to submit the </w:t>
      </w:r>
      <w:r w:rsidRPr="00425966">
        <w:t>receipt report generated by the Commonwealth for the annual Aged Care Financial Report to the department</w:t>
      </w:r>
      <w:r>
        <w:t xml:space="preserve"> by 30 November each year.</w:t>
      </w:r>
    </w:p>
    <w:p w14:paraId="5081D0CD" w14:textId="77777777" w:rsidR="00817104" w:rsidRDefault="00817104" w:rsidP="00817104">
      <w:pPr>
        <w:pStyle w:val="Body"/>
      </w:pPr>
      <w:r>
        <w:t xml:space="preserve">No further changes to PSRACS data collections are planned for 2026–27. </w:t>
      </w:r>
    </w:p>
    <w:p w14:paraId="1F343A84" w14:textId="4D78CBE4" w:rsidR="00817104" w:rsidRDefault="0072274D" w:rsidP="00817104">
      <w:pPr>
        <w:pStyle w:val="Heading2"/>
      </w:pPr>
      <w:bookmarkStart w:id="2748" w:name="_Toc165461905"/>
      <w:bookmarkStart w:id="2749" w:name="_Toc165461906"/>
      <w:bookmarkStart w:id="2750" w:name="_Toc165461907"/>
      <w:bookmarkStart w:id="2751" w:name="_Toc165461908"/>
      <w:bookmarkStart w:id="2752" w:name="_Toc231982389"/>
      <w:bookmarkEnd w:id="2748"/>
      <w:bookmarkEnd w:id="2749"/>
      <w:bookmarkEnd w:id="2750"/>
      <w:bookmarkEnd w:id="2751"/>
      <w:r>
        <w:t>A</w:t>
      </w:r>
      <w:r w:rsidRPr="0072274D">
        <w:t xml:space="preserve">ged care assessment </w:t>
      </w:r>
      <w:r>
        <w:t>(</w:t>
      </w:r>
      <w:r w:rsidR="00817104" w:rsidRPr="003A4CAC">
        <w:t>ACA</w:t>
      </w:r>
      <w:r>
        <w:t>)</w:t>
      </w:r>
      <w:bookmarkEnd w:id="2752"/>
    </w:p>
    <w:p w14:paraId="31B59EF7" w14:textId="77777777" w:rsidR="00817104" w:rsidRDefault="00817104" w:rsidP="00817104">
      <w:pPr>
        <w:pStyle w:val="Body"/>
      </w:pPr>
      <w:r>
        <w:t xml:space="preserve">Since August 2016, all ACA data, including referrals issued and associated workflow, is recorded in the Australian Government's My Aged Care system. As part of the national aged care reforms, the Australian Government Department of Health, </w:t>
      </w:r>
      <w:r w:rsidRPr="003A4CAC">
        <w:t>Disability and Ageing</w:t>
      </w:r>
      <w:r>
        <w:t xml:space="preserve"> has implemented the Single Assessment System to assess eligibility for all aged care services. </w:t>
      </w:r>
      <w:r w:rsidRPr="003A4CAC">
        <w:t xml:space="preserve">This has resulted in phased updates to the </w:t>
      </w:r>
      <w:r>
        <w:t xml:space="preserve">My Aged Care </w:t>
      </w:r>
      <w:r w:rsidRPr="003A4CAC">
        <w:t xml:space="preserve">system to align with the </w:t>
      </w:r>
      <w:r>
        <w:t>Single Assessment System</w:t>
      </w:r>
      <w:r w:rsidRPr="003A4CAC" w:rsidDel="0012345C">
        <w:t xml:space="preserve"> </w:t>
      </w:r>
      <w:r w:rsidRPr="003A4CAC">
        <w:t>workflow, legislative and performance requirements</w:t>
      </w:r>
      <w:r>
        <w:t xml:space="preserve">. </w:t>
      </w:r>
    </w:p>
    <w:p w14:paraId="1FA0285F" w14:textId="77777777" w:rsidR="00817104" w:rsidRDefault="00817104" w:rsidP="00817104">
      <w:pPr>
        <w:pStyle w:val="Body"/>
      </w:pPr>
      <w:r>
        <w:lastRenderedPageBreak/>
        <w:t xml:space="preserve">The Australian Government provides access to performance data to the department and ACA providers, via the Australian Government’s </w:t>
      </w:r>
      <w:r w:rsidRPr="003A4CAC">
        <w:t>Health</w:t>
      </w:r>
      <w:r>
        <w:t xml:space="preserve"> </w:t>
      </w:r>
      <w:r w:rsidRPr="003A4CAC">
        <w:t>Data Portal</w:t>
      </w:r>
      <w:r>
        <w:t xml:space="preserve"> Qlik platform. </w:t>
      </w:r>
      <w:r w:rsidRPr="003A4CAC">
        <w:t>ACA providers are expected to monitor their performance against the aged care assessment Key Performance Indicators using information from the Health Data Portal.</w:t>
      </w:r>
    </w:p>
    <w:p w14:paraId="5E3998A8" w14:textId="77777777" w:rsidR="00817104" w:rsidRDefault="00817104" w:rsidP="00817104">
      <w:pPr>
        <w:pStyle w:val="Body"/>
      </w:pPr>
      <w:r>
        <w:t xml:space="preserve">In addition to the department’s requirements, </w:t>
      </w:r>
      <w:r w:rsidRPr="01CE1044">
        <w:t xml:space="preserve">ACA agencies are required to record, monitor and report </w:t>
      </w:r>
      <w:r>
        <w:t xml:space="preserve">to the program area any </w:t>
      </w:r>
      <w:r w:rsidRPr="01CE1044">
        <w:t>complaints,</w:t>
      </w:r>
      <w:r>
        <w:t xml:space="preserve"> </w:t>
      </w:r>
      <w:r w:rsidRPr="01CE1044">
        <w:t>conflict</w:t>
      </w:r>
      <w:r>
        <w:t>s</w:t>
      </w:r>
      <w:r w:rsidRPr="01CE1044">
        <w:t xml:space="preserve"> of interest and cyber incidents relating to assessment services. These requirements include any of the ACA agencies’ subcontractors. </w:t>
      </w:r>
    </w:p>
    <w:p w14:paraId="62A23E32" w14:textId="77777777" w:rsidR="00817104" w:rsidRDefault="00817104" w:rsidP="00817104">
      <w:pPr>
        <w:pStyle w:val="Body"/>
      </w:pPr>
      <w:r w:rsidRPr="01CE1044">
        <w:t>Notification to the department of complaints in respect to an Aged Care Needs Assessment or of the Assessor to a complaints body or regulatory authority is required as soon as the ACA becomes aware of the complaint.</w:t>
      </w:r>
      <w:r>
        <w:t xml:space="preserve"> </w:t>
      </w:r>
      <w:r w:rsidRPr="01CE1044">
        <w:t xml:space="preserve">ACAs are to review and update their ACA Conflict of Interest template records and provide the template record to the department every </w:t>
      </w:r>
      <w:r>
        <w:t>six</w:t>
      </w:r>
      <w:r w:rsidRPr="01CE1044">
        <w:t xml:space="preserve"> months.</w:t>
      </w:r>
    </w:p>
    <w:p w14:paraId="0538E3DA" w14:textId="77777777" w:rsidR="00817104" w:rsidRPr="00C75579" w:rsidRDefault="00817104" w:rsidP="00817104">
      <w:pPr>
        <w:pStyle w:val="Body"/>
      </w:pPr>
      <w:r w:rsidRPr="00982883">
        <w:t>ACAs are also required to report any cyber incident</w:t>
      </w:r>
      <w:r>
        <w:t>,</w:t>
      </w:r>
      <w:r w:rsidRPr="00982883">
        <w:t xml:space="preserve"> whether a single or a series of unexpected cybersecurity events</w:t>
      </w:r>
      <w:r>
        <w:t>,</w:t>
      </w:r>
      <w:r w:rsidRPr="00982883">
        <w:t xml:space="preserve"> that has</w:t>
      </w:r>
      <w:r>
        <w:t>,</w:t>
      </w:r>
      <w:r w:rsidRPr="00982883">
        <w:t xml:space="preserve"> or is highly likely to</w:t>
      </w:r>
      <w:r>
        <w:t>,</w:t>
      </w:r>
      <w:r w:rsidRPr="00982883">
        <w:t xml:space="preserve"> compromise the ACA operations.</w:t>
      </w:r>
      <w:r w:rsidRPr="01CE1044">
        <w:t xml:space="preserve"> </w:t>
      </w:r>
    </w:p>
    <w:p w14:paraId="7289D3F2" w14:textId="77777777" w:rsidR="00817104" w:rsidRDefault="00817104" w:rsidP="00817104">
      <w:pPr>
        <w:pStyle w:val="Body"/>
      </w:pPr>
    </w:p>
    <w:p w14:paraId="2C94DC22" w14:textId="77777777" w:rsidR="00817104" w:rsidRDefault="00817104" w:rsidP="00817104">
      <w:pPr>
        <w:pStyle w:val="Body"/>
      </w:pPr>
      <w:r>
        <w:br w:type="page"/>
      </w:r>
    </w:p>
    <w:p w14:paraId="65CDC982" w14:textId="77777777" w:rsidR="00817104" w:rsidRDefault="00817104" w:rsidP="008D45A5">
      <w:pPr>
        <w:pStyle w:val="Heading1"/>
      </w:pPr>
      <w:bookmarkStart w:id="2753" w:name="_Toc224127343"/>
      <w:bookmarkStart w:id="2754" w:name="_Toc231982390"/>
      <w:r>
        <w:lastRenderedPageBreak/>
        <w:t xml:space="preserve">Data collection </w:t>
      </w:r>
      <w:r w:rsidRPr="006A0ADC">
        <w:t>requirements</w:t>
      </w:r>
      <w:bookmarkEnd w:id="2753"/>
      <w:bookmarkEnd w:id="2754"/>
      <w:r>
        <w:t xml:space="preserve"> </w:t>
      </w:r>
    </w:p>
    <w:p w14:paraId="22B8732B" w14:textId="77777777" w:rsidR="00817104" w:rsidRDefault="00817104" w:rsidP="00817104">
      <w:pPr>
        <w:pStyle w:val="Body"/>
      </w:pPr>
      <w:r>
        <w:t xml:space="preserve">Data reporting and analysis </w:t>
      </w:r>
      <w:r w:rsidRPr="006A0ADC">
        <w:t>are</w:t>
      </w:r>
      <w:r>
        <w:t xml:space="preserve"> core elements of the department’s health monitoring and funding system. In general, health services and other funded organisations must comply with standard definitions for reporting financial and statistical data, as set out in the relevant </w:t>
      </w:r>
      <w:r w:rsidRPr="0670E279">
        <w:rPr>
          <w:rFonts w:cs="Calibri"/>
        </w:rPr>
        <w:t>202</w:t>
      </w:r>
      <w:r>
        <w:rPr>
          <w:rFonts w:cs="Calibri"/>
        </w:rPr>
        <w:t>6</w:t>
      </w:r>
      <w:r w:rsidRPr="0670E279">
        <w:rPr>
          <w:rFonts w:cs="Calibri"/>
        </w:rPr>
        <w:t>–2</w:t>
      </w:r>
      <w:r>
        <w:rPr>
          <w:rFonts w:cs="Calibri"/>
        </w:rPr>
        <w:t>7</w:t>
      </w:r>
      <w:r w:rsidRPr="0670E279">
        <w:rPr>
          <w:rFonts w:cs="Calibri"/>
        </w:rPr>
        <w:t xml:space="preserve"> </w:t>
      </w:r>
      <w:r>
        <w:t>versions of data collection manuals, and any other amending documents prepared by the department.</w:t>
      </w:r>
    </w:p>
    <w:p w14:paraId="6ABC8E7B" w14:textId="31B8B6F0" w:rsidR="00083F01" w:rsidRDefault="00083F01" w:rsidP="00083F01">
      <w:pPr>
        <w:pStyle w:val="Body"/>
      </w:pPr>
      <w:r>
        <w:t xml:space="preserve">Public health services must submit admitted patient data to the VAED, non-admitted data to VINAH/NADC, planned surgery wait list data to ESIS and emergency department data to the VEMD according to the timelines detailed in the </w:t>
      </w:r>
      <w:r w:rsidR="002B7357">
        <w:t>sections below</w:t>
      </w:r>
      <w:r>
        <w:t xml:space="preserve">.  </w:t>
      </w:r>
    </w:p>
    <w:p w14:paraId="5EB2E6B0" w14:textId="77777777" w:rsidR="00083F01" w:rsidRDefault="00083F01" w:rsidP="00083F01">
      <w:pPr>
        <w:pStyle w:val="Body"/>
      </w:pPr>
      <w:r>
        <w:t xml:space="preserve">It is the health service’s responsibility to ensure that data files are submitted on or before the due date.  An email reminder is sent to your submission coordinator to remind them to submit data.  The department will provide no further reminders to your health service of the necessity to submit data on time.  </w:t>
      </w:r>
    </w:p>
    <w:p w14:paraId="1048DE42" w14:textId="77777777" w:rsidR="00083F01" w:rsidRDefault="00083F01" w:rsidP="00083F01">
      <w:pPr>
        <w:pStyle w:val="Body"/>
      </w:pPr>
      <w:r>
        <w:t>Where health services are noncompliant with the timelines specified, the department will not be able to include the data in quarterly reporting to the Independent Health and Aged Care Pricing Authority (IHACPA), performance reporting, and public reporting. Activity data not successfully submitted to the department by the consolidation date will not receive funding and may not be counted towards activity targets.</w:t>
      </w:r>
    </w:p>
    <w:p w14:paraId="05746A53" w14:textId="7D066660" w:rsidR="00083F01" w:rsidRDefault="00083F01" w:rsidP="00083F01">
      <w:pPr>
        <w:pStyle w:val="Body"/>
      </w:pPr>
      <w:r>
        <w:t xml:space="preserve">Health services seeking late data exemption must notify the department by the submission date and complete a late data notification form indicating the nature of the difficulties, remedial action being taken and the expected submission date. </w:t>
      </w:r>
      <w:r w:rsidR="008557C6">
        <w:t xml:space="preserve">To access the late data notification form, visit </w:t>
      </w:r>
      <w:hyperlink r:id="rId428" w:history="1">
        <w:r w:rsidR="008557C6" w:rsidRPr="67CD79BB">
          <w:rPr>
            <w:rStyle w:val="Hyperlink"/>
          </w:rPr>
          <w:t xml:space="preserve">HDSS </w:t>
        </w:r>
        <w:r w:rsidR="008557C6">
          <w:rPr>
            <w:rStyle w:val="Hyperlink"/>
          </w:rPr>
          <w:t>f</w:t>
        </w:r>
        <w:r w:rsidR="008557C6" w:rsidRPr="67CD79BB">
          <w:rPr>
            <w:rStyle w:val="Hyperlink"/>
          </w:rPr>
          <w:t>orms</w:t>
        </w:r>
      </w:hyperlink>
      <w:r w:rsidR="008557C6">
        <w:t xml:space="preserve"> &lt;https://www.health.vic.gov.au/data-reporting/health-data-standards-and-systems-hdss-forms&gt;.  </w:t>
      </w:r>
      <w:r>
        <w:t>Health services must also submit aggregate data when patient level data is not available.</w:t>
      </w:r>
    </w:p>
    <w:p w14:paraId="6D672BAE" w14:textId="04E568A0" w:rsidR="00083F01" w:rsidRPr="00C33B06" w:rsidRDefault="00083F01" w:rsidP="00083F01">
      <w:pPr>
        <w:pStyle w:val="Body"/>
      </w:pPr>
      <w:r>
        <w:t xml:space="preserve">For assistance, email </w:t>
      </w:r>
      <w:hyperlink r:id="rId429" w:history="1">
        <w:r w:rsidR="00043D67">
          <w:rPr>
            <w:rStyle w:val="Hyperlink"/>
          </w:rPr>
          <w:t>HDSS helpdesk</w:t>
        </w:r>
      </w:hyperlink>
      <w:r w:rsidR="00043D67">
        <w:t xml:space="preserve"> &lt;</w:t>
      </w:r>
      <w:hyperlink r:id="rId430" w:history="1">
        <w:r w:rsidR="00043D67">
          <w:rPr>
            <w:rStyle w:val="Hyperlink"/>
          </w:rPr>
          <w:t>hdss.helpdesk@health.vic.gov.au</w:t>
        </w:r>
      </w:hyperlink>
      <w:r w:rsidR="00043D67">
        <w:t>&gt;</w:t>
      </w:r>
      <w:r>
        <w:t>. Failure to complete the exemption form by the due date will result in exclusion of data from reporting.</w:t>
      </w:r>
    </w:p>
    <w:p w14:paraId="19270487" w14:textId="17FDDF81" w:rsidR="00817104" w:rsidRDefault="00817104" w:rsidP="00817104">
      <w:pPr>
        <w:pStyle w:val="Heading2"/>
      </w:pPr>
      <w:bookmarkStart w:id="2755" w:name="_Key_systems"/>
      <w:bookmarkStart w:id="2756" w:name="_Toc165964776"/>
      <w:bookmarkStart w:id="2757" w:name="_Toc167174636"/>
      <w:bookmarkStart w:id="2758" w:name="_Toc224127344"/>
      <w:bookmarkStart w:id="2759" w:name="_Toc231982391"/>
      <w:bookmarkEnd w:id="2755"/>
      <w:r>
        <w:t>Key systems</w:t>
      </w:r>
      <w:bookmarkEnd w:id="2756"/>
      <w:bookmarkEnd w:id="2757"/>
      <w:bookmarkEnd w:id="2758"/>
      <w:bookmarkEnd w:id="2759"/>
    </w:p>
    <w:p w14:paraId="08E56299" w14:textId="77777777" w:rsidR="00817104" w:rsidRDefault="00817104" w:rsidP="00817104">
      <w:pPr>
        <w:pStyle w:val="Body"/>
      </w:pPr>
      <w:r>
        <w:t>The department operates several data collections on different aspects of health service activity.</w:t>
      </w:r>
    </w:p>
    <w:p w14:paraId="630439DB" w14:textId="77777777" w:rsidR="00817104" w:rsidRPr="00B61A4E" w:rsidRDefault="00817104" w:rsidP="00817104">
      <w:pPr>
        <w:pStyle w:val="Body"/>
      </w:pPr>
      <w:r>
        <w:t>Key systems include:</w:t>
      </w:r>
    </w:p>
    <w:p w14:paraId="342C8231" w14:textId="77777777" w:rsidR="00817104" w:rsidRPr="00B61A4E" w:rsidRDefault="00817104" w:rsidP="00817104">
      <w:pPr>
        <w:pStyle w:val="Bullet1"/>
        <w:numPr>
          <w:ilvl w:val="0"/>
          <w:numId w:val="2"/>
        </w:numPr>
      </w:pPr>
      <w:r>
        <w:t>HeART/Common Chart of Accounts</w:t>
      </w:r>
    </w:p>
    <w:p w14:paraId="2A8B6067" w14:textId="77777777" w:rsidR="00817104" w:rsidRPr="00B61A4E" w:rsidRDefault="00817104" w:rsidP="00817104">
      <w:pPr>
        <w:pStyle w:val="Bullet1"/>
        <w:numPr>
          <w:ilvl w:val="0"/>
          <w:numId w:val="2"/>
        </w:numPr>
      </w:pPr>
      <w:r>
        <w:t>VAED for admitted patient activity</w:t>
      </w:r>
    </w:p>
    <w:p w14:paraId="3FFE17A6" w14:textId="77777777" w:rsidR="00817104" w:rsidRPr="00B61A4E" w:rsidRDefault="00817104" w:rsidP="00817104">
      <w:pPr>
        <w:pStyle w:val="Bullet1"/>
        <w:numPr>
          <w:ilvl w:val="0"/>
          <w:numId w:val="2"/>
        </w:numPr>
      </w:pPr>
      <w:r>
        <w:t>VEMD for designated ED activity</w:t>
      </w:r>
    </w:p>
    <w:p w14:paraId="11DE190B" w14:textId="77777777" w:rsidR="00817104" w:rsidRPr="00B61A4E" w:rsidRDefault="00817104" w:rsidP="00817104">
      <w:pPr>
        <w:pStyle w:val="Bullet1"/>
        <w:numPr>
          <w:ilvl w:val="0"/>
          <w:numId w:val="2"/>
        </w:numPr>
      </w:pPr>
      <w:r>
        <w:t>ESIS for monitoring planned (elective) surgery waiting lists</w:t>
      </w:r>
    </w:p>
    <w:p w14:paraId="10737764" w14:textId="77777777" w:rsidR="00817104" w:rsidRPr="00B61A4E" w:rsidRDefault="00817104" w:rsidP="00817104">
      <w:pPr>
        <w:pStyle w:val="Bullet1"/>
        <w:numPr>
          <w:ilvl w:val="0"/>
          <w:numId w:val="2"/>
        </w:numPr>
      </w:pPr>
      <w:r>
        <w:t>VINAH MDS for non-admitted patient activity</w:t>
      </w:r>
    </w:p>
    <w:p w14:paraId="38B7FA3D" w14:textId="77777777" w:rsidR="00817104" w:rsidRPr="00B61A4E" w:rsidRDefault="00817104" w:rsidP="00817104">
      <w:pPr>
        <w:pStyle w:val="Bullet1"/>
        <w:numPr>
          <w:ilvl w:val="0"/>
          <w:numId w:val="2"/>
        </w:numPr>
      </w:pPr>
      <w:r>
        <w:t>NADC for non-admitted patient activity</w:t>
      </w:r>
    </w:p>
    <w:p w14:paraId="0507D7DF" w14:textId="77777777" w:rsidR="00817104" w:rsidRPr="00B61A4E" w:rsidRDefault="00817104" w:rsidP="00817104">
      <w:pPr>
        <w:pStyle w:val="Bullet1"/>
        <w:numPr>
          <w:ilvl w:val="0"/>
          <w:numId w:val="2"/>
        </w:numPr>
      </w:pPr>
      <w:r>
        <w:t>AIMS used primarily to collect summary-level statistical information</w:t>
      </w:r>
    </w:p>
    <w:p w14:paraId="18F13418" w14:textId="77777777" w:rsidR="00817104" w:rsidRPr="00B61A4E" w:rsidRDefault="00817104" w:rsidP="00817104">
      <w:pPr>
        <w:pStyle w:val="Bullet1"/>
        <w:numPr>
          <w:ilvl w:val="0"/>
          <w:numId w:val="2"/>
        </w:numPr>
      </w:pPr>
      <w:r>
        <w:t>VCDC for patient-level costs</w:t>
      </w:r>
    </w:p>
    <w:p w14:paraId="78684B64" w14:textId="77777777" w:rsidR="00817104" w:rsidRPr="00B61A4E" w:rsidRDefault="00817104" w:rsidP="00817104">
      <w:pPr>
        <w:pStyle w:val="Bullet1"/>
        <w:numPr>
          <w:ilvl w:val="0"/>
          <w:numId w:val="2"/>
        </w:numPr>
      </w:pPr>
      <w:r>
        <w:t>VPDC for births</w:t>
      </w:r>
    </w:p>
    <w:p w14:paraId="542130E4" w14:textId="77777777" w:rsidR="00817104" w:rsidRDefault="00817104" w:rsidP="00817104">
      <w:pPr>
        <w:pStyle w:val="Bullet1"/>
        <w:numPr>
          <w:ilvl w:val="0"/>
          <w:numId w:val="2"/>
        </w:numPr>
      </w:pPr>
      <w:r>
        <w:t>CMI/ODS for mental health client data.</w:t>
      </w:r>
    </w:p>
    <w:p w14:paraId="185D7485" w14:textId="01740952" w:rsidR="00817104" w:rsidRDefault="00817104" w:rsidP="00817104">
      <w:pPr>
        <w:pStyle w:val="Heading3"/>
      </w:pPr>
      <w:bookmarkStart w:id="2760" w:name="_Financial_data"/>
      <w:bookmarkStart w:id="2761" w:name="_Ref165638549"/>
      <w:bookmarkEnd w:id="2760"/>
      <w:r>
        <w:lastRenderedPageBreak/>
        <w:t>Financial data</w:t>
      </w:r>
      <w:bookmarkEnd w:id="2761"/>
    </w:p>
    <w:p w14:paraId="544BD60D" w14:textId="77777777" w:rsidR="00817104" w:rsidRDefault="00817104" w:rsidP="00817104">
      <w:pPr>
        <w:pStyle w:val="Body"/>
      </w:pPr>
      <w:r>
        <w:t>Financial data must be submitted at the consolidated entity level, via HeART</w:t>
      </w:r>
      <w:r w:rsidRPr="004B3786">
        <w:rPr>
          <w:vertAlign w:val="superscript"/>
        </w:rPr>
        <w:t xml:space="preserve"> </w:t>
      </w:r>
      <w:r>
        <w:t xml:space="preserve">for all health services and other portfolio entities (excluding cemeteries and VicHealth) by close of business on the </w:t>
      </w:r>
      <w:r w:rsidRPr="005F0E08">
        <w:t>seventh</w:t>
      </w:r>
      <w:r>
        <w:t xml:space="preserve"> working day after the end of the month to which the financial data relates.</w:t>
      </w:r>
    </w:p>
    <w:p w14:paraId="7C5F925A" w14:textId="77777777" w:rsidR="00817104" w:rsidRPr="00E1593D" w:rsidRDefault="00817104" w:rsidP="00817104">
      <w:pPr>
        <w:pStyle w:val="Body"/>
      </w:pPr>
      <w:r>
        <w:t>Financial data must be submitted in a timely manner, as the month will be closed for further updates once ‘rolled over’ to the next month. Data relating to approved budgets (‘SoP budget’, ‘</w:t>
      </w:r>
      <w:r w:rsidRPr="000232AF">
        <w:t>full-time equivalent</w:t>
      </w:r>
      <w:r>
        <w:t xml:space="preserve"> (FTE) budget’, and ‘Activity targets’) and estimates trial balances are required reporting, and they are outlined in more detail below.</w:t>
      </w:r>
    </w:p>
    <w:p w14:paraId="797E7A88" w14:textId="77777777" w:rsidR="00817104" w:rsidRPr="005F0E08" w:rsidRDefault="00817104" w:rsidP="00817104">
      <w:pPr>
        <w:pStyle w:val="Body"/>
      </w:pPr>
      <w:r>
        <w:t>The data elements required every month are a:</w:t>
      </w:r>
    </w:p>
    <w:p w14:paraId="042FACB8" w14:textId="77777777" w:rsidR="00817104" w:rsidRPr="006579E0" w:rsidRDefault="00817104" w:rsidP="00817104">
      <w:pPr>
        <w:pStyle w:val="Bullet1"/>
        <w:numPr>
          <w:ilvl w:val="0"/>
          <w:numId w:val="2"/>
        </w:numPr>
      </w:pPr>
      <w:r>
        <w:t>trial balance</w:t>
      </w:r>
    </w:p>
    <w:p w14:paraId="3401C551" w14:textId="77777777" w:rsidR="00817104" w:rsidRPr="006579E0" w:rsidRDefault="00817104" w:rsidP="00817104">
      <w:pPr>
        <w:pStyle w:val="Bullet1"/>
        <w:numPr>
          <w:ilvl w:val="0"/>
          <w:numId w:val="2"/>
        </w:numPr>
      </w:pPr>
      <w:r>
        <w:t>cash flow statement (including tied and committed funds)</w:t>
      </w:r>
    </w:p>
    <w:p w14:paraId="42FB904A" w14:textId="77777777" w:rsidR="00817104" w:rsidRPr="006579E0" w:rsidRDefault="00817104" w:rsidP="00817104">
      <w:pPr>
        <w:pStyle w:val="Bullet1"/>
        <w:numPr>
          <w:ilvl w:val="0"/>
          <w:numId w:val="2"/>
        </w:numPr>
      </w:pPr>
      <w:r>
        <w:t>monthly cash flow forecast to 30 June (including tied and committed funds)</w:t>
      </w:r>
    </w:p>
    <w:p w14:paraId="47DB34E2" w14:textId="77777777" w:rsidR="00817104" w:rsidRPr="006579E0" w:rsidRDefault="00817104" w:rsidP="00817104">
      <w:pPr>
        <w:pStyle w:val="Bullet1"/>
        <w:numPr>
          <w:ilvl w:val="0"/>
          <w:numId w:val="2"/>
        </w:numPr>
      </w:pPr>
      <w:r>
        <w:t>actual FTE</w:t>
      </w:r>
    </w:p>
    <w:p w14:paraId="3F889F50" w14:textId="77777777" w:rsidR="00817104" w:rsidRPr="006579E0" w:rsidRDefault="00817104" w:rsidP="00817104">
      <w:pPr>
        <w:pStyle w:val="Bullet1"/>
        <w:numPr>
          <w:ilvl w:val="0"/>
          <w:numId w:val="2"/>
        </w:numPr>
      </w:pPr>
      <w:r>
        <w:t>estimated activity for the month that aligns with financial reporting.</w:t>
      </w:r>
    </w:p>
    <w:p w14:paraId="77549866" w14:textId="77777777" w:rsidR="00817104" w:rsidRPr="00E1593D" w:rsidRDefault="00817104" w:rsidP="00817104">
      <w:pPr>
        <w:pStyle w:val="Bodyafterbullets"/>
      </w:pPr>
      <w:r>
        <w:t>Data submitted through HeART will be used each month as a basis for performance monitoring and for whole-of-government reporting. This collective data is reported to the Department of Treasury and Finance and must be complete and accurate. If the data submitted is inaccurate or incomplete, entities may be required to amend and resubmit it through the HeART system. This resubmission must occur in a timely manner.</w:t>
      </w:r>
    </w:p>
    <w:p w14:paraId="0367872E" w14:textId="77777777" w:rsidR="00817104" w:rsidRDefault="00817104" w:rsidP="00817104">
      <w:pPr>
        <w:pStyle w:val="Body"/>
      </w:pPr>
      <w:r>
        <w:t>Entities are also required to report both an approved budget (‘SoP Budget’), and estimate trial balances (end-of-year forecast) to the department through the HeART system, noting that:</w:t>
      </w:r>
    </w:p>
    <w:p w14:paraId="35B9A895" w14:textId="77777777" w:rsidR="00817104" w:rsidRPr="00DB7497" w:rsidRDefault="00817104" w:rsidP="00817104">
      <w:pPr>
        <w:pStyle w:val="Bullet1"/>
        <w:numPr>
          <w:ilvl w:val="0"/>
          <w:numId w:val="2"/>
        </w:numPr>
      </w:pPr>
      <w:r>
        <w:t>the submitted approved budget (‘SoP Budget’) should match the agreed SoP. The FTE and activity budgets/targets are also required to be submitted, once the SoP is signed</w:t>
      </w:r>
    </w:p>
    <w:p w14:paraId="2E8530CD" w14:textId="77777777" w:rsidR="00817104" w:rsidRDefault="00817104" w:rsidP="00817104">
      <w:pPr>
        <w:pStyle w:val="Bullet1"/>
        <w:numPr>
          <w:ilvl w:val="0"/>
          <w:numId w:val="2"/>
        </w:numPr>
      </w:pPr>
      <w:r>
        <w:t>estimates are to be in the form of a full end-of-year trial balance and reflect the most up-to-date forecast across the trial balance. By the dates outlined below, the estimate trial balance submissions must be accompanied by a chief financial officer sign-off (a template will be provided by the department).</w:t>
      </w:r>
    </w:p>
    <w:p w14:paraId="46ADE5B0" w14:textId="77777777" w:rsidR="00817104" w:rsidRPr="00A177AB" w:rsidRDefault="00817104" w:rsidP="00817104">
      <w:pPr>
        <w:pStyle w:val="Bodyafterbullets"/>
      </w:pPr>
      <w:r>
        <w:t>T</w:t>
      </w:r>
      <w:r w:rsidRPr="00A177AB">
        <w:t>he trial balance estimates for sign-off are</w:t>
      </w:r>
      <w:r>
        <w:t>:</w:t>
      </w:r>
    </w:p>
    <w:p w14:paraId="2F31DA56" w14:textId="77777777" w:rsidR="00ED1348" w:rsidRDefault="00ED1348" w:rsidP="00ED1348">
      <w:pPr>
        <w:pStyle w:val="Bullet1"/>
      </w:pPr>
      <w:r>
        <w:t>July – end-of-financial-year estimate, including NWAU, Cash and FTE initial forecast, due to be submitted on 31 July 2026</w:t>
      </w:r>
    </w:p>
    <w:p w14:paraId="18517A24" w14:textId="77777777" w:rsidR="00817104" w:rsidRDefault="00817104" w:rsidP="00817104">
      <w:pPr>
        <w:pStyle w:val="Bullet1"/>
        <w:numPr>
          <w:ilvl w:val="0"/>
          <w:numId w:val="2"/>
        </w:numPr>
      </w:pPr>
      <w:r w:rsidRPr="00A177AB">
        <w:t xml:space="preserve">October – updated </w:t>
      </w:r>
      <w:r>
        <w:t>end-of-financial-year</w:t>
      </w:r>
      <w:r w:rsidRPr="00A177AB">
        <w:t xml:space="preserve"> estimate</w:t>
      </w:r>
      <w:r>
        <w:t>,</w:t>
      </w:r>
      <w:r w:rsidRPr="00A177AB">
        <w:t xml:space="preserve"> including September </w:t>
      </w:r>
      <w:r>
        <w:t>a</w:t>
      </w:r>
      <w:r w:rsidRPr="00A177AB">
        <w:t>ctuals</w:t>
      </w:r>
      <w:r>
        <w:t>, d</w:t>
      </w:r>
      <w:r w:rsidRPr="00A177AB">
        <w:t>ue to be submitted on</w:t>
      </w:r>
      <w:r>
        <w:t xml:space="preserve"> 22 October 2026 </w:t>
      </w:r>
    </w:p>
    <w:p w14:paraId="08C76B75" w14:textId="77777777" w:rsidR="00817104" w:rsidRDefault="00817104" w:rsidP="00817104">
      <w:pPr>
        <w:pStyle w:val="Bullet1"/>
        <w:numPr>
          <w:ilvl w:val="0"/>
          <w:numId w:val="2"/>
        </w:numPr>
      </w:pPr>
      <w:r w:rsidRPr="00A177AB">
        <w:t xml:space="preserve">December – updated </w:t>
      </w:r>
      <w:r>
        <w:t>end-of-financial-year</w:t>
      </w:r>
      <w:r w:rsidRPr="00A177AB">
        <w:t xml:space="preserve"> estimate</w:t>
      </w:r>
      <w:r>
        <w:t>,</w:t>
      </w:r>
      <w:r w:rsidRPr="00A177AB">
        <w:t xml:space="preserve"> including November actuals</w:t>
      </w:r>
      <w:r>
        <w:t>, d</w:t>
      </w:r>
      <w:r w:rsidRPr="00A177AB">
        <w:t xml:space="preserve">ue to be submitted on </w:t>
      </w:r>
      <w:r>
        <w:t>18 December 2026</w:t>
      </w:r>
    </w:p>
    <w:p w14:paraId="657219B4" w14:textId="77777777" w:rsidR="00817104" w:rsidRDefault="00817104" w:rsidP="00817104">
      <w:pPr>
        <w:pStyle w:val="Bullet1"/>
        <w:numPr>
          <w:ilvl w:val="0"/>
          <w:numId w:val="2"/>
        </w:numPr>
      </w:pPr>
      <w:r w:rsidRPr="00A177AB">
        <w:t xml:space="preserve">February – updated </w:t>
      </w:r>
      <w:r>
        <w:t>end-of-financial-year</w:t>
      </w:r>
      <w:r w:rsidRPr="00A177AB">
        <w:t xml:space="preserve"> estimate</w:t>
      </w:r>
      <w:r>
        <w:t>,</w:t>
      </w:r>
      <w:r w:rsidRPr="00A177AB">
        <w:t xml:space="preserve"> including January actuals</w:t>
      </w:r>
      <w:r>
        <w:t>,</w:t>
      </w:r>
      <w:r w:rsidRPr="00A177AB">
        <w:t xml:space="preserve"> </w:t>
      </w:r>
      <w:r>
        <w:t>d</w:t>
      </w:r>
      <w:r w:rsidRPr="00A177AB">
        <w:t xml:space="preserve">ue to be submitted on </w:t>
      </w:r>
      <w:r>
        <w:t xml:space="preserve">26 </w:t>
      </w:r>
      <w:r w:rsidRPr="00A177AB">
        <w:t>February 202</w:t>
      </w:r>
      <w:r>
        <w:t>7</w:t>
      </w:r>
    </w:p>
    <w:p w14:paraId="6551030D" w14:textId="77777777" w:rsidR="00817104" w:rsidRDefault="00817104" w:rsidP="00817104">
      <w:pPr>
        <w:pStyle w:val="Bullet1"/>
        <w:numPr>
          <w:ilvl w:val="0"/>
          <w:numId w:val="2"/>
        </w:numPr>
      </w:pPr>
      <w:r w:rsidRPr="00A177AB">
        <w:t xml:space="preserve">March – updated </w:t>
      </w:r>
      <w:r>
        <w:t>end-of-financial-year</w:t>
      </w:r>
      <w:r w:rsidRPr="00A177AB">
        <w:t xml:space="preserve"> estimate</w:t>
      </w:r>
      <w:r>
        <w:t>, including February actuals,</w:t>
      </w:r>
      <w:r w:rsidRPr="00A177AB">
        <w:t xml:space="preserve"> </w:t>
      </w:r>
      <w:r>
        <w:t>d</w:t>
      </w:r>
      <w:r w:rsidRPr="00A177AB">
        <w:t xml:space="preserve">ue to be submitted on </w:t>
      </w:r>
      <w:r>
        <w:t xml:space="preserve">19 March 2027 </w:t>
      </w:r>
    </w:p>
    <w:p w14:paraId="6FEF02CE" w14:textId="77777777" w:rsidR="00817104" w:rsidRDefault="00817104" w:rsidP="00817104">
      <w:pPr>
        <w:pStyle w:val="Bullet1"/>
        <w:numPr>
          <w:ilvl w:val="0"/>
          <w:numId w:val="2"/>
        </w:numPr>
      </w:pPr>
      <w:r w:rsidRPr="00A177AB">
        <w:t xml:space="preserve">April – updated </w:t>
      </w:r>
      <w:r>
        <w:t>end-of-financial-year</w:t>
      </w:r>
      <w:r w:rsidRPr="00A177AB">
        <w:t xml:space="preserve"> estimate</w:t>
      </w:r>
      <w:r>
        <w:t>,</w:t>
      </w:r>
      <w:r w:rsidRPr="00A177AB">
        <w:t xml:space="preserve"> including March </w:t>
      </w:r>
      <w:r>
        <w:t>a</w:t>
      </w:r>
      <w:r w:rsidRPr="00A177AB">
        <w:t>ctuals</w:t>
      </w:r>
      <w:r>
        <w:t>,</w:t>
      </w:r>
      <w:r w:rsidRPr="00A177AB">
        <w:t xml:space="preserve"> </w:t>
      </w:r>
      <w:r>
        <w:t>d</w:t>
      </w:r>
      <w:r w:rsidRPr="00A177AB">
        <w:t xml:space="preserve">ue to be submitted on </w:t>
      </w:r>
      <w:r>
        <w:t xml:space="preserve">22 April 2027 </w:t>
      </w:r>
    </w:p>
    <w:p w14:paraId="3F4B870E" w14:textId="77777777" w:rsidR="00817104" w:rsidRDefault="00817104" w:rsidP="00817104">
      <w:pPr>
        <w:pStyle w:val="Bullet1"/>
        <w:numPr>
          <w:ilvl w:val="0"/>
          <w:numId w:val="2"/>
        </w:numPr>
      </w:pPr>
      <w:r w:rsidRPr="00A177AB">
        <w:t xml:space="preserve">May – updated </w:t>
      </w:r>
      <w:r>
        <w:t>end-of-financial-year</w:t>
      </w:r>
      <w:r w:rsidRPr="00A177AB">
        <w:t xml:space="preserve"> estimate</w:t>
      </w:r>
      <w:r>
        <w:t>,</w:t>
      </w:r>
      <w:r w:rsidRPr="00A177AB">
        <w:t xml:space="preserve"> including April </w:t>
      </w:r>
      <w:r>
        <w:t>a</w:t>
      </w:r>
      <w:r w:rsidRPr="00A177AB">
        <w:t>ctuals</w:t>
      </w:r>
      <w:r>
        <w:t>,</w:t>
      </w:r>
      <w:r w:rsidRPr="00A177AB">
        <w:t xml:space="preserve"> </w:t>
      </w:r>
      <w:r>
        <w:t>d</w:t>
      </w:r>
      <w:r w:rsidRPr="00A177AB">
        <w:t xml:space="preserve">ue to be submitted on </w:t>
      </w:r>
      <w:r>
        <w:t>20 May 2027</w:t>
      </w:r>
    </w:p>
    <w:p w14:paraId="4F89056B" w14:textId="77777777" w:rsidR="00817104" w:rsidRDefault="00817104" w:rsidP="00817104">
      <w:pPr>
        <w:pStyle w:val="Bullet1"/>
        <w:numPr>
          <w:ilvl w:val="0"/>
          <w:numId w:val="2"/>
        </w:numPr>
      </w:pPr>
      <w:r w:rsidRPr="00A177AB">
        <w:t xml:space="preserve">June – updated </w:t>
      </w:r>
      <w:r>
        <w:t>end-of-financial-year</w:t>
      </w:r>
      <w:r w:rsidRPr="00A177AB">
        <w:t xml:space="preserve"> estimate</w:t>
      </w:r>
      <w:r>
        <w:t>, including May actuals,</w:t>
      </w:r>
      <w:r w:rsidRPr="00A177AB">
        <w:t xml:space="preserve"> </w:t>
      </w:r>
      <w:r>
        <w:t>d</w:t>
      </w:r>
      <w:r w:rsidRPr="00A177AB">
        <w:t xml:space="preserve">ue to be submitted on </w:t>
      </w:r>
      <w:r>
        <w:t>18 June 2027</w:t>
      </w:r>
      <w:r w:rsidRPr="00A177AB">
        <w:t>.</w:t>
      </w:r>
    </w:p>
    <w:p w14:paraId="56A1B1D6" w14:textId="77777777" w:rsidR="00817104" w:rsidRPr="00E1593D" w:rsidRDefault="00817104" w:rsidP="00817104">
      <w:pPr>
        <w:pStyle w:val="Bodyafterbullets"/>
      </w:pPr>
      <w:r>
        <w:lastRenderedPageBreak/>
        <w:t>Entities will provide this information in accordance with the department's timelines. Late data submissions of trial balances will be monitored and reported through the performance monitoring staff in the department, along with the Data Quality Assurance Program.</w:t>
      </w:r>
    </w:p>
    <w:p w14:paraId="14304206" w14:textId="78DFC459" w:rsidR="00817104" w:rsidRPr="00A74197" w:rsidRDefault="00A91956" w:rsidP="00817104">
      <w:pPr>
        <w:pStyle w:val="Heading3"/>
      </w:pPr>
      <w:bookmarkStart w:id="2762" w:name="_VAED"/>
      <w:bookmarkStart w:id="2763" w:name="_29.1.2_VAED"/>
      <w:bookmarkEnd w:id="2762"/>
      <w:bookmarkEnd w:id="2763"/>
      <w:r>
        <w:t>Victorian Admitted Episodes Dataset (</w:t>
      </w:r>
      <w:r w:rsidR="00817104">
        <w:t>VAED</w:t>
      </w:r>
      <w:r>
        <w:t>)</w:t>
      </w:r>
    </w:p>
    <w:p w14:paraId="1A61AD82" w14:textId="77777777" w:rsidR="00817104" w:rsidRDefault="00817104" w:rsidP="00817104">
      <w:pPr>
        <w:pStyle w:val="Body"/>
      </w:pPr>
      <w:r>
        <w:t>The VAED contains the core set of clinical, demographic, administrative and financial data for admitted patient episodes occurring in Victorian health services. Maintaining the accuracy of the VAED is essential to ensuring accurate and equitable funding outcomes, supporting health services’ planning, policy formulation, quality and safety monitoring, program evaluation and epidemiological research.</w:t>
      </w:r>
    </w:p>
    <w:p w14:paraId="304A1916" w14:textId="77777777" w:rsidR="00817104" w:rsidRPr="00A74197" w:rsidRDefault="00817104" w:rsidP="00817104">
      <w:pPr>
        <w:pStyle w:val="Body"/>
      </w:pPr>
      <w:r>
        <w:t>Analyses and consolidated activity data are provided from the VAED to meet the department’s reporting obligations to the Commonwealth and to various research institutes.</w:t>
      </w:r>
    </w:p>
    <w:p w14:paraId="25B13810" w14:textId="30898545" w:rsidR="00817104" w:rsidRPr="00A74197" w:rsidRDefault="00817104" w:rsidP="00817104">
      <w:pPr>
        <w:pStyle w:val="Body"/>
      </w:pPr>
      <w:r>
        <w:t xml:space="preserve">For more information and to download the VAED manual, visit </w:t>
      </w:r>
      <w:hyperlink r:id="rId431" w:history="1">
        <w:r w:rsidRPr="003F643E">
          <w:rPr>
            <w:rStyle w:val="Hyperlink"/>
          </w:rPr>
          <w:t>VAED</w:t>
        </w:r>
      </w:hyperlink>
      <w:r>
        <w:t xml:space="preserve"> &lt;https://www.health.vic.gov.au/data-reporting/victorian-admitted-episodes-dataset&gt;.</w:t>
      </w:r>
    </w:p>
    <w:p w14:paraId="1AC073D7" w14:textId="77777777" w:rsidR="00817104" w:rsidRDefault="00817104" w:rsidP="00817104">
      <w:pPr>
        <w:pStyle w:val="Body"/>
      </w:pPr>
      <w:r>
        <w:t>The department publishes the VAED manual on the HDSS website to provide clarity on reporting requirements for health services and information for data users.</w:t>
      </w:r>
    </w:p>
    <w:p w14:paraId="6428B128" w14:textId="77777777" w:rsidR="00817104" w:rsidRDefault="00817104" w:rsidP="00817104">
      <w:pPr>
        <w:pStyle w:val="Body"/>
      </w:pPr>
      <w:r>
        <w:t>Health services are expected to audit and reconcile their VAED data regularly throughout the year.</w:t>
      </w:r>
    </w:p>
    <w:p w14:paraId="08213243" w14:textId="77777777" w:rsidR="00817104" w:rsidRDefault="00817104" w:rsidP="00817104">
      <w:pPr>
        <w:spacing w:after="0" w:line="240" w:lineRule="auto"/>
        <w:rPr>
          <w:rFonts w:eastAsia="Times"/>
        </w:rPr>
      </w:pPr>
      <w:r>
        <w:br w:type="page"/>
      </w:r>
    </w:p>
    <w:p w14:paraId="7C91E8F0" w14:textId="77777777" w:rsidR="00817104" w:rsidRPr="006A0ADC" w:rsidRDefault="00817104" w:rsidP="00817104">
      <w:pPr>
        <w:pStyle w:val="Heading4"/>
      </w:pPr>
      <w:r>
        <w:lastRenderedPageBreak/>
        <w:t xml:space="preserve">Submission guidelines </w:t>
      </w:r>
    </w:p>
    <w:p w14:paraId="04A22CA9" w14:textId="77777777" w:rsidR="00817104" w:rsidRPr="00A74197" w:rsidRDefault="00817104" w:rsidP="00817104">
      <w:pPr>
        <w:pStyle w:val="Body"/>
      </w:pPr>
      <w:r>
        <w:t>All organisations that receive funding for admitted patient services must submit data to the VAED.</w:t>
      </w:r>
    </w:p>
    <w:p w14:paraId="5C981168" w14:textId="77777777" w:rsidR="00817104" w:rsidRPr="00A74197" w:rsidRDefault="00817104" w:rsidP="00817104">
      <w:pPr>
        <w:pStyle w:val="Body"/>
      </w:pPr>
      <w:r>
        <w:t>Health services (including SRHS) will assign clinical codes to patient episodes reported to the VAED using the current ICD-10-AM/ACHI classification, in accordance with Australian Coding Standards, along with Victorian additions to the Australian Coding Standards, national coding advice, and coding advice issued by the department through the Victorian ICD Coding Committee (Victoria’s jurisdictional coding advisory committee).</w:t>
      </w:r>
    </w:p>
    <w:p w14:paraId="50E09D98" w14:textId="77777777" w:rsidR="00817104" w:rsidRDefault="00817104" w:rsidP="00817104">
      <w:pPr>
        <w:pStyle w:val="Body"/>
      </w:pPr>
      <w:r>
        <w:t>Public health services must submit admitted patient data to the VAED, according to the timelines in Table 7. Health services may submit data more frequently than the minimum standards specified in the table.</w:t>
      </w:r>
    </w:p>
    <w:p w14:paraId="540AAFC0" w14:textId="77777777" w:rsidR="00817104" w:rsidRDefault="00817104" w:rsidP="00817104">
      <w:pPr>
        <w:pStyle w:val="Tablecaption"/>
      </w:pPr>
      <w:bookmarkStart w:id="2764" w:name="_Toc230537128"/>
      <w:r>
        <w:t xml:space="preserve">Table </w:t>
      </w:r>
      <w:r>
        <w:fldChar w:fldCharType="begin"/>
      </w:r>
      <w:r>
        <w:instrText>SEQ Table \* ARABIC</w:instrText>
      </w:r>
      <w:r>
        <w:fldChar w:fldCharType="separate"/>
      </w:r>
      <w:r>
        <w:rPr>
          <w:noProof/>
        </w:rPr>
        <w:t>7</w:t>
      </w:r>
      <w:r>
        <w:fldChar w:fldCharType="end"/>
      </w:r>
      <w:r>
        <w:t>. VAED timelines</w:t>
      </w:r>
      <w:bookmarkEnd w:id="2764"/>
    </w:p>
    <w:tbl>
      <w:tblPr>
        <w:tblStyle w:val="GridTable4-Accent1"/>
        <w:tblW w:w="9299" w:type="dxa"/>
        <w:tblLook w:val="04A0" w:firstRow="1" w:lastRow="0" w:firstColumn="1" w:lastColumn="0" w:noHBand="0" w:noVBand="1"/>
      </w:tblPr>
      <w:tblGrid>
        <w:gridCol w:w="4720"/>
        <w:gridCol w:w="4579"/>
      </w:tblGrid>
      <w:tr w:rsidR="00817104" w:rsidRPr="00C048AB" w14:paraId="2843154E" w14:textId="77777777" w:rsidTr="00C04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3905494B" w14:textId="77777777" w:rsidR="00817104" w:rsidRPr="00C048AB" w:rsidRDefault="00817104" w:rsidP="00785A21">
            <w:pPr>
              <w:pStyle w:val="Tablecolhead"/>
              <w:rPr>
                <w:b/>
                <w:bCs w:val="0"/>
                <w:color w:val="FFFFFF" w:themeColor="background1"/>
                <w:sz w:val="18"/>
                <w:szCs w:val="18"/>
              </w:rPr>
            </w:pPr>
            <w:r w:rsidRPr="00C048AB">
              <w:rPr>
                <w:b/>
                <w:bCs w:val="0"/>
                <w:color w:val="FFFFFF" w:themeColor="background1"/>
                <w:sz w:val="18"/>
                <w:szCs w:val="18"/>
              </w:rPr>
              <w:t xml:space="preserve">VAED </w:t>
            </w:r>
          </w:p>
        </w:tc>
        <w:tc>
          <w:tcPr>
            <w:tcW w:w="0" w:type="pct"/>
          </w:tcPr>
          <w:p w14:paraId="1AD99558" w14:textId="77777777" w:rsidR="00817104" w:rsidRPr="00C048AB"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048AB">
              <w:rPr>
                <w:b/>
                <w:bCs w:val="0"/>
                <w:color w:val="FFFFFF" w:themeColor="background1"/>
                <w:sz w:val="18"/>
                <w:szCs w:val="18"/>
              </w:rPr>
              <w:t>Timeline</w:t>
            </w:r>
          </w:p>
        </w:tc>
      </w:tr>
      <w:tr w:rsidR="00817104" w:rsidRPr="00C048AB" w14:paraId="62FDDF73" w14:textId="77777777" w:rsidTr="00C04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30951DFD" w14:textId="77777777" w:rsidR="00817104" w:rsidRPr="00C048AB" w:rsidRDefault="00817104">
            <w:pPr>
              <w:pStyle w:val="Tabletext"/>
              <w:rPr>
                <w:rFonts w:eastAsia="Courier New"/>
                <w:szCs w:val="18"/>
              </w:rPr>
            </w:pPr>
            <w:r w:rsidRPr="00C048AB">
              <w:rPr>
                <w:rFonts w:eastAsia="Courier New"/>
                <w:szCs w:val="18"/>
              </w:rPr>
              <w:t>Admission and separation details for the month (E5, J5 and V5 records)</w:t>
            </w:r>
          </w:p>
        </w:tc>
        <w:tc>
          <w:tcPr>
            <w:tcW w:w="0" w:type="pct"/>
          </w:tcPr>
          <w:p w14:paraId="63AC45C7" w14:textId="77777777" w:rsidR="00817104" w:rsidRPr="00C048AB" w:rsidRDefault="00817104">
            <w:pPr>
              <w:pStyle w:val="Tabletext"/>
              <w:cnfStyle w:val="000000100000" w:firstRow="0" w:lastRow="0" w:firstColumn="0" w:lastColumn="0" w:oddVBand="0" w:evenVBand="0" w:oddHBand="1" w:evenHBand="0" w:firstRowFirstColumn="0" w:firstRowLastColumn="0" w:lastRowFirstColumn="0" w:lastRowLastColumn="0"/>
              <w:rPr>
                <w:rFonts w:eastAsia="Centaur"/>
                <w:szCs w:val="18"/>
              </w:rPr>
            </w:pPr>
            <w:r w:rsidRPr="00C048AB">
              <w:rPr>
                <w:rFonts w:eastAsia="Centaur"/>
                <w:szCs w:val="18"/>
              </w:rPr>
              <w:t xml:space="preserve">Must be submitted by 5 pm on the tenth day of the following month </w:t>
            </w:r>
          </w:p>
        </w:tc>
      </w:tr>
      <w:tr w:rsidR="00817104" w:rsidRPr="00C048AB" w14:paraId="6271FA21" w14:textId="77777777" w:rsidTr="00C048AB">
        <w:tc>
          <w:tcPr>
            <w:cnfStyle w:val="001000000000" w:firstRow="0" w:lastRow="0" w:firstColumn="1" w:lastColumn="0" w:oddVBand="0" w:evenVBand="0" w:oddHBand="0" w:evenHBand="0" w:firstRowFirstColumn="0" w:firstRowLastColumn="0" w:lastRowFirstColumn="0" w:lastRowLastColumn="0"/>
            <w:tcW w:w="0" w:type="pct"/>
          </w:tcPr>
          <w:p w14:paraId="407217CB" w14:textId="77777777" w:rsidR="00817104" w:rsidRPr="00C048AB" w:rsidRDefault="00817104">
            <w:pPr>
              <w:pStyle w:val="Tabletext"/>
              <w:rPr>
                <w:rFonts w:eastAsia="Courier New"/>
                <w:szCs w:val="18"/>
              </w:rPr>
            </w:pPr>
            <w:r w:rsidRPr="00C048AB">
              <w:rPr>
                <w:rFonts w:eastAsia="Courier New"/>
                <w:szCs w:val="18"/>
              </w:rPr>
              <w:t>Diagnosis and procedure, subacute and palliative care details (X5, Y5, S5 and P5 records)</w:t>
            </w:r>
          </w:p>
        </w:tc>
        <w:tc>
          <w:tcPr>
            <w:tcW w:w="0" w:type="pct"/>
          </w:tcPr>
          <w:p w14:paraId="7407987D" w14:textId="77777777" w:rsidR="00817104" w:rsidRPr="00C048AB" w:rsidRDefault="00817104">
            <w:pPr>
              <w:pStyle w:val="Tabletext"/>
              <w:cnfStyle w:val="000000000000" w:firstRow="0" w:lastRow="0" w:firstColumn="0" w:lastColumn="0" w:oddVBand="0" w:evenVBand="0" w:oddHBand="0" w:evenHBand="0" w:firstRowFirstColumn="0" w:firstRowLastColumn="0" w:lastRowFirstColumn="0" w:lastRowLastColumn="0"/>
              <w:rPr>
                <w:rFonts w:eastAsia="Centaur"/>
                <w:szCs w:val="18"/>
              </w:rPr>
            </w:pPr>
            <w:r w:rsidRPr="00C048AB">
              <w:rPr>
                <w:rFonts w:eastAsia="Centaur"/>
                <w:szCs w:val="18"/>
              </w:rPr>
              <w:t>Must be submitted by 5 pm on the tenth day of the second month following separation</w:t>
            </w:r>
          </w:p>
        </w:tc>
      </w:tr>
      <w:tr w:rsidR="00817104" w:rsidRPr="00C048AB" w14:paraId="6A9CBB16" w14:textId="77777777" w:rsidTr="00C04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4995B49B" w14:textId="77777777" w:rsidR="00817104" w:rsidRPr="00C048AB" w:rsidRDefault="00817104">
            <w:pPr>
              <w:pStyle w:val="Tabletext"/>
              <w:rPr>
                <w:rFonts w:eastAsia="Courier New"/>
                <w:szCs w:val="18"/>
              </w:rPr>
            </w:pPr>
            <w:r w:rsidRPr="00C048AB">
              <w:rPr>
                <w:rFonts w:eastAsia="Courier New"/>
                <w:szCs w:val="18"/>
              </w:rPr>
              <w:t>Data for the 2026–27 financial year</w:t>
            </w:r>
          </w:p>
        </w:tc>
        <w:tc>
          <w:tcPr>
            <w:tcW w:w="0" w:type="pct"/>
          </w:tcPr>
          <w:p w14:paraId="0F3E7860" w14:textId="77777777" w:rsidR="00817104" w:rsidRPr="00C048AB" w:rsidRDefault="00817104">
            <w:pPr>
              <w:pStyle w:val="Tabletext"/>
              <w:cnfStyle w:val="000000100000" w:firstRow="0" w:lastRow="0" w:firstColumn="0" w:lastColumn="0" w:oddVBand="0" w:evenVBand="0" w:oddHBand="1" w:evenHBand="0" w:firstRowFirstColumn="0" w:firstRowLastColumn="0" w:lastRowFirstColumn="0" w:lastRowLastColumn="0"/>
              <w:rPr>
                <w:rFonts w:eastAsia="Centaur"/>
                <w:szCs w:val="18"/>
              </w:rPr>
            </w:pPr>
            <w:r w:rsidRPr="00C048AB">
              <w:rPr>
                <w:rFonts w:eastAsia="Centaur"/>
                <w:szCs w:val="18"/>
              </w:rPr>
              <w:t>Must be submitted by 5 pm on 10 August 2027</w:t>
            </w:r>
          </w:p>
        </w:tc>
      </w:tr>
      <w:tr w:rsidR="00817104" w:rsidRPr="00C048AB" w14:paraId="704E35D3" w14:textId="77777777" w:rsidTr="00C048AB">
        <w:tc>
          <w:tcPr>
            <w:cnfStyle w:val="001000000000" w:firstRow="0" w:lastRow="0" w:firstColumn="1" w:lastColumn="0" w:oddVBand="0" w:evenVBand="0" w:oddHBand="0" w:evenHBand="0" w:firstRowFirstColumn="0" w:firstRowLastColumn="0" w:lastRowFirstColumn="0" w:lastRowLastColumn="0"/>
            <w:tcW w:w="0" w:type="pct"/>
          </w:tcPr>
          <w:p w14:paraId="19C22E62" w14:textId="77777777" w:rsidR="00817104" w:rsidRPr="00C048AB" w:rsidRDefault="00817104">
            <w:pPr>
              <w:pStyle w:val="Tabletext"/>
              <w:rPr>
                <w:rFonts w:eastAsia="Courier New"/>
                <w:szCs w:val="18"/>
              </w:rPr>
            </w:pPr>
            <w:r w:rsidRPr="00C048AB">
              <w:rPr>
                <w:rFonts w:eastAsia="Courier New"/>
                <w:szCs w:val="18"/>
              </w:rPr>
              <w:t xml:space="preserve">Final corrections to data for </w:t>
            </w:r>
            <w:r w:rsidRPr="00C048AB">
              <w:rPr>
                <w:szCs w:val="18"/>
              </w:rPr>
              <w:t>2026–27</w:t>
            </w:r>
          </w:p>
        </w:tc>
        <w:tc>
          <w:tcPr>
            <w:tcW w:w="0" w:type="pct"/>
          </w:tcPr>
          <w:p w14:paraId="497A34F3" w14:textId="77777777" w:rsidR="00817104" w:rsidRPr="00C048AB" w:rsidRDefault="00817104">
            <w:pPr>
              <w:pStyle w:val="Tabletext"/>
              <w:cnfStyle w:val="000000000000" w:firstRow="0" w:lastRow="0" w:firstColumn="0" w:lastColumn="0" w:oddVBand="0" w:evenVBand="0" w:oddHBand="0" w:evenHBand="0" w:firstRowFirstColumn="0" w:firstRowLastColumn="0" w:lastRowFirstColumn="0" w:lastRowLastColumn="0"/>
              <w:rPr>
                <w:rFonts w:eastAsia="Centaur"/>
                <w:szCs w:val="18"/>
              </w:rPr>
            </w:pPr>
            <w:r w:rsidRPr="00C048AB">
              <w:rPr>
                <w:rFonts w:eastAsia="Centaur"/>
                <w:szCs w:val="18"/>
              </w:rPr>
              <w:t>Must be submitted by 5 pm on 24 August 2027</w:t>
            </w:r>
          </w:p>
        </w:tc>
      </w:tr>
    </w:tbl>
    <w:p w14:paraId="2C0622D7" w14:textId="0F801D23" w:rsidR="007D5C4B" w:rsidRDefault="00817104" w:rsidP="007D5C4B">
      <w:pPr>
        <w:pStyle w:val="Body"/>
      </w:pPr>
      <w:r>
        <w:t>It is the health service’s responsibility to ensure that data files are submitted on or before the tenth of each month, regardless of the actual day of the week.</w:t>
      </w:r>
      <w:r w:rsidR="007D5C4B" w:rsidRPr="007D5C4B">
        <w:t xml:space="preserve"> </w:t>
      </w:r>
      <w:r w:rsidR="007D5C4B">
        <w:t>Where health services are noncompliant with the timelines specified, the department will not be able to include the data in quarterly reporting to the Independent Health and Aged Care Pricing Authority (IHACPA), performance reporting, and public reporting. Activity data not successfully submitted to the department by the consolidation date will not receive funding and may not be counted towards activity targets.</w:t>
      </w:r>
    </w:p>
    <w:p w14:paraId="0273685A" w14:textId="3C5B4CB3" w:rsidR="007D5C4B" w:rsidRDefault="007D5C4B" w:rsidP="007D5C4B">
      <w:pPr>
        <w:pStyle w:val="Body"/>
      </w:pPr>
      <w:r>
        <w:t xml:space="preserve">Health services seeking late data exemption must notify the department by the submission date and complete a late data notification form indicating the nature of the difficulties, remedial action being taken and the expected submission date. </w:t>
      </w:r>
      <w:r w:rsidR="008557C6">
        <w:t xml:space="preserve">To access the VAED late data notification form, visit </w:t>
      </w:r>
      <w:hyperlink r:id="rId432" w:history="1">
        <w:r w:rsidR="008557C6" w:rsidRPr="67CD79BB">
          <w:rPr>
            <w:rStyle w:val="Hyperlink"/>
          </w:rPr>
          <w:t xml:space="preserve">HDSS </w:t>
        </w:r>
        <w:r w:rsidR="008557C6">
          <w:rPr>
            <w:rStyle w:val="Hyperlink"/>
          </w:rPr>
          <w:t>f</w:t>
        </w:r>
        <w:r w:rsidR="008557C6" w:rsidRPr="67CD79BB">
          <w:rPr>
            <w:rStyle w:val="Hyperlink"/>
          </w:rPr>
          <w:t>orms</w:t>
        </w:r>
      </w:hyperlink>
      <w:r w:rsidR="008557C6">
        <w:t xml:space="preserve"> &lt;https://www.health.vic.gov.au/data-reporting/health-data-standards-and-systems-hdss-forms&gt;. </w:t>
      </w:r>
      <w:r>
        <w:t>Health services must also submit aggregate data when patient level data is not available.</w:t>
      </w:r>
    </w:p>
    <w:p w14:paraId="0F87E480" w14:textId="77777777" w:rsidR="00817104" w:rsidRPr="006A0ADC" w:rsidRDefault="00817104" w:rsidP="00817104">
      <w:pPr>
        <w:pStyle w:val="Heading4"/>
      </w:pPr>
      <w:r>
        <w:t>Penalties for noncompliance</w:t>
      </w:r>
    </w:p>
    <w:p w14:paraId="6B55A929" w14:textId="77777777" w:rsidR="00817104" w:rsidRPr="00A74197" w:rsidRDefault="00817104" w:rsidP="00817104">
      <w:pPr>
        <w:pStyle w:val="Body"/>
      </w:pPr>
      <w:r>
        <w:t>Where health services are noncompliant with the timelines specified above, the department may apply penalties that include:</w:t>
      </w:r>
    </w:p>
    <w:p w14:paraId="50477F9B" w14:textId="77777777" w:rsidR="00817104" w:rsidRPr="00632593" w:rsidRDefault="00817104" w:rsidP="00817104">
      <w:pPr>
        <w:pStyle w:val="Bullet1"/>
        <w:numPr>
          <w:ilvl w:val="0"/>
          <w:numId w:val="2"/>
        </w:numPr>
      </w:pPr>
      <w:r>
        <w:t>up to $20,000 per month, if more than one per cent of admission and separation details (E5, J5) for a given month are submitted after the timeline specified</w:t>
      </w:r>
    </w:p>
    <w:p w14:paraId="61F744EF" w14:textId="77777777" w:rsidR="00817104" w:rsidRPr="00632593" w:rsidRDefault="00817104" w:rsidP="00817104">
      <w:pPr>
        <w:pStyle w:val="Bullet1"/>
        <w:numPr>
          <w:ilvl w:val="0"/>
          <w:numId w:val="2"/>
        </w:numPr>
      </w:pPr>
      <w:r>
        <w:t>up to $20,000 per month, if more than one per cent of episodes for a given month are submitted without diagnosis, procedure, subacute or palliative care details (X5, Y5, S5, P5) by the deadline specified</w:t>
      </w:r>
    </w:p>
    <w:p w14:paraId="661C66AE" w14:textId="77777777" w:rsidR="00817104" w:rsidRPr="00632593" w:rsidRDefault="00817104" w:rsidP="00817104">
      <w:pPr>
        <w:pStyle w:val="Bullet1"/>
        <w:numPr>
          <w:ilvl w:val="0"/>
          <w:numId w:val="2"/>
        </w:numPr>
      </w:pPr>
      <w:r>
        <w:t>up to $2,000 per episode, if there is a significant number of episodes that are ‘dummy coded’ or do not meet the VAED business rules.</w:t>
      </w:r>
    </w:p>
    <w:p w14:paraId="6A9C0397" w14:textId="77777777" w:rsidR="00817104" w:rsidRPr="00A74197" w:rsidRDefault="00817104" w:rsidP="00817104">
      <w:pPr>
        <w:pStyle w:val="Bodyafterbullets"/>
      </w:pPr>
      <w:r>
        <w:t>The above requirements apply to all account classes, including the Department of Veterans’ Affairs.</w:t>
      </w:r>
    </w:p>
    <w:p w14:paraId="7E42A4A6" w14:textId="77777777" w:rsidR="00817104" w:rsidRDefault="00817104" w:rsidP="00817104">
      <w:pPr>
        <w:pStyle w:val="Body"/>
      </w:pPr>
      <w:r>
        <w:t>Data that is flagged as unfit for reporting and analysis will be regarded as noncompliant, and penalties as above may apply.</w:t>
      </w:r>
    </w:p>
    <w:p w14:paraId="5DB36A9D" w14:textId="77777777" w:rsidR="00817104" w:rsidRPr="006A0ADC" w:rsidRDefault="00817104" w:rsidP="00817104">
      <w:pPr>
        <w:pStyle w:val="Heading4"/>
      </w:pPr>
      <w:r>
        <w:lastRenderedPageBreak/>
        <w:t>Exemptions from penalties</w:t>
      </w:r>
    </w:p>
    <w:p w14:paraId="470E020B" w14:textId="77777777" w:rsidR="00817104" w:rsidRDefault="00817104" w:rsidP="00817104">
      <w:pPr>
        <w:pStyle w:val="Body"/>
      </w:pPr>
      <w:r>
        <w:t>Health services seeking exemption from penalties for late data must notify the department and complete a late data notification form, indicating the nature of the difficulties, remedial action being taken and the expected submission date. Exemptions will be granted at the department’s discretion.</w:t>
      </w:r>
    </w:p>
    <w:p w14:paraId="7F71473E" w14:textId="77777777" w:rsidR="00817104" w:rsidRPr="00A74197" w:rsidRDefault="00817104" w:rsidP="00817104">
      <w:pPr>
        <w:pStyle w:val="Body"/>
      </w:pPr>
      <w:r>
        <w:t xml:space="preserve">To access the VAED late data notification form, visit </w:t>
      </w:r>
      <w:hyperlink r:id="rId433" w:history="1">
        <w:r w:rsidRPr="67CD79BB">
          <w:rPr>
            <w:rStyle w:val="Hyperlink"/>
          </w:rPr>
          <w:t xml:space="preserve">HDSS </w:t>
        </w:r>
        <w:r>
          <w:rPr>
            <w:rStyle w:val="Hyperlink"/>
          </w:rPr>
          <w:t>f</w:t>
        </w:r>
        <w:r w:rsidRPr="67CD79BB">
          <w:rPr>
            <w:rStyle w:val="Hyperlink"/>
          </w:rPr>
          <w:t>orms</w:t>
        </w:r>
      </w:hyperlink>
      <w:r>
        <w:t xml:space="preserve"> &lt;https://www.health.vic.gov.au/data-reporting/health-data-standards-and-systems-hdss-forms&gt;. This form must be submitted if a health service cannot meet the reporting deadline.</w:t>
      </w:r>
    </w:p>
    <w:p w14:paraId="37C72144" w14:textId="77777777" w:rsidR="00817104" w:rsidRPr="00A74197" w:rsidRDefault="00817104" w:rsidP="00817104">
      <w:pPr>
        <w:pStyle w:val="Body"/>
      </w:pPr>
      <w:r>
        <w:t>Requests for an exemption from late penalties will only be considered if received prior to the relevant deadlines, and if the manual aggregate data (AIMS S1A form) has been completed by the due date. Extensions or exemptions are not issued in advance. Late submissions penalties are assessed after the end-of-year consolidation deadline, considering the health service’s compliance performance for the financial year.</w:t>
      </w:r>
    </w:p>
    <w:p w14:paraId="6D53FE66" w14:textId="77777777" w:rsidR="00817104" w:rsidRDefault="00817104" w:rsidP="00817104">
      <w:pPr>
        <w:pStyle w:val="Body"/>
      </w:pPr>
      <w:r>
        <w:t>For any full-month period that the health service is unable to supply unit record data, the health service is required to submit aggregate data using the AIMS S1A form submitted via HealthCollect. The health service must complete the AIMS S1A form by the tenth of the month.</w:t>
      </w:r>
    </w:p>
    <w:p w14:paraId="4A5380F2" w14:textId="12AAA81E" w:rsidR="00817104" w:rsidRPr="00A74197" w:rsidRDefault="00817104" w:rsidP="00817104">
      <w:pPr>
        <w:pStyle w:val="Body"/>
      </w:pPr>
      <w:r>
        <w:t xml:space="preserve">For assistance with the S1A, email </w:t>
      </w:r>
      <w:hyperlink r:id="rId434" w:history="1">
        <w:r w:rsidRPr="001E51E6">
          <w:rPr>
            <w:rStyle w:val="Hyperlink"/>
          </w:rPr>
          <w:t>HDSS helpdesk</w:t>
        </w:r>
      </w:hyperlink>
      <w:r>
        <w:t xml:space="preserve"> &lt;hdss.helpdesk@health.vic.gov.au&gt;. Failure to complete the S1A form by the due date may result in late submission penalties.</w:t>
      </w:r>
    </w:p>
    <w:p w14:paraId="0086A15B" w14:textId="77777777" w:rsidR="00817104" w:rsidRPr="006A0ADC" w:rsidRDefault="00817104" w:rsidP="00817104">
      <w:pPr>
        <w:pStyle w:val="Heading4"/>
      </w:pPr>
      <w:r>
        <w:t>Software upgrades and migrations</w:t>
      </w:r>
    </w:p>
    <w:p w14:paraId="47E8C094" w14:textId="77777777" w:rsidR="00817104" w:rsidRPr="00123CE2" w:rsidRDefault="00817104" w:rsidP="00817104">
      <w:pPr>
        <w:pStyle w:val="Body"/>
      </w:pPr>
      <w:r w:rsidRPr="0670E279">
        <w:rPr>
          <w:rFonts w:eastAsia="Arial"/>
        </w:rPr>
        <w:t>Health services are re</w:t>
      </w:r>
      <w:r>
        <w:rPr>
          <w:rFonts w:eastAsia="Arial"/>
        </w:rPr>
        <w:t xml:space="preserve">quired </w:t>
      </w:r>
      <w:r w:rsidRPr="0670E279">
        <w:rPr>
          <w:rFonts w:eastAsia="Arial"/>
        </w:rPr>
        <w:t xml:space="preserve">to </w:t>
      </w:r>
      <w:r>
        <w:rPr>
          <w:rFonts w:eastAsia="Arial"/>
        </w:rPr>
        <w:t>notify the department by email</w:t>
      </w:r>
      <w:r w:rsidRPr="0670E279">
        <w:rPr>
          <w:rFonts w:eastAsia="Arial"/>
        </w:rPr>
        <w:t xml:space="preserve"> </w:t>
      </w:r>
      <w:r>
        <w:rPr>
          <w:rFonts w:eastAsia="Arial"/>
        </w:rPr>
        <w:t>to</w:t>
      </w:r>
      <w:r w:rsidRPr="0670E279">
        <w:rPr>
          <w:rFonts w:eastAsia="Arial"/>
        </w:rPr>
        <w:t xml:space="preserve"> the </w:t>
      </w:r>
      <w:hyperlink r:id="rId435" w:history="1">
        <w:r w:rsidRPr="00F26638">
          <w:rPr>
            <w:rStyle w:val="Hyperlink"/>
            <w:rFonts w:eastAsia="Arial" w:cs="Arial"/>
          </w:rPr>
          <w:t>HDSS helpdesk</w:t>
        </w:r>
      </w:hyperlink>
      <w:r w:rsidRPr="0670E279">
        <w:rPr>
          <w:rFonts w:eastAsia="Arial"/>
        </w:rPr>
        <w:t xml:space="preserve"> </w:t>
      </w:r>
      <w:r>
        <w:t>&lt;</w:t>
      </w:r>
      <w:r w:rsidRPr="00AD11D3">
        <w:t>hdss.helpde</w:t>
      </w:r>
      <w:r>
        <w:t>s</w:t>
      </w:r>
      <w:r w:rsidRPr="00AD11D3">
        <w:t>k@health.vic.gov.au</w:t>
      </w:r>
      <w:r w:rsidRPr="0670E279">
        <w:rPr>
          <w:rFonts w:eastAsia="Arial"/>
        </w:rPr>
        <w:t xml:space="preserve">&gt; </w:t>
      </w:r>
      <w:r>
        <w:t>as soon as a decision is made to implement new software applications that will affect VAED reporting.</w:t>
      </w:r>
      <w:r w:rsidRPr="0670E279">
        <w:rPr>
          <w:rFonts w:eastAsia="Arial"/>
          <w:color w:val="C239B3"/>
        </w:rPr>
        <w:t xml:space="preserve"> </w:t>
      </w:r>
    </w:p>
    <w:p w14:paraId="4730C129" w14:textId="77777777" w:rsidR="00817104" w:rsidRPr="00123CE2" w:rsidRDefault="00817104" w:rsidP="00817104">
      <w:pPr>
        <w:pStyle w:val="Body"/>
      </w:pPr>
      <w:r w:rsidRPr="0670E279">
        <w:t>Multiple health services often implement new software at the same time</w:t>
      </w:r>
      <w:r>
        <w:t>,</w:t>
      </w:r>
      <w:r w:rsidRPr="0670E279">
        <w:t xml:space="preserve"> and </w:t>
      </w:r>
      <w:r w:rsidRPr="0670E279">
        <w:rPr>
          <w:rFonts w:eastAsia="Times New Roman"/>
        </w:rPr>
        <w:t xml:space="preserve">the department is frequently asked for advice on data migration, to support testing </w:t>
      </w:r>
      <w:r>
        <w:rPr>
          <w:rFonts w:eastAsia="Times New Roman"/>
        </w:rPr>
        <w:t>and so forth</w:t>
      </w:r>
      <w:r w:rsidRPr="0670E279">
        <w:rPr>
          <w:rFonts w:eastAsia="Times New Roman"/>
        </w:rPr>
        <w:t>. To ensure the department can provide sufficient support, early notification is appreciated. Please advise the software being changed and whether it</w:t>
      </w:r>
      <w:r>
        <w:rPr>
          <w:rFonts w:eastAsia="Times New Roman"/>
        </w:rPr>
        <w:t xml:space="preserve"> i</w:t>
      </w:r>
      <w:r w:rsidRPr="0670E279">
        <w:rPr>
          <w:rFonts w:eastAsia="Times New Roman"/>
        </w:rPr>
        <w:t xml:space="preserve">s a </w:t>
      </w:r>
      <w:r w:rsidRPr="009D2756">
        <w:rPr>
          <w:rFonts w:eastAsia="Times New Roman"/>
        </w:rPr>
        <w:t xml:space="preserve">Patient Administration System </w:t>
      </w:r>
      <w:r>
        <w:rPr>
          <w:rFonts w:eastAsia="Times New Roman"/>
        </w:rPr>
        <w:t>(</w:t>
      </w:r>
      <w:r>
        <w:t>PAS)</w:t>
      </w:r>
      <w:r w:rsidRPr="0670E279">
        <w:rPr>
          <w:rFonts w:eastAsia="Times New Roman"/>
        </w:rPr>
        <w:t xml:space="preserve"> or an </w:t>
      </w:r>
      <w:r w:rsidRPr="000232AF">
        <w:t>Electronic Medical Record</w:t>
      </w:r>
      <w:r w:rsidRPr="0670E279">
        <w:rPr>
          <w:rFonts w:eastAsia="Times New Roman"/>
        </w:rPr>
        <w:t xml:space="preserve"> </w:t>
      </w:r>
      <w:r>
        <w:rPr>
          <w:rFonts w:eastAsia="Times New Roman"/>
        </w:rPr>
        <w:t>(</w:t>
      </w:r>
      <w:r w:rsidRPr="0670E279">
        <w:rPr>
          <w:rFonts w:eastAsia="Times New Roman"/>
        </w:rPr>
        <w:t>EMR</w:t>
      </w:r>
      <w:r>
        <w:rPr>
          <w:rFonts w:eastAsia="Times New Roman"/>
        </w:rPr>
        <w:t>)</w:t>
      </w:r>
      <w:r w:rsidRPr="0670E279">
        <w:rPr>
          <w:rFonts w:eastAsia="Times New Roman"/>
        </w:rPr>
        <w:t>, the data collections involved, migration plans, go</w:t>
      </w:r>
      <w:r>
        <w:rPr>
          <w:rFonts w:eastAsia="Times New Roman"/>
        </w:rPr>
        <w:t>-</w:t>
      </w:r>
      <w:r w:rsidRPr="0670E279">
        <w:rPr>
          <w:rFonts w:eastAsia="Times New Roman"/>
        </w:rPr>
        <w:t>live dates and the main health service contacts.</w:t>
      </w:r>
    </w:p>
    <w:p w14:paraId="346F2D91" w14:textId="77777777" w:rsidR="00817104" w:rsidRPr="00123CE2" w:rsidRDefault="00817104" w:rsidP="00817104">
      <w:pPr>
        <w:pStyle w:val="Body"/>
        <w:rPr>
          <w:color w:val="000000" w:themeColor="text1"/>
        </w:rPr>
      </w:pPr>
      <w:r>
        <w:t>Health services implementing software migrations must undertake VAED data submission testing before resuming VAED data submissions to the production (live) environment. Health services will be exempt from late data submission penalties for an agreed period of no more than two months, provided the S1A form is completed on time.</w:t>
      </w:r>
    </w:p>
    <w:p w14:paraId="2833EE31" w14:textId="77777777" w:rsidR="00817104" w:rsidRDefault="00817104" w:rsidP="00817104">
      <w:pPr>
        <w:pStyle w:val="Body"/>
      </w:pPr>
      <w:r>
        <w:t>Health services undertaking software upgrades may also choose to undertake the VAED data submission testing process before resuming VAED data submissions to the production (live) environment. Health services will be exempt from late data submission penalties for one month, provided the S1A form is completed on time.</w:t>
      </w:r>
    </w:p>
    <w:p w14:paraId="6B459175" w14:textId="77777777" w:rsidR="00817104" w:rsidRDefault="00817104" w:rsidP="00817104">
      <w:pPr>
        <w:pStyle w:val="Heading4"/>
      </w:pPr>
      <w:r>
        <w:t xml:space="preserve">Statement of Assurance </w:t>
      </w:r>
    </w:p>
    <w:p w14:paraId="66EA3687" w14:textId="77777777" w:rsidR="00817104" w:rsidRDefault="00817104" w:rsidP="00817104">
      <w:pPr>
        <w:pStyle w:val="Body"/>
      </w:pPr>
      <w:r>
        <w:t>As the provision of timely, accurate and reliable data is critical to the department fulfilling its functions, health services will be required to submit a Statement of Assurance attesting to the completeness and accuracy of 2026–27 data submitted to the VAED.</w:t>
      </w:r>
    </w:p>
    <w:p w14:paraId="423AD127" w14:textId="77777777" w:rsidR="00817104" w:rsidRDefault="00817104" w:rsidP="00817104">
      <w:pPr>
        <w:pStyle w:val="Body"/>
      </w:pPr>
      <w:r>
        <w:t>The Statement of Assurance is to include:</w:t>
      </w:r>
    </w:p>
    <w:p w14:paraId="6576A586" w14:textId="77777777" w:rsidR="00817104" w:rsidRPr="00B904F6" w:rsidRDefault="00817104" w:rsidP="00817104">
      <w:pPr>
        <w:pStyle w:val="Bullet1"/>
        <w:numPr>
          <w:ilvl w:val="0"/>
          <w:numId w:val="2"/>
        </w:numPr>
      </w:pPr>
      <w:r w:rsidRPr="00B904F6">
        <w:t>explanations</w:t>
      </w:r>
      <w:r w:rsidRPr="00B904F6">
        <w:rPr>
          <w:spacing w:val="-3"/>
        </w:rPr>
        <w:t xml:space="preserve"> </w:t>
      </w:r>
      <w:r w:rsidRPr="00B904F6">
        <w:t>on</w:t>
      </w:r>
      <w:r w:rsidRPr="00B904F6">
        <w:rPr>
          <w:spacing w:val="-4"/>
        </w:rPr>
        <w:t xml:space="preserve"> </w:t>
      </w:r>
      <w:r w:rsidRPr="00B904F6">
        <w:t>any</w:t>
      </w:r>
      <w:r w:rsidRPr="00B904F6">
        <w:rPr>
          <w:spacing w:val="-3"/>
        </w:rPr>
        <w:t xml:space="preserve"> </w:t>
      </w:r>
      <w:r w:rsidRPr="00B904F6">
        <w:t>significant</w:t>
      </w:r>
      <w:r w:rsidRPr="00B904F6">
        <w:rPr>
          <w:spacing w:val="-2"/>
        </w:rPr>
        <w:t xml:space="preserve"> </w:t>
      </w:r>
      <w:r w:rsidRPr="00B904F6">
        <w:t>changes</w:t>
      </w:r>
      <w:r w:rsidRPr="00B904F6">
        <w:rPr>
          <w:spacing w:val="-6"/>
        </w:rPr>
        <w:t xml:space="preserve"> </w:t>
      </w:r>
      <w:r w:rsidRPr="00B904F6">
        <w:t>in</w:t>
      </w:r>
      <w:r w:rsidRPr="00B904F6">
        <w:rPr>
          <w:spacing w:val="-4"/>
        </w:rPr>
        <w:t xml:space="preserve"> </w:t>
      </w:r>
      <w:r w:rsidRPr="00B904F6">
        <w:t>activity</w:t>
      </w:r>
      <w:r w:rsidRPr="00B904F6">
        <w:rPr>
          <w:spacing w:val="-6"/>
        </w:rPr>
        <w:t xml:space="preserve"> </w:t>
      </w:r>
      <w:r w:rsidRPr="00B904F6">
        <w:t xml:space="preserve">from the prior financial year </w:t>
      </w:r>
    </w:p>
    <w:p w14:paraId="13B8F626" w14:textId="77777777" w:rsidR="00817104" w:rsidRPr="00B904F6" w:rsidRDefault="00817104" w:rsidP="00817104">
      <w:pPr>
        <w:pStyle w:val="Bullet1"/>
        <w:numPr>
          <w:ilvl w:val="0"/>
          <w:numId w:val="2"/>
        </w:numPr>
      </w:pPr>
      <w:r w:rsidRPr="00B904F6">
        <w:t>steps</w:t>
      </w:r>
      <w:r w:rsidRPr="00B904F6">
        <w:rPr>
          <w:spacing w:val="-5"/>
        </w:rPr>
        <w:t xml:space="preserve"> </w:t>
      </w:r>
      <w:r w:rsidRPr="00B904F6">
        <w:t>taken</w:t>
      </w:r>
      <w:r w:rsidRPr="00B904F6">
        <w:rPr>
          <w:spacing w:val="-5"/>
        </w:rPr>
        <w:t xml:space="preserve"> </w:t>
      </w:r>
      <w:r w:rsidRPr="00B904F6">
        <w:t>to</w:t>
      </w:r>
      <w:r w:rsidRPr="00B904F6">
        <w:rPr>
          <w:spacing w:val="-5"/>
        </w:rPr>
        <w:t xml:space="preserve"> </w:t>
      </w:r>
      <w:r w:rsidRPr="00B904F6">
        <w:t>promote</w:t>
      </w:r>
      <w:r w:rsidRPr="00B904F6">
        <w:rPr>
          <w:spacing w:val="-5"/>
        </w:rPr>
        <w:t xml:space="preserve"> </w:t>
      </w:r>
      <w:r w:rsidRPr="00B904F6">
        <w:t>completeness</w:t>
      </w:r>
      <w:r w:rsidRPr="00B904F6">
        <w:rPr>
          <w:spacing w:val="-5"/>
        </w:rPr>
        <w:t xml:space="preserve"> </w:t>
      </w:r>
      <w:r w:rsidRPr="00B904F6">
        <w:t>and</w:t>
      </w:r>
      <w:r w:rsidRPr="00B904F6">
        <w:rPr>
          <w:spacing w:val="-3"/>
        </w:rPr>
        <w:t xml:space="preserve"> </w:t>
      </w:r>
      <w:r w:rsidRPr="00B904F6">
        <w:t>accuracy</w:t>
      </w:r>
      <w:r w:rsidRPr="00B904F6">
        <w:rPr>
          <w:spacing w:val="-2"/>
        </w:rPr>
        <w:t xml:space="preserve"> </w:t>
      </w:r>
      <w:r w:rsidRPr="00B904F6">
        <w:t>of</w:t>
      </w:r>
      <w:r w:rsidRPr="00B904F6">
        <w:rPr>
          <w:spacing w:val="-3"/>
        </w:rPr>
        <w:t xml:space="preserve"> </w:t>
      </w:r>
      <w:r w:rsidRPr="00B904F6">
        <w:t>activity</w:t>
      </w:r>
      <w:r w:rsidRPr="00B904F6">
        <w:rPr>
          <w:spacing w:val="-2"/>
        </w:rPr>
        <w:t xml:space="preserve"> </w:t>
      </w:r>
      <w:r w:rsidRPr="00B904F6">
        <w:t>data</w:t>
      </w:r>
      <w:r w:rsidRPr="00B904F6">
        <w:rPr>
          <w:spacing w:val="-5"/>
        </w:rPr>
        <w:t xml:space="preserve"> </w:t>
      </w:r>
      <w:r w:rsidRPr="00B904F6">
        <w:t>(for</w:t>
      </w:r>
      <w:r w:rsidRPr="00B904F6">
        <w:rPr>
          <w:spacing w:val="-1"/>
        </w:rPr>
        <w:t xml:space="preserve"> </w:t>
      </w:r>
      <w:r w:rsidRPr="00B904F6">
        <w:t>example</w:t>
      </w:r>
      <w:r>
        <w:t>,</w:t>
      </w:r>
      <w:r w:rsidRPr="00B904F6">
        <w:rPr>
          <w:spacing w:val="-2"/>
        </w:rPr>
        <w:t xml:space="preserve"> </w:t>
      </w:r>
      <w:r w:rsidRPr="00B904F6">
        <w:t xml:space="preserve">audit tools or programs, </w:t>
      </w:r>
      <w:r>
        <w:t xml:space="preserve">and </w:t>
      </w:r>
      <w:r w:rsidRPr="00B904F6">
        <w:t>third-party reviews)</w:t>
      </w:r>
    </w:p>
    <w:p w14:paraId="39C7DBEF" w14:textId="77777777" w:rsidR="00817104" w:rsidRDefault="00817104" w:rsidP="00817104">
      <w:pPr>
        <w:pStyle w:val="Bullet1"/>
        <w:numPr>
          <w:ilvl w:val="0"/>
          <w:numId w:val="2"/>
        </w:numPr>
      </w:pPr>
      <w:r w:rsidRPr="00B904F6">
        <w:lastRenderedPageBreak/>
        <w:t>other</w:t>
      </w:r>
      <w:r w:rsidRPr="00B904F6">
        <w:rPr>
          <w:spacing w:val="-3"/>
        </w:rPr>
        <w:t xml:space="preserve"> </w:t>
      </w:r>
      <w:r w:rsidRPr="00B904F6">
        <w:t>information</w:t>
      </w:r>
      <w:r w:rsidRPr="00B904F6">
        <w:rPr>
          <w:spacing w:val="-4"/>
        </w:rPr>
        <w:t xml:space="preserve"> </w:t>
      </w:r>
      <w:r w:rsidRPr="00B904F6">
        <w:t>that</w:t>
      </w:r>
      <w:r w:rsidRPr="00B904F6">
        <w:rPr>
          <w:spacing w:val="-3"/>
        </w:rPr>
        <w:t xml:space="preserve"> </w:t>
      </w:r>
      <w:r w:rsidRPr="00B904F6">
        <w:t>may</w:t>
      </w:r>
      <w:r w:rsidRPr="00B904F6">
        <w:rPr>
          <w:spacing w:val="-1"/>
        </w:rPr>
        <w:t xml:space="preserve"> </w:t>
      </w:r>
      <w:r w:rsidRPr="00B904F6">
        <w:t>be</w:t>
      </w:r>
      <w:r w:rsidRPr="00B904F6">
        <w:rPr>
          <w:spacing w:val="-4"/>
        </w:rPr>
        <w:t xml:space="preserve"> </w:t>
      </w:r>
      <w:r w:rsidRPr="00B904F6">
        <w:t>relevant</w:t>
      </w:r>
      <w:r w:rsidRPr="00B904F6">
        <w:rPr>
          <w:spacing w:val="-2"/>
        </w:rPr>
        <w:t xml:space="preserve"> </w:t>
      </w:r>
      <w:r w:rsidRPr="00B904F6">
        <w:t>to</w:t>
      </w:r>
      <w:r w:rsidRPr="00B904F6">
        <w:rPr>
          <w:spacing w:val="-4"/>
        </w:rPr>
        <w:t xml:space="preserve"> </w:t>
      </w:r>
      <w:r w:rsidRPr="00B904F6">
        <w:t>users</w:t>
      </w:r>
      <w:r w:rsidRPr="00B904F6">
        <w:rPr>
          <w:spacing w:val="-1"/>
        </w:rPr>
        <w:t xml:space="preserve"> </w:t>
      </w:r>
      <w:r w:rsidRPr="00B904F6">
        <w:t>of</w:t>
      </w:r>
      <w:r w:rsidRPr="00B904F6">
        <w:rPr>
          <w:spacing w:val="-3"/>
        </w:rPr>
        <w:t xml:space="preserve"> </w:t>
      </w:r>
      <w:r w:rsidRPr="00B904F6">
        <w:t>the</w:t>
      </w:r>
      <w:r w:rsidRPr="00B904F6">
        <w:rPr>
          <w:spacing w:val="-2"/>
        </w:rPr>
        <w:t xml:space="preserve"> </w:t>
      </w:r>
      <w:r w:rsidRPr="00B904F6">
        <w:t>data</w:t>
      </w:r>
      <w:r>
        <w:t>.</w:t>
      </w:r>
    </w:p>
    <w:p w14:paraId="434D2848" w14:textId="49FFA9A8" w:rsidR="00817104" w:rsidRDefault="00817104" w:rsidP="00817104">
      <w:pPr>
        <w:spacing w:after="0" w:line="240" w:lineRule="auto"/>
        <w:rPr>
          <w:rFonts w:eastAsia="Times"/>
        </w:rPr>
      </w:pPr>
    </w:p>
    <w:p w14:paraId="020F1E70" w14:textId="78075771" w:rsidR="00817104" w:rsidRPr="00130723" w:rsidRDefault="00A91956" w:rsidP="00817104">
      <w:pPr>
        <w:pStyle w:val="Heading3"/>
      </w:pPr>
      <w:bookmarkStart w:id="2765" w:name="_VEMD"/>
      <w:bookmarkStart w:id="2766" w:name="_29.1.3_VEMD"/>
      <w:bookmarkEnd w:id="2765"/>
      <w:bookmarkEnd w:id="2766"/>
      <w:r w:rsidRPr="00265FE7">
        <w:t xml:space="preserve">Victorian Emergency Minimum Dataset </w:t>
      </w:r>
      <w:r>
        <w:t>(</w:t>
      </w:r>
      <w:r w:rsidR="00817104">
        <w:t>VEMD</w:t>
      </w:r>
      <w:r>
        <w:t>)</w:t>
      </w:r>
    </w:p>
    <w:p w14:paraId="190F5EB8" w14:textId="77777777" w:rsidR="00817104" w:rsidRPr="00430A42" w:rsidRDefault="00817104" w:rsidP="00817104">
      <w:pPr>
        <w:pStyle w:val="Body"/>
      </w:pPr>
      <w:r>
        <w:t xml:space="preserve">The VEMD contains de-identified demographic, administrative and clinical data detailing ED presentations at Victorian public hospitals. </w:t>
      </w:r>
    </w:p>
    <w:p w14:paraId="7DB17CE1" w14:textId="77777777" w:rsidR="00817104" w:rsidRPr="00430A42" w:rsidRDefault="00817104" w:rsidP="00817104">
      <w:pPr>
        <w:pStyle w:val="Body"/>
      </w:pPr>
      <w:r>
        <w:t xml:space="preserve">For more information and to download the VEMD manual, visit </w:t>
      </w:r>
      <w:hyperlink r:id="rId436" w:history="1">
        <w:r>
          <w:rPr>
            <w:rStyle w:val="Hyperlink"/>
          </w:rPr>
          <w:t>VEMD</w:t>
        </w:r>
      </w:hyperlink>
      <w:r>
        <w:t xml:space="preserve"> &lt;https://www.health.vic.gov.au/data-reporting/victorian-emergency-minimum-dataset-vemd&gt;. </w:t>
      </w:r>
    </w:p>
    <w:p w14:paraId="1D10B1E3" w14:textId="77777777" w:rsidR="00817104" w:rsidRPr="00430A42" w:rsidRDefault="00817104" w:rsidP="00817104">
      <w:pPr>
        <w:pStyle w:val="Body"/>
      </w:pPr>
      <w:r>
        <w:t>The department publishes the VEMD manual on the HDSS website to provide clarity on reporting requirements for health services and information for data users.</w:t>
      </w:r>
    </w:p>
    <w:p w14:paraId="2485058B" w14:textId="77777777" w:rsidR="00817104" w:rsidRDefault="00817104" w:rsidP="00817104">
      <w:pPr>
        <w:pStyle w:val="Body"/>
      </w:pPr>
      <w:r>
        <w:t>Health services are expected to audit and reconcile their VEMD data regularly throughout the year.</w:t>
      </w:r>
    </w:p>
    <w:p w14:paraId="1E326231" w14:textId="77777777" w:rsidR="00817104" w:rsidRPr="007D5A15" w:rsidRDefault="00817104" w:rsidP="00817104">
      <w:pPr>
        <w:pStyle w:val="Heading4"/>
      </w:pPr>
      <w:r>
        <w:t>Submission guidelines</w:t>
      </w:r>
    </w:p>
    <w:p w14:paraId="0DEDAA3A" w14:textId="77777777" w:rsidR="00817104" w:rsidRPr="0011079D" w:rsidRDefault="00817104" w:rsidP="00817104">
      <w:pPr>
        <w:pStyle w:val="Body"/>
      </w:pPr>
      <w:r>
        <w:t xml:space="preserve">Public health services reporting to the VEMD must adhere to the timelines in Table 8. </w:t>
      </w:r>
    </w:p>
    <w:p w14:paraId="71A81DED" w14:textId="77777777" w:rsidR="00817104" w:rsidRDefault="00817104" w:rsidP="00817104">
      <w:pPr>
        <w:pStyle w:val="Tablecaption"/>
      </w:pPr>
      <w:bookmarkStart w:id="2767" w:name="_Toc230537129"/>
      <w:r>
        <w:t xml:space="preserve">Table </w:t>
      </w:r>
      <w:r>
        <w:fldChar w:fldCharType="begin"/>
      </w:r>
      <w:r>
        <w:instrText>SEQ Table \* ARABIC</w:instrText>
      </w:r>
      <w:r>
        <w:fldChar w:fldCharType="separate"/>
      </w:r>
      <w:r>
        <w:rPr>
          <w:noProof/>
        </w:rPr>
        <w:t>8</w:t>
      </w:r>
      <w:r>
        <w:fldChar w:fldCharType="end"/>
      </w:r>
      <w:r>
        <w:t>. VEMD timelines</w:t>
      </w:r>
      <w:bookmarkEnd w:id="2767"/>
    </w:p>
    <w:tbl>
      <w:tblPr>
        <w:tblStyle w:val="GridTable4-Accent1"/>
        <w:tblW w:w="9285" w:type="dxa"/>
        <w:tblLayout w:type="fixed"/>
        <w:tblLook w:val="04A0" w:firstRow="1" w:lastRow="0" w:firstColumn="1" w:lastColumn="0" w:noHBand="0" w:noVBand="1"/>
      </w:tblPr>
      <w:tblGrid>
        <w:gridCol w:w="2860"/>
        <w:gridCol w:w="6425"/>
      </w:tblGrid>
      <w:tr w:rsidR="00817104" w:rsidRPr="00C048AB" w14:paraId="46B234E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0" w:type="dxa"/>
          </w:tcPr>
          <w:p w14:paraId="59910967" w14:textId="77777777" w:rsidR="00817104" w:rsidRPr="00C048AB" w:rsidRDefault="00817104" w:rsidP="00785A21">
            <w:pPr>
              <w:pStyle w:val="Tablecolhead"/>
              <w:rPr>
                <w:b/>
                <w:bCs w:val="0"/>
                <w:color w:val="FFFFFF" w:themeColor="background1"/>
                <w:sz w:val="18"/>
                <w:szCs w:val="18"/>
              </w:rPr>
            </w:pPr>
            <w:r w:rsidRPr="00C048AB">
              <w:rPr>
                <w:b/>
                <w:bCs w:val="0"/>
                <w:color w:val="FFFFFF" w:themeColor="background1"/>
                <w:sz w:val="18"/>
                <w:szCs w:val="18"/>
              </w:rPr>
              <w:t>VEMD</w:t>
            </w:r>
          </w:p>
        </w:tc>
        <w:tc>
          <w:tcPr>
            <w:tcW w:w="6425" w:type="dxa"/>
          </w:tcPr>
          <w:p w14:paraId="2C229B72" w14:textId="77777777" w:rsidR="00817104" w:rsidRPr="00C048AB"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048AB">
              <w:rPr>
                <w:b/>
                <w:bCs w:val="0"/>
                <w:color w:val="FFFFFF" w:themeColor="background1"/>
                <w:sz w:val="18"/>
                <w:szCs w:val="18"/>
              </w:rPr>
              <w:t>Timeline</w:t>
            </w:r>
          </w:p>
        </w:tc>
      </w:tr>
      <w:tr w:rsidR="00817104" w:rsidRPr="00C048AB" w14:paraId="379B118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3DA3C574" w14:textId="77777777" w:rsidR="00817104" w:rsidRPr="00C048AB" w:rsidRDefault="00817104">
            <w:pPr>
              <w:pStyle w:val="Tabletext"/>
              <w:rPr>
                <w:szCs w:val="18"/>
              </w:rPr>
            </w:pPr>
            <w:r w:rsidRPr="00C048AB">
              <w:rPr>
                <w:szCs w:val="18"/>
              </w:rPr>
              <w:t>All presentations to be submitted weekly</w:t>
            </w:r>
          </w:p>
        </w:tc>
        <w:tc>
          <w:tcPr>
            <w:tcW w:w="0" w:type="dxa"/>
          </w:tcPr>
          <w:p w14:paraId="4EDAB693" w14:textId="77777777" w:rsidR="00817104" w:rsidRPr="00C048AB"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C048AB">
              <w:rPr>
                <w:szCs w:val="18"/>
              </w:rPr>
              <w:t>Submitted by midday every Tuesday for the preceding seven days (Mon–Sun)</w:t>
            </w:r>
          </w:p>
        </w:tc>
      </w:tr>
      <w:tr w:rsidR="00817104" w:rsidRPr="00C048AB" w14:paraId="70731949"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2FC1FA4" w14:textId="77777777" w:rsidR="00817104" w:rsidRPr="00C048AB" w:rsidRDefault="00817104">
            <w:pPr>
              <w:pStyle w:val="Tabletext"/>
              <w:rPr>
                <w:szCs w:val="18"/>
              </w:rPr>
            </w:pPr>
            <w:r w:rsidRPr="00C048AB">
              <w:rPr>
                <w:szCs w:val="18"/>
              </w:rPr>
              <w:t>All presentations for the full month without errors</w:t>
            </w:r>
          </w:p>
        </w:tc>
        <w:tc>
          <w:tcPr>
            <w:tcW w:w="0" w:type="dxa"/>
          </w:tcPr>
          <w:p w14:paraId="2D56A7E0" w14:textId="77777777" w:rsidR="00817104" w:rsidRPr="00C048AB"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C048AB">
              <w:rPr>
                <w:szCs w:val="18"/>
              </w:rPr>
              <w:t>Must be complete and correct – that is, zero rejections and notifiable edits by 5 pm on the tenth day of the following month, or the prior business day if the tenth day is a weekend or public holiday</w:t>
            </w:r>
          </w:p>
        </w:tc>
      </w:tr>
    </w:tbl>
    <w:p w14:paraId="65005AD3" w14:textId="77777777" w:rsidR="00491C6F" w:rsidRDefault="00817104" w:rsidP="00491C6F">
      <w:pPr>
        <w:pStyle w:val="Body"/>
      </w:pPr>
      <w:r>
        <w:t>Any corrections to 2026–27 data must be submitted before final consolidation of the VEMD on 27 July 2027.</w:t>
      </w:r>
      <w:r w:rsidR="00491C6F">
        <w:t xml:space="preserve"> Where health services are noncompliant with the timelines specified, the department will not be able to include the data in quarterly reporting to the Independent Health and Aged Care Pricing Authority (IHACPA), performance reporting, and public reporting. Activity data not successfully submitted to the department by the consolidation date will not receive funding and may not be counted towards activity targets.</w:t>
      </w:r>
    </w:p>
    <w:p w14:paraId="59A93847" w14:textId="1B4C460D" w:rsidR="00491C6F" w:rsidRDefault="00491C6F" w:rsidP="00491C6F">
      <w:pPr>
        <w:pStyle w:val="Body"/>
      </w:pPr>
      <w:r>
        <w:t xml:space="preserve">Health services seeking late data exemption must notify the department by the submission date and complete a late data notification form indicating the nature of the difficulties, remedial action being taken and the expected submission date. </w:t>
      </w:r>
      <w:r w:rsidR="00AB2752">
        <w:t xml:space="preserve">To access the VEMD late data notification form, visit </w:t>
      </w:r>
      <w:hyperlink r:id="rId437" w:history="1">
        <w:r w:rsidR="00AB2752" w:rsidRPr="67CD79BB">
          <w:rPr>
            <w:rStyle w:val="Hyperlink"/>
          </w:rPr>
          <w:t xml:space="preserve">HDSS </w:t>
        </w:r>
        <w:r w:rsidR="00AB2752">
          <w:rPr>
            <w:rStyle w:val="Hyperlink"/>
          </w:rPr>
          <w:t>f</w:t>
        </w:r>
        <w:r w:rsidR="00AB2752" w:rsidRPr="67CD79BB">
          <w:rPr>
            <w:rStyle w:val="Hyperlink"/>
          </w:rPr>
          <w:t>orms</w:t>
        </w:r>
      </w:hyperlink>
      <w:r w:rsidR="00AB2752">
        <w:t xml:space="preserve"> &lt;https://www.health.vic.gov.au/data-reporting/health-data-standards-and-systems-hdss-forms&gt;. </w:t>
      </w:r>
      <w:r>
        <w:t>Health services must also submit aggregate data when patient level data is not available.</w:t>
      </w:r>
    </w:p>
    <w:p w14:paraId="66E78EA6" w14:textId="77777777" w:rsidR="00817104" w:rsidRPr="00F959F2" w:rsidRDefault="00817104" w:rsidP="00817104">
      <w:pPr>
        <w:pStyle w:val="Heading4"/>
      </w:pPr>
      <w:r>
        <w:t>Penalties for noncompliance</w:t>
      </w:r>
    </w:p>
    <w:p w14:paraId="5C585ADB" w14:textId="77777777" w:rsidR="00817104" w:rsidRPr="00F959F2" w:rsidRDefault="00817104" w:rsidP="00817104">
      <w:pPr>
        <w:pStyle w:val="Body"/>
      </w:pPr>
      <w:r>
        <w:t>Where health services are noncompliant with the timelines specified above, the department may apply penalties that include:</w:t>
      </w:r>
    </w:p>
    <w:p w14:paraId="44A27A9F" w14:textId="77777777" w:rsidR="00817104" w:rsidRPr="00651A19" w:rsidRDefault="00817104" w:rsidP="00817104">
      <w:pPr>
        <w:pStyle w:val="Bullet1"/>
        <w:numPr>
          <w:ilvl w:val="0"/>
          <w:numId w:val="2"/>
        </w:numPr>
      </w:pPr>
      <w:r>
        <w:t>up to $5,000 per month, if presentations for the first 14 days of the month are not submitted by the timelines specified in Table 8</w:t>
      </w:r>
    </w:p>
    <w:p w14:paraId="2846F14B" w14:textId="77777777" w:rsidR="00817104" w:rsidRPr="00651A19" w:rsidRDefault="00817104" w:rsidP="00817104">
      <w:pPr>
        <w:pStyle w:val="Bullet1"/>
        <w:numPr>
          <w:ilvl w:val="0"/>
          <w:numId w:val="2"/>
        </w:numPr>
      </w:pPr>
      <w:r>
        <w:t>up to $10,000 per month, if presentations for the full month are not submitted by the timelines specified in Table 8</w:t>
      </w:r>
    </w:p>
    <w:p w14:paraId="44A38152" w14:textId="77777777" w:rsidR="00817104" w:rsidRPr="00651A19" w:rsidRDefault="00817104" w:rsidP="00817104">
      <w:pPr>
        <w:pStyle w:val="Bullet1"/>
        <w:numPr>
          <w:ilvl w:val="0"/>
          <w:numId w:val="2"/>
        </w:numPr>
      </w:pPr>
      <w:r>
        <w:t>up to $10,000 per month, if a file with all presentations for the full month contains errors by the timelines specified in Table 8.</w:t>
      </w:r>
    </w:p>
    <w:p w14:paraId="4FA4EDAC" w14:textId="77777777" w:rsidR="00817104" w:rsidRPr="00F959F2" w:rsidRDefault="00817104" w:rsidP="00817104">
      <w:pPr>
        <w:pStyle w:val="Bodyafterbullets"/>
      </w:pPr>
      <w:r>
        <w:lastRenderedPageBreak/>
        <w:t>Data flagged as unfit for reporting and analysis will be regarded as noncompliant and penalties as above may apply.</w:t>
      </w:r>
    </w:p>
    <w:p w14:paraId="053EB2E2" w14:textId="77777777" w:rsidR="00817104" w:rsidRPr="007D5A15" w:rsidRDefault="00817104" w:rsidP="00817104">
      <w:pPr>
        <w:pStyle w:val="Heading4"/>
      </w:pPr>
      <w:r>
        <w:t>Exemptions from penalties</w:t>
      </w:r>
    </w:p>
    <w:p w14:paraId="516141F2" w14:textId="77777777" w:rsidR="00817104" w:rsidRDefault="00817104" w:rsidP="00817104">
      <w:pPr>
        <w:pStyle w:val="Body"/>
      </w:pPr>
      <w:r>
        <w:t>Health services seeking exemption from penalties for late data must notify the department and complete a late data notification form indicating the nature of the difficulties, remedial action being taken and the expected submission date. Exemptions will be granted at the department’s discretion.</w:t>
      </w:r>
    </w:p>
    <w:p w14:paraId="1B2BC373" w14:textId="77777777" w:rsidR="00817104" w:rsidRPr="00F959F2" w:rsidRDefault="00817104" w:rsidP="00817104">
      <w:pPr>
        <w:pStyle w:val="Body"/>
      </w:pPr>
      <w:r>
        <w:t xml:space="preserve">To access the VEMD late data notification form, visit </w:t>
      </w:r>
      <w:hyperlink r:id="rId438" w:history="1">
        <w:r w:rsidRPr="683E52C4">
          <w:rPr>
            <w:rStyle w:val="Hyperlink"/>
          </w:rPr>
          <w:t>HDSS</w:t>
        </w:r>
        <w:bookmarkStart w:id="2768" w:name="_Hlt227143268"/>
        <w:bookmarkStart w:id="2769" w:name="_Hlt227143269"/>
        <w:r w:rsidRPr="683E52C4">
          <w:rPr>
            <w:rStyle w:val="Hyperlink"/>
          </w:rPr>
          <w:t xml:space="preserve"> </w:t>
        </w:r>
        <w:bookmarkEnd w:id="2768"/>
        <w:bookmarkEnd w:id="2769"/>
        <w:r>
          <w:rPr>
            <w:rStyle w:val="Hyperlink"/>
          </w:rPr>
          <w:t>f</w:t>
        </w:r>
        <w:r w:rsidRPr="683E52C4">
          <w:rPr>
            <w:rStyle w:val="Hyperlink"/>
          </w:rPr>
          <w:t>orms</w:t>
        </w:r>
      </w:hyperlink>
      <w:r>
        <w:t xml:space="preserve"> &lt;</w:t>
      </w:r>
      <w:r w:rsidRPr="002D6AE5">
        <w:t>https://www.health.vic.gov.au/data-reporting/health-data-standards-and-systems-hdss-forms</w:t>
      </w:r>
      <w:r>
        <w:t>&gt;. This form must be submitted if a health service cannot meet the reporting deadline.</w:t>
      </w:r>
    </w:p>
    <w:p w14:paraId="78F5C0C8" w14:textId="77777777" w:rsidR="00817104" w:rsidRPr="00F959F2" w:rsidRDefault="00817104" w:rsidP="00817104">
      <w:pPr>
        <w:pStyle w:val="Body"/>
      </w:pPr>
      <w:r>
        <w:t>Requests for an exemption from late penalties will only be considered if received prior to the relevant deadlines, and if the manual aggregate data spreadsheet has been completed by the due date. Extensions or exemptions are not issued in advance. Late submission penalties are assessed after the end-of-year consolidation deadline, considering the health service’s compliance performance for the financial year.</w:t>
      </w:r>
    </w:p>
    <w:p w14:paraId="06F1A6BB" w14:textId="77777777" w:rsidR="00817104" w:rsidRPr="00F959F2" w:rsidRDefault="00817104" w:rsidP="00817104">
      <w:pPr>
        <w:pStyle w:val="Body"/>
      </w:pPr>
      <w:r>
        <w:t xml:space="preserve">For any full-month period that the health service is unable to supply unit record data, the health service is required to submit aggregate data using the manual aggregate data spreadsheet that is available from the </w:t>
      </w:r>
      <w:hyperlink r:id="rId439" w:history="1">
        <w:r w:rsidRPr="00EF5853">
          <w:rPr>
            <w:rStyle w:val="Hyperlink"/>
          </w:rPr>
          <w:t xml:space="preserve">HDSS </w:t>
        </w:r>
        <w:r>
          <w:rPr>
            <w:rStyle w:val="Hyperlink"/>
          </w:rPr>
          <w:t>f</w:t>
        </w:r>
        <w:r w:rsidRPr="00EF5853">
          <w:rPr>
            <w:rStyle w:val="Hyperlink"/>
          </w:rPr>
          <w:t>orms</w:t>
        </w:r>
      </w:hyperlink>
      <w:r>
        <w:t xml:space="preserve"> &lt;https://</w:t>
      </w:r>
      <w:r w:rsidRPr="006E22B9">
        <w:t>www.health.vic.gov.au/data-reporting/health-data-standards-and-systems-hdss-forms</w:t>
      </w:r>
      <w:r>
        <w:t>&gt;.The health service must submit the completed spreadsheet by the tenth of the month.</w:t>
      </w:r>
    </w:p>
    <w:p w14:paraId="7F9600F6" w14:textId="77777777" w:rsidR="00817104" w:rsidRPr="00F959F2" w:rsidRDefault="00817104" w:rsidP="00817104">
      <w:pPr>
        <w:pStyle w:val="Body"/>
      </w:pPr>
      <w:r>
        <w:t>Failure to complete the manual aggregate data spreadsheet by the due date may result in late submission penalties.</w:t>
      </w:r>
    </w:p>
    <w:p w14:paraId="38AFE3F0" w14:textId="77777777" w:rsidR="00817104" w:rsidRPr="007D5A15" w:rsidRDefault="00817104" w:rsidP="00817104">
      <w:pPr>
        <w:pStyle w:val="Heading4"/>
      </w:pPr>
      <w:r>
        <w:t>Software upgrades and migrations</w:t>
      </w:r>
    </w:p>
    <w:p w14:paraId="4EC850B8" w14:textId="77777777" w:rsidR="00817104" w:rsidRPr="00D537EB" w:rsidRDefault="00817104" w:rsidP="00817104">
      <w:pPr>
        <w:pStyle w:val="Body"/>
      </w:pPr>
      <w:r>
        <w:t xml:space="preserve">Health services are required to notify the department by emailing the </w:t>
      </w:r>
      <w:hyperlink r:id="rId440">
        <w:r w:rsidRPr="00FD6449">
          <w:rPr>
            <w:rStyle w:val="Hyperlink"/>
          </w:rPr>
          <w:t>HDSS helpdesk</w:t>
        </w:r>
      </w:hyperlink>
      <w:r>
        <w:t xml:space="preserve"> &lt;</w:t>
      </w:r>
      <w:r w:rsidRPr="00AD11D3">
        <w:t>hdss.helpdes</w:t>
      </w:r>
      <w:r>
        <w:t>k</w:t>
      </w:r>
      <w:r w:rsidRPr="00AD11D3">
        <w:t>@health.vic.gov.au</w:t>
      </w:r>
      <w:r>
        <w:t xml:space="preserve">&gt; as soon as a decision is made to implement new software applications that will affect VEMD reporting. </w:t>
      </w:r>
    </w:p>
    <w:p w14:paraId="75CD7736" w14:textId="77777777" w:rsidR="00817104" w:rsidRPr="00497ACD" w:rsidRDefault="00817104" w:rsidP="00817104">
      <w:pPr>
        <w:pStyle w:val="Body"/>
      </w:pPr>
      <w:r>
        <w:t>Multiple health services often implement new software at the same time, and the department is frequently asked for advice on data migration, to support testing and so forth. To ensure the department can provide sufficient support, early notification is appreciated. Please advise the software being changed, whether it is a PAS or an EMR, the data collections involved, migration plans, go-live dates and the main health service contacts.</w:t>
      </w:r>
    </w:p>
    <w:p w14:paraId="666340AF" w14:textId="77777777" w:rsidR="00817104" w:rsidRPr="00F959F2" w:rsidRDefault="00817104" w:rsidP="00817104">
      <w:pPr>
        <w:pStyle w:val="Body"/>
        <w:rPr>
          <w:rFonts w:eastAsia="Arial" w:cs="Arial"/>
          <w:color w:val="000000" w:themeColor="text1"/>
        </w:rPr>
      </w:pPr>
      <w:r>
        <w:t>Health services undertaking software migrations must undertake VEMD data submission testing before resuming live VEMD data submission. Health services will be exempt from late data submission penalties for an agreed period of up to two months, provided the manual aggregate data spreadsheet is completed on time.</w:t>
      </w:r>
    </w:p>
    <w:p w14:paraId="08B57356" w14:textId="77777777" w:rsidR="00817104" w:rsidRDefault="00817104" w:rsidP="00817104">
      <w:pPr>
        <w:pStyle w:val="Body"/>
      </w:pPr>
      <w:r>
        <w:t>Health services undertaking software upgrades will be exempt from late data submission penalties for one month, provided the manual aggregate data spreadsheet is completed on time.</w:t>
      </w:r>
    </w:p>
    <w:p w14:paraId="34166416" w14:textId="705F6F8F" w:rsidR="00817104" w:rsidRPr="00A91956" w:rsidRDefault="00A91956" w:rsidP="00A91956">
      <w:pPr>
        <w:pStyle w:val="Heading3"/>
      </w:pPr>
      <w:r w:rsidRPr="00A91956">
        <w:t>Elective Surgery Information System (</w:t>
      </w:r>
      <w:r w:rsidR="00817104" w:rsidRPr="00A91956">
        <w:t>ESIS</w:t>
      </w:r>
      <w:r w:rsidRPr="00A91956">
        <w:t>)</w:t>
      </w:r>
    </w:p>
    <w:p w14:paraId="5A0A8286" w14:textId="77777777" w:rsidR="00817104" w:rsidRPr="00254F07" w:rsidRDefault="00817104" w:rsidP="00817104">
      <w:pPr>
        <w:pStyle w:val="Body"/>
      </w:pPr>
      <w:r>
        <w:t>The ESIS is a patient-level collection of planned (elective) surgery waiting list data from approved Victorian public healthcare services.</w:t>
      </w:r>
    </w:p>
    <w:p w14:paraId="603E230C" w14:textId="77777777" w:rsidR="00817104" w:rsidRPr="00254F07" w:rsidRDefault="00817104" w:rsidP="00817104">
      <w:pPr>
        <w:pStyle w:val="Body"/>
      </w:pPr>
      <w:r>
        <w:t xml:space="preserve">For more information and to download the ESIS manual, visit </w:t>
      </w:r>
      <w:hyperlink r:id="rId441" w:history="1">
        <w:r w:rsidRPr="0074683F">
          <w:rPr>
            <w:rStyle w:val="Hyperlink"/>
          </w:rPr>
          <w:t>ESIS</w:t>
        </w:r>
      </w:hyperlink>
      <w:r>
        <w:t xml:space="preserve"> &lt;https://www.health.vic.gov.au/data-reporting/elective-surgery-information-system-esis&gt;. </w:t>
      </w:r>
    </w:p>
    <w:p w14:paraId="4AD3716E" w14:textId="77777777" w:rsidR="00817104" w:rsidRPr="00254F07" w:rsidRDefault="00817104" w:rsidP="00817104">
      <w:pPr>
        <w:pStyle w:val="Body"/>
      </w:pPr>
      <w:r>
        <w:lastRenderedPageBreak/>
        <w:t>The department publishes the ESIS manual on the HDSS website to provide clarity on reporting requirements for health services and information for data users.</w:t>
      </w:r>
    </w:p>
    <w:p w14:paraId="2CB35C48" w14:textId="77777777" w:rsidR="00817104" w:rsidRPr="0011079D" w:rsidRDefault="00817104" w:rsidP="00817104">
      <w:pPr>
        <w:pStyle w:val="Body"/>
      </w:pPr>
      <w:r>
        <w:t>Health services are expected to audit and reconcile their ESIS data regularly throughout the year.</w:t>
      </w:r>
    </w:p>
    <w:p w14:paraId="77E80F65" w14:textId="77777777" w:rsidR="00817104" w:rsidRPr="007D5A15" w:rsidRDefault="00817104" w:rsidP="00817104">
      <w:pPr>
        <w:pStyle w:val="Heading4"/>
      </w:pPr>
      <w:r>
        <w:t>Submission guidelines</w:t>
      </w:r>
    </w:p>
    <w:p w14:paraId="1CA37C58" w14:textId="77777777" w:rsidR="00817104" w:rsidRDefault="00817104" w:rsidP="00817104">
      <w:pPr>
        <w:pStyle w:val="Body"/>
      </w:pPr>
      <w:r>
        <w:t>Public health services reporting to the ESIS must adhere to the minimum submission timelines in Table 9.</w:t>
      </w:r>
    </w:p>
    <w:p w14:paraId="46E6101D" w14:textId="77777777" w:rsidR="00817104" w:rsidRDefault="00817104" w:rsidP="00817104">
      <w:pPr>
        <w:pStyle w:val="Tablecaption"/>
      </w:pPr>
      <w:r>
        <w:t xml:space="preserve">Table </w:t>
      </w:r>
      <w:r>
        <w:fldChar w:fldCharType="begin"/>
      </w:r>
      <w:r>
        <w:instrText>SEQ Table \* ARABIC</w:instrText>
      </w:r>
      <w:r>
        <w:fldChar w:fldCharType="separate"/>
      </w:r>
      <w:r>
        <w:rPr>
          <w:noProof/>
        </w:rPr>
        <w:t>9</w:t>
      </w:r>
      <w:r>
        <w:fldChar w:fldCharType="end"/>
      </w:r>
      <w:r>
        <w:t xml:space="preserve">. </w:t>
      </w:r>
      <w:r w:rsidRPr="008A75CD">
        <w:t>ESIS timelines</w:t>
      </w:r>
    </w:p>
    <w:tbl>
      <w:tblPr>
        <w:tblStyle w:val="GridTable4-Accent1"/>
        <w:tblW w:w="5000" w:type="pct"/>
        <w:tblLook w:val="04A0" w:firstRow="1" w:lastRow="0" w:firstColumn="1" w:lastColumn="0" w:noHBand="0" w:noVBand="1"/>
      </w:tblPr>
      <w:tblGrid>
        <w:gridCol w:w="4100"/>
        <w:gridCol w:w="5188"/>
      </w:tblGrid>
      <w:tr w:rsidR="00817104" w:rsidRPr="00545F74" w14:paraId="2CAA913D" w14:textId="77777777" w:rsidTr="003649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07" w:type="pct"/>
          </w:tcPr>
          <w:p w14:paraId="030501B4" w14:textId="77777777" w:rsidR="00817104" w:rsidRPr="00C048AB" w:rsidRDefault="00817104" w:rsidP="00785A21">
            <w:pPr>
              <w:pStyle w:val="Tablecolhead"/>
              <w:rPr>
                <w:b/>
                <w:bCs w:val="0"/>
                <w:color w:val="FFFFFF" w:themeColor="background1"/>
                <w:sz w:val="18"/>
                <w:szCs w:val="18"/>
              </w:rPr>
            </w:pPr>
            <w:r w:rsidRPr="00C048AB">
              <w:rPr>
                <w:b/>
                <w:bCs w:val="0"/>
                <w:color w:val="FFFFFF" w:themeColor="background1"/>
                <w:sz w:val="18"/>
                <w:szCs w:val="18"/>
              </w:rPr>
              <w:t>ESIS</w:t>
            </w:r>
          </w:p>
        </w:tc>
        <w:tc>
          <w:tcPr>
            <w:tcW w:w="2793" w:type="pct"/>
          </w:tcPr>
          <w:p w14:paraId="721F0FB5" w14:textId="77777777" w:rsidR="00817104" w:rsidRPr="00C048AB"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048AB">
              <w:rPr>
                <w:b/>
                <w:bCs w:val="0"/>
                <w:color w:val="FFFFFF" w:themeColor="background1"/>
                <w:sz w:val="18"/>
                <w:szCs w:val="18"/>
              </w:rPr>
              <w:t>Timeline</w:t>
            </w:r>
          </w:p>
        </w:tc>
      </w:tr>
      <w:tr w:rsidR="00817104" w:rsidRPr="006F4111" w14:paraId="751CB40B" w14:textId="77777777" w:rsidTr="00364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pct"/>
          </w:tcPr>
          <w:p w14:paraId="26928CBB" w14:textId="77777777" w:rsidR="00817104" w:rsidRPr="00D118DB" w:rsidRDefault="00817104">
            <w:pPr>
              <w:pStyle w:val="Tabletext"/>
              <w:rPr>
                <w:b w:val="0"/>
                <w:bCs w:val="0"/>
              </w:rPr>
            </w:pPr>
            <w:r w:rsidRPr="00D118DB">
              <w:rPr>
                <w:b w:val="0"/>
                <w:bCs w:val="0"/>
              </w:rPr>
              <w:t>All activity (registrations, removals, readiness, urgency and scheduling events) for the first 15 days of the month</w:t>
            </w:r>
          </w:p>
        </w:tc>
        <w:tc>
          <w:tcPr>
            <w:tcW w:w="2793" w:type="pct"/>
          </w:tcPr>
          <w:p w14:paraId="5F2DA4EB" w14:textId="77777777" w:rsidR="00817104" w:rsidRPr="007D5A15" w:rsidRDefault="00817104">
            <w:pPr>
              <w:pStyle w:val="Tabletext"/>
              <w:cnfStyle w:val="000000100000" w:firstRow="0" w:lastRow="0" w:firstColumn="0" w:lastColumn="0" w:oddVBand="0" w:evenVBand="0" w:oddHBand="1" w:evenHBand="0" w:firstRowFirstColumn="0" w:firstRowLastColumn="0" w:lastRowFirstColumn="0" w:lastRowLastColumn="0"/>
            </w:pPr>
            <w:r w:rsidRPr="007D5A15">
              <w:t xml:space="preserve">Must be submitted by 5 pm on the </w:t>
            </w:r>
            <w:r>
              <w:t>third</w:t>
            </w:r>
            <w:r w:rsidRPr="007D5A15">
              <w:t xml:space="preserve"> business day after the fifteenth of the reporting month</w:t>
            </w:r>
          </w:p>
        </w:tc>
      </w:tr>
      <w:tr w:rsidR="00817104" w:rsidRPr="006F4111" w14:paraId="4156ADCE" w14:textId="77777777" w:rsidTr="003649B7">
        <w:tc>
          <w:tcPr>
            <w:cnfStyle w:val="001000000000" w:firstRow="0" w:lastRow="0" w:firstColumn="1" w:lastColumn="0" w:oddVBand="0" w:evenVBand="0" w:oddHBand="0" w:evenHBand="0" w:firstRowFirstColumn="0" w:firstRowLastColumn="0" w:lastRowFirstColumn="0" w:lastRowLastColumn="0"/>
            <w:tcW w:w="2207" w:type="pct"/>
          </w:tcPr>
          <w:p w14:paraId="693400AE" w14:textId="77777777" w:rsidR="00817104" w:rsidRPr="00D118DB" w:rsidRDefault="00817104">
            <w:pPr>
              <w:pStyle w:val="Tabletext"/>
              <w:rPr>
                <w:b w:val="0"/>
                <w:bCs w:val="0"/>
              </w:rPr>
            </w:pPr>
            <w:r w:rsidRPr="00D118DB">
              <w:rPr>
                <w:b w:val="0"/>
                <w:bCs w:val="0"/>
              </w:rPr>
              <w:t>All activity (registrations, removals, readiness, urgency and scheduling events) for the remaining days of the month (sixteenth and subsequent)</w:t>
            </w:r>
          </w:p>
        </w:tc>
        <w:tc>
          <w:tcPr>
            <w:tcW w:w="2793" w:type="pct"/>
          </w:tcPr>
          <w:p w14:paraId="0B0B08A1" w14:textId="77777777" w:rsidR="00817104" w:rsidRPr="007D5A15" w:rsidRDefault="00817104">
            <w:pPr>
              <w:pStyle w:val="Tabletext"/>
              <w:cnfStyle w:val="000000000000" w:firstRow="0" w:lastRow="0" w:firstColumn="0" w:lastColumn="0" w:oddVBand="0" w:evenVBand="0" w:oddHBand="0" w:evenHBand="0" w:firstRowFirstColumn="0" w:firstRowLastColumn="0" w:lastRowFirstColumn="0" w:lastRowLastColumn="0"/>
            </w:pPr>
            <w:r w:rsidRPr="007D5A15">
              <w:t xml:space="preserve">Must be submitted by 5 pm on the </w:t>
            </w:r>
            <w:r>
              <w:t>third</w:t>
            </w:r>
            <w:r w:rsidRPr="007D5A15">
              <w:t xml:space="preserve"> business day of the following month</w:t>
            </w:r>
          </w:p>
        </w:tc>
      </w:tr>
      <w:tr w:rsidR="00817104" w:rsidRPr="006F4111" w14:paraId="70F5A919" w14:textId="77777777" w:rsidTr="00364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pct"/>
          </w:tcPr>
          <w:p w14:paraId="35567CD9" w14:textId="77777777" w:rsidR="00817104" w:rsidRPr="00D118DB" w:rsidRDefault="00817104">
            <w:pPr>
              <w:pStyle w:val="Tabletext"/>
              <w:rPr>
                <w:b w:val="0"/>
                <w:bCs w:val="0"/>
              </w:rPr>
            </w:pPr>
            <w:r w:rsidRPr="00D118DB">
              <w:rPr>
                <w:b w:val="0"/>
                <w:bCs w:val="0"/>
              </w:rPr>
              <w:t>All activity for the full month without errors</w:t>
            </w:r>
          </w:p>
        </w:tc>
        <w:tc>
          <w:tcPr>
            <w:tcW w:w="2793" w:type="pct"/>
          </w:tcPr>
          <w:p w14:paraId="52004F79" w14:textId="77777777" w:rsidR="00817104" w:rsidRPr="007D5A15" w:rsidRDefault="00817104">
            <w:pPr>
              <w:pStyle w:val="Tabletext"/>
              <w:cnfStyle w:val="000000100000" w:firstRow="0" w:lastRow="0" w:firstColumn="0" w:lastColumn="0" w:oddVBand="0" w:evenVBand="0" w:oddHBand="1" w:evenHBand="0" w:firstRowFirstColumn="0" w:firstRowLastColumn="0" w:lastRowFirstColumn="0" w:lastRowLastColumn="0"/>
            </w:pPr>
            <w:r w:rsidRPr="007D5A15">
              <w:t xml:space="preserve">Must be complete and correct – that is, zero rejections, notifiable or correction edits – by the </w:t>
            </w:r>
            <w:r>
              <w:t>fourteenth</w:t>
            </w:r>
            <w:r w:rsidRPr="007D5A15">
              <w:t xml:space="preserve"> day of the following month, or the prior business day</w:t>
            </w:r>
            <w:r>
              <w:t xml:space="preserve"> if the tenth day is a weekend or public holiday</w:t>
            </w:r>
          </w:p>
        </w:tc>
      </w:tr>
    </w:tbl>
    <w:p w14:paraId="06E8AFE4" w14:textId="24A4E70C" w:rsidR="001835E4" w:rsidRDefault="00817104" w:rsidP="001835E4">
      <w:pPr>
        <w:pStyle w:val="Body"/>
      </w:pPr>
      <w:r>
        <w:t xml:space="preserve">Any corrections to </w:t>
      </w:r>
      <w:r w:rsidRPr="38BB358C">
        <w:rPr>
          <w:rFonts w:cs="Calibri"/>
        </w:rPr>
        <w:t>2026–27</w:t>
      </w:r>
      <w:r w:rsidRPr="0670E279">
        <w:rPr>
          <w:rFonts w:cs="Calibri"/>
        </w:rPr>
        <w:t xml:space="preserve"> </w:t>
      </w:r>
      <w:r>
        <w:t xml:space="preserve">data </w:t>
      </w:r>
      <w:r w:rsidRPr="007D5A15">
        <w:t>must</w:t>
      </w:r>
      <w:r>
        <w:t xml:space="preserve"> be submitted before final consolidation of the ESIS database on 24 August 2027.</w:t>
      </w:r>
      <w:r w:rsidR="001835E4" w:rsidRPr="001835E4">
        <w:t xml:space="preserve"> </w:t>
      </w:r>
      <w:r w:rsidR="001835E4">
        <w:t>Where health services are noncompliant with the timelines specified, the department will not be able to include the data in quarterly reporting to the Independent Health and Aged Care Pricing Authority (IHACPA), performance reporting, and public reporting. Activity data not successfully submitted to the department by the consolidation date will not receive funding and may not be counted towards activity targets.</w:t>
      </w:r>
    </w:p>
    <w:p w14:paraId="27B07C52" w14:textId="3CBE42AC" w:rsidR="001835E4" w:rsidRDefault="001835E4" w:rsidP="001835E4">
      <w:pPr>
        <w:pStyle w:val="Body"/>
      </w:pPr>
      <w:r>
        <w:t xml:space="preserve">Health services seeking late data exemption must notify the department by the submission date and complete a late data notification form indicating the nature of the difficulties, remedial action being taken and the expected submission date. </w:t>
      </w:r>
      <w:r w:rsidR="00AB2752">
        <w:t xml:space="preserve">To access the </w:t>
      </w:r>
      <w:r w:rsidR="00C6503B">
        <w:t>ESIS</w:t>
      </w:r>
      <w:r w:rsidR="00AB2752">
        <w:t xml:space="preserve"> late data notification form, visit </w:t>
      </w:r>
      <w:hyperlink r:id="rId442" w:history="1">
        <w:r w:rsidR="00AB2752" w:rsidRPr="67CD79BB">
          <w:rPr>
            <w:rStyle w:val="Hyperlink"/>
          </w:rPr>
          <w:t xml:space="preserve">HDSS </w:t>
        </w:r>
        <w:r w:rsidR="00AB2752">
          <w:rPr>
            <w:rStyle w:val="Hyperlink"/>
          </w:rPr>
          <w:t>f</w:t>
        </w:r>
        <w:r w:rsidR="00AB2752" w:rsidRPr="67CD79BB">
          <w:rPr>
            <w:rStyle w:val="Hyperlink"/>
          </w:rPr>
          <w:t>orms</w:t>
        </w:r>
      </w:hyperlink>
      <w:r w:rsidR="00AB2752">
        <w:t xml:space="preserve"> &lt;https://www.health.vic.gov.au/data-reporting/health-data-standards-and-systems-hdss-forms&gt;. </w:t>
      </w:r>
      <w:r w:rsidR="00C6503B">
        <w:t xml:space="preserve"> </w:t>
      </w:r>
      <w:r>
        <w:t>Health services must also submit aggregate data when patient level data is not available.</w:t>
      </w:r>
    </w:p>
    <w:p w14:paraId="1213F782" w14:textId="77777777" w:rsidR="00817104" w:rsidRPr="006F4111" w:rsidRDefault="00817104" w:rsidP="00817104">
      <w:pPr>
        <w:pStyle w:val="Heading4"/>
      </w:pPr>
      <w:r>
        <w:t xml:space="preserve">Penalties for </w:t>
      </w:r>
      <w:r w:rsidRPr="007D5A15">
        <w:t>noncompliance</w:t>
      </w:r>
    </w:p>
    <w:p w14:paraId="230AF5EB" w14:textId="77777777" w:rsidR="00817104" w:rsidRPr="006F4111" w:rsidRDefault="00817104" w:rsidP="00817104">
      <w:pPr>
        <w:pStyle w:val="Body"/>
      </w:pPr>
      <w:r>
        <w:t>Where health services are noncompliant with the timelines specified above, the department may apply a penalty of:</w:t>
      </w:r>
    </w:p>
    <w:p w14:paraId="7688FAFB" w14:textId="77777777" w:rsidR="00817104" w:rsidRPr="003D11BA" w:rsidRDefault="00817104" w:rsidP="00817104">
      <w:pPr>
        <w:pStyle w:val="Bullet1"/>
        <w:numPr>
          <w:ilvl w:val="0"/>
          <w:numId w:val="2"/>
        </w:numPr>
      </w:pPr>
      <w:r>
        <w:t>up to $5,000 per month, if episodes for the first 15 days are not submitted by the timelines specified in Table 9</w:t>
      </w:r>
    </w:p>
    <w:p w14:paraId="00115B62" w14:textId="77777777" w:rsidR="00817104" w:rsidRPr="003D11BA" w:rsidRDefault="00817104" w:rsidP="00817104">
      <w:pPr>
        <w:pStyle w:val="Bullet1"/>
        <w:numPr>
          <w:ilvl w:val="0"/>
          <w:numId w:val="2"/>
        </w:numPr>
      </w:pPr>
      <w:r>
        <w:t>u</w:t>
      </w:r>
      <w:r>
        <w:fldChar w:fldCharType="begin"/>
      </w:r>
      <w:r>
        <w:instrText xml:space="preserve"> REF _Ref40718281 \h  \* MERGEFORMAT </w:instrText>
      </w:r>
      <w:r>
        <w:fldChar w:fldCharType="separate"/>
      </w:r>
      <w:r>
        <w:fldChar w:fldCharType="end"/>
      </w:r>
      <w:r>
        <w:t xml:space="preserve">p to $10,000, if episodes for the full month are not submitted by the timelines specified in Table 9 </w:t>
      </w:r>
    </w:p>
    <w:p w14:paraId="34EB7D2B" w14:textId="77777777" w:rsidR="00817104" w:rsidRPr="003D11BA" w:rsidRDefault="00817104" w:rsidP="00817104">
      <w:pPr>
        <w:pStyle w:val="Bullet1"/>
        <w:numPr>
          <w:ilvl w:val="0"/>
          <w:numId w:val="2"/>
        </w:numPr>
      </w:pPr>
      <w:r>
        <w:t>up to $10,000, if a file with all episodes for the full month contains errors by the timelines specified in Table 9.</w:t>
      </w:r>
    </w:p>
    <w:p w14:paraId="492DA7CC" w14:textId="77777777" w:rsidR="00817104" w:rsidRPr="006F4111" w:rsidRDefault="00817104" w:rsidP="00817104">
      <w:pPr>
        <w:pStyle w:val="Bodyafterbullets"/>
      </w:pPr>
      <w:r>
        <w:t>Data that is flagged as unfit for reporting and analysis will be regarded as noncompliant and penalties as above may apply.</w:t>
      </w:r>
    </w:p>
    <w:p w14:paraId="778B2807" w14:textId="77777777" w:rsidR="00817104" w:rsidRPr="007D5A15" w:rsidRDefault="00817104" w:rsidP="00817104">
      <w:pPr>
        <w:pStyle w:val="Heading4"/>
      </w:pPr>
      <w:r>
        <w:lastRenderedPageBreak/>
        <w:t>Exemptions from penalties</w:t>
      </w:r>
    </w:p>
    <w:p w14:paraId="308B9C77" w14:textId="77777777" w:rsidR="00817104" w:rsidRDefault="00817104" w:rsidP="00817104">
      <w:pPr>
        <w:pStyle w:val="Body"/>
      </w:pPr>
      <w:r>
        <w:t>Health services seeking exemption from penalties for late data must notify the department and complete a late data notification form indicating the nature of the difficulties, remedial action being taken and the expected submission date. Exemptions will be granted at the department’s discretion.</w:t>
      </w:r>
    </w:p>
    <w:p w14:paraId="76FE47E3" w14:textId="77777777" w:rsidR="00817104" w:rsidRPr="006F4111" w:rsidRDefault="00817104" w:rsidP="00817104">
      <w:pPr>
        <w:pStyle w:val="Body"/>
      </w:pPr>
      <w:r>
        <w:t xml:space="preserve">To access the ESIS late data notification form, visit </w:t>
      </w:r>
      <w:hyperlink r:id="rId443" w:history="1">
        <w:r w:rsidRPr="02760366">
          <w:rPr>
            <w:rStyle w:val="Hyperlink"/>
          </w:rPr>
          <w:t xml:space="preserve">HDSS </w:t>
        </w:r>
        <w:r>
          <w:rPr>
            <w:rStyle w:val="Hyperlink"/>
          </w:rPr>
          <w:t>f</w:t>
        </w:r>
        <w:r w:rsidRPr="02760366">
          <w:rPr>
            <w:rStyle w:val="Hyperlink"/>
          </w:rPr>
          <w:t>orms</w:t>
        </w:r>
      </w:hyperlink>
      <w:r>
        <w:t xml:space="preserve"> &lt;https://www.health.vic.gov.au/data-reporting/health-data-standards-and-systems-hdss-forms&gt;. This form must be submitted if a health service cannot meet the reporting deadline.</w:t>
      </w:r>
    </w:p>
    <w:p w14:paraId="1418B452" w14:textId="77777777" w:rsidR="00817104" w:rsidRDefault="00817104" w:rsidP="00817104">
      <w:pPr>
        <w:pStyle w:val="Body"/>
      </w:pPr>
      <w:r>
        <w:t xml:space="preserve">Requests for an exemption from late penalties will only be considered if received prior to the relevant deadlines, and if the manual aggregate data spreadsheet is completed by the due date. Extensions or exemptions are not issued in advance. Late submission penalties are assessed after the end-of-year consolidation deadline, considering the health service’s compliance performance for the financial year. </w:t>
      </w:r>
    </w:p>
    <w:p w14:paraId="12CA7426" w14:textId="77777777" w:rsidR="00817104" w:rsidRDefault="00817104" w:rsidP="00817104">
      <w:pPr>
        <w:pStyle w:val="Body"/>
      </w:pPr>
      <w:r>
        <w:t>For any full-month period that the health service is unable to supply unit record data, the health service is required to submit aggregate data using the manual aggregate data spreadsheet. The health service must submit the completed spreadsheet by the fourteenth of the month.</w:t>
      </w:r>
    </w:p>
    <w:p w14:paraId="7BD69EC8" w14:textId="77777777" w:rsidR="00817104" w:rsidRPr="006F4111" w:rsidRDefault="00817104" w:rsidP="00817104">
      <w:pPr>
        <w:pStyle w:val="Body"/>
      </w:pPr>
      <w:r>
        <w:t>Failure to complete the manual aggregate data spreadsheet by the due date may result in late submission penalties.</w:t>
      </w:r>
    </w:p>
    <w:p w14:paraId="73965BB5" w14:textId="77777777" w:rsidR="00817104" w:rsidRPr="006F4111" w:rsidRDefault="00817104" w:rsidP="00817104">
      <w:pPr>
        <w:pStyle w:val="Body"/>
      </w:pPr>
      <w:r>
        <w:t xml:space="preserve">To access the spreadsheet, visit </w:t>
      </w:r>
      <w:hyperlink r:id="rId444" w:history="1">
        <w:r w:rsidRPr="7BA20103">
          <w:rPr>
            <w:rStyle w:val="Hyperlink"/>
          </w:rPr>
          <w:t xml:space="preserve">HDSS </w:t>
        </w:r>
        <w:r>
          <w:rPr>
            <w:rStyle w:val="Hyperlink"/>
          </w:rPr>
          <w:t>f</w:t>
        </w:r>
        <w:r w:rsidRPr="7BA20103">
          <w:rPr>
            <w:rStyle w:val="Hyperlink"/>
          </w:rPr>
          <w:t>orms</w:t>
        </w:r>
      </w:hyperlink>
      <w:r>
        <w:t xml:space="preserve"> &lt;https://www.health.vic.gov.au/data-reporting/health-data-standards-and-systems-hdss-forms&gt;.</w:t>
      </w:r>
    </w:p>
    <w:p w14:paraId="6A493519" w14:textId="77777777" w:rsidR="00817104" w:rsidRPr="007D5A15" w:rsidRDefault="00817104" w:rsidP="00817104">
      <w:pPr>
        <w:pStyle w:val="Heading4"/>
      </w:pPr>
      <w:r>
        <w:t>Software upgrades and migrations</w:t>
      </w:r>
    </w:p>
    <w:p w14:paraId="1586F426" w14:textId="3D239C83" w:rsidR="00817104" w:rsidRDefault="00817104" w:rsidP="00817104">
      <w:pPr>
        <w:pStyle w:val="Body"/>
      </w:pPr>
      <w:r>
        <w:t xml:space="preserve">Health services are required to notify the department by email to the </w:t>
      </w:r>
      <w:hyperlink r:id="rId445">
        <w:r w:rsidRPr="0670E279">
          <w:rPr>
            <w:rStyle w:val="Hyperlink"/>
          </w:rPr>
          <w:t>HDSS helpdesk</w:t>
        </w:r>
      </w:hyperlink>
      <w:r>
        <w:t xml:space="preserve"> </w:t>
      </w:r>
      <w:hyperlink r:id="rId446">
        <w:r>
          <w:t>&lt;hdss.helpdesk@health.vic.gov.au</w:t>
        </w:r>
      </w:hyperlink>
      <w:r>
        <w:t xml:space="preserve">&gt; as soon as a decision is made to implement new software applications that will affect ESIS reporting. </w:t>
      </w:r>
    </w:p>
    <w:p w14:paraId="75511724" w14:textId="77777777" w:rsidR="00817104" w:rsidRDefault="00817104" w:rsidP="00817104">
      <w:pPr>
        <w:pStyle w:val="Body"/>
      </w:pPr>
      <w:r>
        <w:t>Multiple health services often implement new software at the same time, and the department is frequently asked for advice on data migration, to support testing and so forth. To ensure the department can provide sufficient support, early notification is appreciated. Please advise the software being changed, whether it is a PAS or an EMR, the data collections involved, migration plans, go-live dates and the main health service contacts.</w:t>
      </w:r>
    </w:p>
    <w:p w14:paraId="42F1A8E7" w14:textId="77777777" w:rsidR="00817104" w:rsidRPr="006F4111" w:rsidRDefault="00817104" w:rsidP="00817104">
      <w:pPr>
        <w:pStyle w:val="Body"/>
        <w:rPr>
          <w:rFonts w:eastAsia="Arial" w:cs="Arial"/>
          <w:color w:val="000000" w:themeColor="text1"/>
        </w:rPr>
      </w:pPr>
      <w:r>
        <w:t>Health services undertaking software migrations must undertake ESIS data submission testing before resuming live ESIS data submission. Health services undertaking software migrations will be exempt from late data submission penalties for an agreed period of up to two months, provided the manual aggregate data spreadsheet is completed on time.</w:t>
      </w:r>
    </w:p>
    <w:p w14:paraId="4BE98441" w14:textId="77777777" w:rsidR="00817104" w:rsidRPr="006F4111" w:rsidRDefault="00817104" w:rsidP="00817104">
      <w:pPr>
        <w:pStyle w:val="Body"/>
      </w:pPr>
      <w:r>
        <w:t>Health services undertaking software upgrades will be exempt from late data submission penalties for one month, provided the manual aggregate data spreadsheet is completed on time.</w:t>
      </w:r>
    </w:p>
    <w:p w14:paraId="58837F63" w14:textId="0DC2A6FB" w:rsidR="00817104" w:rsidRDefault="00817104" w:rsidP="00817104">
      <w:pPr>
        <w:pStyle w:val="Heading3"/>
      </w:pPr>
      <w:r>
        <w:t>VINAH MDS</w:t>
      </w:r>
    </w:p>
    <w:p w14:paraId="47BAE7A2" w14:textId="77777777" w:rsidR="00817104" w:rsidRDefault="00817104" w:rsidP="00817104">
      <w:pPr>
        <w:pStyle w:val="Body"/>
      </w:pPr>
      <w:r>
        <w:t>The VINAH MDS is a patient-level reporting system that is built around a generic framework suitable for reporting a wide range of non-admitted patient-level data.</w:t>
      </w:r>
    </w:p>
    <w:p w14:paraId="6855168E" w14:textId="77777777" w:rsidR="00817104" w:rsidRDefault="00817104" w:rsidP="00817104">
      <w:pPr>
        <w:pStyle w:val="Body"/>
      </w:pPr>
      <w:r>
        <w:t>Organisations that receive funding under any of the following programs must transmit valid and complete data to the VINAH MDS, including:</w:t>
      </w:r>
    </w:p>
    <w:p w14:paraId="234F2439" w14:textId="77777777" w:rsidR="00817104" w:rsidRPr="007D5A15" w:rsidRDefault="00817104" w:rsidP="00817104">
      <w:pPr>
        <w:pStyle w:val="Bullet1"/>
        <w:numPr>
          <w:ilvl w:val="0"/>
          <w:numId w:val="2"/>
        </w:numPr>
      </w:pPr>
      <w:r w:rsidRPr="007D5A15">
        <w:t>complex care</w:t>
      </w:r>
    </w:p>
    <w:p w14:paraId="2E2D61FE" w14:textId="77777777" w:rsidR="00817104" w:rsidRPr="007D5A15" w:rsidRDefault="00817104" w:rsidP="00817104">
      <w:pPr>
        <w:pStyle w:val="Bullet1"/>
        <w:numPr>
          <w:ilvl w:val="0"/>
          <w:numId w:val="2"/>
        </w:numPr>
      </w:pPr>
      <w:r w:rsidRPr="004B3786">
        <w:t>early parenting centres</w:t>
      </w:r>
    </w:p>
    <w:p w14:paraId="1E152B76" w14:textId="77777777" w:rsidR="00817104" w:rsidRPr="007D5A15" w:rsidRDefault="00817104" w:rsidP="00817104">
      <w:pPr>
        <w:pStyle w:val="Bullet1"/>
        <w:numPr>
          <w:ilvl w:val="0"/>
          <w:numId w:val="2"/>
        </w:numPr>
      </w:pPr>
      <w:r w:rsidRPr="007D5A15">
        <w:t>health independence program</w:t>
      </w:r>
    </w:p>
    <w:p w14:paraId="2D310DB5" w14:textId="77777777" w:rsidR="00817104" w:rsidRDefault="00817104" w:rsidP="00817104">
      <w:pPr>
        <w:pStyle w:val="Bullet1"/>
        <w:numPr>
          <w:ilvl w:val="0"/>
          <w:numId w:val="2"/>
        </w:numPr>
      </w:pPr>
      <w:r>
        <w:lastRenderedPageBreak/>
        <w:t>infusion therapy</w:t>
      </w:r>
    </w:p>
    <w:p w14:paraId="4DE7A94D" w14:textId="77777777" w:rsidR="00817104" w:rsidRPr="007D5A15" w:rsidRDefault="00817104" w:rsidP="00817104">
      <w:pPr>
        <w:pStyle w:val="Bullet1"/>
        <w:numPr>
          <w:ilvl w:val="0"/>
          <w:numId w:val="2"/>
        </w:numPr>
      </w:pPr>
      <w:r w:rsidRPr="007D5A15">
        <w:t>subacute ambulatory care services</w:t>
      </w:r>
    </w:p>
    <w:p w14:paraId="4B56D2ED" w14:textId="77777777" w:rsidR="00817104" w:rsidRPr="004962CD" w:rsidRDefault="00817104" w:rsidP="00817104">
      <w:pPr>
        <w:pStyle w:val="Bullet1"/>
        <w:numPr>
          <w:ilvl w:val="0"/>
          <w:numId w:val="2"/>
        </w:numPr>
      </w:pPr>
      <w:r>
        <w:t>hospital admission risk program</w:t>
      </w:r>
    </w:p>
    <w:p w14:paraId="5CE6B3C6" w14:textId="77777777" w:rsidR="00817104" w:rsidRPr="004962CD" w:rsidRDefault="00817104" w:rsidP="00817104">
      <w:pPr>
        <w:pStyle w:val="Bullet1"/>
        <w:numPr>
          <w:ilvl w:val="0"/>
          <w:numId w:val="2"/>
        </w:numPr>
      </w:pPr>
      <w:r>
        <w:t>post-acute care</w:t>
      </w:r>
    </w:p>
    <w:p w14:paraId="198B9F6E" w14:textId="77777777" w:rsidR="00817104" w:rsidRPr="004962CD" w:rsidRDefault="00817104" w:rsidP="00817104">
      <w:pPr>
        <w:pStyle w:val="Bullet1"/>
        <w:numPr>
          <w:ilvl w:val="0"/>
          <w:numId w:val="2"/>
        </w:numPr>
      </w:pPr>
      <w:r>
        <w:t>residential in reach</w:t>
      </w:r>
    </w:p>
    <w:p w14:paraId="1C6FF30A" w14:textId="77777777" w:rsidR="00817104" w:rsidRDefault="00817104" w:rsidP="00817104">
      <w:pPr>
        <w:pStyle w:val="Bullet1"/>
        <w:numPr>
          <w:ilvl w:val="0"/>
          <w:numId w:val="2"/>
        </w:numPr>
      </w:pPr>
      <w:r>
        <w:t>home-based dialysis</w:t>
      </w:r>
    </w:p>
    <w:p w14:paraId="0DCB8354" w14:textId="77777777" w:rsidR="00817104" w:rsidRDefault="00817104" w:rsidP="00817104">
      <w:pPr>
        <w:pStyle w:val="Bullet1"/>
        <w:numPr>
          <w:ilvl w:val="0"/>
          <w:numId w:val="2"/>
        </w:numPr>
      </w:pPr>
      <w:r>
        <w:t>home enteral nutrition</w:t>
      </w:r>
    </w:p>
    <w:p w14:paraId="5379E5F0" w14:textId="77777777" w:rsidR="00817104" w:rsidRDefault="00817104" w:rsidP="00817104">
      <w:pPr>
        <w:pStyle w:val="Bullet1"/>
        <w:numPr>
          <w:ilvl w:val="0"/>
          <w:numId w:val="2"/>
        </w:numPr>
      </w:pPr>
      <w:r>
        <w:t>medi-hotel (optional)</w:t>
      </w:r>
    </w:p>
    <w:p w14:paraId="0676F96A" w14:textId="77777777" w:rsidR="00817104" w:rsidRDefault="00817104" w:rsidP="00817104">
      <w:pPr>
        <w:pStyle w:val="Bullet1"/>
        <w:numPr>
          <w:ilvl w:val="0"/>
          <w:numId w:val="2"/>
        </w:numPr>
      </w:pPr>
      <w:r>
        <w:t>palliative care</w:t>
      </w:r>
    </w:p>
    <w:p w14:paraId="1D4B0717" w14:textId="77777777" w:rsidR="00817104" w:rsidRDefault="00817104" w:rsidP="00817104">
      <w:pPr>
        <w:pStyle w:val="Bullet1"/>
        <w:numPr>
          <w:ilvl w:val="0"/>
          <w:numId w:val="2"/>
        </w:numPr>
        <w:rPr>
          <w:rFonts w:eastAsia="Calibri" w:cs="Calibri"/>
        </w:rPr>
      </w:pPr>
      <w:r>
        <w:t>palliative care consultancy</w:t>
      </w:r>
    </w:p>
    <w:p w14:paraId="625BBDF1" w14:textId="77777777" w:rsidR="00817104" w:rsidRPr="00686DDE" w:rsidRDefault="00817104" w:rsidP="00817104">
      <w:pPr>
        <w:pStyle w:val="Bullet1"/>
        <w:numPr>
          <w:ilvl w:val="0"/>
          <w:numId w:val="2"/>
        </w:numPr>
      </w:pPr>
      <w:r>
        <w:t>specialist clinics (outpatients)</w:t>
      </w:r>
    </w:p>
    <w:p w14:paraId="7492B66A" w14:textId="77777777" w:rsidR="00817104" w:rsidRDefault="00817104" w:rsidP="00817104">
      <w:pPr>
        <w:pStyle w:val="Bullet1"/>
        <w:numPr>
          <w:ilvl w:val="0"/>
          <w:numId w:val="2"/>
        </w:numPr>
      </w:pPr>
      <w:r>
        <w:t>total parenteral nutrition</w:t>
      </w:r>
    </w:p>
    <w:p w14:paraId="3B6D07FB" w14:textId="77777777" w:rsidR="00817104" w:rsidRDefault="00817104" w:rsidP="00817104">
      <w:pPr>
        <w:pStyle w:val="Bullet1"/>
        <w:numPr>
          <w:ilvl w:val="0"/>
          <w:numId w:val="2"/>
        </w:numPr>
        <w:rPr>
          <w:rFonts w:eastAsia="Calibri" w:cs="Calibri"/>
        </w:rPr>
      </w:pPr>
      <w:r>
        <w:t>TCP</w:t>
      </w:r>
    </w:p>
    <w:p w14:paraId="60D7EB3E" w14:textId="77777777" w:rsidR="00817104" w:rsidRDefault="00817104" w:rsidP="00817104">
      <w:pPr>
        <w:pStyle w:val="Bullet1"/>
        <w:numPr>
          <w:ilvl w:val="0"/>
          <w:numId w:val="2"/>
        </w:numPr>
        <w:rPr>
          <w:rFonts w:eastAsia="Calibri" w:cs="Calibri"/>
        </w:rPr>
      </w:pPr>
      <w:r>
        <w:t xml:space="preserve">Victorian artificial limb program </w:t>
      </w:r>
    </w:p>
    <w:p w14:paraId="5668992A" w14:textId="77777777" w:rsidR="00817104" w:rsidRDefault="00817104" w:rsidP="00817104">
      <w:pPr>
        <w:pStyle w:val="Bullet1"/>
        <w:numPr>
          <w:ilvl w:val="0"/>
          <w:numId w:val="2"/>
        </w:numPr>
      </w:pPr>
      <w:r>
        <w:t>Victorian HIV and sexual health services</w:t>
      </w:r>
    </w:p>
    <w:p w14:paraId="05C8D2D4" w14:textId="77777777" w:rsidR="00817104" w:rsidRDefault="00817104" w:rsidP="00817104">
      <w:pPr>
        <w:pStyle w:val="Bullet1"/>
        <w:numPr>
          <w:ilvl w:val="0"/>
          <w:numId w:val="2"/>
        </w:numPr>
      </w:pPr>
      <w:r>
        <w:t>Victorian respiratory support service.</w:t>
      </w:r>
    </w:p>
    <w:p w14:paraId="044CB815" w14:textId="77777777" w:rsidR="00817104" w:rsidRPr="0065730A" w:rsidRDefault="00817104" w:rsidP="00817104">
      <w:pPr>
        <w:pStyle w:val="Bodyafterbullets"/>
      </w:pPr>
      <w:r>
        <w:t xml:space="preserve">For clarity on reporting requirements for health services, and information for data users, more information is provided in the </w:t>
      </w:r>
      <w:hyperlink r:id="rId447">
        <w:r>
          <w:rPr>
            <w:rStyle w:val="Hyperlink"/>
          </w:rPr>
          <w:t>VINAH MDS manual</w:t>
        </w:r>
      </w:hyperlink>
      <w:r>
        <w:t xml:space="preserve"> &lt;https://www.health.vic.gov.au/data-reporting/victorian-integrated-non-admitted-health-vinah-dataset&gt;.</w:t>
      </w:r>
    </w:p>
    <w:p w14:paraId="0E3E9F6D" w14:textId="77777777" w:rsidR="00817104" w:rsidRPr="0011079D" w:rsidRDefault="00817104" w:rsidP="00817104">
      <w:pPr>
        <w:pStyle w:val="Body"/>
      </w:pPr>
      <w:r>
        <w:t>Health services are expected to audit and reconcile their VINAH MDS data regularly throughout the year.</w:t>
      </w:r>
    </w:p>
    <w:p w14:paraId="1376C901" w14:textId="77777777" w:rsidR="00817104" w:rsidRPr="007D5A15" w:rsidRDefault="00817104" w:rsidP="00817104">
      <w:pPr>
        <w:pStyle w:val="Heading4"/>
      </w:pPr>
      <w:r>
        <w:t>Submission guidelines</w:t>
      </w:r>
    </w:p>
    <w:p w14:paraId="4F09EBE0" w14:textId="77777777" w:rsidR="00817104" w:rsidRDefault="00817104" w:rsidP="00817104">
      <w:pPr>
        <w:pStyle w:val="Body"/>
      </w:pPr>
      <w:r>
        <w:t>Health services reporting to the VINAH MDS will be required to adhere to the minimum submission timelines in Table 10.</w:t>
      </w:r>
    </w:p>
    <w:p w14:paraId="4AAAD946" w14:textId="77777777" w:rsidR="00817104" w:rsidRDefault="00817104" w:rsidP="00817104">
      <w:pPr>
        <w:pStyle w:val="Body"/>
      </w:pPr>
      <w:r>
        <w:t>Health services are encouraged to submit more frequently than the minimum standards in the table. It is the funded organisation’s responsibility to ensure data files are submitted in time to meet the processing schedule detailed below, regardless of the actual day of the week.</w:t>
      </w:r>
    </w:p>
    <w:p w14:paraId="175E37A9" w14:textId="3962CDCF" w:rsidR="00817104" w:rsidRDefault="00817104" w:rsidP="00817104">
      <w:pPr>
        <w:pStyle w:val="Tablecaption"/>
      </w:pPr>
      <w:bookmarkStart w:id="2770" w:name="_Toc230537130"/>
      <w:r>
        <w:t xml:space="preserve">Table </w:t>
      </w:r>
      <w:r w:rsidR="00C048AB">
        <w:t>10</w:t>
      </w:r>
      <w:r>
        <w:t>. VINAH MDS timelines</w:t>
      </w:r>
      <w:bookmarkEnd w:id="2770"/>
    </w:p>
    <w:tbl>
      <w:tblPr>
        <w:tblStyle w:val="GridTable4-Accent1"/>
        <w:tblW w:w="5000" w:type="pct"/>
        <w:tblLook w:val="04A0" w:firstRow="1" w:lastRow="0" w:firstColumn="1" w:lastColumn="0" w:noHBand="0" w:noVBand="1"/>
      </w:tblPr>
      <w:tblGrid>
        <w:gridCol w:w="2857"/>
        <w:gridCol w:w="6431"/>
      </w:tblGrid>
      <w:tr w:rsidR="00817104" w:rsidRPr="007265C0" w14:paraId="0BC89FC6" w14:textId="77777777" w:rsidTr="00C04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pct"/>
          </w:tcPr>
          <w:p w14:paraId="148A1115" w14:textId="77777777" w:rsidR="00817104" w:rsidRPr="00C048AB" w:rsidRDefault="00817104" w:rsidP="00785A21">
            <w:pPr>
              <w:pStyle w:val="Tablecolhead"/>
              <w:rPr>
                <w:b/>
                <w:bCs w:val="0"/>
                <w:color w:val="FFFFFF" w:themeColor="background1"/>
                <w:sz w:val="18"/>
                <w:szCs w:val="18"/>
              </w:rPr>
            </w:pPr>
            <w:r w:rsidRPr="00C048AB">
              <w:rPr>
                <w:b/>
                <w:bCs w:val="0"/>
                <w:color w:val="FFFFFF" w:themeColor="background1"/>
                <w:sz w:val="18"/>
                <w:szCs w:val="18"/>
              </w:rPr>
              <w:t>VINAH MDS</w:t>
            </w:r>
          </w:p>
        </w:tc>
        <w:tc>
          <w:tcPr>
            <w:tcW w:w="3462" w:type="pct"/>
          </w:tcPr>
          <w:p w14:paraId="0FBE1F6F" w14:textId="77777777" w:rsidR="00817104" w:rsidRPr="00C048AB"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048AB">
              <w:rPr>
                <w:b/>
                <w:bCs w:val="0"/>
                <w:color w:val="FFFFFF" w:themeColor="background1"/>
                <w:sz w:val="18"/>
                <w:szCs w:val="18"/>
              </w:rPr>
              <w:t>Timeline</w:t>
            </w:r>
          </w:p>
        </w:tc>
      </w:tr>
      <w:tr w:rsidR="00817104" w:rsidRPr="00ED1D02" w14:paraId="08288277" w14:textId="77777777" w:rsidTr="00C048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pct"/>
          </w:tcPr>
          <w:p w14:paraId="2AA6161E" w14:textId="77777777" w:rsidR="00817104" w:rsidRPr="00D118DB" w:rsidRDefault="00817104">
            <w:pPr>
              <w:pStyle w:val="Tabletext"/>
              <w:rPr>
                <w:rFonts w:eastAsia="Courier New"/>
                <w:b w:val="0"/>
                <w:bCs w:val="0"/>
              </w:rPr>
            </w:pPr>
            <w:r w:rsidRPr="00D118DB">
              <w:rPr>
                <w:rFonts w:eastAsia="Courier New"/>
                <w:b w:val="0"/>
                <w:bCs w:val="0"/>
              </w:rPr>
              <w:t>Submission data for client, referral, episode and contact details for the month</w:t>
            </w:r>
          </w:p>
        </w:tc>
        <w:tc>
          <w:tcPr>
            <w:tcW w:w="3462" w:type="pct"/>
          </w:tcPr>
          <w:p w14:paraId="40AB56AA" w14:textId="77777777" w:rsidR="00817104" w:rsidRPr="007D5A15" w:rsidRDefault="00817104">
            <w:pPr>
              <w:pStyle w:val="Tabletext"/>
              <w:cnfStyle w:val="000000100000" w:firstRow="0" w:lastRow="0" w:firstColumn="0" w:lastColumn="0" w:oddVBand="0" w:evenVBand="0" w:oddHBand="1" w:evenHBand="0" w:firstRowFirstColumn="0" w:firstRowLastColumn="0" w:lastRowFirstColumn="0" w:lastRowLastColumn="0"/>
            </w:pPr>
            <w:r w:rsidRPr="007D5A15">
              <w:t xml:space="preserve">Must be submitted before 5 pm on the </w:t>
            </w:r>
            <w:r>
              <w:t>tenth</w:t>
            </w:r>
            <w:r w:rsidRPr="007D5A15">
              <w:t xml:space="preserve"> day of the following month</w:t>
            </w:r>
          </w:p>
        </w:tc>
      </w:tr>
      <w:tr w:rsidR="00817104" w:rsidRPr="00ED1D02" w14:paraId="439B52A1" w14:textId="77777777" w:rsidTr="00C048AB">
        <w:tc>
          <w:tcPr>
            <w:cnfStyle w:val="001000000000" w:firstRow="0" w:lastRow="0" w:firstColumn="1" w:lastColumn="0" w:oddVBand="0" w:evenVBand="0" w:oddHBand="0" w:evenHBand="0" w:firstRowFirstColumn="0" w:firstRowLastColumn="0" w:lastRowFirstColumn="0" w:lastRowLastColumn="0"/>
            <w:tcW w:w="1538" w:type="pct"/>
          </w:tcPr>
          <w:p w14:paraId="1521C661" w14:textId="77777777" w:rsidR="00817104" w:rsidRPr="00D118DB" w:rsidRDefault="00817104">
            <w:pPr>
              <w:pStyle w:val="Tabletext"/>
              <w:rPr>
                <w:rFonts w:eastAsia="Courier New"/>
                <w:b w:val="0"/>
                <w:bCs w:val="0"/>
              </w:rPr>
            </w:pPr>
            <w:r w:rsidRPr="00D118DB">
              <w:rPr>
                <w:rFonts w:eastAsia="Courier New"/>
                <w:b w:val="0"/>
                <w:bCs w:val="0"/>
              </w:rPr>
              <w:t>Clean data for client, referral, episode and contact details for the month</w:t>
            </w:r>
          </w:p>
        </w:tc>
        <w:tc>
          <w:tcPr>
            <w:tcW w:w="3462" w:type="pct"/>
          </w:tcPr>
          <w:p w14:paraId="4BC44517" w14:textId="77777777" w:rsidR="00817104" w:rsidRPr="007D5A15" w:rsidRDefault="00817104">
            <w:pPr>
              <w:pStyle w:val="Tabletext"/>
              <w:cnfStyle w:val="000000000000" w:firstRow="0" w:lastRow="0" w:firstColumn="0" w:lastColumn="0" w:oddVBand="0" w:evenVBand="0" w:oddHBand="0" w:evenHBand="0" w:firstRowFirstColumn="0" w:firstRowLastColumn="0" w:lastRowFirstColumn="0" w:lastRowLastColumn="0"/>
            </w:pPr>
            <w:r w:rsidRPr="007D5A15">
              <w:t xml:space="preserve">Must be submitted before the file consolidation at 5 pm on the </w:t>
            </w:r>
            <w:r>
              <w:t>fourteenth</w:t>
            </w:r>
            <w:r w:rsidRPr="007D5A15">
              <w:t xml:space="preserve"> day of the following month, or the preceding business day if the </w:t>
            </w:r>
            <w:r>
              <w:t>fourteenth</w:t>
            </w:r>
            <w:r w:rsidRPr="007D5A15">
              <w:t xml:space="preserve"> falls on a weekend or public holiday</w:t>
            </w:r>
            <w:r>
              <w:t>,</w:t>
            </w:r>
            <w:r w:rsidRPr="007D5A15">
              <w:t xml:space="preserve"> when data must be complete – that is, zero rejections</w:t>
            </w:r>
          </w:p>
        </w:tc>
      </w:tr>
    </w:tbl>
    <w:p w14:paraId="6D21D6B7" w14:textId="0F109DD0" w:rsidR="003002CD" w:rsidRDefault="00817104" w:rsidP="003002CD">
      <w:pPr>
        <w:pStyle w:val="Body"/>
      </w:pPr>
      <w:r>
        <w:t>Data for the financial year must be completed in time for the VINAH MDS file consolidation on 24 August. Any final corrections must be received at the HealthCollect portal before the VINAH MDS database is finalised on 24 August 2027.</w:t>
      </w:r>
      <w:r w:rsidR="003002CD" w:rsidRPr="003002CD">
        <w:t xml:space="preserve"> </w:t>
      </w:r>
      <w:r w:rsidR="003002CD">
        <w:t>Where health services are noncompliant with the timelines specified, the department will not be able to include the data in quarterly reporting to the Independent Health and Aged Care Pricing Authority (IHACPA), performance reporting, and public reporting. Activity data not successfully submitted to the department by the consolidation date will not receive funding and may not be counted towards activity targets.</w:t>
      </w:r>
    </w:p>
    <w:p w14:paraId="463721EB" w14:textId="0A353A01" w:rsidR="003002CD" w:rsidRDefault="003002CD" w:rsidP="003002CD">
      <w:pPr>
        <w:pStyle w:val="Body"/>
      </w:pPr>
      <w:r>
        <w:lastRenderedPageBreak/>
        <w:t xml:space="preserve">Health services seeking late data exemption must notify the department by the submission date and complete a late data notification form indicating the nature of the difficulties, remedial action being taken and the expected submission date. </w:t>
      </w:r>
      <w:r w:rsidR="00C6503B">
        <w:t xml:space="preserve">To access the VINAH late data notification form, visit </w:t>
      </w:r>
      <w:hyperlink r:id="rId448" w:history="1">
        <w:r w:rsidR="00C6503B" w:rsidRPr="67CD79BB">
          <w:rPr>
            <w:rStyle w:val="Hyperlink"/>
          </w:rPr>
          <w:t xml:space="preserve">HDSS </w:t>
        </w:r>
        <w:r w:rsidR="00C6503B">
          <w:rPr>
            <w:rStyle w:val="Hyperlink"/>
          </w:rPr>
          <w:t>f</w:t>
        </w:r>
        <w:r w:rsidR="00C6503B" w:rsidRPr="67CD79BB">
          <w:rPr>
            <w:rStyle w:val="Hyperlink"/>
          </w:rPr>
          <w:t>orms</w:t>
        </w:r>
      </w:hyperlink>
      <w:r w:rsidR="00C6503B">
        <w:t xml:space="preserve"> &lt;https://www.health.vic.gov.au/data-reporting/health-data-standards-and-systems-hdss-forms&gt;. </w:t>
      </w:r>
      <w:r>
        <w:t>Health services must also submit aggregate data when patient level data is not available.</w:t>
      </w:r>
    </w:p>
    <w:p w14:paraId="6424508C" w14:textId="77777777" w:rsidR="00817104" w:rsidRDefault="00817104" w:rsidP="00817104">
      <w:pPr>
        <w:pStyle w:val="Heading4"/>
      </w:pPr>
      <w:r>
        <w:t>Penalties for noncompliance</w:t>
      </w:r>
    </w:p>
    <w:p w14:paraId="6032F0FC" w14:textId="77777777" w:rsidR="00817104" w:rsidRDefault="00817104" w:rsidP="00817104">
      <w:pPr>
        <w:pStyle w:val="Body"/>
      </w:pPr>
      <w:r>
        <w:t>If funded organisations do not comply with these timelines, the department may apply a penalty of:</w:t>
      </w:r>
    </w:p>
    <w:p w14:paraId="1D53E37E" w14:textId="77777777" w:rsidR="00817104" w:rsidRPr="00651A19" w:rsidRDefault="00817104" w:rsidP="00817104">
      <w:pPr>
        <w:pStyle w:val="Bullet1"/>
        <w:numPr>
          <w:ilvl w:val="0"/>
          <w:numId w:val="2"/>
        </w:numPr>
      </w:pPr>
      <w:r>
        <w:t>up to $10,000, if an initial transmission of a reference month’s activity for a program is not submitted within the timelines specified in Table 10</w:t>
      </w:r>
    </w:p>
    <w:p w14:paraId="364B1A7D" w14:textId="77777777" w:rsidR="00817104" w:rsidRPr="00651A19" w:rsidRDefault="00817104" w:rsidP="00817104">
      <w:pPr>
        <w:pStyle w:val="Bullet1"/>
        <w:numPr>
          <w:ilvl w:val="0"/>
          <w:numId w:val="2"/>
        </w:numPr>
      </w:pPr>
      <w:r>
        <w:t>up to $10,000, if a reference month’s complete activity for a program is not submitted, in accordance with the timelines specified in Table 10.</w:t>
      </w:r>
    </w:p>
    <w:p w14:paraId="7A43EC59" w14:textId="77777777" w:rsidR="00817104" w:rsidRDefault="00817104" w:rsidP="00817104">
      <w:pPr>
        <w:pStyle w:val="Bodyafterbullets"/>
      </w:pPr>
      <w:r>
        <w:t>Funded organisations that have VINAH MDS reporting obligations for multiple programs (for example, subacute ambulatory care services, the Hospital Admission Risk Program and post-acute care), should note that the above penalties apply per program.</w:t>
      </w:r>
    </w:p>
    <w:p w14:paraId="1ACF025A" w14:textId="77777777" w:rsidR="00817104" w:rsidRDefault="00817104" w:rsidP="00817104">
      <w:pPr>
        <w:pStyle w:val="Body"/>
      </w:pPr>
      <w:r>
        <w:t>Data that is flagged as unfit for reporting and analysis will be regarded as noncompliant, and penalties as above may apply.</w:t>
      </w:r>
    </w:p>
    <w:p w14:paraId="1299FF74" w14:textId="77777777" w:rsidR="00817104" w:rsidRPr="007D5A15" w:rsidRDefault="00817104" w:rsidP="00817104">
      <w:pPr>
        <w:pStyle w:val="Heading4"/>
      </w:pPr>
      <w:r>
        <w:t>Exemptions from penalties</w:t>
      </w:r>
    </w:p>
    <w:p w14:paraId="38E9C6EE" w14:textId="77777777" w:rsidR="00817104" w:rsidRDefault="00817104" w:rsidP="00817104">
      <w:pPr>
        <w:pStyle w:val="Body"/>
      </w:pPr>
      <w:r>
        <w:t>Organisations seeking exemption from penalties for late data must complete a Late data request form (available on the HealthCollect portal) advising of the issues experienced, the organisation’s plan for overcoming the issues and the expected submission date. Exemptions will be granted at the department’s discretion.</w:t>
      </w:r>
    </w:p>
    <w:p w14:paraId="7B815E5E" w14:textId="77777777" w:rsidR="00817104" w:rsidRPr="00F959F2" w:rsidRDefault="00817104" w:rsidP="00817104">
      <w:pPr>
        <w:pStyle w:val="Body"/>
      </w:pPr>
      <w:r>
        <w:t>Organisations unable to complete non-admitted patient level reporting via the VINAH MDS/NADC by the due date must submit aggregate data using the manual aggregate data form by the due date.</w:t>
      </w:r>
    </w:p>
    <w:p w14:paraId="2D0E280C" w14:textId="77777777" w:rsidR="00817104" w:rsidRPr="007D5A15" w:rsidRDefault="00817104" w:rsidP="00817104">
      <w:pPr>
        <w:pStyle w:val="Heading4"/>
      </w:pPr>
      <w:r w:rsidRPr="00AB134A">
        <w:t>Software upgrades and migrations</w:t>
      </w:r>
    </w:p>
    <w:p w14:paraId="13231D6B" w14:textId="0D59B450" w:rsidR="00817104" w:rsidRPr="007D5A15" w:rsidRDefault="00817104" w:rsidP="00817104">
      <w:pPr>
        <w:pStyle w:val="Body"/>
      </w:pPr>
      <w:r w:rsidRPr="004B3786">
        <w:t>Health services are requ</w:t>
      </w:r>
      <w:r>
        <w:t>ired</w:t>
      </w:r>
      <w:r w:rsidRPr="004B3786">
        <w:t xml:space="preserve"> to </w:t>
      </w:r>
      <w:r>
        <w:t>notify the department by email to</w:t>
      </w:r>
      <w:r w:rsidRPr="004B3786">
        <w:t xml:space="preserve"> the </w:t>
      </w:r>
      <w:hyperlink r:id="rId449">
        <w:r w:rsidRPr="00812868">
          <w:rPr>
            <w:rStyle w:val="Hyperlink"/>
          </w:rPr>
          <w:t>HDSS helpdesk</w:t>
        </w:r>
      </w:hyperlink>
      <w:r w:rsidRPr="007D5A15">
        <w:t xml:space="preserve"> &lt;hdss.helpde</w:t>
      </w:r>
      <w:r>
        <w:t>s</w:t>
      </w:r>
      <w:r w:rsidRPr="007D5A15">
        <w:t xml:space="preserve">k@health.vic.gov.au&gt; </w:t>
      </w:r>
      <w:r w:rsidRPr="004B3786">
        <w:t xml:space="preserve">as soon as a decision is made to migrate to new software applications that will </w:t>
      </w:r>
      <w:r>
        <w:t>affect</w:t>
      </w:r>
      <w:r w:rsidRPr="004B3786">
        <w:t xml:space="preserve"> VINAH </w:t>
      </w:r>
      <w:r>
        <w:t>MDS</w:t>
      </w:r>
      <w:r w:rsidRPr="004B3786">
        <w:t xml:space="preserve"> reporting.</w:t>
      </w:r>
    </w:p>
    <w:p w14:paraId="452C492B" w14:textId="77777777" w:rsidR="00817104" w:rsidRDefault="00817104" w:rsidP="00817104">
      <w:pPr>
        <w:pStyle w:val="Body"/>
      </w:pPr>
      <w:r w:rsidRPr="0670E279">
        <w:t>Multiple health services often implement new software at the same time</w:t>
      </w:r>
      <w:r>
        <w:t>,</w:t>
      </w:r>
      <w:r w:rsidRPr="0670E279">
        <w:t xml:space="preserve"> and the department is often asked for advice on data migration, to support testing </w:t>
      </w:r>
      <w:r>
        <w:t>and so forth</w:t>
      </w:r>
      <w:r w:rsidRPr="0670E279">
        <w:t>. To ensure the department can provide sufficient support, early notification is appreciated. Please advise the software being changed, whether it</w:t>
      </w:r>
      <w:r>
        <w:t xml:space="preserve"> i</w:t>
      </w:r>
      <w:r w:rsidRPr="0670E279">
        <w:t>s a PAS or an EMR, the data collections involved, migration plans, go</w:t>
      </w:r>
      <w:r>
        <w:t>-</w:t>
      </w:r>
      <w:r w:rsidRPr="0670E279">
        <w:t>live dates and the main health service contacts.</w:t>
      </w:r>
    </w:p>
    <w:p w14:paraId="4EFFD268" w14:textId="77777777" w:rsidR="00817104" w:rsidRDefault="00817104" w:rsidP="00817104">
      <w:pPr>
        <w:pStyle w:val="Body"/>
      </w:pPr>
      <w:r w:rsidRPr="0670E279">
        <w:t xml:space="preserve">Health services undertaking software migrations must undertake VINAH </w:t>
      </w:r>
      <w:r>
        <w:t>MDS</w:t>
      </w:r>
      <w:r w:rsidRPr="0670E279">
        <w:t xml:space="preserve"> submission testing before resuming live VINAH </w:t>
      </w:r>
      <w:r>
        <w:t>MDS</w:t>
      </w:r>
      <w:r w:rsidRPr="0670E279">
        <w:t xml:space="preserve"> submissions. Health </w:t>
      </w:r>
      <w:r>
        <w:t>services undertaking software migrations will be exempt from late data submission penalties for three months.</w:t>
      </w:r>
    </w:p>
    <w:p w14:paraId="4737CD2D" w14:textId="77777777" w:rsidR="00817104" w:rsidRDefault="00817104" w:rsidP="00817104">
      <w:pPr>
        <w:pStyle w:val="Body"/>
      </w:pPr>
      <w:r>
        <w:t>Health services undertaking software upgrades will be exempt from late data submission penalties for one month.</w:t>
      </w:r>
    </w:p>
    <w:p w14:paraId="42C718AE" w14:textId="77777777" w:rsidR="00817104" w:rsidRPr="00B61A4E" w:rsidRDefault="00817104" w:rsidP="00817104">
      <w:pPr>
        <w:pStyle w:val="Body"/>
      </w:pPr>
      <w:r>
        <w:t xml:space="preserve">Health services must ensure their </w:t>
      </w:r>
      <w:r w:rsidRPr="0670E279">
        <w:rPr>
          <w:rFonts w:cs="Calibri"/>
        </w:rPr>
        <w:t>202</w:t>
      </w:r>
      <w:r>
        <w:rPr>
          <w:rFonts w:cs="Calibri"/>
        </w:rPr>
        <w:t>6–</w:t>
      </w:r>
      <w:r w:rsidRPr="0670E279">
        <w:rPr>
          <w:rFonts w:cs="Calibri"/>
        </w:rPr>
        <w:t>2</w:t>
      </w:r>
      <w:r>
        <w:rPr>
          <w:rFonts w:cs="Calibri"/>
        </w:rPr>
        <w:t>7</w:t>
      </w:r>
      <w:r>
        <w:t xml:space="preserve"> VINAH MDS is transmitted completely by 24 August 2027 and should ensure software updates and migrations do not prevent complete VINAH MDS transmissions by this date, as no extensions will be possible.</w:t>
      </w:r>
    </w:p>
    <w:p w14:paraId="6B0AA32D" w14:textId="13B2D59D" w:rsidR="00817104" w:rsidRPr="008136DA" w:rsidRDefault="008834D8" w:rsidP="00817104">
      <w:pPr>
        <w:pStyle w:val="Heading3"/>
      </w:pPr>
      <w:r w:rsidRPr="008834D8">
        <w:lastRenderedPageBreak/>
        <w:t xml:space="preserve">Non-Admitted Data Collection </w:t>
      </w:r>
      <w:r>
        <w:t>(</w:t>
      </w:r>
      <w:r w:rsidR="00817104">
        <w:t>NADC</w:t>
      </w:r>
      <w:r>
        <w:t>)</w:t>
      </w:r>
    </w:p>
    <w:p w14:paraId="1222D8A1" w14:textId="56457A65" w:rsidR="00817104" w:rsidRDefault="00817104" w:rsidP="00817104">
      <w:pPr>
        <w:pStyle w:val="Body"/>
      </w:pPr>
      <w:r>
        <w:t xml:space="preserve">The NADC is a flat file extract for non-admitted patient-level reporting. Health services unable to report data to the VINAH MDS may request to report this collection. The NADC includes a limited number of data items based on the </w:t>
      </w:r>
      <w:r w:rsidRPr="00F445ED">
        <w:t>Independent Health and Aged Care Pricing Authority</w:t>
      </w:r>
      <w:r>
        <w:t>’s</w:t>
      </w:r>
      <w:r w:rsidRPr="00F445ED" w:rsidDel="00F445ED">
        <w:t xml:space="preserve"> </w:t>
      </w:r>
      <w:r w:rsidR="00107E9D">
        <w:t>ABF</w:t>
      </w:r>
      <w:r>
        <w:t xml:space="preserve"> non-admitted patient care patient level </w:t>
      </w:r>
      <w:r w:rsidR="00C83404">
        <w:t>specifications and</w:t>
      </w:r>
      <w:r>
        <w:t xml:space="preserve"> meets the department’s national reporting obligations.</w:t>
      </w:r>
    </w:p>
    <w:p w14:paraId="5DDD65E3" w14:textId="77777777" w:rsidR="00817104" w:rsidRDefault="00817104" w:rsidP="00817104">
      <w:pPr>
        <w:pStyle w:val="Body"/>
      </w:pPr>
      <w:r>
        <w:t>Health services are mandated to report non-admitted activity data through the VINAH MDS. The NADC has been developed for use in exceptional circumstances only. Service providers require department approval to submit non-admitted activity through NADC, rather than through the VINAH MDS.</w:t>
      </w:r>
    </w:p>
    <w:p w14:paraId="119AA7A9" w14:textId="77777777" w:rsidR="00817104" w:rsidRDefault="00817104" w:rsidP="00817104">
      <w:pPr>
        <w:pStyle w:val="Body"/>
      </w:pPr>
      <w:r>
        <w:t xml:space="preserve">For more information, including specifications and obtaining approval to report this collection, email the </w:t>
      </w:r>
      <w:hyperlink r:id="rId450" w:history="1">
        <w:r w:rsidRPr="006A47C9">
          <w:rPr>
            <w:rStyle w:val="Hyperlink"/>
          </w:rPr>
          <w:t>HDSS helpdesk</w:t>
        </w:r>
      </w:hyperlink>
      <w:r>
        <w:t xml:space="preserve"> &lt;hdss.helpdesk@health.vic.gov.au&gt;.</w:t>
      </w:r>
    </w:p>
    <w:p w14:paraId="751EAAF9" w14:textId="511BE436" w:rsidR="00817104" w:rsidRDefault="00817104" w:rsidP="00817104">
      <w:pPr>
        <w:pStyle w:val="Tablecaption"/>
      </w:pPr>
      <w:bookmarkStart w:id="2771" w:name="_Toc230537131"/>
      <w:r>
        <w:t xml:space="preserve">Table </w:t>
      </w:r>
      <w:r w:rsidR="00C048AB">
        <w:t>11</w:t>
      </w:r>
      <w:r>
        <w:t>. NADC timelines</w:t>
      </w:r>
      <w:bookmarkEnd w:id="2771"/>
    </w:p>
    <w:tbl>
      <w:tblPr>
        <w:tblStyle w:val="GridTable4-Accent1"/>
        <w:tblW w:w="9299" w:type="dxa"/>
        <w:tblLook w:val="04A0" w:firstRow="1" w:lastRow="0" w:firstColumn="1" w:lastColumn="0" w:noHBand="0" w:noVBand="1"/>
      </w:tblPr>
      <w:tblGrid>
        <w:gridCol w:w="2861"/>
        <w:gridCol w:w="6438"/>
      </w:tblGrid>
      <w:tr w:rsidR="00817104" w:rsidRPr="006F6B80" w14:paraId="7A22DA0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1" w:type="dxa"/>
          </w:tcPr>
          <w:p w14:paraId="34921595" w14:textId="77777777" w:rsidR="00817104" w:rsidRPr="00FD4084" w:rsidRDefault="00817104" w:rsidP="00785A21">
            <w:pPr>
              <w:pStyle w:val="Tablecolhead"/>
              <w:rPr>
                <w:b/>
                <w:bCs w:val="0"/>
                <w:color w:val="FFFFFF" w:themeColor="background1"/>
                <w:sz w:val="18"/>
                <w:szCs w:val="18"/>
              </w:rPr>
            </w:pPr>
            <w:r w:rsidRPr="00FD4084">
              <w:rPr>
                <w:b/>
                <w:bCs w:val="0"/>
                <w:color w:val="FFFFFF" w:themeColor="background1"/>
                <w:sz w:val="18"/>
                <w:szCs w:val="18"/>
              </w:rPr>
              <w:t>NADC</w:t>
            </w:r>
          </w:p>
        </w:tc>
        <w:tc>
          <w:tcPr>
            <w:tcW w:w="6438" w:type="dxa"/>
          </w:tcPr>
          <w:p w14:paraId="6352CA2C" w14:textId="77777777" w:rsidR="00817104" w:rsidRPr="00FD4084"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FD4084">
              <w:rPr>
                <w:b/>
                <w:bCs w:val="0"/>
                <w:color w:val="FFFFFF" w:themeColor="background1"/>
                <w:sz w:val="18"/>
                <w:szCs w:val="18"/>
              </w:rPr>
              <w:t>Timeline</w:t>
            </w:r>
          </w:p>
        </w:tc>
      </w:tr>
      <w:tr w:rsidR="00817104" w:rsidRPr="00ED1D02" w14:paraId="7B0217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613AC98" w14:textId="77777777" w:rsidR="00817104" w:rsidRPr="00936E99" w:rsidRDefault="00817104">
            <w:pPr>
              <w:pStyle w:val="Tabletext"/>
              <w:rPr>
                <w:rFonts w:eastAsia="Courier New"/>
                <w:b w:val="0"/>
                <w:bCs w:val="0"/>
              </w:rPr>
            </w:pPr>
            <w:r w:rsidRPr="00936E99">
              <w:rPr>
                <w:rFonts w:eastAsia="Courier New"/>
                <w:b w:val="0"/>
                <w:bCs w:val="0"/>
              </w:rPr>
              <w:t>Submission date for all service events in the month</w:t>
            </w:r>
          </w:p>
        </w:tc>
        <w:tc>
          <w:tcPr>
            <w:tcW w:w="0" w:type="dxa"/>
          </w:tcPr>
          <w:p w14:paraId="5BD0F98A" w14:textId="77777777" w:rsidR="00817104" w:rsidRPr="00CF394A" w:rsidRDefault="00817104">
            <w:pPr>
              <w:pStyle w:val="Tabletext"/>
              <w:cnfStyle w:val="000000100000" w:firstRow="0" w:lastRow="0" w:firstColumn="0" w:lastColumn="0" w:oddVBand="0" w:evenVBand="0" w:oddHBand="1" w:evenHBand="0" w:firstRowFirstColumn="0" w:firstRowLastColumn="0" w:lastRowFirstColumn="0" w:lastRowLastColumn="0"/>
            </w:pPr>
            <w:r w:rsidRPr="00CF394A">
              <w:t xml:space="preserve">Must be submitted before 5 pm on the </w:t>
            </w:r>
            <w:r>
              <w:t>tenth</w:t>
            </w:r>
            <w:r w:rsidRPr="00CF394A">
              <w:t xml:space="preserve"> day of the following month</w:t>
            </w:r>
          </w:p>
        </w:tc>
      </w:tr>
      <w:tr w:rsidR="00817104" w:rsidRPr="00ED1D02" w14:paraId="04522BEA" w14:textId="77777777">
        <w:tc>
          <w:tcPr>
            <w:cnfStyle w:val="001000000000" w:firstRow="0" w:lastRow="0" w:firstColumn="1" w:lastColumn="0" w:oddVBand="0" w:evenVBand="0" w:oddHBand="0" w:evenHBand="0" w:firstRowFirstColumn="0" w:firstRowLastColumn="0" w:lastRowFirstColumn="0" w:lastRowLastColumn="0"/>
            <w:tcW w:w="0" w:type="dxa"/>
          </w:tcPr>
          <w:p w14:paraId="1A49607B" w14:textId="77777777" w:rsidR="00817104" w:rsidRPr="00936E99" w:rsidRDefault="00817104">
            <w:pPr>
              <w:pStyle w:val="Tabletext"/>
              <w:rPr>
                <w:rFonts w:eastAsia="Courier New"/>
                <w:b w:val="0"/>
                <w:bCs w:val="0"/>
              </w:rPr>
            </w:pPr>
            <w:r w:rsidRPr="00936E99">
              <w:rPr>
                <w:rFonts w:eastAsia="Courier New"/>
                <w:b w:val="0"/>
                <w:bCs w:val="0"/>
              </w:rPr>
              <w:t>Clean date for all service events for the month</w:t>
            </w:r>
          </w:p>
        </w:tc>
        <w:tc>
          <w:tcPr>
            <w:tcW w:w="0" w:type="dxa"/>
          </w:tcPr>
          <w:p w14:paraId="0C0704DC" w14:textId="77777777" w:rsidR="00817104" w:rsidRPr="00CF394A" w:rsidRDefault="00817104">
            <w:pPr>
              <w:pStyle w:val="Tabletext"/>
              <w:cnfStyle w:val="000000000000" w:firstRow="0" w:lastRow="0" w:firstColumn="0" w:lastColumn="0" w:oddVBand="0" w:evenVBand="0" w:oddHBand="0" w:evenHBand="0" w:firstRowFirstColumn="0" w:firstRowLastColumn="0" w:lastRowFirstColumn="0" w:lastRowLastColumn="0"/>
            </w:pPr>
            <w:r w:rsidRPr="00CF394A">
              <w:t xml:space="preserve">Must be submitted before the NADC file consolidation at 5 pm on the </w:t>
            </w:r>
            <w:r>
              <w:t>fourteenth</w:t>
            </w:r>
            <w:r w:rsidRPr="00CF394A">
              <w:t xml:space="preserve"> day of the following month, or the preceding working day if the </w:t>
            </w:r>
            <w:r>
              <w:t>fourteenth</w:t>
            </w:r>
            <w:r w:rsidRPr="00CF394A">
              <w:t xml:space="preserve"> falls on a weekend or public holiday when data must be complete – that is, zero rejections</w:t>
            </w:r>
          </w:p>
        </w:tc>
      </w:tr>
    </w:tbl>
    <w:p w14:paraId="5F6B6821" w14:textId="77777777" w:rsidR="00817104" w:rsidRDefault="00817104" w:rsidP="00817104">
      <w:pPr>
        <w:pStyle w:val="Bodyaftertablefigure"/>
      </w:pPr>
      <w:r>
        <w:t>Funded organisations must meet the following minimum requirements:</w:t>
      </w:r>
    </w:p>
    <w:p w14:paraId="368695B4" w14:textId="77777777" w:rsidR="00817104" w:rsidRDefault="00817104" w:rsidP="00817104">
      <w:pPr>
        <w:pStyle w:val="Bullet1"/>
        <w:numPr>
          <w:ilvl w:val="0"/>
          <w:numId w:val="2"/>
        </w:numPr>
      </w:pPr>
      <w:r>
        <w:t>Funded organisations must make at least one submission for the reference month, by no later than 5 pm on the tenth day of the month following the reference month.</w:t>
      </w:r>
    </w:p>
    <w:p w14:paraId="6429DA74" w14:textId="77777777" w:rsidR="00817104" w:rsidRDefault="00817104" w:rsidP="00817104">
      <w:pPr>
        <w:pStyle w:val="Bullet1"/>
        <w:numPr>
          <w:ilvl w:val="0"/>
          <w:numId w:val="2"/>
        </w:numPr>
      </w:pPr>
      <w:r>
        <w:t>All errors are to be corrected in time for the NADC file consolidation at 5 pm on the fourteenth</w:t>
      </w:r>
      <w:r w:rsidRPr="00CF394A">
        <w:t xml:space="preserve"> </w:t>
      </w:r>
      <w:r>
        <w:t>day of the month following the reference month. Complete data for the month is expected to be transmitted by the fourteenth</w:t>
      </w:r>
      <w:r w:rsidRPr="00CF394A">
        <w:t xml:space="preserve"> </w:t>
      </w:r>
      <w:r>
        <w:t>day.</w:t>
      </w:r>
    </w:p>
    <w:p w14:paraId="34AE7998" w14:textId="77777777" w:rsidR="00817104" w:rsidRPr="00664079" w:rsidRDefault="00817104" w:rsidP="00817104">
      <w:pPr>
        <w:pStyle w:val="Bodyafterbullets"/>
      </w:pPr>
      <w:r>
        <w:t>Data for the financial year must be completed in time for the NADC file consolidation on 24 August. Any final corrections must be received before the NADC database is finalised on 24 August 2027.</w:t>
      </w:r>
    </w:p>
    <w:p w14:paraId="15AD7419" w14:textId="33BBE5DF" w:rsidR="003002CD" w:rsidRDefault="00817104" w:rsidP="003002CD">
      <w:pPr>
        <w:pStyle w:val="Body"/>
      </w:pPr>
      <w:r>
        <w:t>It is the funded organisation’s responsibility to ensure the department receives the data in time to meet the processing schedule detailed above, regardless of the actual day of the week.</w:t>
      </w:r>
      <w:r w:rsidR="003002CD">
        <w:t xml:space="preserve"> Where health services are noncompliant with the timelines specified, the department will not be able to include the data in quarterly reporting to the Independent Health and Aged Care Pricing Authority (IHACPA), performance reporting, and public reporting. Activity data not successfully submitted to the department by the consolidation date will not receive funding and may not be counted towards activity targets.</w:t>
      </w:r>
    </w:p>
    <w:p w14:paraId="3A4B90F0" w14:textId="77777777" w:rsidR="003002CD" w:rsidRDefault="003002CD" w:rsidP="003002CD">
      <w:pPr>
        <w:pStyle w:val="Body"/>
      </w:pPr>
      <w:r>
        <w:t>Health services seeking late data exemption must notify the department by the submission date and complete a late data notification form indicating the nature of the difficulties, remedial action being taken and the expected submission date. Health services must also submit aggregate data when patient level data is not available.</w:t>
      </w:r>
    </w:p>
    <w:p w14:paraId="33E25300" w14:textId="77777777" w:rsidR="00817104" w:rsidRDefault="00817104" w:rsidP="00817104">
      <w:pPr>
        <w:pStyle w:val="Body"/>
      </w:pPr>
      <w:r>
        <w:t>Penalties and exemptions for penalties are in line with the VINAH MDS.</w:t>
      </w:r>
    </w:p>
    <w:p w14:paraId="0C9708EF" w14:textId="4EFD7E98" w:rsidR="00817104" w:rsidRDefault="00817104" w:rsidP="00817104">
      <w:pPr>
        <w:pStyle w:val="Heading3"/>
      </w:pPr>
      <w:r>
        <w:lastRenderedPageBreak/>
        <w:t>AIMS</w:t>
      </w:r>
    </w:p>
    <w:p w14:paraId="193E7BD0" w14:textId="77777777" w:rsidR="00817104" w:rsidRDefault="00817104" w:rsidP="00817104">
      <w:pPr>
        <w:pStyle w:val="Body"/>
      </w:pPr>
      <w:r>
        <w:t xml:space="preserve">Health services will provide AIMS data to the department electronically via the HealthCollect web portal, and in accordance with the timelines specified in the </w:t>
      </w:r>
      <w:r w:rsidRPr="0022481E">
        <w:rPr>
          <w:rStyle w:val="Emphasis"/>
          <w:i w:val="0"/>
          <w:iCs w:val="0"/>
        </w:rPr>
        <w:t>AIMS manual</w:t>
      </w:r>
      <w:r>
        <w:t xml:space="preserve">. </w:t>
      </w:r>
    </w:p>
    <w:p w14:paraId="0D209CE1" w14:textId="77777777" w:rsidR="00817104" w:rsidRDefault="00817104" w:rsidP="00817104">
      <w:pPr>
        <w:pStyle w:val="Bodyafterbullets"/>
      </w:pPr>
      <w:r>
        <w:t xml:space="preserve">The data collections within AIMS have different due dates and reporting intervals, as documented in the AIMS manual. AIMS data submissions are made through the </w:t>
      </w:r>
      <w:hyperlink r:id="rId451" w:history="1">
        <w:r w:rsidRPr="00622B00">
          <w:rPr>
            <w:rStyle w:val="Hyperlink"/>
          </w:rPr>
          <w:t>HealthCollect portal</w:t>
        </w:r>
      </w:hyperlink>
      <w:r w:rsidRPr="004B3786">
        <w:rPr>
          <w:vertAlign w:val="superscript"/>
        </w:rPr>
        <w:t xml:space="preserve"> </w:t>
      </w:r>
      <w:r w:rsidRPr="002D6AE5">
        <w:t>&lt;https://www.healthcollect.vic.gov.au</w:t>
      </w:r>
      <w:r>
        <w:t>&gt; (login required).</w:t>
      </w:r>
    </w:p>
    <w:p w14:paraId="372F0DB3" w14:textId="77777777" w:rsidR="00817104" w:rsidRPr="00CF394A" w:rsidRDefault="00817104" w:rsidP="00817104">
      <w:pPr>
        <w:pStyle w:val="Heading4"/>
      </w:pPr>
      <w:r>
        <w:t>Penalties for noncompliance</w:t>
      </w:r>
    </w:p>
    <w:p w14:paraId="232D5B14" w14:textId="77777777" w:rsidR="00817104" w:rsidRDefault="00817104" w:rsidP="00817104">
      <w:pPr>
        <w:pStyle w:val="Body"/>
      </w:pPr>
      <w:r>
        <w:t>If health services are noncompliant with these timelines, the department may apply a penalty of up to $5,000 for each return that is not submitted by the due date specified in the AIMS manual.</w:t>
      </w:r>
    </w:p>
    <w:p w14:paraId="1E0BD9F2" w14:textId="77777777" w:rsidR="00817104" w:rsidRDefault="00817104" w:rsidP="00817104">
      <w:pPr>
        <w:pStyle w:val="Body"/>
      </w:pPr>
      <w:r>
        <w:t xml:space="preserve">Organisations seeking exemption from penalties for late data must email the </w:t>
      </w:r>
      <w:hyperlink r:id="rId452" w:history="1">
        <w:r w:rsidRPr="00301942">
          <w:rPr>
            <w:rStyle w:val="Hyperlink"/>
          </w:rPr>
          <w:t>HDSS help desk</w:t>
        </w:r>
      </w:hyperlink>
      <w:r>
        <w:t xml:space="preserve"> &lt;hdss.helpdesk@health.vic.gov.au&gt;, advising of the issues experienced, the organisation’s plan for overcoming the issues and the expected submission date.</w:t>
      </w:r>
    </w:p>
    <w:p w14:paraId="47B4DDEC" w14:textId="77777777" w:rsidR="00817104" w:rsidRDefault="00817104" w:rsidP="00817104">
      <w:pPr>
        <w:pStyle w:val="Body"/>
      </w:pPr>
      <w:r>
        <w:t xml:space="preserve">For more information, visit </w:t>
      </w:r>
      <w:hyperlink r:id="rId453">
        <w:r w:rsidRPr="0670E279">
          <w:rPr>
            <w:rStyle w:val="Hyperlink"/>
          </w:rPr>
          <w:t>AIMS</w:t>
        </w:r>
      </w:hyperlink>
      <w:r>
        <w:t xml:space="preserve"> &lt;https://www.health.vic.gov.au/data-reporting/agency-information-management-system-aims&gt;.</w:t>
      </w:r>
    </w:p>
    <w:p w14:paraId="00B28BBE" w14:textId="1EECA5FF" w:rsidR="00817104" w:rsidRPr="008136DA" w:rsidRDefault="00557B44" w:rsidP="00817104">
      <w:pPr>
        <w:pStyle w:val="Heading3"/>
      </w:pPr>
      <w:r w:rsidRPr="00557B44">
        <w:t>Victorian Cost Data Collection</w:t>
      </w:r>
      <w:r>
        <w:t xml:space="preserve"> (</w:t>
      </w:r>
      <w:r w:rsidR="00817104">
        <w:t>VCDC</w:t>
      </w:r>
      <w:r>
        <w:t>)</w:t>
      </w:r>
    </w:p>
    <w:p w14:paraId="5CA7A5CE" w14:textId="77777777" w:rsidR="00817104" w:rsidRDefault="00817104" w:rsidP="00817104">
      <w:pPr>
        <w:pStyle w:val="Body"/>
      </w:pPr>
      <w:r>
        <w:t>Victorian public hospitals are required to report costs for all hospital activity, regardless of funding source, and are expected to maintain patient-level costing systems that monitor service provision to patients and determine accurate patient-level costs.</w:t>
      </w:r>
    </w:p>
    <w:p w14:paraId="2690A901" w14:textId="77777777" w:rsidR="00817104" w:rsidRDefault="00817104" w:rsidP="00817104">
      <w:pPr>
        <w:pStyle w:val="Body"/>
      </w:pPr>
      <w:r>
        <w:t xml:space="preserve">Victorian health services are required to adhere, where possible, to the </w:t>
      </w:r>
      <w:r w:rsidRPr="0022481E">
        <w:rPr>
          <w:rStyle w:val="Emphasis"/>
          <w:i w:val="0"/>
          <w:iCs w:val="0"/>
        </w:rPr>
        <w:t>Australian Hospital Patient Costing Standards</w:t>
      </w:r>
      <w:r w:rsidRPr="0670E279">
        <w:rPr>
          <w:rStyle w:val="Emphasis"/>
        </w:rPr>
        <w:t xml:space="preserve"> </w:t>
      </w:r>
      <w:r w:rsidRPr="004B3786">
        <w:t>(v 4.2)</w:t>
      </w:r>
      <w:r>
        <w:t xml:space="preserve"> (or the most recent version, in the instance that a successor becomes available), in conjunction with VCDC documentation, guidelines, specifications and business rules, and any other guidance provided by the department in the coming year.</w:t>
      </w:r>
    </w:p>
    <w:p w14:paraId="16B05026" w14:textId="77777777" w:rsidR="00817104" w:rsidRDefault="00817104" w:rsidP="00817104">
      <w:pPr>
        <w:pStyle w:val="Heading4"/>
      </w:pPr>
      <w:r>
        <w:t>Format and scope</w:t>
      </w:r>
    </w:p>
    <w:p w14:paraId="04FF91E8" w14:textId="77777777" w:rsidR="00817104" w:rsidRDefault="00817104" w:rsidP="00817104">
      <w:pPr>
        <w:pStyle w:val="Body"/>
      </w:pPr>
      <w:r>
        <w:t>The cost data submission to the department must comply with the VCDC file specifications and reporting requirements.</w:t>
      </w:r>
    </w:p>
    <w:p w14:paraId="5B8D2B6D" w14:textId="77777777" w:rsidR="00817104" w:rsidRDefault="00817104" w:rsidP="00817104">
      <w:pPr>
        <w:pStyle w:val="Body"/>
      </w:pPr>
      <w:r>
        <w:t xml:space="preserve">For more information, visit </w:t>
      </w:r>
      <w:hyperlink r:id="rId454" w:history="1">
        <w:r w:rsidRPr="00D4419D">
          <w:rPr>
            <w:rStyle w:val="Hyperlink"/>
          </w:rPr>
          <w:t>VCDC</w:t>
        </w:r>
      </w:hyperlink>
      <w:r>
        <w:t xml:space="preserve"> &lt;</w:t>
      </w:r>
      <w:r w:rsidRPr="00DD0EED">
        <w:t>https://www.health.vic.gov.au/data-reporting/victorian-cost-data-collection-vcdc</w:t>
      </w:r>
      <w:r>
        <w:t>&gt;.</w:t>
      </w:r>
    </w:p>
    <w:p w14:paraId="51C7CCA3" w14:textId="77777777" w:rsidR="00817104" w:rsidRDefault="00817104" w:rsidP="00817104">
      <w:pPr>
        <w:pStyle w:val="Body"/>
      </w:pPr>
      <w:r>
        <w:t>The cost data submitted should be quality assured and cover all areas of hospital activity undertaken by the health service, including (but not limited to) four broad categories of:</w:t>
      </w:r>
    </w:p>
    <w:p w14:paraId="79027376" w14:textId="77777777" w:rsidR="00817104" w:rsidRDefault="00817104" w:rsidP="00817104">
      <w:pPr>
        <w:pStyle w:val="Bullet1"/>
        <w:numPr>
          <w:ilvl w:val="0"/>
          <w:numId w:val="2"/>
        </w:numPr>
      </w:pPr>
      <w:r>
        <w:t>admitted – a patient who undergoes a hospital's admission process to receive treatment and/or care. This treatment and/or care is provided over a period of time, and can occur in hospital and/or in the person's home (for HITH patients), and include acute, subacute and mental health</w:t>
      </w:r>
    </w:p>
    <w:p w14:paraId="6E14656F" w14:textId="77777777" w:rsidR="00817104" w:rsidRDefault="00817104" w:rsidP="00817104">
      <w:pPr>
        <w:pStyle w:val="Bullet1"/>
        <w:numPr>
          <w:ilvl w:val="0"/>
          <w:numId w:val="2"/>
        </w:numPr>
      </w:pPr>
      <w:r>
        <w:t>emergency – a dedicated area in a hospital that is organised and administered to provide emergency care (including reception, triage, initial assessment and management) to people who perceive the need for, or are in need of, acute or urgent care</w:t>
      </w:r>
    </w:p>
    <w:p w14:paraId="1F843F00" w14:textId="77777777" w:rsidR="00817104" w:rsidRDefault="00817104" w:rsidP="00817104">
      <w:pPr>
        <w:pStyle w:val="Bullet1"/>
        <w:numPr>
          <w:ilvl w:val="0"/>
          <w:numId w:val="2"/>
        </w:numPr>
      </w:pPr>
      <w:r>
        <w:t>non-admitted – a patient who does not undergo a hospital’s formal admission process. There are several categories of non-admitted patient: ED, outpatient, subacute and other non-admitted patient (treated by hospital employees off the hospital site, which includes community/outreach services)</w:t>
      </w:r>
    </w:p>
    <w:p w14:paraId="2F71973A" w14:textId="77777777" w:rsidR="00817104" w:rsidRDefault="00817104" w:rsidP="00817104">
      <w:pPr>
        <w:pStyle w:val="Bullet1"/>
        <w:numPr>
          <w:ilvl w:val="0"/>
          <w:numId w:val="2"/>
        </w:numPr>
      </w:pPr>
      <w:r>
        <w:lastRenderedPageBreak/>
        <w:t>specialist clinical mental health – a dedicated area in a hospital that delivers a range of hospital and community-based clinical mental health services. This includes both admitted and non-admitted (community) patients.</w:t>
      </w:r>
    </w:p>
    <w:p w14:paraId="33C356B3" w14:textId="77777777" w:rsidR="00817104" w:rsidRPr="00CF394A" w:rsidRDefault="00817104" w:rsidP="00817104">
      <w:pPr>
        <w:pStyle w:val="Bodyafterbullets"/>
      </w:pPr>
      <w:r w:rsidRPr="00CF394A">
        <w:t xml:space="preserve">The </w:t>
      </w:r>
      <w:r w:rsidRPr="002D6AE5">
        <w:t>NHRA</w:t>
      </w:r>
      <w:r w:rsidRPr="004B3786">
        <w:t xml:space="preserve"> </w:t>
      </w:r>
      <w:r w:rsidRPr="00CF394A">
        <w:t>specifies that these areas are activity-base funded and cost data is required from all these services to support development of national weights.</w:t>
      </w:r>
    </w:p>
    <w:p w14:paraId="67E1E791" w14:textId="77777777" w:rsidR="00817104" w:rsidRDefault="00817104" w:rsidP="00817104">
      <w:pPr>
        <w:pStyle w:val="Heading4"/>
      </w:pPr>
      <w:r>
        <w:t>Reconciliation and data integrity</w:t>
      </w:r>
    </w:p>
    <w:p w14:paraId="607D9E02" w14:textId="77777777" w:rsidR="00817104" w:rsidRDefault="00817104" w:rsidP="00817104">
      <w:pPr>
        <w:pStyle w:val="Body"/>
      </w:pPr>
      <w:r>
        <w:t>Health services are expected to:</w:t>
      </w:r>
    </w:p>
    <w:p w14:paraId="4E23A7FD" w14:textId="77777777" w:rsidR="00817104" w:rsidRPr="0011079D" w:rsidRDefault="00817104" w:rsidP="00817104">
      <w:pPr>
        <w:pStyle w:val="Bullet1"/>
        <w:numPr>
          <w:ilvl w:val="0"/>
          <w:numId w:val="2"/>
        </w:numPr>
      </w:pPr>
      <w:r>
        <w:t>audit and reconcile their data before, during and after the allocation of their patients’ costs</w:t>
      </w:r>
    </w:p>
    <w:p w14:paraId="48F07904" w14:textId="77777777" w:rsidR="00817104" w:rsidRPr="0011079D" w:rsidRDefault="00817104" w:rsidP="00817104">
      <w:pPr>
        <w:pStyle w:val="Bullet1"/>
        <w:numPr>
          <w:ilvl w:val="0"/>
          <w:numId w:val="2"/>
        </w:numPr>
      </w:pPr>
      <w:r>
        <w:t>examine and review their current cost data for completeness across all services</w:t>
      </w:r>
    </w:p>
    <w:p w14:paraId="4C5F5BB4" w14:textId="77777777" w:rsidR="00817104" w:rsidRDefault="00817104" w:rsidP="00817104">
      <w:pPr>
        <w:pStyle w:val="Bullet1"/>
        <w:numPr>
          <w:ilvl w:val="0"/>
          <w:numId w:val="2"/>
        </w:numPr>
      </w:pPr>
      <w:r>
        <w:t>conduct data quality assurance of their data that provides a level of understanding of the usefulness of the patient-level data for development of funding models, and interpretation for analysis and reporting.</w:t>
      </w:r>
    </w:p>
    <w:p w14:paraId="014DECA6" w14:textId="77777777" w:rsidR="00817104" w:rsidRPr="00CF394A" w:rsidRDefault="00817104" w:rsidP="00817104">
      <w:pPr>
        <w:pStyle w:val="Heading4"/>
      </w:pPr>
      <w:r>
        <w:t>Submission and timeframes</w:t>
      </w:r>
    </w:p>
    <w:p w14:paraId="257C5122" w14:textId="77777777" w:rsidR="00817104" w:rsidRDefault="00817104" w:rsidP="00817104">
      <w:pPr>
        <w:pStyle w:val="Body"/>
      </w:pPr>
      <w:r>
        <w:t>The VCDC submission involves a five-phase process to ensure the data submitted meets the requirements specified in the documentation.</w:t>
      </w:r>
    </w:p>
    <w:p w14:paraId="2D413B01" w14:textId="77777777" w:rsidR="00817104" w:rsidRDefault="00817104" w:rsidP="00817104">
      <w:pPr>
        <w:pStyle w:val="Body"/>
      </w:pPr>
      <w:r>
        <w:t>The five phases include:</w:t>
      </w:r>
    </w:p>
    <w:p w14:paraId="3A815670" w14:textId="77777777" w:rsidR="00817104" w:rsidRDefault="00817104" w:rsidP="00817104">
      <w:pPr>
        <w:pStyle w:val="Bullet1"/>
        <w:numPr>
          <w:ilvl w:val="0"/>
          <w:numId w:val="2"/>
        </w:numPr>
      </w:pPr>
      <w:r>
        <w:t>phase 1 – receipt of a submission</w:t>
      </w:r>
    </w:p>
    <w:p w14:paraId="0EDDEA4F" w14:textId="77777777" w:rsidR="00817104" w:rsidRDefault="00817104" w:rsidP="00817104">
      <w:pPr>
        <w:pStyle w:val="Bullet1"/>
        <w:numPr>
          <w:ilvl w:val="0"/>
          <w:numId w:val="2"/>
        </w:numPr>
      </w:pPr>
      <w:r>
        <w:t>phase 2 – file validations</w:t>
      </w:r>
    </w:p>
    <w:p w14:paraId="72728BCC" w14:textId="77777777" w:rsidR="00817104" w:rsidRDefault="00817104" w:rsidP="00817104">
      <w:pPr>
        <w:pStyle w:val="Bullet1"/>
        <w:numPr>
          <w:ilvl w:val="0"/>
          <w:numId w:val="2"/>
        </w:numPr>
      </w:pPr>
      <w:r>
        <w:t>phase 3 – linking/matching VCDC to activity</w:t>
      </w:r>
    </w:p>
    <w:p w14:paraId="2F6A0CAB" w14:textId="77777777" w:rsidR="00817104" w:rsidRDefault="00817104" w:rsidP="00817104">
      <w:pPr>
        <w:pStyle w:val="Bullet1"/>
        <w:numPr>
          <w:ilvl w:val="0"/>
          <w:numId w:val="2"/>
        </w:numPr>
      </w:pPr>
      <w:r>
        <w:t>phase 4 – data quality assurance checks</w:t>
      </w:r>
    </w:p>
    <w:p w14:paraId="1274C3D5" w14:textId="77777777" w:rsidR="00817104" w:rsidRDefault="00817104" w:rsidP="00817104">
      <w:pPr>
        <w:pStyle w:val="Bullet1"/>
        <w:numPr>
          <w:ilvl w:val="0"/>
          <w:numId w:val="2"/>
        </w:numPr>
      </w:pPr>
      <w:r>
        <w:t>phase 5 – receipt of a reconciliation report and data quality statement.</w:t>
      </w:r>
    </w:p>
    <w:p w14:paraId="24896F56" w14:textId="77777777" w:rsidR="00817104" w:rsidRDefault="00817104" w:rsidP="00817104">
      <w:pPr>
        <w:pStyle w:val="Bodyafterbullets"/>
        <w:rPr>
          <w:shd w:val="clear" w:color="auto" w:fill="E6E6E6"/>
        </w:rPr>
      </w:pPr>
      <w:r>
        <w:t>Health services reporting VCDC data will be required to adhere to the minimum submission timelines in Table 12.</w:t>
      </w:r>
    </w:p>
    <w:p w14:paraId="47810F7B" w14:textId="77777777" w:rsidR="00817104" w:rsidRDefault="00817104" w:rsidP="00817104">
      <w:pPr>
        <w:pStyle w:val="Bodyafterbullets"/>
      </w:pPr>
      <w:r>
        <w:t>Health services may submit more frequently than the minimum standards in the table.</w:t>
      </w:r>
    </w:p>
    <w:p w14:paraId="39815F3D" w14:textId="2A4A49BE" w:rsidR="00817104" w:rsidRDefault="00817104" w:rsidP="00817104">
      <w:pPr>
        <w:pStyle w:val="Tablecaption"/>
      </w:pPr>
      <w:bookmarkStart w:id="2772" w:name="_Toc230537132"/>
      <w:r>
        <w:t xml:space="preserve">Table </w:t>
      </w:r>
      <w:r w:rsidR="00C619F0">
        <w:t>12</w:t>
      </w:r>
      <w:r>
        <w:t xml:space="preserve">. </w:t>
      </w:r>
      <w:r w:rsidRPr="00AB1A3C">
        <w:t>VCDC actions and reporting timelines</w:t>
      </w:r>
      <w:bookmarkEnd w:id="2772"/>
    </w:p>
    <w:tbl>
      <w:tblPr>
        <w:tblStyle w:val="GridTable4-Accent1"/>
        <w:tblW w:w="0" w:type="auto"/>
        <w:tblLook w:val="04A0" w:firstRow="1" w:lastRow="0" w:firstColumn="1" w:lastColumn="0" w:noHBand="0" w:noVBand="1"/>
      </w:tblPr>
      <w:tblGrid>
        <w:gridCol w:w="7792"/>
        <w:gridCol w:w="1496"/>
      </w:tblGrid>
      <w:tr w:rsidR="00817104" w:rsidRPr="00963C90" w14:paraId="57BB2D32" w14:textId="77777777" w:rsidTr="00C61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332F7264" w14:textId="77777777" w:rsidR="00817104" w:rsidRPr="00C619F0" w:rsidRDefault="00817104" w:rsidP="00C619F0">
            <w:pPr>
              <w:pStyle w:val="Tablecolhead"/>
              <w:rPr>
                <w:b/>
                <w:bCs w:val="0"/>
                <w:color w:val="FFFFFF" w:themeColor="background1"/>
                <w:sz w:val="18"/>
                <w:szCs w:val="18"/>
              </w:rPr>
            </w:pPr>
            <w:r w:rsidRPr="00C619F0">
              <w:rPr>
                <w:b/>
                <w:bCs w:val="0"/>
                <w:color w:val="FFFFFF" w:themeColor="background1"/>
                <w:sz w:val="18"/>
                <w:szCs w:val="18"/>
              </w:rPr>
              <w:t>Actions</w:t>
            </w:r>
          </w:p>
        </w:tc>
        <w:tc>
          <w:tcPr>
            <w:tcW w:w="1496" w:type="dxa"/>
          </w:tcPr>
          <w:p w14:paraId="3E4427E4" w14:textId="77777777" w:rsidR="00817104" w:rsidRPr="00C619F0" w:rsidRDefault="00817104" w:rsidP="00C619F0">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619F0">
              <w:rPr>
                <w:b/>
                <w:bCs w:val="0"/>
                <w:color w:val="FFFFFF" w:themeColor="background1"/>
                <w:sz w:val="18"/>
                <w:szCs w:val="18"/>
              </w:rPr>
              <w:t>Date</w:t>
            </w:r>
          </w:p>
        </w:tc>
      </w:tr>
      <w:tr w:rsidR="00817104" w:rsidRPr="00ED1D02" w14:paraId="2B2D6B40" w14:textId="77777777" w:rsidTr="00C61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42C1A910" w14:textId="77777777" w:rsidR="00817104" w:rsidRPr="00936E99" w:rsidRDefault="00817104" w:rsidP="00C619F0">
            <w:pPr>
              <w:pStyle w:val="Tabletext"/>
              <w:rPr>
                <w:rFonts w:eastAsia="Courier New"/>
                <w:b w:val="0"/>
                <w:bCs w:val="0"/>
              </w:rPr>
            </w:pPr>
            <w:r w:rsidRPr="00936E99">
              <w:rPr>
                <w:rFonts w:eastAsia="Courier New"/>
                <w:b w:val="0"/>
                <w:bCs w:val="0"/>
              </w:rPr>
              <w:t>VCDC Secure Data Exchange portal open</w:t>
            </w:r>
          </w:p>
        </w:tc>
        <w:tc>
          <w:tcPr>
            <w:tcW w:w="1496" w:type="dxa"/>
          </w:tcPr>
          <w:p w14:paraId="1A7F92BF" w14:textId="77777777" w:rsidR="00817104" w:rsidRPr="00CF394A" w:rsidRDefault="00817104" w:rsidP="00C619F0">
            <w:pPr>
              <w:pStyle w:val="Tabletext"/>
              <w:cnfStyle w:val="000000100000" w:firstRow="0" w:lastRow="0" w:firstColumn="0" w:lastColumn="0" w:oddVBand="0" w:evenVBand="0" w:oddHBand="1" w:evenHBand="0" w:firstRowFirstColumn="0" w:firstRowLastColumn="0" w:lastRowFirstColumn="0" w:lastRowLastColumn="0"/>
            </w:pPr>
            <w:r w:rsidRPr="00CF394A">
              <w:rPr>
                <w:rFonts w:eastAsia="Courier New"/>
              </w:rPr>
              <w:t>2</w:t>
            </w:r>
            <w:r>
              <w:rPr>
                <w:rFonts w:eastAsia="Courier New"/>
              </w:rPr>
              <w:t>2</w:t>
            </w:r>
            <w:r w:rsidRPr="00CF394A">
              <w:rPr>
                <w:rFonts w:eastAsia="Courier New"/>
              </w:rPr>
              <w:t xml:space="preserve"> September</w:t>
            </w:r>
          </w:p>
        </w:tc>
      </w:tr>
      <w:tr w:rsidR="00817104" w:rsidRPr="00ED1D02" w14:paraId="7DFFDAD8" w14:textId="77777777" w:rsidTr="00C619F0">
        <w:tc>
          <w:tcPr>
            <w:cnfStyle w:val="001000000000" w:firstRow="0" w:lastRow="0" w:firstColumn="1" w:lastColumn="0" w:oddVBand="0" w:evenVBand="0" w:oddHBand="0" w:evenHBand="0" w:firstRowFirstColumn="0" w:firstRowLastColumn="0" w:lastRowFirstColumn="0" w:lastRowLastColumn="0"/>
            <w:tcW w:w="7792" w:type="dxa"/>
          </w:tcPr>
          <w:p w14:paraId="08784321" w14:textId="77777777" w:rsidR="00817104" w:rsidRPr="00936E99" w:rsidRDefault="00817104" w:rsidP="00C619F0">
            <w:pPr>
              <w:pStyle w:val="Tabletext"/>
              <w:rPr>
                <w:rFonts w:eastAsia="Courier New"/>
                <w:b w:val="0"/>
                <w:bCs w:val="0"/>
              </w:rPr>
            </w:pPr>
            <w:r w:rsidRPr="00936E99">
              <w:rPr>
                <w:rFonts w:eastAsia="Courier New"/>
                <w:b w:val="0"/>
                <w:bCs w:val="0"/>
              </w:rPr>
              <w:t>First submission of files to VCDC – phase 1</w:t>
            </w:r>
          </w:p>
        </w:tc>
        <w:tc>
          <w:tcPr>
            <w:tcW w:w="1496" w:type="dxa"/>
          </w:tcPr>
          <w:p w14:paraId="08B40A68" w14:textId="77777777" w:rsidR="00817104" w:rsidRPr="00CF394A" w:rsidRDefault="00817104" w:rsidP="00C619F0">
            <w:pPr>
              <w:pStyle w:val="Tabletext"/>
              <w:cnfStyle w:val="000000000000" w:firstRow="0" w:lastRow="0" w:firstColumn="0" w:lastColumn="0" w:oddVBand="0" w:evenVBand="0" w:oddHBand="0" w:evenHBand="0" w:firstRowFirstColumn="0" w:firstRowLastColumn="0" w:lastRowFirstColumn="0" w:lastRowLastColumn="0"/>
              <w:rPr>
                <w:rFonts w:eastAsia="Courier New"/>
              </w:rPr>
            </w:pPr>
            <w:r>
              <w:rPr>
                <w:rFonts w:eastAsia="Courier New"/>
              </w:rPr>
              <w:t>30</w:t>
            </w:r>
            <w:r w:rsidRPr="00CF394A">
              <w:rPr>
                <w:rFonts w:eastAsia="Courier New"/>
              </w:rPr>
              <w:t xml:space="preserve"> October</w:t>
            </w:r>
          </w:p>
        </w:tc>
      </w:tr>
      <w:tr w:rsidR="00817104" w:rsidRPr="00ED1D02" w14:paraId="6918A75A" w14:textId="77777777" w:rsidTr="00C61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5B7B90F8" w14:textId="77777777" w:rsidR="00817104" w:rsidRPr="00936E99" w:rsidRDefault="00817104" w:rsidP="00C619F0">
            <w:pPr>
              <w:pStyle w:val="Tabletext"/>
              <w:rPr>
                <w:rFonts w:eastAsia="Courier New"/>
                <w:b w:val="0"/>
                <w:bCs w:val="0"/>
              </w:rPr>
            </w:pPr>
            <w:r w:rsidRPr="00936E99">
              <w:rPr>
                <w:rFonts w:eastAsia="Courier New"/>
                <w:b w:val="0"/>
                <w:bCs w:val="0"/>
              </w:rPr>
              <w:t>Following provision of report(s) – complete phase 2 and phase 3 (validation and linking)</w:t>
            </w:r>
          </w:p>
        </w:tc>
        <w:tc>
          <w:tcPr>
            <w:tcW w:w="1496" w:type="dxa"/>
          </w:tcPr>
          <w:p w14:paraId="2E7567B7" w14:textId="77777777" w:rsidR="00817104" w:rsidRPr="00CF394A" w:rsidRDefault="00817104" w:rsidP="00C619F0">
            <w:pPr>
              <w:pStyle w:val="Tabletext"/>
              <w:cnfStyle w:val="000000100000" w:firstRow="0" w:lastRow="0" w:firstColumn="0" w:lastColumn="0" w:oddVBand="0" w:evenVBand="0" w:oddHBand="1" w:evenHBand="0" w:firstRowFirstColumn="0" w:firstRowLastColumn="0" w:lastRowFirstColumn="0" w:lastRowLastColumn="0"/>
              <w:rPr>
                <w:rFonts w:eastAsia="Courier New"/>
              </w:rPr>
            </w:pPr>
            <w:r>
              <w:rPr>
                <w:rFonts w:eastAsia="Courier New"/>
              </w:rPr>
              <w:t xml:space="preserve">27 November </w:t>
            </w:r>
          </w:p>
        </w:tc>
      </w:tr>
      <w:tr w:rsidR="00817104" w:rsidRPr="00ED1D02" w14:paraId="7621173B" w14:textId="77777777" w:rsidTr="00C619F0">
        <w:tc>
          <w:tcPr>
            <w:cnfStyle w:val="001000000000" w:firstRow="0" w:lastRow="0" w:firstColumn="1" w:lastColumn="0" w:oddVBand="0" w:evenVBand="0" w:oddHBand="0" w:evenHBand="0" w:firstRowFirstColumn="0" w:firstRowLastColumn="0" w:lastRowFirstColumn="0" w:lastRowLastColumn="0"/>
            <w:tcW w:w="7792" w:type="dxa"/>
          </w:tcPr>
          <w:p w14:paraId="71D919A9" w14:textId="77777777" w:rsidR="00817104" w:rsidRPr="00936E99" w:rsidRDefault="00817104" w:rsidP="00C619F0">
            <w:pPr>
              <w:pStyle w:val="Tabletext"/>
              <w:rPr>
                <w:rFonts w:eastAsia="Courier New"/>
                <w:b w:val="0"/>
                <w:bCs w:val="0"/>
              </w:rPr>
            </w:pPr>
            <w:r w:rsidRPr="00936E99">
              <w:rPr>
                <w:rFonts w:eastAsia="Courier New"/>
                <w:b w:val="0"/>
                <w:bCs w:val="0"/>
              </w:rPr>
              <w:t>Following provision of report(s) – complete phase 4 (quality assurance checks)</w:t>
            </w:r>
          </w:p>
        </w:tc>
        <w:tc>
          <w:tcPr>
            <w:tcW w:w="1496" w:type="dxa"/>
          </w:tcPr>
          <w:p w14:paraId="30BA4CCD" w14:textId="77777777" w:rsidR="00817104" w:rsidRPr="00CF394A" w:rsidRDefault="00817104" w:rsidP="00C619F0">
            <w:pPr>
              <w:pStyle w:val="Tabletext"/>
              <w:cnfStyle w:val="000000000000" w:firstRow="0" w:lastRow="0" w:firstColumn="0" w:lastColumn="0" w:oddVBand="0" w:evenVBand="0" w:oddHBand="0" w:evenHBand="0" w:firstRowFirstColumn="0" w:firstRowLastColumn="0" w:lastRowFirstColumn="0" w:lastRowLastColumn="0"/>
              <w:rPr>
                <w:rFonts w:eastAsia="Courier New"/>
              </w:rPr>
            </w:pPr>
            <w:r>
              <w:rPr>
                <w:rFonts w:eastAsia="Courier New"/>
              </w:rPr>
              <w:t xml:space="preserve">7 December </w:t>
            </w:r>
          </w:p>
        </w:tc>
      </w:tr>
      <w:tr w:rsidR="00817104" w:rsidRPr="00ED1D02" w14:paraId="0526E488" w14:textId="77777777" w:rsidTr="00C61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6E852C90" w14:textId="77777777" w:rsidR="00817104" w:rsidRPr="00936E99" w:rsidRDefault="00817104" w:rsidP="00C619F0">
            <w:pPr>
              <w:pStyle w:val="Tabletext"/>
              <w:rPr>
                <w:rFonts w:eastAsia="Courier New"/>
                <w:b w:val="0"/>
                <w:bCs w:val="0"/>
              </w:rPr>
            </w:pPr>
            <w:r w:rsidRPr="00936E99">
              <w:rPr>
                <w:rFonts w:eastAsia="Courier New"/>
                <w:b w:val="0"/>
                <w:bCs w:val="0"/>
              </w:rPr>
              <w:t>Following final file – complete phase 5 (submission of reconciliation report and data quality statement)</w:t>
            </w:r>
          </w:p>
        </w:tc>
        <w:tc>
          <w:tcPr>
            <w:tcW w:w="1496" w:type="dxa"/>
          </w:tcPr>
          <w:p w14:paraId="060B9384" w14:textId="77777777" w:rsidR="00817104" w:rsidRPr="00CF394A" w:rsidRDefault="00817104" w:rsidP="00C619F0">
            <w:pPr>
              <w:pStyle w:val="Tabletext"/>
              <w:cnfStyle w:val="000000100000" w:firstRow="0" w:lastRow="0" w:firstColumn="0" w:lastColumn="0" w:oddVBand="0" w:evenVBand="0" w:oddHBand="1" w:evenHBand="0" w:firstRowFirstColumn="0" w:firstRowLastColumn="0" w:lastRowFirstColumn="0" w:lastRowLastColumn="0"/>
              <w:rPr>
                <w:rFonts w:eastAsia="Courier New"/>
              </w:rPr>
            </w:pPr>
            <w:r>
              <w:rPr>
                <w:rFonts w:eastAsia="Courier New"/>
              </w:rPr>
              <w:t xml:space="preserve">15 January </w:t>
            </w:r>
          </w:p>
        </w:tc>
      </w:tr>
      <w:tr w:rsidR="00817104" w:rsidRPr="00ED1D02" w14:paraId="75D85D6C" w14:textId="77777777" w:rsidTr="00C619F0">
        <w:tc>
          <w:tcPr>
            <w:cnfStyle w:val="001000000000" w:firstRow="0" w:lastRow="0" w:firstColumn="1" w:lastColumn="0" w:oddVBand="0" w:evenVBand="0" w:oddHBand="0" w:evenHBand="0" w:firstRowFirstColumn="0" w:firstRowLastColumn="0" w:lastRowFirstColumn="0" w:lastRowLastColumn="0"/>
            <w:tcW w:w="7792" w:type="dxa"/>
          </w:tcPr>
          <w:p w14:paraId="4019E403" w14:textId="77777777" w:rsidR="00817104" w:rsidRPr="00936E99" w:rsidRDefault="00817104" w:rsidP="00C619F0">
            <w:pPr>
              <w:pStyle w:val="Tabletext"/>
              <w:rPr>
                <w:rFonts w:eastAsia="Courier New"/>
                <w:b w:val="0"/>
                <w:bCs w:val="0"/>
              </w:rPr>
            </w:pPr>
            <w:r w:rsidRPr="00936E99">
              <w:rPr>
                <w:rFonts w:eastAsia="Courier New"/>
                <w:b w:val="0"/>
                <w:bCs w:val="0"/>
              </w:rPr>
              <w:t>Department of Health to consolidate Victorian cost database</w:t>
            </w:r>
          </w:p>
        </w:tc>
        <w:tc>
          <w:tcPr>
            <w:tcW w:w="1496" w:type="dxa"/>
          </w:tcPr>
          <w:p w14:paraId="3C4D202E" w14:textId="77777777" w:rsidR="00817104" w:rsidRPr="00CF394A" w:rsidRDefault="00817104" w:rsidP="00C619F0">
            <w:pPr>
              <w:pStyle w:val="Tabletext"/>
              <w:cnfStyle w:val="000000000000" w:firstRow="0" w:lastRow="0" w:firstColumn="0" w:lastColumn="0" w:oddVBand="0" w:evenVBand="0" w:oddHBand="0" w:evenHBand="0" w:firstRowFirstColumn="0" w:firstRowLastColumn="0" w:lastRowFirstColumn="0" w:lastRowLastColumn="0"/>
            </w:pPr>
            <w:r w:rsidRPr="00CF394A">
              <w:rPr>
                <w:rFonts w:eastAsia="Courier New"/>
              </w:rPr>
              <w:t>1</w:t>
            </w:r>
            <w:r>
              <w:rPr>
                <w:rFonts w:eastAsia="Courier New"/>
              </w:rPr>
              <w:t>6</w:t>
            </w:r>
            <w:r w:rsidRPr="00CF394A">
              <w:rPr>
                <w:rFonts w:eastAsia="Courier New"/>
              </w:rPr>
              <w:t xml:space="preserve"> January</w:t>
            </w:r>
          </w:p>
        </w:tc>
      </w:tr>
    </w:tbl>
    <w:p w14:paraId="0884FAD7" w14:textId="77777777" w:rsidR="00817104" w:rsidRPr="00CF394A" w:rsidRDefault="00817104" w:rsidP="00817104">
      <w:pPr>
        <w:pStyle w:val="Heading4"/>
      </w:pPr>
      <w:r>
        <w:t>Penalties for noncompliance</w:t>
      </w:r>
    </w:p>
    <w:p w14:paraId="7097AE4B" w14:textId="77777777" w:rsidR="00817104" w:rsidRDefault="00817104" w:rsidP="00817104">
      <w:pPr>
        <w:pStyle w:val="Body"/>
      </w:pPr>
      <w:r>
        <w:t>Health services will be assessed to have complied with the department’s data requirements if they have:</w:t>
      </w:r>
    </w:p>
    <w:p w14:paraId="06066930" w14:textId="77777777" w:rsidR="00817104" w:rsidRDefault="00817104" w:rsidP="00817104">
      <w:pPr>
        <w:pStyle w:val="Bullet1"/>
        <w:numPr>
          <w:ilvl w:val="0"/>
          <w:numId w:val="2"/>
        </w:numPr>
      </w:pPr>
      <w:r w:rsidRPr="00C44B9B">
        <w:t>provided the data required as specified in the data request</w:t>
      </w:r>
    </w:p>
    <w:p w14:paraId="3EFE0651" w14:textId="77777777" w:rsidR="00817104" w:rsidRDefault="00817104" w:rsidP="00817104">
      <w:pPr>
        <w:pStyle w:val="Bullet1"/>
        <w:numPr>
          <w:ilvl w:val="0"/>
          <w:numId w:val="2"/>
        </w:numPr>
      </w:pPr>
      <w:r w:rsidRPr="00C44B9B">
        <w:t>provided the data in the timeframes requested.</w:t>
      </w:r>
    </w:p>
    <w:p w14:paraId="32452DE3" w14:textId="77777777" w:rsidR="00817104" w:rsidRDefault="00817104" w:rsidP="00817104">
      <w:pPr>
        <w:pStyle w:val="Bodyafterbullets"/>
      </w:pPr>
      <w:r>
        <w:lastRenderedPageBreak/>
        <w:t xml:space="preserve">If a health service does not meet both these requirements, they will be regarded as being noncompliant. However, where health services are experiencing issues complying with the above timeframes, they are to inform the department by emailing </w:t>
      </w:r>
      <w:hyperlink r:id="rId455" w:history="1">
        <w:r w:rsidRPr="002E2374">
          <w:rPr>
            <w:rStyle w:val="Hyperlink"/>
          </w:rPr>
          <w:t>VCDC assist</w:t>
        </w:r>
      </w:hyperlink>
      <w:r>
        <w:t xml:space="preserve"> &lt;vcdcassist@health.vic.gov.au&gt; before the submission is required.</w:t>
      </w:r>
    </w:p>
    <w:p w14:paraId="22FE3CDA" w14:textId="77777777" w:rsidR="00817104" w:rsidRDefault="00817104" w:rsidP="00817104">
      <w:pPr>
        <w:pStyle w:val="Bodyafterbullets"/>
      </w:pPr>
      <w:r>
        <w:t>In this instance, the department’s VCDC Team will work with the health service to improve the data submission process over time.</w:t>
      </w:r>
    </w:p>
    <w:p w14:paraId="0E713371" w14:textId="77777777" w:rsidR="00817104" w:rsidRDefault="00817104" w:rsidP="00817104">
      <w:pPr>
        <w:pStyle w:val="Body"/>
      </w:pPr>
      <w:r>
        <w:t>Where health services are noncompliant with the format or timelines specified above, the department may apply penalties that include:</w:t>
      </w:r>
    </w:p>
    <w:p w14:paraId="27CF2B07" w14:textId="77777777" w:rsidR="00817104" w:rsidRDefault="00817104" w:rsidP="00817104">
      <w:pPr>
        <w:pStyle w:val="Bullet1"/>
        <w:numPr>
          <w:ilvl w:val="0"/>
          <w:numId w:val="2"/>
        </w:numPr>
      </w:pPr>
      <w:r>
        <w:t>up to $20,000 per month, if cost data is not submitted by the timeline specified</w:t>
      </w:r>
    </w:p>
    <w:p w14:paraId="51B26F21" w14:textId="77777777" w:rsidR="00817104" w:rsidRDefault="00817104" w:rsidP="00817104">
      <w:pPr>
        <w:pStyle w:val="Bullet1"/>
        <w:numPr>
          <w:ilvl w:val="0"/>
          <w:numId w:val="2"/>
        </w:numPr>
      </w:pPr>
      <w:r>
        <w:t>up to $2,000 per episode, if there are a significant number of episodes that do not meet the VCDC business rules.</w:t>
      </w:r>
    </w:p>
    <w:p w14:paraId="455E18AF" w14:textId="77777777" w:rsidR="00817104" w:rsidRPr="00CF394A" w:rsidRDefault="00817104" w:rsidP="00817104">
      <w:pPr>
        <w:pStyle w:val="Heading4"/>
      </w:pPr>
      <w:r>
        <w:t>Exemptions from penalties</w:t>
      </w:r>
    </w:p>
    <w:p w14:paraId="45E5C74B" w14:textId="77777777" w:rsidR="00817104" w:rsidRDefault="00817104" w:rsidP="00817104">
      <w:pPr>
        <w:pStyle w:val="Body"/>
      </w:pPr>
      <w:r>
        <w:t>Health services seeking exemption from penalties for not meeting reporting timelines must notify the department and complete a Late data exemption request form indicating the nature of the difficulties, remedial action being taken and the expected submission date. Exemptions will be granted at the department’s discretion.</w:t>
      </w:r>
    </w:p>
    <w:p w14:paraId="1B1B5A4C" w14:textId="77777777" w:rsidR="00817104" w:rsidRDefault="00817104" w:rsidP="00817104">
      <w:pPr>
        <w:pStyle w:val="Body"/>
      </w:pPr>
      <w:r>
        <w:t>To access the VCDC late data exemption request form,</w:t>
      </w:r>
      <w:r w:rsidRPr="00182D13">
        <w:t xml:space="preserve"> </w:t>
      </w:r>
      <w:r>
        <w:t xml:space="preserve">visit </w:t>
      </w:r>
      <w:hyperlink r:id="rId456" w:history="1">
        <w:r w:rsidRPr="001004EA">
          <w:rPr>
            <w:rStyle w:val="Hyperlink"/>
          </w:rPr>
          <w:t>VCDC</w:t>
        </w:r>
      </w:hyperlink>
      <w:r>
        <w:t xml:space="preserve"> &lt;</w:t>
      </w:r>
      <w:r w:rsidRPr="00CA7610">
        <w:t>https://www.health.vic.gov.au/data-reporting/victorian-cost-data-collection-vcdc</w:t>
      </w:r>
      <w:r>
        <w:t>&gt;. This form must be submitted if a health service cannot meet the reporting deadlines.</w:t>
      </w:r>
    </w:p>
    <w:p w14:paraId="0363C51E" w14:textId="77777777" w:rsidR="00817104" w:rsidRPr="00CF394A" w:rsidRDefault="00817104" w:rsidP="00817104">
      <w:pPr>
        <w:pStyle w:val="Heading4"/>
      </w:pPr>
      <w:r>
        <w:t>Software upgrades and migrations</w:t>
      </w:r>
    </w:p>
    <w:p w14:paraId="258DC985" w14:textId="77777777" w:rsidR="00817104" w:rsidRPr="00F84388" w:rsidRDefault="00817104" w:rsidP="00817104">
      <w:pPr>
        <w:pStyle w:val="Body"/>
      </w:pPr>
      <w:r>
        <w:t>Health services undertaking software migrations must undertake VCDC data submission testing prior to resuming live VCDC data transmissions. Health services must ensure their VCDC is transmitted by the due date. They should ensure software updates and migrations do not prevent complete VCDC transmissions by this date.</w:t>
      </w:r>
    </w:p>
    <w:p w14:paraId="4B78C0F1" w14:textId="6F2AEE27" w:rsidR="00817104" w:rsidRDefault="00817104" w:rsidP="00817104">
      <w:pPr>
        <w:pStyle w:val="Heading3"/>
      </w:pPr>
      <w:r>
        <w:t>VPDC</w:t>
      </w:r>
    </w:p>
    <w:p w14:paraId="728EBE48" w14:textId="77777777" w:rsidR="00817104" w:rsidRDefault="00817104" w:rsidP="00817104">
      <w:pPr>
        <w:pStyle w:val="Body"/>
      </w:pPr>
      <w:r>
        <w:t xml:space="preserve">Health services at which births occur (or </w:t>
      </w:r>
      <w:r w:rsidRPr="000860CB">
        <w:t>where a birth does not occur within a health service</w:t>
      </w:r>
      <w:r>
        <w:t xml:space="preserve">, the attending midwife or medical practitioner) are required to report information about the birth, in a form approved by the data custodian CCOPMM. This data is considered the VPDC data. </w:t>
      </w:r>
    </w:p>
    <w:p w14:paraId="6926BD1A" w14:textId="77777777" w:rsidR="00817104" w:rsidRPr="00607702" w:rsidRDefault="00817104" w:rsidP="00817104">
      <w:pPr>
        <w:pStyle w:val="Body"/>
      </w:pPr>
      <w:r>
        <w:t xml:space="preserve">Under the </w:t>
      </w:r>
      <w:r w:rsidRPr="004B3786">
        <w:t>Public Health and Wellbeing Regulations 2019</w:t>
      </w:r>
      <w:r>
        <w:t>, VPDC data is to be submitted within 30 days of the birth, unless otherwise specified by the CCOPMM.</w:t>
      </w:r>
      <w:r w:rsidRPr="0670E279">
        <w:rPr>
          <w:rFonts w:cs="Calibri"/>
        </w:rPr>
        <w:t xml:space="preserve"> </w:t>
      </w:r>
    </w:p>
    <w:p w14:paraId="0E316C7C" w14:textId="77777777" w:rsidR="00817104" w:rsidRDefault="00817104" w:rsidP="00817104">
      <w:pPr>
        <w:pStyle w:val="Body"/>
      </w:pPr>
      <w:r>
        <w:t>The VPDC is a population-based surveillance system for collecting and analysing comprehensive information on, and in relation to, the health of mothers and babies, to contribute to improvements in their health outcomes.</w:t>
      </w:r>
    </w:p>
    <w:p w14:paraId="191B82F4" w14:textId="77777777" w:rsidR="00817104" w:rsidRPr="00607702" w:rsidRDefault="00817104" w:rsidP="00817104">
      <w:pPr>
        <w:pStyle w:val="Body"/>
        <w:rPr>
          <w:rFonts w:cs="Calibri"/>
        </w:rPr>
      </w:pPr>
      <w:r>
        <w:t xml:space="preserve">It contains information on obstetric conditions, procedures and complications, birth outcomes, neonatal morbidity, congenital anomalies and a range of other details, and must be reported for livebirth in Victoria, </w:t>
      </w:r>
      <w:r w:rsidRPr="00FC2204">
        <w:t>irrespective of gestation or birth weight, and for all stillbirths (f</w:t>
      </w:r>
      <w:r>
        <w:t>o</w:t>
      </w:r>
      <w:r w:rsidRPr="00FC2204">
        <w:t>etal deaths in-utero) occurring at, or after 20 weeks’ gestation</w:t>
      </w:r>
      <w:r w:rsidDel="00FC2204">
        <w:t>.</w:t>
      </w:r>
      <w:r>
        <w:t xml:space="preserve"> The definition of a birth for this purpose means a birth or stillbirth that is required to be registered under the </w:t>
      </w:r>
      <w:r w:rsidRPr="0670E279">
        <w:rPr>
          <w:i/>
          <w:iCs/>
        </w:rPr>
        <w:t>Births, Deaths and Marriages Registration Act 1996</w:t>
      </w:r>
      <w:r>
        <w:t>.</w:t>
      </w:r>
      <w:r w:rsidRPr="0670E279">
        <w:rPr>
          <w:rFonts w:cs="Calibri"/>
        </w:rPr>
        <w:t xml:space="preserve"> </w:t>
      </w:r>
    </w:p>
    <w:p w14:paraId="4F7B7D11" w14:textId="77777777" w:rsidR="00817104" w:rsidRPr="00607702" w:rsidRDefault="00817104" w:rsidP="00817104">
      <w:pPr>
        <w:pStyle w:val="Body"/>
      </w:pPr>
      <w:r>
        <w:t xml:space="preserve">For the VPDC manual, including data definitions, business rules and submission guidelines, visit </w:t>
      </w:r>
      <w:hyperlink r:id="rId457">
        <w:r w:rsidRPr="0670E279">
          <w:rPr>
            <w:rStyle w:val="Hyperlink"/>
          </w:rPr>
          <w:t>VPDC</w:t>
        </w:r>
      </w:hyperlink>
      <w:r>
        <w:t xml:space="preserve"> &lt;https://www.health.vic.gov.au/quality-safety-service/victorian-perinatal-data-collection&gt;.</w:t>
      </w:r>
    </w:p>
    <w:p w14:paraId="4F79D861" w14:textId="5CFF36FE" w:rsidR="00817104" w:rsidRDefault="00817104" w:rsidP="00817104">
      <w:pPr>
        <w:pStyle w:val="Heading3"/>
      </w:pPr>
      <w:bookmarkStart w:id="2773" w:name="_291.10_VHIMS_MDS"/>
      <w:bookmarkStart w:id="2774" w:name="_VHIMS_MDS"/>
      <w:bookmarkEnd w:id="2773"/>
      <w:bookmarkEnd w:id="2774"/>
      <w:r w:rsidRPr="001C40C7">
        <w:lastRenderedPageBreak/>
        <w:t>VHIMS MDS</w:t>
      </w:r>
    </w:p>
    <w:p w14:paraId="106EEDF6" w14:textId="77777777" w:rsidR="00817104" w:rsidRPr="00EB3492" w:rsidRDefault="00817104" w:rsidP="00817104">
      <w:pPr>
        <w:pStyle w:val="Body"/>
        <w:rPr>
          <w:color w:val="000000"/>
          <w:shd w:val="clear" w:color="auto" w:fill="FFFFFF"/>
        </w:rPr>
      </w:pPr>
      <w:r>
        <w:t>The department, in consultation with SCV, administers the VHIMS MDS</w:t>
      </w:r>
      <w:r>
        <w:rPr>
          <w:color w:val="000000"/>
          <w:shd w:val="clear" w:color="auto" w:fill="FFFFFF"/>
        </w:rPr>
        <w:t>, which</w:t>
      </w:r>
      <w:r w:rsidRPr="00EB3492">
        <w:rPr>
          <w:color w:val="000000"/>
          <w:shd w:val="clear" w:color="auto" w:fill="FFFFFF"/>
        </w:rPr>
        <w:t xml:space="preserve"> is a standardised dataset for the collection and classification of clinical, occupational health and safety incidents (also known as adverse events), near misses and hazards.</w:t>
      </w:r>
    </w:p>
    <w:p w14:paraId="0AABBF5A" w14:textId="77777777" w:rsidR="00817104" w:rsidRDefault="00817104" w:rsidP="00817104">
      <w:pPr>
        <w:pStyle w:val="Body"/>
      </w:pPr>
      <w:r w:rsidRPr="0670E279">
        <w:rPr>
          <w:rFonts w:eastAsia="Calibri" w:cs="Calibri"/>
        </w:rPr>
        <w:t>The VHIMS MDS is subject to the department’s annual review and change cycle.</w:t>
      </w:r>
      <w:r>
        <w:t xml:space="preserve"> All Victorian public health services and registered community health services, and services under their governance structures, are required to report data to the VHIMS 2 Version 2 MDS, in accordance with the current </w:t>
      </w:r>
      <w:hyperlink r:id="rId458" w:history="1">
        <w:r w:rsidRPr="00C44B9B">
          <w:rPr>
            <w:rStyle w:val="Hyperlink"/>
          </w:rPr>
          <w:t>VHIMS Data Manual</w:t>
        </w:r>
      </w:hyperlink>
      <w:r>
        <w:t xml:space="preserve"> &lt;https://www.health.vic.gov.au/publications/victorian-health-incident-management-system-minimum-dataset&gt;.</w:t>
      </w:r>
    </w:p>
    <w:p w14:paraId="79D89005" w14:textId="77777777" w:rsidR="00817104" w:rsidRDefault="00817104" w:rsidP="00817104">
      <w:pPr>
        <w:pStyle w:val="Body"/>
      </w:pPr>
      <w:r>
        <w:t xml:space="preserve">Health services are no longer able to submit the VHIMS interim dataset. Penalties for non-compliance may apply from 1 July 2026. </w:t>
      </w:r>
    </w:p>
    <w:p w14:paraId="041A1618" w14:textId="77777777" w:rsidR="00817104" w:rsidRPr="006D6AA6" w:rsidRDefault="00817104" w:rsidP="00817104">
      <w:pPr>
        <w:pStyle w:val="Heading4"/>
      </w:pPr>
      <w:r>
        <w:t>Near-real-time reporting</w:t>
      </w:r>
    </w:p>
    <w:p w14:paraId="77CE3703" w14:textId="77777777" w:rsidR="00817104" w:rsidRDefault="00817104" w:rsidP="00817104">
      <w:pPr>
        <w:pStyle w:val="Body"/>
      </w:pPr>
      <w:r>
        <w:t xml:space="preserve">The department and SCV require near-real-time incident data to support monitoring and surveillance activities, including timely identification of new and emerging patient and workforce safety risks. </w:t>
      </w:r>
    </w:p>
    <w:p w14:paraId="3D2152F2" w14:textId="77777777" w:rsidR="00817104" w:rsidRDefault="00817104" w:rsidP="00817104">
      <w:pPr>
        <w:pStyle w:val="Body"/>
        <w:rPr>
          <w:rFonts w:eastAsia="Calibri" w:cs="Calibri"/>
        </w:rPr>
      </w:pPr>
      <w:r w:rsidRPr="0670E279">
        <w:rPr>
          <w:rFonts w:eastAsia="Calibri" w:cs="Calibri"/>
        </w:rPr>
        <w:t xml:space="preserve">In-scope health services are required to submit all new and updated incidents to the department daily, </w:t>
      </w:r>
      <w:r>
        <w:t>via the VHIMS Central Solution or the VHIMS Application Programming Interface</w:t>
      </w:r>
      <w:r w:rsidRPr="0670E279">
        <w:rPr>
          <w:rFonts w:eastAsia="Calibri" w:cs="Calibri"/>
        </w:rPr>
        <w:t>. Reports identify where gaps in data submission exist, including noncompliant health services.</w:t>
      </w:r>
    </w:p>
    <w:p w14:paraId="4277D446" w14:textId="77777777" w:rsidR="00817104" w:rsidRDefault="00817104" w:rsidP="00817104">
      <w:pPr>
        <w:pStyle w:val="Body"/>
        <w:rPr>
          <w:rFonts w:eastAsia="Calibri" w:cs="Calibri"/>
        </w:rPr>
      </w:pPr>
      <w:r w:rsidRPr="0670E279">
        <w:rPr>
          <w:rFonts w:eastAsia="Calibri" w:cs="Calibri"/>
        </w:rPr>
        <w:t>I</w:t>
      </w:r>
      <w:r>
        <w:rPr>
          <w:rFonts w:eastAsia="Calibri" w:cs="Calibri"/>
        </w:rPr>
        <w:t xml:space="preserve">mplementation of near-real-time-reporting in </w:t>
      </w:r>
      <w:r w:rsidRPr="0670E279">
        <w:rPr>
          <w:rFonts w:eastAsia="Calibri" w:cs="Calibri"/>
        </w:rPr>
        <w:t xml:space="preserve">registered community health services </w:t>
      </w:r>
      <w:r>
        <w:rPr>
          <w:rFonts w:eastAsia="Calibri" w:cs="Calibri"/>
        </w:rPr>
        <w:t>occurred gradually over 2025–26.</w:t>
      </w:r>
      <w:r w:rsidRPr="0670E279" w:rsidDel="00982BA4">
        <w:rPr>
          <w:rFonts w:eastAsia="Calibri" w:cs="Calibri"/>
        </w:rPr>
        <w:t xml:space="preserve"> </w:t>
      </w:r>
      <w:r>
        <w:rPr>
          <w:rFonts w:eastAsia="Calibri" w:cs="Calibri"/>
        </w:rPr>
        <w:t>From 1 July 2026, all registered community health services are required to have completed implementation of near-real-time reporting</w:t>
      </w:r>
      <w:r w:rsidRPr="0670E279">
        <w:rPr>
          <w:rFonts w:eastAsia="Calibri" w:cs="Calibri"/>
        </w:rPr>
        <w:t xml:space="preserve">. </w:t>
      </w:r>
    </w:p>
    <w:p w14:paraId="0A174A6A" w14:textId="45ED8C9C" w:rsidR="00817104" w:rsidRDefault="00817104" w:rsidP="00817104">
      <w:pPr>
        <w:pStyle w:val="Heading3"/>
      </w:pPr>
      <w:r>
        <w:t>Better Patient Dataset</w:t>
      </w:r>
    </w:p>
    <w:p w14:paraId="3A8E74D6" w14:textId="77777777" w:rsidR="00817104" w:rsidRPr="00B61A4E" w:rsidRDefault="00817104" w:rsidP="00817104">
      <w:pPr>
        <w:pStyle w:val="Body"/>
      </w:pPr>
      <w:r>
        <w:t>The Better Patient Dataset contains a core set of demographic information about every patient who has been treated in a Victorian health service. Regular updates of the Better Patient Dataset are essential for optimum health services’ planning, policy formulation, program evaluation and epidemiological research.</w:t>
      </w:r>
    </w:p>
    <w:p w14:paraId="062515A7" w14:textId="77777777" w:rsidR="00817104" w:rsidRPr="00B61A4E" w:rsidRDefault="00817104" w:rsidP="00817104">
      <w:pPr>
        <w:pStyle w:val="Body"/>
      </w:pPr>
      <w:r>
        <w:t>Health services will provide the Better Patient Dataset to the department electronically for each month, in accordance with departmental specifications, by the tenth day of the following month, or as otherwise requested by the department due to changed circumstances.</w:t>
      </w:r>
    </w:p>
    <w:p w14:paraId="57BC6E53" w14:textId="77777777" w:rsidR="00817104" w:rsidRPr="00CF394A" w:rsidRDefault="00817104" w:rsidP="00817104">
      <w:pPr>
        <w:pStyle w:val="Heading4"/>
      </w:pPr>
      <w:r>
        <w:t>Penalties for noncompliance</w:t>
      </w:r>
    </w:p>
    <w:p w14:paraId="72E14B01" w14:textId="77777777" w:rsidR="00817104" w:rsidRPr="00B61A4E" w:rsidRDefault="00817104" w:rsidP="00817104">
      <w:pPr>
        <w:pStyle w:val="Body"/>
      </w:pPr>
      <w:r>
        <w:t>If health services are noncompliant with these timelines, the department may apply a penalty of up to $3,800 for each return that is not submitted by the due date specified above.</w:t>
      </w:r>
    </w:p>
    <w:p w14:paraId="480751EF" w14:textId="77777777" w:rsidR="00817104" w:rsidRPr="00B61A4E" w:rsidRDefault="00817104" w:rsidP="00817104">
      <w:pPr>
        <w:pStyle w:val="Body"/>
      </w:pPr>
      <w:r>
        <w:t>Organisations seeking exemption from penalties for late data must write to the Specialist Manager, Centre for Victorian Data Linkage, advising of the issues experienced, the organisation’s plan for overcoming the issues and the expected submission date.</w:t>
      </w:r>
    </w:p>
    <w:p w14:paraId="5BDF1F4E" w14:textId="45380A73" w:rsidR="00817104" w:rsidRDefault="00817104" w:rsidP="00817104">
      <w:pPr>
        <w:pStyle w:val="Heading3"/>
        <w:ind w:left="1276" w:hanging="1276"/>
      </w:pPr>
      <w:r>
        <w:t>VICNISS</w:t>
      </w:r>
    </w:p>
    <w:p w14:paraId="19C0D93E" w14:textId="77777777" w:rsidR="00817104" w:rsidRDefault="00817104" w:rsidP="00817104">
      <w:pPr>
        <w:pStyle w:val="Body"/>
      </w:pPr>
      <w:bookmarkStart w:id="2775" w:name="_Hlk197018214"/>
      <w:r>
        <w:t xml:space="preserve">The VICNISS Coordinating Centre collects and analyses data from individual hospitals, including data on risk-adjusted, procedure-specific infection rates (surgical site infections), </w:t>
      </w:r>
      <w:r w:rsidRPr="0670E279">
        <w:rPr>
          <w:i/>
          <w:iCs/>
        </w:rPr>
        <w:t>Staphylococcus aureus</w:t>
      </w:r>
      <w:r>
        <w:t xml:space="preserve"> bacteraemia-associated infections and central-line-associated bloodstream infections in ICUs.</w:t>
      </w:r>
    </w:p>
    <w:p w14:paraId="165AD433" w14:textId="77777777" w:rsidR="00817104" w:rsidRDefault="00817104" w:rsidP="00817104">
      <w:pPr>
        <w:pStyle w:val="Body"/>
      </w:pPr>
      <w:r w:rsidRPr="003D7A03">
        <w:lastRenderedPageBreak/>
        <w:t xml:space="preserve">VICNISS provides a list of mandatory and voluntary </w:t>
      </w:r>
      <w:hyperlink r:id="rId459" w:history="1">
        <w:r w:rsidRPr="003563AF">
          <w:rPr>
            <w:rStyle w:val="Hyperlink"/>
          </w:rPr>
          <w:t>surveillance activities in hospitals</w:t>
        </w:r>
      </w:hyperlink>
      <w:r w:rsidRPr="003D7A03">
        <w:t xml:space="preserve"> </w:t>
      </w:r>
      <w:r>
        <w:t>&lt;</w:t>
      </w:r>
      <w:r w:rsidRPr="00D72591">
        <w:t>https://www.vicniss.org.au/about/about-surveillance/</w:t>
      </w:r>
      <w:r>
        <w:t>&gt;</w:t>
      </w:r>
      <w:r w:rsidRPr="003D7A03">
        <w:t>.</w:t>
      </w:r>
    </w:p>
    <w:p w14:paraId="358B769B" w14:textId="77777777" w:rsidR="00817104" w:rsidRDefault="00817104" w:rsidP="00817104">
      <w:pPr>
        <w:pStyle w:val="Body"/>
        <w:rPr>
          <w:szCs w:val="21"/>
        </w:rPr>
      </w:pPr>
      <w:r w:rsidRPr="00605788">
        <w:t>All public health services are required to participate in the VICNISS Coordinating Centre’s h</w:t>
      </w:r>
      <w:r>
        <w:t>ealthcare-associated</w:t>
      </w:r>
      <w:r w:rsidRPr="00605788">
        <w:t xml:space="preserve"> infection surveillance program. </w:t>
      </w:r>
      <w:bookmarkStart w:id="2776" w:name="_Hlk197018365"/>
      <w:r w:rsidRPr="00605788">
        <w:t>Mandatory reporting requirements by individual health services are determined by the size of the health service and type of services provided</w:t>
      </w:r>
      <w:r w:rsidRPr="00B477F1">
        <w:rPr>
          <w:szCs w:val="21"/>
        </w:rPr>
        <w:t>.</w:t>
      </w:r>
      <w:bookmarkStart w:id="2777" w:name="_Hlk197018683"/>
      <w:bookmarkStart w:id="2778" w:name="_Hlk197018416"/>
      <w:bookmarkEnd w:id="2775"/>
      <w:bookmarkEnd w:id="2776"/>
    </w:p>
    <w:p w14:paraId="4251D620" w14:textId="77777777" w:rsidR="00817104" w:rsidRDefault="00817104" w:rsidP="00817104">
      <w:pPr>
        <w:pStyle w:val="Body"/>
      </w:pPr>
      <w:r>
        <w:t xml:space="preserve">Infection surveillance reporting for </w:t>
      </w:r>
      <w:bookmarkEnd w:id="2777"/>
      <w:r>
        <w:t>health services include:</w:t>
      </w:r>
    </w:p>
    <w:bookmarkEnd w:id="2778"/>
    <w:p w14:paraId="58905DD8" w14:textId="77777777" w:rsidR="00817104" w:rsidRDefault="00817104" w:rsidP="00817104">
      <w:pPr>
        <w:pStyle w:val="Bullet1"/>
        <w:numPr>
          <w:ilvl w:val="0"/>
          <w:numId w:val="2"/>
        </w:numPr>
      </w:pPr>
      <w:r>
        <w:t>surgical site infections following hip and knee arthroplasty, coronary artery bypass graft surgery, colorectal surgery and caesarean section</w:t>
      </w:r>
    </w:p>
    <w:p w14:paraId="356D079A" w14:textId="77777777" w:rsidR="00817104" w:rsidRDefault="00817104" w:rsidP="00817104">
      <w:pPr>
        <w:pStyle w:val="Bullet1"/>
        <w:numPr>
          <w:ilvl w:val="0"/>
          <w:numId w:val="2"/>
        </w:numPr>
      </w:pPr>
      <w:r>
        <w:t>ICU central line-associated blood stream infections</w:t>
      </w:r>
    </w:p>
    <w:p w14:paraId="32C97A82" w14:textId="77777777" w:rsidR="00817104" w:rsidRDefault="00817104" w:rsidP="00817104">
      <w:pPr>
        <w:pStyle w:val="Bullet1"/>
        <w:numPr>
          <w:ilvl w:val="0"/>
          <w:numId w:val="2"/>
        </w:numPr>
      </w:pPr>
      <w:r>
        <w:t xml:space="preserve">healthcare-associated bloodstream infection, including </w:t>
      </w:r>
      <w:r w:rsidRPr="006560D5">
        <w:rPr>
          <w:i/>
          <w:iCs/>
        </w:rPr>
        <w:t>Staphylococcus aureus</w:t>
      </w:r>
      <w:r>
        <w:t xml:space="preserve"> bacteraemia</w:t>
      </w:r>
    </w:p>
    <w:p w14:paraId="766DA5B7" w14:textId="77777777" w:rsidR="00817104" w:rsidRPr="00B477F1" w:rsidDel="00DA4267" w:rsidRDefault="00817104" w:rsidP="00817104">
      <w:pPr>
        <w:pStyle w:val="Bullet1"/>
        <w:numPr>
          <w:ilvl w:val="0"/>
          <w:numId w:val="2"/>
        </w:numPr>
      </w:pPr>
      <w:r w:rsidRPr="00DA4267">
        <w:t xml:space="preserve">healthcare worker seasonal influenza </w:t>
      </w:r>
      <w:r>
        <w:t>vaccination.</w:t>
      </w:r>
    </w:p>
    <w:p w14:paraId="677B4B2C" w14:textId="77777777" w:rsidR="00817104" w:rsidRDefault="00817104" w:rsidP="00817104">
      <w:pPr>
        <w:pStyle w:val="Bodyafterbullets"/>
      </w:pPr>
      <w:r>
        <w:t xml:space="preserve">Further infection surveillance activities can be undertaken by health services on a voluntary, as-needs basis. </w:t>
      </w:r>
    </w:p>
    <w:p w14:paraId="7FFFD430" w14:textId="77777777" w:rsidR="00817104" w:rsidRPr="00AD2B0E" w:rsidRDefault="00817104" w:rsidP="00817104">
      <w:pPr>
        <w:pStyle w:val="Bodyafterbullets"/>
      </w:pPr>
      <w:r>
        <w:t xml:space="preserve">Health services with a statistically significant rate </w:t>
      </w:r>
      <w:r w:rsidRPr="001278AC">
        <w:t>outside the rate expected</w:t>
      </w:r>
      <w:r>
        <w:t>,</w:t>
      </w:r>
      <w:r w:rsidRPr="001278AC">
        <w:t xml:space="preserve"> in comparison to the target rate or to peer health services</w:t>
      </w:r>
      <w:r>
        <w:t>,</w:t>
      </w:r>
      <w:r w:rsidRPr="001278AC" w:rsidDel="001278AC">
        <w:t xml:space="preserve"> </w:t>
      </w:r>
      <w:r>
        <w:t xml:space="preserve">are notified and requested to provide information on actions that are being taken to address the variance. Continued occurrence of variance may lead to a formal outlier review process by SCV. </w:t>
      </w:r>
    </w:p>
    <w:p w14:paraId="147C2349" w14:textId="77777777" w:rsidR="00817104" w:rsidRPr="00AD2B0E" w:rsidRDefault="00817104" w:rsidP="00817104">
      <w:pPr>
        <w:pStyle w:val="Body"/>
      </w:pPr>
      <w:r>
        <w:t xml:space="preserve">A limited number of healthcare-associated infections performance indicators are reported publicly at </w:t>
      </w:r>
      <w:hyperlink r:id="rId460">
        <w:r w:rsidRPr="0670E279">
          <w:rPr>
            <w:rStyle w:val="Hyperlink"/>
          </w:rPr>
          <w:t>Victorian Health Services Performance</w:t>
        </w:r>
      </w:hyperlink>
      <w:r>
        <w:t xml:space="preserve"> &lt;https://vahi.vic.gov.au/reports/victorian-health-services-performance&gt;.</w:t>
      </w:r>
    </w:p>
    <w:p w14:paraId="79626615" w14:textId="77777777" w:rsidR="00817104" w:rsidRPr="00AD2B0E" w:rsidRDefault="00817104" w:rsidP="00817104">
      <w:pPr>
        <w:pStyle w:val="Body"/>
      </w:pPr>
      <w:r>
        <w:t xml:space="preserve">Rates for </w:t>
      </w:r>
      <w:r w:rsidRPr="0670E279">
        <w:rPr>
          <w:rStyle w:val="Emphasis"/>
        </w:rPr>
        <w:t>Staphylococcus aureus</w:t>
      </w:r>
      <w:r>
        <w:t xml:space="preserve"> bacteraemia and compliance with the National Hand Hygiene Initiative guidelines are publicly reported at</w:t>
      </w:r>
      <w:r w:rsidRPr="00F31170">
        <w:t xml:space="preserve"> </w:t>
      </w:r>
      <w:hyperlink r:id="rId461" w:history="1">
        <w:r w:rsidRPr="004C66C9">
          <w:rPr>
            <w:rStyle w:val="Hyperlink"/>
          </w:rPr>
          <w:t>Hospitals</w:t>
        </w:r>
      </w:hyperlink>
      <w:r w:rsidRPr="00F31170">
        <w:t xml:space="preserve"> &lt;https://www.aihw.gov.au/hospitals&gt;.</w:t>
      </w:r>
      <w:r>
        <w:t xml:space="preserve"> </w:t>
      </w:r>
    </w:p>
    <w:p w14:paraId="4EF3272B" w14:textId="11F5A616" w:rsidR="00817104" w:rsidRPr="00226C69" w:rsidRDefault="00817104" w:rsidP="008D45A5">
      <w:pPr>
        <w:pStyle w:val="Heading3"/>
        <w:ind w:left="1361" w:hanging="1361"/>
      </w:pPr>
      <w:r w:rsidRPr="007A6B2E">
        <w:t>Victorian State Trauma Registry</w:t>
      </w:r>
    </w:p>
    <w:p w14:paraId="61327A0E" w14:textId="77777777" w:rsidR="00817104" w:rsidRDefault="00817104" w:rsidP="00817104">
      <w:pPr>
        <w:pStyle w:val="Body"/>
      </w:pPr>
      <w:r>
        <w:t>All public health services, including the three designated major trauma services, must participate in the Victorian State Trauma Registry (VSTR). The key requirement is the delivery of trauma data (injury and treatment), in the form requested by the registry, to the registry on time. SCV contracts the VSTR to collect data on major trauma patients from health services.</w:t>
      </w:r>
    </w:p>
    <w:p w14:paraId="68815854" w14:textId="77777777" w:rsidR="00817104" w:rsidRDefault="00817104" w:rsidP="00817104">
      <w:pPr>
        <w:pStyle w:val="Body"/>
      </w:pPr>
      <w:r>
        <w:t>The performance and effectiveness of the VSTR is monitored via the registry. The failure to deliver data on time affects the governance of the Victorian State Trauma System and the ability of the registry to deliver reports to health services. State aggregate data is reported every year in the VSTR summary report.</w:t>
      </w:r>
    </w:p>
    <w:p w14:paraId="45268846" w14:textId="77777777" w:rsidR="00817104" w:rsidRPr="00B61A4E" w:rsidRDefault="00817104" w:rsidP="00817104">
      <w:pPr>
        <w:pStyle w:val="Body"/>
      </w:pPr>
      <w:r>
        <w:t xml:space="preserve">To access these reports, visit </w:t>
      </w:r>
      <w:hyperlink r:id="rId462">
        <w:r>
          <w:rPr>
            <w:rStyle w:val="Hyperlink"/>
          </w:rPr>
          <w:t>About the Victorian State Trauma System</w:t>
        </w:r>
      </w:hyperlink>
      <w:r>
        <w:t xml:space="preserve"> &lt;https://www.health.vic.gov.au/patient-care/victorian-state-trauma-registry&gt;.</w:t>
      </w:r>
    </w:p>
    <w:p w14:paraId="7246C5A3" w14:textId="17F15856" w:rsidR="00817104" w:rsidRDefault="00817104" w:rsidP="008D45A5">
      <w:pPr>
        <w:pStyle w:val="Heading3"/>
        <w:ind w:left="1361" w:hanging="1361"/>
      </w:pPr>
      <w:r>
        <w:t>Victorian Audit of Surgical Mortality</w:t>
      </w:r>
    </w:p>
    <w:p w14:paraId="2018E0BF" w14:textId="77777777" w:rsidR="00817104" w:rsidRDefault="00817104" w:rsidP="00817104">
      <w:pPr>
        <w:pStyle w:val="Body"/>
      </w:pPr>
      <w:r>
        <w:t>The Victorian Audit of Surgical Mortality (VASM) is a peer-review audit of deaths associated with surgical care, which is undertaken through the Royal Australasian College of Surgeons Victorian Office. Surgeon participation in the audit is a requirement of the college’s continuing professional development program. It is funded by the department and SCV is the contact manager.</w:t>
      </w:r>
    </w:p>
    <w:p w14:paraId="7572D3D4" w14:textId="77777777" w:rsidR="00817104" w:rsidRDefault="00817104" w:rsidP="00817104">
      <w:pPr>
        <w:pStyle w:val="Body"/>
      </w:pPr>
      <w:r>
        <w:t xml:space="preserve">The audit strengthens relationships with the department as a recommendation of </w:t>
      </w:r>
      <w:hyperlink r:id="rId463">
        <w:r w:rsidRPr="0670E279">
          <w:rPr>
            <w:rStyle w:val="Hyperlink"/>
          </w:rPr>
          <w:t>Targeting zero</w:t>
        </w:r>
        <w:r>
          <w:rPr>
            <w:rStyle w:val="Hyperlink"/>
          </w:rPr>
          <w:t>:</w:t>
        </w:r>
        <w:r w:rsidRPr="0670E279">
          <w:rPr>
            <w:rStyle w:val="Hyperlink"/>
          </w:rPr>
          <w:t xml:space="preserve"> the review of hospital safety and quality assurance in Victoria</w:t>
        </w:r>
      </w:hyperlink>
      <w:r>
        <w:rPr>
          <w:rStyle w:val="Hyperlink"/>
        </w:rPr>
        <w:t xml:space="preserve"> </w:t>
      </w:r>
      <w:r>
        <w:lastRenderedPageBreak/>
        <w:t>&lt;https://www.health.vic.gov.au/publications/targeting-zero-the-review-of-hospital-safety-and-quality-assurance-in-victoria&gt;.</w:t>
      </w:r>
    </w:p>
    <w:p w14:paraId="5135610E" w14:textId="77777777" w:rsidR="00817104" w:rsidRDefault="00817104" w:rsidP="00817104">
      <w:pPr>
        <w:pStyle w:val="Body"/>
      </w:pPr>
      <w:r w:rsidRPr="00E10123">
        <w:t xml:space="preserve">The </w:t>
      </w:r>
      <w:r>
        <w:t>establishment</w:t>
      </w:r>
      <w:r w:rsidRPr="00E10123">
        <w:t xml:space="preserve"> of the Perioperative Mortality Committee </w:t>
      </w:r>
      <w:r>
        <w:t xml:space="preserve">through the VASM </w:t>
      </w:r>
      <w:r w:rsidRPr="00E10123">
        <w:t xml:space="preserve">has </w:t>
      </w:r>
      <w:r>
        <w:t>enhanced</w:t>
      </w:r>
      <w:r w:rsidRPr="00E10123">
        <w:t xml:space="preserve"> information-sharing arrangements with the Victorian Perioperative Consultative Council (VPCC) being included in Commonwealth Qualified Privilege legislation</w:t>
      </w:r>
      <w:r>
        <w:t>.</w:t>
      </w:r>
    </w:p>
    <w:p w14:paraId="07D92570" w14:textId="20D69384" w:rsidR="00817104" w:rsidRDefault="00817104" w:rsidP="008D45A5">
      <w:pPr>
        <w:pStyle w:val="Heading3"/>
        <w:ind w:left="1361" w:hanging="1361"/>
      </w:pPr>
      <w:r>
        <w:t xml:space="preserve">Consultative councils </w:t>
      </w:r>
      <w:r w:rsidRPr="00CF394A">
        <w:t>reporting</w:t>
      </w:r>
      <w:r>
        <w:t xml:space="preserve"> requirements</w:t>
      </w:r>
    </w:p>
    <w:p w14:paraId="307DFAE0" w14:textId="77777777" w:rsidR="00817104" w:rsidRPr="00CF394A" w:rsidRDefault="00817104" w:rsidP="00817104">
      <w:pPr>
        <w:pStyle w:val="Heading4"/>
      </w:pPr>
      <w:r>
        <w:t>VPCC</w:t>
      </w:r>
    </w:p>
    <w:p w14:paraId="6C0E3E43" w14:textId="77777777" w:rsidR="00817104" w:rsidRDefault="00817104" w:rsidP="00817104">
      <w:pPr>
        <w:pStyle w:val="Body"/>
      </w:pPr>
      <w:r>
        <w:t>The VPCC oversees, reviews and monitors perioperative care in Victoria. Health services and clinicians report adverse events (including death) that may occur prior to, during or following surgery, to the VPCC.</w:t>
      </w:r>
    </w:p>
    <w:p w14:paraId="797776D7" w14:textId="77777777" w:rsidR="00817104" w:rsidRDefault="00817104" w:rsidP="00817104">
      <w:pPr>
        <w:pStyle w:val="Body"/>
      </w:pPr>
      <w:r>
        <w:t xml:space="preserve">The </w:t>
      </w:r>
      <w:r w:rsidRPr="001D4DE0">
        <w:t xml:space="preserve">VPCC reviews and identifies preventable harm for mortality and morbidity cases. It must report any preventable harm identified in its review process to the Secretary of </w:t>
      </w:r>
      <w:r>
        <w:t xml:space="preserve">the </w:t>
      </w:r>
      <w:r w:rsidRPr="001D4DE0">
        <w:t>department.</w:t>
      </w:r>
    </w:p>
    <w:p w14:paraId="77170286" w14:textId="0DF80A10" w:rsidR="00817104" w:rsidRDefault="00817104" w:rsidP="00817104">
      <w:pPr>
        <w:pStyle w:val="Body"/>
      </w:pPr>
      <w:r>
        <w:t xml:space="preserve">For more information, visit the </w:t>
      </w:r>
      <w:hyperlink r:id="rId464" w:history="1">
        <w:r w:rsidRPr="008F537D">
          <w:rPr>
            <w:rStyle w:val="Hyperlink"/>
          </w:rPr>
          <w:t>VPCC</w:t>
        </w:r>
      </w:hyperlink>
      <w:r>
        <w:t xml:space="preserve"> &lt;</w:t>
      </w:r>
      <w:r w:rsidRPr="008E25D6">
        <w:t>https://www.safercare.vic.gov.au/councils/vpcc</w:t>
      </w:r>
      <w:r>
        <w:t>&gt;.</w:t>
      </w:r>
    </w:p>
    <w:p w14:paraId="48C8C896" w14:textId="5A47F01B" w:rsidR="00817104" w:rsidRDefault="00817104" w:rsidP="00817104">
      <w:pPr>
        <w:spacing w:after="0" w:line="240" w:lineRule="auto"/>
        <w:rPr>
          <w:rFonts w:eastAsia="Times"/>
        </w:rPr>
      </w:pPr>
    </w:p>
    <w:p w14:paraId="59C410B6" w14:textId="77777777" w:rsidR="00817104" w:rsidRPr="00CF394A" w:rsidRDefault="00817104" w:rsidP="00817104">
      <w:pPr>
        <w:pStyle w:val="Heading4"/>
      </w:pPr>
      <w:r w:rsidRPr="00C04777">
        <w:t>Consultative Council on Obstetric and Paediatric Mortality and Morbidity</w:t>
      </w:r>
      <w:r>
        <w:t xml:space="preserve"> (CCOPMM)</w:t>
      </w:r>
    </w:p>
    <w:p w14:paraId="51C1F760" w14:textId="77777777" w:rsidR="00817104" w:rsidRDefault="00817104" w:rsidP="00817104">
      <w:pPr>
        <w:pStyle w:val="Body"/>
      </w:pPr>
      <w:r>
        <w:t>The CCOPMM considers, investigates and reports on obstetric and paediatric mortality and morbidity in Victoria.</w:t>
      </w:r>
    </w:p>
    <w:p w14:paraId="193BEEE0" w14:textId="77777777" w:rsidR="00817104" w:rsidRDefault="00817104" w:rsidP="00817104">
      <w:pPr>
        <w:pStyle w:val="Body"/>
      </w:pPr>
      <w:r>
        <w:t>The CCOPMM is also responsible for the:</w:t>
      </w:r>
    </w:p>
    <w:p w14:paraId="2B47C86A" w14:textId="77777777" w:rsidR="00817104" w:rsidRDefault="00817104" w:rsidP="00817104">
      <w:pPr>
        <w:pStyle w:val="Bullet1"/>
        <w:numPr>
          <w:ilvl w:val="0"/>
          <w:numId w:val="2"/>
        </w:numPr>
      </w:pPr>
      <w:r>
        <w:t xml:space="preserve">VPDC, a population-based surveillance system that collects and analyses information on the health of mothers and babies during the birth episode (see </w:t>
      </w:r>
      <w:hyperlink w:anchor="_28.7_VPDC" w:history="1">
        <w:r w:rsidRPr="005B7F08">
          <w:rPr>
            <w:rStyle w:val="Hyperlink"/>
          </w:rPr>
          <w:t>section 28.7</w:t>
        </w:r>
      </w:hyperlink>
      <w:r>
        <w:t xml:space="preserve"> for data collection changes)</w:t>
      </w:r>
    </w:p>
    <w:p w14:paraId="7BE05775" w14:textId="77777777" w:rsidR="00817104" w:rsidRDefault="00817104" w:rsidP="00817104">
      <w:pPr>
        <w:pStyle w:val="Bullet1"/>
        <w:numPr>
          <w:ilvl w:val="0"/>
          <w:numId w:val="2"/>
        </w:numPr>
      </w:pPr>
      <w:r>
        <w:t>Victorian Congenital Anomalies Register, which is a surveillance system for congenital anomalies in Victoria.</w:t>
      </w:r>
    </w:p>
    <w:p w14:paraId="6888123F" w14:textId="77777777" w:rsidR="00817104" w:rsidRDefault="00817104" w:rsidP="00817104">
      <w:pPr>
        <w:pStyle w:val="Bodyafterbullets"/>
      </w:pPr>
      <w:r>
        <w:t xml:space="preserve">The CCOPMM reviews and identifies </w:t>
      </w:r>
      <w:r w:rsidRPr="00CF394A">
        <w:t>preventable</w:t>
      </w:r>
      <w:r>
        <w:t xml:space="preserve"> harm for these mortality and morbidity cases. It must report any preventable harm identified in its review process to the CEO of SCV.</w:t>
      </w:r>
    </w:p>
    <w:p w14:paraId="4730E6B5" w14:textId="77777777" w:rsidR="00817104" w:rsidRPr="000901E1" w:rsidRDefault="00817104" w:rsidP="00817104">
      <w:pPr>
        <w:pStyle w:val="Bodyafterbullets"/>
      </w:pPr>
      <w:r>
        <w:t xml:space="preserve">For more information, visit the </w:t>
      </w:r>
      <w:hyperlink r:id="rId465" w:history="1">
        <w:r w:rsidRPr="009A4809">
          <w:rPr>
            <w:rStyle w:val="Hyperlink"/>
          </w:rPr>
          <w:t>CCOPMM</w:t>
        </w:r>
      </w:hyperlink>
      <w:r>
        <w:t xml:space="preserve"> &lt;</w:t>
      </w:r>
      <w:r w:rsidRPr="00AD11D3">
        <w:t>https://www.safercare.vic.gov.au/councils/CCOPMM</w:t>
      </w:r>
      <w:r>
        <w:t>&gt;.</w:t>
      </w:r>
    </w:p>
    <w:p w14:paraId="3A0F9634" w14:textId="62E5F23D" w:rsidR="00817104" w:rsidRDefault="00817104" w:rsidP="008D45A5">
      <w:pPr>
        <w:pStyle w:val="Heading3"/>
        <w:ind w:left="1361" w:hanging="1361"/>
      </w:pPr>
      <w:r>
        <w:t>Cardiac Surgery Database</w:t>
      </w:r>
    </w:p>
    <w:p w14:paraId="03022AAD" w14:textId="77777777" w:rsidR="00817104" w:rsidRDefault="00817104" w:rsidP="00817104">
      <w:pPr>
        <w:pStyle w:val="Body"/>
      </w:pPr>
      <w:r>
        <w:t xml:space="preserve">The Cardiac Surgery Database is coordinated by Monash University’s School of Public Health and Preventive Medicine. SCV expects all Victorian public health services that perform cardiac surgery to participate. This project is an initiative of the </w:t>
      </w:r>
      <w:r w:rsidRPr="00CB0028">
        <w:t xml:space="preserve">Australian and New Zealand Society of Cardiac and Thoracic Surgeons </w:t>
      </w:r>
      <w:r>
        <w:t>(ANZSCTS) and is overseen by the ANZSCTS Cardiac Surgery Database Steering Committee.</w:t>
      </w:r>
    </w:p>
    <w:p w14:paraId="052BE3E7" w14:textId="77777777" w:rsidR="00817104" w:rsidRDefault="00817104" w:rsidP="00817104">
      <w:pPr>
        <w:pStyle w:val="Body"/>
      </w:pPr>
      <w:r>
        <w:t>The Cardiac Surgery Database includes maintaining a comprehensive clinical registry, statistical analysis and report generation. These components enable a structured peer-review process that can identify variation in performance at the practitioner and health service levels.</w:t>
      </w:r>
    </w:p>
    <w:p w14:paraId="7FD2B91B" w14:textId="77777777" w:rsidR="00817104" w:rsidRDefault="00817104" w:rsidP="00817104">
      <w:pPr>
        <w:pStyle w:val="Body"/>
      </w:pPr>
      <w:r>
        <w:t>The funding arrangements for this database, outlined in a contract managed by SCV, stipulate that quarterly reports of summarised data are submitted to SCV and/or the department.</w:t>
      </w:r>
    </w:p>
    <w:p w14:paraId="52144DBD" w14:textId="77777777" w:rsidR="00817104" w:rsidRPr="00501B63" w:rsidRDefault="00817104" w:rsidP="00817104">
      <w:pPr>
        <w:pStyle w:val="Body"/>
      </w:pPr>
      <w:r>
        <w:lastRenderedPageBreak/>
        <w:t>The Cardiac Surgery Database is part of an extensive effort to leverage clinical registries for benchmarking and quality improvement in health care at both national and jurisdictional levels. Data in these reports are received with Victorian public health services identified by name, to better support and strategically guide statewide quality improvement activity and service planning. Registry data are also received for linkage to inform the development of statewide quality and safety indicators.</w:t>
      </w:r>
    </w:p>
    <w:p w14:paraId="6FF72FD6" w14:textId="77777777" w:rsidR="00817104" w:rsidRPr="00501B63" w:rsidRDefault="00817104" w:rsidP="00817104">
      <w:pPr>
        <w:pStyle w:val="Body"/>
      </w:pPr>
      <w:r>
        <w:t xml:space="preserve">For more information, including annual reports and specific contact details for inquiries, visit </w:t>
      </w:r>
      <w:hyperlink r:id="rId466" w:history="1">
        <w:r w:rsidRPr="002427E3">
          <w:rPr>
            <w:rStyle w:val="Hyperlink"/>
          </w:rPr>
          <w:t>Monash Clincial Registries</w:t>
        </w:r>
      </w:hyperlink>
      <w:r>
        <w:t xml:space="preserve"> &lt;https://www.monash.edu/medicine/sphpm/registries&gt;. For detailed data and insights, visit the </w:t>
      </w:r>
      <w:hyperlink r:id="rId467" w:history="1">
        <w:r w:rsidRPr="00C4152D">
          <w:rPr>
            <w:rStyle w:val="Hyperlink"/>
          </w:rPr>
          <w:t>ANZSCTS</w:t>
        </w:r>
      </w:hyperlink>
      <w:r>
        <w:t xml:space="preserve"> &lt;https://anzscts.org/database/about/&gt;.</w:t>
      </w:r>
    </w:p>
    <w:p w14:paraId="78F31F52" w14:textId="2A8AEC59" w:rsidR="00817104" w:rsidRDefault="00817104" w:rsidP="008D45A5">
      <w:pPr>
        <w:pStyle w:val="Heading3"/>
        <w:ind w:left="1361" w:hanging="1361"/>
      </w:pPr>
      <w:r>
        <w:t>Victorian Cardiac Outcomes Registry</w:t>
      </w:r>
    </w:p>
    <w:p w14:paraId="2205934A" w14:textId="77777777" w:rsidR="00817104" w:rsidRDefault="00817104" w:rsidP="00817104">
      <w:pPr>
        <w:pStyle w:val="Body"/>
      </w:pPr>
      <w:r>
        <w:t xml:space="preserve">The department supports the </w:t>
      </w:r>
      <w:r w:rsidRPr="00CA0B1A">
        <w:t>Victorian Cardiac Outcomes Registry</w:t>
      </w:r>
      <w:r>
        <w:t xml:space="preserve"> (VCOR), which aims to help improve the safety and quality of healthcare provided to cardiovascular patients in Victoria. All Victorian public health services that perform percutaneous coronary interventions must provide this data to the VCOR.</w:t>
      </w:r>
    </w:p>
    <w:p w14:paraId="4AF03328" w14:textId="77777777" w:rsidR="00817104" w:rsidRPr="00501B63" w:rsidRDefault="00817104" w:rsidP="00817104">
      <w:pPr>
        <w:pStyle w:val="Body"/>
        <w:rPr>
          <w:lang w:eastAsia="en-AU"/>
        </w:rPr>
      </w:pPr>
      <w:r>
        <w:t xml:space="preserve">The VCOR is coordinated by Monash University’s School of Public Health and Preventive Medicine. It has the support of the Cardiac Society of Australia and New Zealand. The funding arrangements for this registry, outlined in a contract managed between SCV and the VCOR, </w:t>
      </w:r>
      <w:r w:rsidRPr="002366B9">
        <w:t xml:space="preserve">stipulate that quarterly reports of summarised data are submitted </w:t>
      </w:r>
      <w:r>
        <w:t xml:space="preserve">to SCV and/or the department. </w:t>
      </w:r>
    </w:p>
    <w:p w14:paraId="7BE764FD" w14:textId="77777777" w:rsidR="00817104" w:rsidRPr="00501B63" w:rsidRDefault="00817104" w:rsidP="00817104">
      <w:pPr>
        <w:pStyle w:val="Body"/>
        <w:rPr>
          <w:lang w:eastAsia="en-AU"/>
        </w:rPr>
      </w:pPr>
      <w:r>
        <w:t>Data in these reports are received with Victorian public health services identified by name to better support and strategically guide statewide quality improvement activity and service planning. Registry data are also received for linkage to inform the development of statewide quality and safety indicators.</w:t>
      </w:r>
    </w:p>
    <w:p w14:paraId="771A277B" w14:textId="60AA0DAF" w:rsidR="00817104" w:rsidRPr="00501B63" w:rsidRDefault="00817104" w:rsidP="00817104">
      <w:pPr>
        <w:pStyle w:val="Body"/>
        <w:rPr>
          <w:lang w:eastAsia="en-AU"/>
        </w:rPr>
      </w:pPr>
      <w:r>
        <w:t xml:space="preserve">For more information, visit the </w:t>
      </w:r>
      <w:hyperlink r:id="rId468" w:history="1">
        <w:r w:rsidR="004A09A3">
          <w:rPr>
            <w:rStyle w:val="Hyperlink"/>
          </w:rPr>
          <w:t>https://www.monash.edu/medicine/sphpm/vcor</w:t>
        </w:r>
      </w:hyperlink>
      <w:r>
        <w:t xml:space="preserve"> &lt;</w:t>
      </w:r>
      <w:r w:rsidRPr="00423C75">
        <w:t>https://www.monash.edu/medicine/sphpm/vcor</w:t>
      </w:r>
      <w:r>
        <w:t>&gt;.</w:t>
      </w:r>
    </w:p>
    <w:p w14:paraId="41699757" w14:textId="74552359" w:rsidR="00817104" w:rsidRDefault="00817104" w:rsidP="008D45A5">
      <w:pPr>
        <w:pStyle w:val="Heading3"/>
        <w:ind w:left="1361" w:hanging="1361"/>
      </w:pPr>
      <w:r>
        <w:t>Australian Stroke Clinical Registry</w:t>
      </w:r>
    </w:p>
    <w:p w14:paraId="0ADFAF9D" w14:textId="77777777" w:rsidR="00817104" w:rsidRDefault="00817104" w:rsidP="00817104">
      <w:pPr>
        <w:pStyle w:val="Body"/>
      </w:pPr>
      <w:r>
        <w:t>The Australian Stroke Clinical Registry is a collaborative national effort to monitor, promote and improve the quality of acute stroke care. It is a prospective, multicentre, observational outcomes database that is designed to collect data on the demographics, presentation, diagnosis, treatment and outcomes of hospitalised patients with stroke.</w:t>
      </w:r>
    </w:p>
    <w:p w14:paraId="4260C6B1" w14:textId="77777777" w:rsidR="00817104" w:rsidRDefault="00817104" w:rsidP="00817104">
      <w:pPr>
        <w:pStyle w:val="Body"/>
      </w:pPr>
      <w:r>
        <w:t xml:space="preserve">SCV promotes the implementation of the registry at all metropolitan and regional stroke units. </w:t>
      </w:r>
    </w:p>
    <w:p w14:paraId="15B35809" w14:textId="77777777" w:rsidR="00817104" w:rsidRDefault="00817104" w:rsidP="00817104">
      <w:pPr>
        <w:pStyle w:val="Body"/>
      </w:pPr>
      <w:r>
        <w:t>The registry funding arrangements, outlined in a contract managed between the department and the registry by SCV, stipulate that biannual reports of summarised data are submitted to SCV and/or the department.</w:t>
      </w:r>
    </w:p>
    <w:p w14:paraId="1C44FBAE" w14:textId="77777777" w:rsidR="00817104" w:rsidRDefault="00817104" w:rsidP="00817104">
      <w:pPr>
        <w:pStyle w:val="Body"/>
      </w:pPr>
      <w:r>
        <w:t xml:space="preserve">Data in these reports are received, with Victorian public health services identified by name, to better support and strategically guide statewide quality improvement activity and service planning. Registry data are also received for linkage to inform the development of statewide quality and safety indicators. </w:t>
      </w:r>
    </w:p>
    <w:p w14:paraId="1D7814B6" w14:textId="088D0BA5" w:rsidR="00817104" w:rsidRDefault="00817104" w:rsidP="00817104">
      <w:pPr>
        <w:pStyle w:val="Body"/>
      </w:pPr>
      <w:r>
        <w:t xml:space="preserve">For more information, visit the </w:t>
      </w:r>
      <w:hyperlink r:id="rId469" w:history="1">
        <w:r w:rsidRPr="00E4428C">
          <w:rPr>
            <w:rStyle w:val="Hyperlink"/>
          </w:rPr>
          <w:t>Victorian Cardiac Outcomes Registry</w:t>
        </w:r>
      </w:hyperlink>
      <w:r>
        <w:t xml:space="preserve"> &lt;</w:t>
      </w:r>
      <w:r w:rsidRPr="0067430C">
        <w:t>https://auscr.com.au/</w:t>
      </w:r>
      <w:r>
        <w:t>&gt;.</w:t>
      </w:r>
    </w:p>
    <w:p w14:paraId="22BF3D12" w14:textId="4F82998E" w:rsidR="00817104" w:rsidRPr="002A258B" w:rsidRDefault="00817104" w:rsidP="008D45A5">
      <w:pPr>
        <w:pStyle w:val="Heading3"/>
        <w:ind w:left="1361" w:hanging="1361"/>
      </w:pPr>
      <w:r w:rsidRPr="002A25A0">
        <w:lastRenderedPageBreak/>
        <w:t>Australia and New Zealand Intensive Care Society Centre for Outcome and Resource Evaluation registries</w:t>
      </w:r>
    </w:p>
    <w:p w14:paraId="1D96A2CC" w14:textId="77777777" w:rsidR="00817104" w:rsidRDefault="00817104" w:rsidP="00817104">
      <w:pPr>
        <w:pStyle w:val="Body"/>
      </w:pPr>
      <w:r w:rsidRPr="4825898C">
        <w:t xml:space="preserve">The </w:t>
      </w:r>
      <w:r w:rsidRPr="002A25A0">
        <w:t xml:space="preserve">Australia and New Zealand Intensive Care Society </w:t>
      </w:r>
      <w:r>
        <w:t>(</w:t>
      </w:r>
      <w:r w:rsidRPr="4825898C">
        <w:t>ANZICS</w:t>
      </w:r>
      <w:r>
        <w:t>)</w:t>
      </w:r>
      <w:r w:rsidRPr="4825898C">
        <w:t xml:space="preserve"> </w:t>
      </w:r>
      <w:r w:rsidRPr="00E4428C">
        <w:t>Centre for Outcome and Resource Evaluation registries</w:t>
      </w:r>
      <w:r w:rsidRPr="00E4428C" w:rsidDel="00E4428C">
        <w:t xml:space="preserve"> </w:t>
      </w:r>
      <w:r w:rsidRPr="4825898C">
        <w:t>ha</w:t>
      </w:r>
      <w:r>
        <w:t>ve</w:t>
      </w:r>
      <w:r w:rsidRPr="4825898C">
        <w:t xml:space="preserve"> provided a bi-national peer review and quality assurance program to provide audit and benchmarking services for ICUs across Australia and New Zealand since 1992. Data submitted to the registries is used for comparative benchmarking by the ICU peer groups with reports provided to submitting ICUs and jurisdictional funders.</w:t>
      </w:r>
    </w:p>
    <w:p w14:paraId="36F03BFC" w14:textId="77777777" w:rsidR="00817104" w:rsidRDefault="00817104" w:rsidP="00817104">
      <w:pPr>
        <w:pStyle w:val="Body"/>
      </w:pPr>
      <w:r>
        <w:t>The registry funding arrangements, outlined in a contract managed between SCV and ANZICS, stipulate that reports of summarised data are submitted to SCV and/or the department.</w:t>
      </w:r>
    </w:p>
    <w:p w14:paraId="3939FE26" w14:textId="77777777" w:rsidR="00817104" w:rsidRPr="002A258B" w:rsidRDefault="00817104" w:rsidP="00817104">
      <w:pPr>
        <w:pStyle w:val="Body"/>
      </w:pPr>
      <w:r>
        <w:t>Data in these reports are received, with Victorian ICUs (public, private and paediatric) identified by name, to better support and strategically guide statewide quality improvement activity and service planning. Data is also reported to the Intensive Care Data Committee.</w:t>
      </w:r>
    </w:p>
    <w:p w14:paraId="00D7DC36" w14:textId="0C827D9E" w:rsidR="00817104" w:rsidRDefault="00817104" w:rsidP="008D45A5">
      <w:pPr>
        <w:pStyle w:val="Heading3"/>
        <w:ind w:left="1361" w:hanging="1361"/>
      </w:pPr>
      <w:r>
        <w:t xml:space="preserve">Radiotherapy services </w:t>
      </w:r>
      <w:r w:rsidRPr="00CF394A">
        <w:t>reporting</w:t>
      </w:r>
    </w:p>
    <w:p w14:paraId="7427C660" w14:textId="77777777" w:rsidR="00817104" w:rsidRDefault="00817104" w:rsidP="00817104">
      <w:pPr>
        <w:pStyle w:val="Body"/>
      </w:pPr>
      <w:r>
        <w:t>Radiotherapy providers must report monthly to:</w:t>
      </w:r>
    </w:p>
    <w:p w14:paraId="34F24B03" w14:textId="77777777" w:rsidR="00817104" w:rsidRPr="002E4669" w:rsidRDefault="00817104" w:rsidP="00817104">
      <w:pPr>
        <w:pStyle w:val="Bullet1"/>
        <w:numPr>
          <w:ilvl w:val="0"/>
          <w:numId w:val="2"/>
        </w:numPr>
      </w:pPr>
      <w:r>
        <w:t>the Victorian Radiotherapy MDS</w:t>
      </w:r>
    </w:p>
    <w:p w14:paraId="4E3473F4" w14:textId="77777777" w:rsidR="00817104" w:rsidRPr="002E4669" w:rsidRDefault="00817104" w:rsidP="00817104">
      <w:pPr>
        <w:pStyle w:val="Bullet1"/>
        <w:numPr>
          <w:ilvl w:val="0"/>
          <w:numId w:val="2"/>
        </w:numPr>
      </w:pPr>
      <w:r>
        <w:t>AIMS form S8 for consultations only</w:t>
      </w:r>
    </w:p>
    <w:p w14:paraId="4D512484" w14:textId="77777777" w:rsidR="00817104" w:rsidRPr="002E4669" w:rsidRDefault="00817104" w:rsidP="00817104">
      <w:pPr>
        <w:pStyle w:val="Bullet1"/>
        <w:numPr>
          <w:ilvl w:val="0"/>
          <w:numId w:val="2"/>
        </w:numPr>
      </w:pPr>
      <w:r>
        <w:t xml:space="preserve">AIMS form S10 only for campuses not reporting this non-admitted activity via the VINAH MDS or NADC </w:t>
      </w:r>
    </w:p>
    <w:p w14:paraId="3CF2C3BB" w14:textId="77777777" w:rsidR="00817104" w:rsidRPr="002E4669" w:rsidRDefault="00817104" w:rsidP="00817104">
      <w:pPr>
        <w:pStyle w:val="Bullet1"/>
        <w:numPr>
          <w:ilvl w:val="0"/>
          <w:numId w:val="2"/>
        </w:numPr>
      </w:pPr>
      <w:r>
        <w:t>the VINAH MDS or the NADC for patient-level reporting.</w:t>
      </w:r>
    </w:p>
    <w:p w14:paraId="484BA65D" w14:textId="77777777" w:rsidR="00817104" w:rsidRPr="00B8720E" w:rsidRDefault="00817104" w:rsidP="00817104">
      <w:pPr>
        <w:pStyle w:val="Bodyafterbullets"/>
      </w:pPr>
      <w:r w:rsidRPr="00B8720E">
        <w:t xml:space="preserve">The department contributes data from the Victorian Radiotherapy </w:t>
      </w:r>
      <w:r>
        <w:t>MDS</w:t>
      </w:r>
      <w:r w:rsidRPr="00B8720E">
        <w:t xml:space="preserve"> to other agencies, as required. The data is included in the </w:t>
      </w:r>
      <w:r w:rsidRPr="00477CA3">
        <w:t>Victorian Cancer Registry’s</w:t>
      </w:r>
      <w:r w:rsidRPr="00B8720E">
        <w:t xml:space="preserve"> annual cancer incidence report and the quarterly PRISM report</w:t>
      </w:r>
      <w:r>
        <w:t>, which</w:t>
      </w:r>
      <w:r w:rsidRPr="00B8720E">
        <w:t xml:space="preserve"> presents waiting times at providers of public radiotherapy and forms part of reporting to the relevant health service.</w:t>
      </w:r>
    </w:p>
    <w:p w14:paraId="193A17ED" w14:textId="06EA2866" w:rsidR="00817104" w:rsidRDefault="00817104" w:rsidP="008D45A5">
      <w:pPr>
        <w:pStyle w:val="Heading3"/>
        <w:ind w:left="1247" w:hanging="1247"/>
      </w:pPr>
      <w:r>
        <w:t xml:space="preserve">Renal dialysis </w:t>
      </w:r>
      <w:r w:rsidRPr="00CF394A">
        <w:t>reporting</w:t>
      </w:r>
    </w:p>
    <w:p w14:paraId="64B4A647" w14:textId="77777777" w:rsidR="00817104" w:rsidRPr="00B61A4E" w:rsidRDefault="00817104" w:rsidP="00817104">
      <w:pPr>
        <w:pStyle w:val="Body"/>
      </w:pPr>
      <w:r>
        <w:t>All health services that provide facility dialysis must report public and private admitted activity at the unit record level to the VAED. This includes activity in all facilities.</w:t>
      </w:r>
    </w:p>
    <w:p w14:paraId="015BE111" w14:textId="77777777" w:rsidR="00817104" w:rsidRDefault="00817104" w:rsidP="00817104">
      <w:pPr>
        <w:pStyle w:val="Body"/>
      </w:pPr>
      <w:r>
        <w:t>Health services are required to report episode-level activity to the VINAH MDS for all patients enrolled in the home-based dialysis program.</w:t>
      </w:r>
    </w:p>
    <w:p w14:paraId="3CD5F289" w14:textId="6F530F10" w:rsidR="00817104" w:rsidRDefault="00817104" w:rsidP="008D45A5">
      <w:pPr>
        <w:pStyle w:val="Heading3"/>
        <w:ind w:left="1247" w:hanging="1247"/>
      </w:pPr>
      <w:r>
        <w:t>VHES</w:t>
      </w:r>
    </w:p>
    <w:p w14:paraId="76C655CC" w14:textId="77777777" w:rsidR="00817104" w:rsidRDefault="00817104" w:rsidP="00817104">
      <w:pPr>
        <w:pStyle w:val="Body"/>
      </w:pPr>
      <w:r>
        <w:t>The VHES program will be continued for 2026</w:t>
      </w:r>
      <w:r w:rsidRPr="0670E279">
        <w:rPr>
          <w:rFonts w:cs="Arial"/>
        </w:rPr>
        <w:t>−</w:t>
      </w:r>
      <w:r>
        <w:t>27.Health service upload procedures are outlined below.</w:t>
      </w:r>
    </w:p>
    <w:p w14:paraId="31D66B38" w14:textId="77777777" w:rsidR="00817104" w:rsidRPr="009F34A6" w:rsidRDefault="00817104" w:rsidP="00817104">
      <w:pPr>
        <w:pStyle w:val="Heading4"/>
      </w:pPr>
      <w:r>
        <w:t>Upload procedures</w:t>
      </w:r>
    </w:p>
    <w:p w14:paraId="09DC23C8" w14:textId="77777777" w:rsidR="00817104" w:rsidRPr="002F1DBF" w:rsidRDefault="00817104" w:rsidP="00817104">
      <w:pPr>
        <w:pStyle w:val="Body"/>
      </w:pPr>
      <w:r>
        <w:t>For continuous surveys, including the mental health YES and CES surveys, health services must upload contact details of eligible consumers to the contractor by the fifteenth of the month following discharge and/or contact. This upload includes the service received, which determines the type of questionnaire sent.</w:t>
      </w:r>
    </w:p>
    <w:p w14:paraId="5D555A5D" w14:textId="77777777" w:rsidR="00817104" w:rsidRPr="002F1DBF" w:rsidRDefault="00817104" w:rsidP="00817104">
      <w:pPr>
        <w:pStyle w:val="Body"/>
      </w:pPr>
      <w:r>
        <w:t xml:space="preserve">Data transfers occur in a secure online environment through the </w:t>
      </w:r>
      <w:hyperlink r:id="rId470">
        <w:r w:rsidRPr="0670E279">
          <w:rPr>
            <w:rStyle w:val="Hyperlink"/>
          </w:rPr>
          <w:t>Project Control Portal</w:t>
        </w:r>
      </w:hyperlink>
      <w:r>
        <w:t xml:space="preserve"> &lt;https://www.vhes.com.au/Account/Login?ReturnUrl=%2f&gt; (requires login). The portal provides access to the </w:t>
      </w:r>
      <w:r w:rsidRPr="002D6AE5">
        <w:t>Data upload manual</w:t>
      </w:r>
      <w:r>
        <w:t xml:space="preserve"> and the template required for submission.</w:t>
      </w:r>
    </w:p>
    <w:p w14:paraId="2E789028" w14:textId="77777777" w:rsidR="00817104" w:rsidRPr="002F1DBF" w:rsidRDefault="00817104" w:rsidP="00817104">
      <w:pPr>
        <w:pStyle w:val="Body"/>
      </w:pPr>
      <w:r>
        <w:lastRenderedPageBreak/>
        <w:t xml:space="preserve">Quarterly reports are available online at </w:t>
      </w:r>
      <w:hyperlink r:id="rId471">
        <w:r w:rsidRPr="0670E279">
          <w:rPr>
            <w:rStyle w:val="Hyperlink"/>
          </w:rPr>
          <w:t>VHES results</w:t>
        </w:r>
      </w:hyperlink>
      <w:r>
        <w:t xml:space="preserve"> &lt;https://results.vhes.com.au&gt;. These results are currently only available to registered health services and departmental staff.</w:t>
      </w:r>
    </w:p>
    <w:p w14:paraId="623F175C" w14:textId="6B0C8855" w:rsidR="00817104" w:rsidRDefault="00817104" w:rsidP="008D45A5">
      <w:pPr>
        <w:pStyle w:val="Heading2"/>
        <w:ind w:left="1247" w:hanging="1247"/>
      </w:pPr>
      <w:bookmarkStart w:id="2779" w:name="_Toc165964777"/>
      <w:bookmarkStart w:id="2780" w:name="_Toc167174637"/>
      <w:bookmarkStart w:id="2781" w:name="_Toc224127345"/>
      <w:bookmarkStart w:id="2782" w:name="_Toc231982392"/>
      <w:r>
        <w:t>Data integrity</w:t>
      </w:r>
      <w:bookmarkEnd w:id="2779"/>
      <w:bookmarkEnd w:id="2780"/>
      <w:bookmarkEnd w:id="2781"/>
      <w:bookmarkEnd w:id="2782"/>
    </w:p>
    <w:p w14:paraId="2970138B" w14:textId="77777777" w:rsidR="00817104" w:rsidRDefault="00817104" w:rsidP="00817104">
      <w:pPr>
        <w:pStyle w:val="Body"/>
      </w:pPr>
      <w:r>
        <w:t>Accurate data is important for funding purposes, performance monitoring, reporting, policy development and planning, and for maintaining public confidence in the health system.</w:t>
      </w:r>
    </w:p>
    <w:p w14:paraId="4BAA7D48" w14:textId="77777777" w:rsidR="00817104" w:rsidRDefault="00817104" w:rsidP="00817104">
      <w:pPr>
        <w:pStyle w:val="Body"/>
      </w:pPr>
      <w:r>
        <w:t>Health service boards of management are accountable for the accuracy of reported data. Boards are expected to make data integrity the responsibility of their audit committee and ensure that data accuracy is subject to appropriate controls, including regular internal audits.</w:t>
      </w:r>
    </w:p>
    <w:p w14:paraId="66951F6D" w14:textId="77777777" w:rsidR="00817104" w:rsidRDefault="00817104" w:rsidP="00817104">
      <w:pPr>
        <w:spacing w:after="0" w:line="240" w:lineRule="auto"/>
      </w:pPr>
      <w:r>
        <w:t>Health services are required to:</w:t>
      </w:r>
    </w:p>
    <w:p w14:paraId="01E38480" w14:textId="77777777" w:rsidR="00817104" w:rsidRDefault="00817104" w:rsidP="00817104">
      <w:pPr>
        <w:pStyle w:val="Bullet1"/>
        <w:numPr>
          <w:ilvl w:val="0"/>
          <w:numId w:val="2"/>
        </w:numPr>
      </w:pPr>
      <w:r>
        <w:t>maintain board and board audit committee scrutiny of data integrity practices</w:t>
      </w:r>
    </w:p>
    <w:p w14:paraId="105EC532" w14:textId="77777777" w:rsidR="00817104" w:rsidRDefault="00817104" w:rsidP="00817104">
      <w:pPr>
        <w:pStyle w:val="Bullet1"/>
        <w:numPr>
          <w:ilvl w:val="0"/>
          <w:numId w:val="2"/>
        </w:numPr>
      </w:pPr>
      <w:r>
        <w:t>continue with implementation of security improvements for all health service systems where data is collected and stored, including implementation of unique user identity and password controls, and routinely reviewing ICT system transaction logs</w:t>
      </w:r>
    </w:p>
    <w:p w14:paraId="1EBFC677" w14:textId="77777777" w:rsidR="00817104" w:rsidRDefault="00817104" w:rsidP="00817104">
      <w:pPr>
        <w:pStyle w:val="Bullet1"/>
        <w:numPr>
          <w:ilvl w:val="0"/>
          <w:numId w:val="2"/>
        </w:numPr>
      </w:pPr>
      <w:r>
        <w:t>implement recommendations from audits conducted at their health services</w:t>
      </w:r>
    </w:p>
    <w:p w14:paraId="3E2D8FA8" w14:textId="77777777" w:rsidR="00817104" w:rsidRDefault="00817104" w:rsidP="00817104">
      <w:pPr>
        <w:pStyle w:val="Bullet1"/>
        <w:numPr>
          <w:ilvl w:val="0"/>
          <w:numId w:val="2"/>
        </w:numPr>
      </w:pPr>
      <w:r>
        <w:t>provide a data quality attestation in the health service’s annual report.</w:t>
      </w:r>
    </w:p>
    <w:p w14:paraId="74ED045B" w14:textId="77777777" w:rsidR="00817104" w:rsidRDefault="00817104" w:rsidP="00817104">
      <w:pPr>
        <w:pStyle w:val="Bodyafterbullets"/>
      </w:pPr>
      <w:r>
        <w:t xml:space="preserve">Health services should refer to the </w:t>
      </w:r>
      <w:hyperlink r:id="rId472">
        <w:r w:rsidRPr="008F62E3">
          <w:rPr>
            <w:rStyle w:val="Hyperlink"/>
          </w:rPr>
          <w:t>Data integrity gu</w:t>
        </w:r>
        <w:bookmarkStart w:id="2783" w:name="_Hlt227144261"/>
        <w:r w:rsidRPr="008F62E3">
          <w:rPr>
            <w:rStyle w:val="Hyperlink"/>
          </w:rPr>
          <w:t>i</w:t>
        </w:r>
        <w:bookmarkEnd w:id="2783"/>
        <w:r w:rsidRPr="008F62E3">
          <w:rPr>
            <w:rStyle w:val="Hyperlink"/>
          </w:rPr>
          <w:t>delines for health services 2018</w:t>
        </w:r>
      </w:hyperlink>
      <w:r>
        <w:t xml:space="preserve"> &lt;https://vahi.vic.gov.au/ourwork/health-data-integrity-program/data-integrity-guidelines-health-services&gt;. These provide guidance for health services to ensure the integrity of data reported. Importantly, they also assist health services to meet the requirements for integrity in the data provided by them when reporting their activity and performance.</w:t>
      </w:r>
    </w:p>
    <w:p w14:paraId="43CD1F94" w14:textId="77777777" w:rsidR="00817104" w:rsidRDefault="00817104" w:rsidP="00817104">
      <w:pPr>
        <w:pStyle w:val="Body"/>
      </w:pPr>
      <w:r>
        <w:t xml:space="preserve">The Health Data Integrity Program will continue in </w:t>
      </w:r>
      <w:r w:rsidRPr="29BD08F7">
        <w:rPr>
          <w:rFonts w:cs="Calibri"/>
        </w:rPr>
        <w:t>2026–27</w:t>
      </w:r>
      <w:r>
        <w:t>, incorporating the same core health data collections previously subject to regular review, including the:</w:t>
      </w:r>
    </w:p>
    <w:p w14:paraId="2F4148CF" w14:textId="77777777" w:rsidR="00817104" w:rsidRDefault="00817104" w:rsidP="00817104">
      <w:pPr>
        <w:pStyle w:val="Bullet1"/>
        <w:numPr>
          <w:ilvl w:val="0"/>
          <w:numId w:val="2"/>
        </w:numPr>
      </w:pPr>
      <w:r>
        <w:t>VAED</w:t>
      </w:r>
    </w:p>
    <w:p w14:paraId="7692F115" w14:textId="77777777" w:rsidR="00817104" w:rsidRDefault="00817104" w:rsidP="00817104">
      <w:pPr>
        <w:pStyle w:val="Bullet1"/>
        <w:numPr>
          <w:ilvl w:val="0"/>
          <w:numId w:val="2"/>
        </w:numPr>
      </w:pPr>
      <w:r>
        <w:t>ESIS</w:t>
      </w:r>
    </w:p>
    <w:p w14:paraId="7E37A232" w14:textId="77777777" w:rsidR="00817104" w:rsidRDefault="00817104" w:rsidP="00817104">
      <w:pPr>
        <w:pStyle w:val="Bullet1"/>
        <w:numPr>
          <w:ilvl w:val="0"/>
          <w:numId w:val="2"/>
        </w:numPr>
      </w:pPr>
      <w:r>
        <w:t>VEMD</w:t>
      </w:r>
    </w:p>
    <w:p w14:paraId="375643D6" w14:textId="77777777" w:rsidR="00817104" w:rsidRDefault="00817104" w:rsidP="00817104">
      <w:pPr>
        <w:pStyle w:val="Bullet1"/>
        <w:numPr>
          <w:ilvl w:val="0"/>
          <w:numId w:val="2"/>
        </w:numPr>
      </w:pPr>
      <w:r>
        <w:t>VCDC</w:t>
      </w:r>
    </w:p>
    <w:p w14:paraId="03754356" w14:textId="77777777" w:rsidR="00817104" w:rsidRDefault="00817104" w:rsidP="00817104">
      <w:pPr>
        <w:pStyle w:val="Bullet1"/>
        <w:numPr>
          <w:ilvl w:val="0"/>
          <w:numId w:val="2"/>
        </w:numPr>
      </w:pPr>
      <w:r>
        <w:t>VINAH MDS</w:t>
      </w:r>
    </w:p>
    <w:p w14:paraId="44A4DE82" w14:textId="77777777" w:rsidR="00817104" w:rsidRDefault="00817104" w:rsidP="00817104">
      <w:pPr>
        <w:pStyle w:val="Bullet1"/>
        <w:numPr>
          <w:ilvl w:val="0"/>
          <w:numId w:val="2"/>
        </w:numPr>
      </w:pPr>
      <w:r>
        <w:t>Admitted Subacute Care data reported to VAED.</w:t>
      </w:r>
    </w:p>
    <w:p w14:paraId="03F8F7C6" w14:textId="77777777" w:rsidR="00817104" w:rsidRDefault="00817104" w:rsidP="00817104">
      <w:pPr>
        <w:pStyle w:val="Bodyafterbullets"/>
      </w:pPr>
      <w:r>
        <w:t xml:space="preserve">The program is led by the Health Data Integrity Unit in eHealth and comprises a mixture of formal audits and reviews of core datasets based on established audit protocols. </w:t>
      </w:r>
    </w:p>
    <w:p w14:paraId="0146128B" w14:textId="77777777" w:rsidR="00817104" w:rsidRDefault="00817104" w:rsidP="00817104">
      <w:pPr>
        <w:pStyle w:val="Body"/>
      </w:pPr>
      <w:r>
        <w:t>The program ensures that health data collections accurately reflect health service policy intent, service provision and the care that was provided to consumers.</w:t>
      </w:r>
    </w:p>
    <w:p w14:paraId="78420707" w14:textId="77777777" w:rsidR="00817104" w:rsidRDefault="00817104" w:rsidP="00817104">
      <w:pPr>
        <w:pStyle w:val="Body"/>
      </w:pPr>
      <w:r>
        <w:t>The program seeks to increase confidence in the accuracy of health services’ data by:</w:t>
      </w:r>
    </w:p>
    <w:p w14:paraId="1814A204" w14:textId="77777777" w:rsidR="00817104" w:rsidRDefault="00817104" w:rsidP="00817104">
      <w:pPr>
        <w:pStyle w:val="Bullet1"/>
        <w:numPr>
          <w:ilvl w:val="0"/>
          <w:numId w:val="2"/>
        </w:numPr>
      </w:pPr>
      <w:r>
        <w:t>reviewing data recording and reporting practices, and health service compliance with department policies and business rules</w:t>
      </w:r>
    </w:p>
    <w:p w14:paraId="6A9825E1" w14:textId="77777777" w:rsidR="00817104" w:rsidRDefault="00817104" w:rsidP="00817104">
      <w:pPr>
        <w:pStyle w:val="Bullet1"/>
        <w:numPr>
          <w:ilvl w:val="0"/>
          <w:numId w:val="2"/>
        </w:numPr>
      </w:pPr>
      <w:r>
        <w:t>monitoring, reporting on and strengthening internal controls used in health services</w:t>
      </w:r>
    </w:p>
    <w:p w14:paraId="69F20BF1" w14:textId="77777777" w:rsidR="00817104" w:rsidRDefault="00817104" w:rsidP="00817104">
      <w:pPr>
        <w:pStyle w:val="Bullet1"/>
        <w:numPr>
          <w:ilvl w:val="0"/>
          <w:numId w:val="2"/>
        </w:numPr>
      </w:pPr>
      <w:r>
        <w:t>monitoring, detecting, reporting on and mitigating the risks and consequences of inaccurate health data</w:t>
      </w:r>
    </w:p>
    <w:p w14:paraId="05C10947" w14:textId="77777777" w:rsidR="00817104" w:rsidRDefault="00817104" w:rsidP="00817104">
      <w:pPr>
        <w:pStyle w:val="Bullet1"/>
        <w:numPr>
          <w:ilvl w:val="0"/>
          <w:numId w:val="2"/>
        </w:numPr>
      </w:pPr>
      <w:r>
        <w:t>providing stakeholders with an accurate picture of the strengths, weaknesses and threats related to health data integrity, and recommending opportunities to improve it.</w:t>
      </w:r>
    </w:p>
    <w:p w14:paraId="598D8B69" w14:textId="77777777" w:rsidR="00817104" w:rsidRDefault="00817104" w:rsidP="00817104">
      <w:pPr>
        <w:pStyle w:val="Bodyafterbullets"/>
      </w:pPr>
      <w:r>
        <w:t>The Health Data Integrity Program may be expanded to more health service data collections, based on stakeholder priorities and analytics.</w:t>
      </w:r>
    </w:p>
    <w:p w14:paraId="262A11D7" w14:textId="77777777" w:rsidR="00817104" w:rsidRDefault="00817104" w:rsidP="00817104">
      <w:pPr>
        <w:pStyle w:val="Body"/>
      </w:pPr>
      <w:r>
        <w:lastRenderedPageBreak/>
        <w:t>The Health Data Integrity Unit has also developed a monitoring and analytical system, comprising several reports across these datasets to monitor changes in data through a targeted approach, based on data analytics and risk assessment. It is anticipated that where potential data integrity issues are flagged, the unit will continue to consult with the relevant health services on these issues.</w:t>
      </w:r>
    </w:p>
    <w:p w14:paraId="36FB1EA7" w14:textId="77777777" w:rsidR="00817104" w:rsidRPr="001E3470" w:rsidRDefault="00817104" w:rsidP="00817104">
      <w:pPr>
        <w:pStyle w:val="Body"/>
      </w:pPr>
      <w:r w:rsidRPr="001E3470">
        <w:t>The VAED Audits recommenced in 2024</w:t>
      </w:r>
      <w:r>
        <w:t>–</w:t>
      </w:r>
      <w:r w:rsidRPr="001E3470">
        <w:t xml:space="preserve">25 and </w:t>
      </w:r>
      <w:r>
        <w:t>are</w:t>
      </w:r>
      <w:r w:rsidRPr="001E3470">
        <w:t xml:space="preserve"> expected to continue in </w:t>
      </w:r>
      <w:r>
        <w:t>2026–27</w:t>
      </w:r>
      <w:r w:rsidRPr="001E3470">
        <w:t>.</w:t>
      </w:r>
      <w:r>
        <w:t xml:space="preserve"> </w:t>
      </w:r>
    </w:p>
    <w:p w14:paraId="5AD3B353" w14:textId="77777777" w:rsidR="00817104" w:rsidRDefault="00817104" w:rsidP="00817104">
      <w:pPr>
        <w:pStyle w:val="Body"/>
      </w:pPr>
      <w:r>
        <w:t>Health services are expected to actively participate in the program, including reviewing reports on findings and recommendations. Unresolved issues that warrant escalation may be referred for further consideration, as part of the health service performance monitoring process.</w:t>
      </w:r>
    </w:p>
    <w:p w14:paraId="06935C02" w14:textId="6E39B532" w:rsidR="00817104" w:rsidRPr="00B7165F" w:rsidRDefault="00817104" w:rsidP="00817104">
      <w:pPr>
        <w:pStyle w:val="Heading3"/>
      </w:pPr>
      <w:r>
        <w:t>System updates</w:t>
      </w:r>
    </w:p>
    <w:p w14:paraId="5E3D7EEF" w14:textId="77777777" w:rsidR="00817104" w:rsidRDefault="00817104" w:rsidP="00817104">
      <w:pPr>
        <w:pStyle w:val="Body"/>
      </w:pPr>
      <w:r>
        <w:t>The VAED, VEMD, ESIS, VINAH MDS, NADC, VCDC, AIMS and VPDC data collections are reviewed annually to ensure they are relevant for performance monitoring against current operational priorities, as well as to provide up-to-date indicators of ongoing clinical activity trends.</w:t>
      </w:r>
    </w:p>
    <w:p w14:paraId="783B783A" w14:textId="77777777" w:rsidR="00817104" w:rsidRDefault="00817104" w:rsidP="00817104">
      <w:pPr>
        <w:pStyle w:val="Body"/>
      </w:pPr>
      <w:r>
        <w:t>The department remains committed to balancing the resources required to collect and report data against the need for quality data for monitoring, planning and fulfilment of the department’s own reporting obligations. These aims are achieved through various consultative committees and reference groups, for specific data collections and feedback received through specific departmental program areas and SCV.</w:t>
      </w:r>
    </w:p>
    <w:p w14:paraId="1C804E5F" w14:textId="77777777" w:rsidR="00817104" w:rsidRDefault="00817104" w:rsidP="00817104">
      <w:pPr>
        <w:pStyle w:val="Body"/>
      </w:pPr>
      <w:r>
        <w:t xml:space="preserve">Proposed changes to data collections are released for comment, and specifications for change are distributed by 31 December and published by 15 January, prior to the financial year to which they apply, to give health services sufficient time to plan and implement the specified changes. </w:t>
      </w:r>
    </w:p>
    <w:p w14:paraId="014B4B63" w14:textId="77777777" w:rsidR="00817104" w:rsidRDefault="00817104" w:rsidP="00817104">
      <w:pPr>
        <w:pStyle w:val="Body"/>
      </w:pPr>
      <w:r>
        <w:t xml:space="preserve">Updates to VPDC reporting are directed to health service stakeholders by email and relevant documents are published on the </w:t>
      </w:r>
      <w:hyperlink r:id="rId473">
        <w:r w:rsidRPr="0670E279">
          <w:rPr>
            <w:rStyle w:val="Hyperlink"/>
          </w:rPr>
          <w:t>VPDC website</w:t>
        </w:r>
      </w:hyperlink>
      <w:r>
        <w:t xml:space="preserve"> &lt;https://www.health.vic.gov.au/quality-safety-service/victorian-perinatal-data-collection&gt;.</w:t>
      </w:r>
    </w:p>
    <w:p w14:paraId="4097C345" w14:textId="77777777" w:rsidR="00817104" w:rsidRDefault="00817104" w:rsidP="00817104">
      <w:pPr>
        <w:pStyle w:val="Body"/>
      </w:pPr>
      <w:r>
        <w:t xml:space="preserve">The </w:t>
      </w:r>
      <w:r w:rsidRPr="0670E279">
        <w:rPr>
          <w:rStyle w:val="Emphasis"/>
        </w:rPr>
        <w:t xml:space="preserve">HDSS </w:t>
      </w:r>
      <w:r>
        <w:rPr>
          <w:rStyle w:val="Emphasis"/>
        </w:rPr>
        <w:t>B</w:t>
      </w:r>
      <w:r w:rsidRPr="0670E279">
        <w:rPr>
          <w:rStyle w:val="Emphasis"/>
        </w:rPr>
        <w:t>ulletin</w:t>
      </w:r>
      <w:r>
        <w:t xml:space="preserve"> provides advice on data quality issues to health services that contribute to the VAED, VEMD, ESIS, VINAH MDS, NADC and AIMS. The bulletin is the primary method by which amendments to standards and reporting timelines for these data collections are published during the year.</w:t>
      </w:r>
    </w:p>
    <w:p w14:paraId="192B11A6" w14:textId="2EC69E24" w:rsidR="00817104" w:rsidRPr="00D16A00" w:rsidRDefault="00817104" w:rsidP="00817104">
      <w:pPr>
        <w:pStyle w:val="Body"/>
      </w:pPr>
      <w:r>
        <w:t xml:space="preserve">Health services should ensure that appropriate staff subscribe to the </w:t>
      </w:r>
      <w:r w:rsidRPr="0670E279">
        <w:rPr>
          <w:rStyle w:val="Emphasis"/>
        </w:rPr>
        <w:t xml:space="preserve">HDSS </w:t>
      </w:r>
      <w:r>
        <w:rPr>
          <w:rStyle w:val="Emphasis"/>
        </w:rPr>
        <w:t>B</w:t>
      </w:r>
      <w:r w:rsidRPr="0670E279">
        <w:rPr>
          <w:rStyle w:val="Emphasis"/>
        </w:rPr>
        <w:t>ulletin</w:t>
      </w:r>
      <w:r>
        <w:t xml:space="preserve"> to remain up to date with any changes. The </w:t>
      </w:r>
      <w:r w:rsidRPr="0670E279">
        <w:rPr>
          <w:rStyle w:val="Emphasis"/>
        </w:rPr>
        <w:t xml:space="preserve">HDSS </w:t>
      </w:r>
      <w:r>
        <w:rPr>
          <w:rStyle w:val="Emphasis"/>
        </w:rPr>
        <w:t>B</w:t>
      </w:r>
      <w:r w:rsidRPr="0670E279">
        <w:rPr>
          <w:rStyle w:val="Emphasis"/>
        </w:rPr>
        <w:t>ulletin</w:t>
      </w:r>
      <w:r>
        <w:t xml:space="preserve"> is issued electronically via both web and email. It is provided at no charge. Subscriptions may be arranged by visiting </w:t>
      </w:r>
      <w:hyperlink r:id="rId474" w:history="1">
        <w:r w:rsidRPr="002557BD">
          <w:rPr>
            <w:rStyle w:val="Hyperlink"/>
          </w:rPr>
          <w:t>HDSS forms</w:t>
        </w:r>
      </w:hyperlink>
      <w:r>
        <w:t xml:space="preserve"> </w:t>
      </w:r>
      <w:r w:rsidRPr="00C25293">
        <w:t>&lt;</w:t>
      </w:r>
      <w:bookmarkStart w:id="2784" w:name="_Hlk198290140"/>
      <w:r w:rsidRPr="00C25293">
        <w:t>https://www.h</w:t>
      </w:r>
      <w:r w:rsidRPr="00477CA3">
        <w:t>ealth.vic.gov.au/data-reporting/subscribe</w:t>
      </w:r>
      <w:bookmarkEnd w:id="2784"/>
      <w:r w:rsidRPr="00477CA3">
        <w:t>&gt; o</w:t>
      </w:r>
      <w:r w:rsidRPr="00C25293">
        <w:t>r</w:t>
      </w:r>
      <w:r>
        <w:t xml:space="preserve"> emailing the </w:t>
      </w:r>
      <w:hyperlink r:id="rId475" w:history="1">
        <w:r w:rsidRPr="001E07EF">
          <w:rPr>
            <w:rStyle w:val="Hyperlink"/>
          </w:rPr>
          <w:t>HDSS helpdesk</w:t>
        </w:r>
      </w:hyperlink>
      <w:r>
        <w:t xml:space="preserve"> &lt;HDSS.helpdesk@health.vic.gov.au&gt;. Changes of contacts for the VPDC should also be emailed to the HDSS helpdesk.</w:t>
      </w:r>
    </w:p>
    <w:p w14:paraId="2450DB9B" w14:textId="36E9278A" w:rsidR="00817104" w:rsidRDefault="00817104" w:rsidP="00817104">
      <w:pPr>
        <w:pStyle w:val="Heading3"/>
      </w:pPr>
      <w:r>
        <w:t>Penalties for noncompliance</w:t>
      </w:r>
    </w:p>
    <w:p w14:paraId="4D059C07" w14:textId="77777777" w:rsidR="00817104" w:rsidRPr="00B61A4E" w:rsidRDefault="00817104" w:rsidP="00817104">
      <w:pPr>
        <w:pStyle w:val="Body"/>
      </w:pPr>
      <w:r>
        <w:t>If health services are noncompliant with the timelines specified in these guidelines, penalties may apply. Refer to the relevant dataset for more information.</w:t>
      </w:r>
    </w:p>
    <w:p w14:paraId="6B3FA6C3" w14:textId="299EB406" w:rsidR="00817104" w:rsidRDefault="00817104" w:rsidP="00817104">
      <w:pPr>
        <w:pStyle w:val="Heading2"/>
      </w:pPr>
      <w:bookmarkStart w:id="2785" w:name="_Toc165964779"/>
      <w:bookmarkStart w:id="2786" w:name="_Toc167174639"/>
      <w:bookmarkStart w:id="2787" w:name="_Toc224127346"/>
      <w:bookmarkStart w:id="2788" w:name="_Toc231982393"/>
      <w:r>
        <w:t>Ambulance Victoria data reporting requirements</w:t>
      </w:r>
      <w:bookmarkEnd w:id="2785"/>
      <w:bookmarkEnd w:id="2786"/>
      <w:bookmarkEnd w:id="2787"/>
      <w:bookmarkEnd w:id="2788"/>
    </w:p>
    <w:p w14:paraId="03ED681A" w14:textId="77777777" w:rsidR="00817104" w:rsidRPr="00F34153" w:rsidRDefault="00817104" w:rsidP="00817104">
      <w:pPr>
        <w:pStyle w:val="Body"/>
      </w:pPr>
      <w:bookmarkStart w:id="2789" w:name="_Toc165964780"/>
      <w:bookmarkStart w:id="2790" w:name="_Toc167174640"/>
      <w:r w:rsidRPr="00F34153">
        <w:t xml:space="preserve">Ambulance Victoria will continue to submit the Victorian Ambulance Dataset (VADS) data monthly, according to the timelines specified in </w:t>
      </w:r>
      <w:r w:rsidRPr="00A46B35">
        <w:fldChar w:fldCharType="begin"/>
      </w:r>
      <w:r w:rsidRPr="00A46B35">
        <w:instrText xml:space="preserve"> REF _Ref165876898 \h  \* MERGEFORMAT </w:instrText>
      </w:r>
      <w:r w:rsidRPr="00A46B35">
        <w:fldChar w:fldCharType="separate"/>
      </w:r>
      <w:r w:rsidRPr="00A46B35">
        <w:t xml:space="preserve">Table </w:t>
      </w:r>
      <w:r w:rsidRPr="00A46B35">
        <w:fldChar w:fldCharType="end"/>
      </w:r>
      <w:r w:rsidRPr="00BF2403">
        <w:t>1</w:t>
      </w:r>
      <w:r>
        <w:t>3</w:t>
      </w:r>
      <w:r w:rsidRPr="00A46B35">
        <w:t>.</w:t>
      </w:r>
    </w:p>
    <w:p w14:paraId="45BF583B" w14:textId="77777777" w:rsidR="00817104" w:rsidRDefault="00817104" w:rsidP="00817104">
      <w:pPr>
        <w:pStyle w:val="Body"/>
      </w:pPr>
      <w:r w:rsidRPr="00F34153">
        <w:lastRenderedPageBreak/>
        <w:t>Until both the department and Ambulance Victoria transition to us</w:t>
      </w:r>
      <w:r>
        <w:t>ing</w:t>
      </w:r>
      <w:r w:rsidRPr="00F34153">
        <w:t xml:space="preserve"> VADS data for public reporting and performance monitoring, Ambulance Victoria will be required to continue aggregate Ambulance </w:t>
      </w:r>
      <w:r>
        <w:t>MDS</w:t>
      </w:r>
      <w:r w:rsidRPr="00F34153">
        <w:t xml:space="preserve"> reporting, as specified in </w:t>
      </w:r>
      <w:r w:rsidRPr="00F34153">
        <w:fldChar w:fldCharType="begin"/>
      </w:r>
      <w:r w:rsidRPr="00F34153">
        <w:instrText xml:space="preserve"> REF _Ref165876898 \h  \* MERGEFORMAT </w:instrText>
      </w:r>
      <w:r w:rsidRPr="00F34153">
        <w:fldChar w:fldCharType="separate"/>
      </w:r>
      <w:r w:rsidRPr="00F34153">
        <w:t xml:space="preserve">Table </w:t>
      </w:r>
      <w:r>
        <w:rPr>
          <w:noProof/>
        </w:rPr>
        <w:t>1</w:t>
      </w:r>
      <w:r w:rsidRPr="00F34153">
        <w:fldChar w:fldCharType="end"/>
      </w:r>
      <w:r>
        <w:t>3, until VADS can replace this functionality</w:t>
      </w:r>
      <w:r w:rsidRPr="00F34153">
        <w:t>.</w:t>
      </w:r>
    </w:p>
    <w:p w14:paraId="58A89E68" w14:textId="7E1BBA6F" w:rsidR="00817104" w:rsidRDefault="00817104" w:rsidP="00817104">
      <w:pPr>
        <w:pStyle w:val="Tablecaption"/>
      </w:pPr>
      <w:bookmarkStart w:id="2791" w:name="_Toc230537133"/>
      <w:r>
        <w:t xml:space="preserve">Table </w:t>
      </w:r>
      <w:r w:rsidR="003649B7">
        <w:t>13</w:t>
      </w:r>
      <w:r>
        <w:t xml:space="preserve">. </w:t>
      </w:r>
      <w:r w:rsidRPr="006B3A64">
        <w:t>Ambulance Victoria data reporting and timelines</w:t>
      </w:r>
      <w:bookmarkEnd w:id="2791"/>
    </w:p>
    <w:tbl>
      <w:tblPr>
        <w:tblStyle w:val="GridTable4-Accent1"/>
        <w:tblW w:w="0" w:type="auto"/>
        <w:tblLook w:val="04A0" w:firstRow="1" w:lastRow="0" w:firstColumn="1" w:lastColumn="0" w:noHBand="0" w:noVBand="1"/>
      </w:tblPr>
      <w:tblGrid>
        <w:gridCol w:w="2809"/>
        <w:gridCol w:w="6479"/>
      </w:tblGrid>
      <w:tr w:rsidR="00817104" w:rsidRPr="00F43D02" w14:paraId="442FCC91" w14:textId="77777777" w:rsidTr="00364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D1E6DA" w14:textId="77777777" w:rsidR="00817104" w:rsidRPr="003649B7" w:rsidRDefault="00817104" w:rsidP="00785A21">
            <w:pPr>
              <w:pStyle w:val="Tablecolhead"/>
              <w:rPr>
                <w:b/>
                <w:bCs w:val="0"/>
                <w:color w:val="FFFFFF" w:themeColor="background1"/>
                <w:sz w:val="18"/>
                <w:szCs w:val="18"/>
              </w:rPr>
            </w:pPr>
            <w:r w:rsidRPr="003649B7">
              <w:rPr>
                <w:b/>
                <w:bCs w:val="0"/>
                <w:color w:val="FFFFFF" w:themeColor="background1"/>
                <w:sz w:val="18"/>
                <w:szCs w:val="18"/>
              </w:rPr>
              <w:t>Data reported</w:t>
            </w:r>
          </w:p>
        </w:tc>
        <w:tc>
          <w:tcPr>
            <w:tcW w:w="0" w:type="auto"/>
          </w:tcPr>
          <w:p w14:paraId="2A9228B1" w14:textId="77777777" w:rsidR="00817104" w:rsidRPr="003649B7"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9B7">
              <w:rPr>
                <w:b/>
                <w:bCs w:val="0"/>
                <w:color w:val="FFFFFF" w:themeColor="background1"/>
                <w:sz w:val="18"/>
                <w:szCs w:val="18"/>
              </w:rPr>
              <w:t>Description and submission timeline</w:t>
            </w:r>
          </w:p>
        </w:tc>
      </w:tr>
      <w:tr w:rsidR="00817104" w:rsidRPr="00F34153" w14:paraId="607199C2" w14:textId="77777777" w:rsidTr="00364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8C7AE57" w14:textId="77777777" w:rsidR="00817104" w:rsidRPr="00F34153" w:rsidRDefault="00817104">
            <w:pPr>
              <w:pStyle w:val="Tabletext"/>
              <w:rPr>
                <w:rFonts w:eastAsia="Courier New"/>
              </w:rPr>
            </w:pPr>
            <w:r w:rsidRPr="00F34153">
              <w:rPr>
                <w:rFonts w:eastAsia="Courier New"/>
              </w:rPr>
              <w:t>VADS – Request for service and response data</w:t>
            </w:r>
          </w:p>
        </w:tc>
        <w:tc>
          <w:tcPr>
            <w:tcW w:w="0" w:type="auto"/>
          </w:tcPr>
          <w:p w14:paraId="1F782D61" w14:textId="77777777" w:rsidR="00817104" w:rsidRPr="00F34153" w:rsidRDefault="00817104">
            <w:pPr>
              <w:pStyle w:val="Tabletext"/>
              <w:cnfStyle w:val="000000100000" w:firstRow="0" w:lastRow="0" w:firstColumn="0" w:lastColumn="0" w:oddVBand="0" w:evenVBand="0" w:oddHBand="1" w:evenHBand="0" w:firstRowFirstColumn="0" w:firstRowLastColumn="0" w:lastRowFirstColumn="0" w:lastRowLastColumn="0"/>
              <w:rPr>
                <w:rFonts w:eastAsia="Courier New"/>
              </w:rPr>
            </w:pPr>
            <w:r w:rsidRPr="00F34153">
              <w:rPr>
                <w:rFonts w:eastAsia="Courier New"/>
              </w:rPr>
              <w:t>Year-to-date submission to VADS to be received by the</w:t>
            </w:r>
            <w:r>
              <w:rPr>
                <w:rFonts w:eastAsia="Courier New"/>
              </w:rPr>
              <w:t xml:space="preserve"> tenth</w:t>
            </w:r>
            <w:r w:rsidRPr="00F34153">
              <w:rPr>
                <w:rFonts w:eastAsia="Courier New"/>
              </w:rPr>
              <w:t xml:space="preserve"> day of the month following the case date</w:t>
            </w:r>
          </w:p>
        </w:tc>
      </w:tr>
      <w:tr w:rsidR="00817104" w:rsidRPr="00F34153" w14:paraId="214A0B21" w14:textId="77777777" w:rsidTr="003649B7">
        <w:tc>
          <w:tcPr>
            <w:cnfStyle w:val="001000000000" w:firstRow="0" w:lastRow="0" w:firstColumn="1" w:lastColumn="0" w:oddVBand="0" w:evenVBand="0" w:oddHBand="0" w:evenHBand="0" w:firstRowFirstColumn="0" w:firstRowLastColumn="0" w:lastRowFirstColumn="0" w:lastRowLastColumn="0"/>
            <w:tcW w:w="0" w:type="auto"/>
          </w:tcPr>
          <w:p w14:paraId="0124982C" w14:textId="77777777" w:rsidR="00817104" w:rsidRPr="00F34153" w:rsidRDefault="00817104">
            <w:pPr>
              <w:pStyle w:val="Tabletext"/>
              <w:rPr>
                <w:rFonts w:eastAsia="Courier New"/>
              </w:rPr>
            </w:pPr>
            <w:r w:rsidRPr="00F34153">
              <w:rPr>
                <w:rFonts w:eastAsia="Courier New"/>
              </w:rPr>
              <w:t>VADS – Transport and patient data</w:t>
            </w:r>
          </w:p>
        </w:tc>
        <w:tc>
          <w:tcPr>
            <w:tcW w:w="0" w:type="auto"/>
          </w:tcPr>
          <w:p w14:paraId="73EE8AA6" w14:textId="77777777" w:rsidR="00817104" w:rsidRPr="00F34153" w:rsidRDefault="00817104">
            <w:pPr>
              <w:pStyle w:val="Tabletext"/>
              <w:cnfStyle w:val="000000000000" w:firstRow="0" w:lastRow="0" w:firstColumn="0" w:lastColumn="0" w:oddVBand="0" w:evenVBand="0" w:oddHBand="0" w:evenHBand="0" w:firstRowFirstColumn="0" w:firstRowLastColumn="0" w:lastRowFirstColumn="0" w:lastRowLastColumn="0"/>
              <w:rPr>
                <w:rFonts w:eastAsia="Courier New"/>
              </w:rPr>
            </w:pPr>
            <w:r w:rsidRPr="00F34153">
              <w:rPr>
                <w:rFonts w:eastAsia="Courier New"/>
              </w:rPr>
              <w:t xml:space="preserve">Year-to-date submission to VADS to be received by the </w:t>
            </w:r>
            <w:r>
              <w:rPr>
                <w:rFonts w:eastAsia="Courier New"/>
              </w:rPr>
              <w:t xml:space="preserve">tenth </w:t>
            </w:r>
            <w:r w:rsidRPr="00F34153">
              <w:rPr>
                <w:rFonts w:eastAsia="Courier New"/>
              </w:rPr>
              <w:t xml:space="preserve">day of the </w:t>
            </w:r>
            <w:r>
              <w:rPr>
                <w:rFonts w:eastAsia="Courier New"/>
              </w:rPr>
              <w:t>second</w:t>
            </w:r>
            <w:r w:rsidRPr="00F34153">
              <w:rPr>
                <w:rFonts w:eastAsia="Courier New"/>
              </w:rPr>
              <w:t xml:space="preserve"> month following the case date</w:t>
            </w:r>
          </w:p>
        </w:tc>
      </w:tr>
      <w:tr w:rsidR="00817104" w:rsidRPr="00F34153" w14:paraId="495E929F" w14:textId="77777777" w:rsidTr="00364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99A391" w14:textId="77777777" w:rsidR="00817104" w:rsidRPr="00F34153" w:rsidRDefault="00817104">
            <w:pPr>
              <w:pStyle w:val="Tabletext"/>
              <w:rPr>
                <w:rFonts w:eastAsia="Courier New"/>
              </w:rPr>
            </w:pPr>
            <w:r w:rsidRPr="00F34153">
              <w:rPr>
                <w:rFonts w:eastAsia="Courier New"/>
              </w:rPr>
              <w:t xml:space="preserve">Aggregate Ambulance </w:t>
            </w:r>
            <w:r>
              <w:rPr>
                <w:rFonts w:eastAsia="Courier New"/>
              </w:rPr>
              <w:t>MDS</w:t>
            </w:r>
          </w:p>
        </w:tc>
        <w:tc>
          <w:tcPr>
            <w:tcW w:w="0" w:type="auto"/>
          </w:tcPr>
          <w:p w14:paraId="1124BC75" w14:textId="77777777" w:rsidR="00817104" w:rsidRPr="00F34153" w:rsidRDefault="00817104">
            <w:pPr>
              <w:pStyle w:val="Tabletext"/>
              <w:cnfStyle w:val="000000100000" w:firstRow="0" w:lastRow="0" w:firstColumn="0" w:lastColumn="0" w:oddVBand="0" w:evenVBand="0" w:oddHBand="1" w:evenHBand="0" w:firstRowFirstColumn="0" w:firstRowLastColumn="0" w:lastRowFirstColumn="0" w:lastRowLastColumn="0"/>
              <w:rPr>
                <w:rFonts w:eastAsia="Courier New"/>
              </w:rPr>
            </w:pPr>
            <w:r w:rsidRPr="00F34153">
              <w:rPr>
                <w:rFonts w:eastAsia="Courier New"/>
              </w:rPr>
              <w:t xml:space="preserve">Indicators identified in </w:t>
            </w:r>
            <w:r>
              <w:rPr>
                <w:rFonts w:eastAsia="Courier New"/>
              </w:rPr>
              <w:t xml:space="preserve">Table 20 </w:t>
            </w:r>
            <w:r w:rsidRPr="00F34153">
              <w:rPr>
                <w:rFonts w:eastAsia="Courier New"/>
              </w:rPr>
              <w:t xml:space="preserve">will be supplied to the department in spreadsheet format by the </w:t>
            </w:r>
            <w:r>
              <w:rPr>
                <w:rFonts w:eastAsia="Courier New"/>
              </w:rPr>
              <w:t xml:space="preserve">tenth </w:t>
            </w:r>
            <w:r w:rsidRPr="00F34153">
              <w:rPr>
                <w:rFonts w:eastAsia="Courier New"/>
              </w:rPr>
              <w:t>day of the month following the monthly reporting period</w:t>
            </w:r>
          </w:p>
        </w:tc>
      </w:tr>
      <w:tr w:rsidR="00817104" w:rsidRPr="0048130E" w14:paraId="4B77784C" w14:textId="77777777" w:rsidTr="003649B7">
        <w:tc>
          <w:tcPr>
            <w:cnfStyle w:val="001000000000" w:firstRow="0" w:lastRow="0" w:firstColumn="1" w:lastColumn="0" w:oddVBand="0" w:evenVBand="0" w:oddHBand="0" w:evenHBand="0" w:firstRowFirstColumn="0" w:firstRowLastColumn="0" w:lastRowFirstColumn="0" w:lastRowLastColumn="0"/>
            <w:tcW w:w="0" w:type="auto"/>
          </w:tcPr>
          <w:p w14:paraId="4C2BA77E" w14:textId="77777777" w:rsidR="00817104" w:rsidRPr="00F34153" w:rsidRDefault="00817104">
            <w:pPr>
              <w:pStyle w:val="Tabletext"/>
              <w:rPr>
                <w:rFonts w:eastAsia="Courier New"/>
              </w:rPr>
            </w:pPr>
            <w:r w:rsidRPr="00F34153">
              <w:rPr>
                <w:rFonts w:eastAsia="Courier New"/>
              </w:rPr>
              <w:t xml:space="preserve">All data submissions for the </w:t>
            </w:r>
            <w:r>
              <w:rPr>
                <w:rFonts w:eastAsia="Courier New"/>
              </w:rPr>
              <w:t>2026–27</w:t>
            </w:r>
            <w:r w:rsidRPr="00F34153">
              <w:rPr>
                <w:rFonts w:eastAsia="Courier New"/>
              </w:rPr>
              <w:t xml:space="preserve"> financial year</w:t>
            </w:r>
          </w:p>
        </w:tc>
        <w:tc>
          <w:tcPr>
            <w:tcW w:w="0" w:type="auto"/>
          </w:tcPr>
          <w:p w14:paraId="41C55C6C" w14:textId="77777777" w:rsidR="00817104" w:rsidRPr="00D93A24" w:rsidRDefault="00817104">
            <w:pPr>
              <w:pStyle w:val="Tabletext"/>
              <w:cnfStyle w:val="000000000000" w:firstRow="0" w:lastRow="0" w:firstColumn="0" w:lastColumn="0" w:oddVBand="0" w:evenVBand="0" w:oddHBand="0" w:evenHBand="0" w:firstRowFirstColumn="0" w:firstRowLastColumn="0" w:lastRowFirstColumn="0" w:lastRowLastColumn="0"/>
              <w:rPr>
                <w:rFonts w:eastAsia="Courier New"/>
              </w:rPr>
            </w:pPr>
            <w:r w:rsidRPr="00F34153">
              <w:rPr>
                <w:rFonts w:eastAsia="Courier New"/>
              </w:rPr>
              <w:t xml:space="preserve">Year-to-date submission must be received before final consolidation of the </w:t>
            </w:r>
            <w:r w:rsidRPr="00F34153">
              <w:t xml:space="preserve">VADS </w:t>
            </w:r>
            <w:r w:rsidRPr="00F34153">
              <w:rPr>
                <w:rFonts w:eastAsia="Courier New"/>
              </w:rPr>
              <w:t xml:space="preserve">on 10 August </w:t>
            </w:r>
            <w:r>
              <w:rPr>
                <w:rFonts w:eastAsia="Courier New"/>
              </w:rPr>
              <w:t>2027</w:t>
            </w:r>
          </w:p>
        </w:tc>
      </w:tr>
    </w:tbl>
    <w:p w14:paraId="414EC603" w14:textId="486D0A51" w:rsidR="00817104" w:rsidRDefault="00817104" w:rsidP="00817104">
      <w:pPr>
        <w:pStyle w:val="Heading2"/>
      </w:pPr>
      <w:bookmarkStart w:id="2792" w:name="_Toc224127347"/>
      <w:bookmarkStart w:id="2793" w:name="_Toc231982394"/>
      <w:r>
        <w:t xml:space="preserve">Mental health services data reporting </w:t>
      </w:r>
      <w:r w:rsidRPr="00D93A24">
        <w:t>requirements</w:t>
      </w:r>
      <w:bookmarkEnd w:id="2789"/>
      <w:bookmarkEnd w:id="2790"/>
      <w:bookmarkEnd w:id="2792"/>
      <w:bookmarkEnd w:id="2793"/>
    </w:p>
    <w:p w14:paraId="060F4918" w14:textId="77777777" w:rsidR="00817104" w:rsidRPr="00B61A4E" w:rsidRDefault="00817104" w:rsidP="00817104">
      <w:pPr>
        <w:pStyle w:val="Body"/>
      </w:pPr>
      <w:r>
        <w:t>Information about clinical mental health services that is relevant to funding, activity and performance monitoring is collected by the department through a range of channels, including:</w:t>
      </w:r>
    </w:p>
    <w:p w14:paraId="1373D5B1" w14:textId="77777777" w:rsidR="00817104" w:rsidRPr="00477CA3" w:rsidRDefault="00817104" w:rsidP="00817104">
      <w:pPr>
        <w:pStyle w:val="Bullet1"/>
        <w:numPr>
          <w:ilvl w:val="0"/>
          <w:numId w:val="2"/>
        </w:numPr>
        <w:rPr>
          <w:rStyle w:val="Emphasis"/>
          <w:i w:val="0"/>
          <w:iCs w:val="0"/>
        </w:rPr>
      </w:pPr>
      <w:r w:rsidRPr="00D93A24">
        <w:t xml:space="preserve">the CMI/ODS, which captures service activity data and aspects of mental health care required under the </w:t>
      </w:r>
      <w:r w:rsidRPr="004B6089">
        <w:rPr>
          <w:i/>
          <w:iCs/>
        </w:rPr>
        <w:t>Mental Health and Wellbeing Act 2022</w:t>
      </w:r>
    </w:p>
    <w:p w14:paraId="5DD9B513" w14:textId="77777777" w:rsidR="00817104" w:rsidRPr="00B61A4E" w:rsidRDefault="00817104" w:rsidP="00817104">
      <w:pPr>
        <w:pStyle w:val="Bullet1"/>
        <w:numPr>
          <w:ilvl w:val="0"/>
          <w:numId w:val="2"/>
        </w:numPr>
      </w:pPr>
      <w:r>
        <w:t>the mental health Triage MDS</w:t>
      </w:r>
    </w:p>
    <w:p w14:paraId="04048893" w14:textId="77777777" w:rsidR="00817104" w:rsidRPr="00B61A4E" w:rsidRDefault="00817104" w:rsidP="00817104">
      <w:pPr>
        <w:pStyle w:val="Bullet1"/>
        <w:numPr>
          <w:ilvl w:val="0"/>
          <w:numId w:val="2"/>
        </w:numPr>
      </w:pPr>
      <w:r>
        <w:t>reportable deaths and other notifications to the Chief Psychiatrist</w:t>
      </w:r>
    </w:p>
    <w:p w14:paraId="3CF82DBE" w14:textId="77777777" w:rsidR="00817104" w:rsidRDefault="00817104" w:rsidP="00817104">
      <w:pPr>
        <w:pStyle w:val="Bullet1"/>
        <w:numPr>
          <w:ilvl w:val="0"/>
          <w:numId w:val="2"/>
        </w:numPr>
      </w:pPr>
      <w:r>
        <w:t>the annual Mental Health Establishments collection</w:t>
      </w:r>
    </w:p>
    <w:p w14:paraId="17FFB0A9" w14:textId="77777777" w:rsidR="00817104" w:rsidRDefault="00817104" w:rsidP="00817104">
      <w:pPr>
        <w:pStyle w:val="Bullet1"/>
        <w:numPr>
          <w:ilvl w:val="0"/>
          <w:numId w:val="2"/>
        </w:numPr>
      </w:pPr>
      <w:r>
        <w:t>quarterly data collection (</w:t>
      </w:r>
      <w:r w:rsidRPr="0670E279">
        <w:rPr>
          <w:rFonts w:cs="Calibri"/>
        </w:rPr>
        <w:t>MHCSS</w:t>
      </w:r>
      <w:r>
        <w:t xml:space="preserve"> reporting)</w:t>
      </w:r>
    </w:p>
    <w:p w14:paraId="472906AE" w14:textId="77777777" w:rsidR="00817104" w:rsidRDefault="00817104" w:rsidP="00817104">
      <w:pPr>
        <w:pStyle w:val="Bullet1"/>
        <w:numPr>
          <w:ilvl w:val="0"/>
          <w:numId w:val="2"/>
        </w:numPr>
      </w:pPr>
      <w:r>
        <w:t xml:space="preserve">a quarterly </w:t>
      </w:r>
      <w:r w:rsidRPr="0670E279">
        <w:rPr>
          <w:rFonts w:cs="Calibri"/>
        </w:rPr>
        <w:t>MHCSS</w:t>
      </w:r>
      <w:r>
        <w:t xml:space="preserve"> aggregate spreadsheet report</w:t>
      </w:r>
    </w:p>
    <w:p w14:paraId="0BF21F66" w14:textId="77777777" w:rsidR="00817104" w:rsidRDefault="00817104" w:rsidP="00817104">
      <w:pPr>
        <w:pStyle w:val="Bullet1"/>
        <w:numPr>
          <w:ilvl w:val="0"/>
          <w:numId w:val="2"/>
        </w:numPr>
      </w:pPr>
      <w:r>
        <w:t>a monthly Mental Health and Wellbeing Locals aggregate collection</w:t>
      </w:r>
    </w:p>
    <w:p w14:paraId="62AB4BE4" w14:textId="77777777" w:rsidR="00817104" w:rsidRDefault="00817104" w:rsidP="00817104">
      <w:pPr>
        <w:pStyle w:val="Bullet1"/>
        <w:numPr>
          <w:ilvl w:val="0"/>
          <w:numId w:val="2"/>
        </w:numPr>
      </w:pPr>
      <w:r>
        <w:t>a monthly Mental Health and Wellbeing Connect Centre aggregate collection</w:t>
      </w:r>
    </w:p>
    <w:p w14:paraId="608B60BD" w14:textId="77777777" w:rsidR="00817104" w:rsidRPr="00B61A4E" w:rsidRDefault="00817104" w:rsidP="00817104">
      <w:pPr>
        <w:pStyle w:val="Bullet1"/>
        <w:numPr>
          <w:ilvl w:val="0"/>
          <w:numId w:val="2"/>
        </w:numPr>
      </w:pPr>
      <w:r>
        <w:t xml:space="preserve">the VAED (see </w:t>
      </w:r>
      <w:hyperlink w:anchor="_29.1.2_VAED" w:history="1">
        <w:r w:rsidRPr="009D6952">
          <w:rPr>
            <w:rStyle w:val="Hyperlink"/>
          </w:rPr>
          <w:t>section 29.1.2</w:t>
        </w:r>
      </w:hyperlink>
      <w:r>
        <w:t>)</w:t>
      </w:r>
    </w:p>
    <w:p w14:paraId="5E0B169D" w14:textId="77777777" w:rsidR="00817104" w:rsidRPr="00B61A4E" w:rsidRDefault="00817104" w:rsidP="00817104">
      <w:pPr>
        <w:pStyle w:val="Bullet1"/>
        <w:numPr>
          <w:ilvl w:val="0"/>
          <w:numId w:val="2"/>
        </w:numPr>
      </w:pPr>
      <w:r>
        <w:t xml:space="preserve">the VEMD (see </w:t>
      </w:r>
      <w:hyperlink w:anchor="_29.1.3_VEMD" w:history="1">
        <w:r w:rsidRPr="009D6952">
          <w:rPr>
            <w:rStyle w:val="Hyperlink"/>
          </w:rPr>
          <w:t>section 29.1.3</w:t>
        </w:r>
      </w:hyperlink>
      <w:r>
        <w:t>).</w:t>
      </w:r>
    </w:p>
    <w:p w14:paraId="6A6F6AB6" w14:textId="77777777" w:rsidR="00817104" w:rsidRDefault="00817104" w:rsidP="00817104">
      <w:pPr>
        <w:pStyle w:val="Bodyafterbullets"/>
      </w:pPr>
      <w:r>
        <w:t xml:space="preserve">The collections underpin public accountability for service provision, quality and safety, with the outputs contributing to a range of national datasets, and performance measurement and monitoring for Commonwealth, state and departmental purposes. </w:t>
      </w:r>
    </w:p>
    <w:p w14:paraId="4F5DB49D" w14:textId="77777777" w:rsidR="00817104" w:rsidRDefault="00817104" w:rsidP="00817104">
      <w:pPr>
        <w:pStyle w:val="Body"/>
      </w:pPr>
      <w:r>
        <w:t xml:space="preserve">For mental health data and </w:t>
      </w:r>
      <w:r w:rsidRPr="00D93A24">
        <w:t>performance</w:t>
      </w:r>
      <w:r>
        <w:t xml:space="preserve"> reporting, visit:</w:t>
      </w:r>
    </w:p>
    <w:p w14:paraId="58E6C579" w14:textId="77777777" w:rsidR="00817104" w:rsidRDefault="00817104" w:rsidP="00817104">
      <w:pPr>
        <w:pStyle w:val="Bullet1"/>
        <w:numPr>
          <w:ilvl w:val="0"/>
          <w:numId w:val="2"/>
        </w:numPr>
      </w:pPr>
      <w:hyperlink r:id="rId476">
        <w:r w:rsidRPr="0670E279">
          <w:rPr>
            <w:rStyle w:val="Hyperlink"/>
          </w:rPr>
          <w:t>Mental health</w:t>
        </w:r>
      </w:hyperlink>
      <w:r>
        <w:t xml:space="preserve"> &lt;https://vahi.vic.gov.au/reports/victorian-health-services-performance/mental-health&gt; </w:t>
      </w:r>
    </w:p>
    <w:p w14:paraId="28329604" w14:textId="77777777" w:rsidR="00817104" w:rsidRDefault="00817104" w:rsidP="00817104">
      <w:pPr>
        <w:pStyle w:val="Bullet1"/>
        <w:numPr>
          <w:ilvl w:val="0"/>
          <w:numId w:val="2"/>
        </w:numPr>
      </w:pPr>
      <w:hyperlink r:id="rId477">
        <w:r w:rsidRPr="0670E279">
          <w:rPr>
            <w:rStyle w:val="Hyperlink"/>
          </w:rPr>
          <w:t>Mental health performance reports</w:t>
        </w:r>
      </w:hyperlink>
      <w:r>
        <w:t xml:space="preserve"> &lt;https://www.health.vic.gov.au/research-and-reporting/mental-health-performance-reports&gt;.</w:t>
      </w:r>
    </w:p>
    <w:p w14:paraId="37B1CFE0" w14:textId="1A31B1DA" w:rsidR="00817104" w:rsidRPr="00B81924" w:rsidRDefault="00817104" w:rsidP="00817104">
      <w:pPr>
        <w:pStyle w:val="Heading3"/>
      </w:pPr>
      <w:r>
        <w:t>CMI/ODS</w:t>
      </w:r>
    </w:p>
    <w:p w14:paraId="3B809599" w14:textId="77777777" w:rsidR="00817104" w:rsidRPr="00BA115A" w:rsidRDefault="00817104" w:rsidP="00817104">
      <w:pPr>
        <w:pStyle w:val="Body"/>
      </w:pPr>
      <w:r>
        <w:t>The statewide ODS is simultaneously updated from local CMI systems as data is captured, providing a live, 24/7 statewide view of the transactional history of mental health services.</w:t>
      </w:r>
    </w:p>
    <w:p w14:paraId="4EF7E486" w14:textId="77777777" w:rsidR="00817104" w:rsidRDefault="00817104" w:rsidP="00817104">
      <w:pPr>
        <w:pStyle w:val="Body"/>
      </w:pPr>
      <w:r>
        <w:lastRenderedPageBreak/>
        <w:t xml:space="preserve">Health services are expected to use the CMI/ODS to record clinical mental health activity, to ensure statewide visibility of consumer care across all designated mental health services. Data entry timeframes differ, according to the type of data being recorded (see Table 14 for details). </w:t>
      </w:r>
    </w:p>
    <w:p w14:paraId="1706CFA2" w14:textId="18C737F9" w:rsidR="00817104" w:rsidRDefault="00817104" w:rsidP="00817104">
      <w:pPr>
        <w:pStyle w:val="Tablecaption"/>
      </w:pPr>
      <w:bookmarkStart w:id="2794" w:name="_Toc230537134"/>
      <w:r>
        <w:t xml:space="preserve">Table </w:t>
      </w:r>
      <w:r w:rsidR="003649B7">
        <w:t>14</w:t>
      </w:r>
      <w:r>
        <w:t xml:space="preserve">. </w:t>
      </w:r>
      <w:r w:rsidRPr="000220D9">
        <w:t>CMI/ODS reporting timelines</w:t>
      </w:r>
      <w:bookmarkEnd w:id="2794"/>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3353"/>
        <w:gridCol w:w="3590"/>
      </w:tblGrid>
      <w:tr w:rsidR="00817104" w:rsidRPr="00DB1143" w14:paraId="382FD9DB" w14:textId="77777777" w:rsidTr="003649B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auto"/>
          </w:tcPr>
          <w:p w14:paraId="7B58435A" w14:textId="77777777" w:rsidR="00817104" w:rsidRPr="003649B7" w:rsidRDefault="00817104" w:rsidP="003649B7">
            <w:pPr>
              <w:pStyle w:val="Tablecolhead"/>
              <w:rPr>
                <w:b/>
                <w:bCs w:val="0"/>
                <w:color w:val="FFFFFF" w:themeColor="background1"/>
                <w:sz w:val="18"/>
                <w:szCs w:val="18"/>
              </w:rPr>
            </w:pPr>
            <w:r w:rsidRPr="003649B7">
              <w:rPr>
                <w:b/>
                <w:bCs w:val="0"/>
                <w:color w:val="FFFFFF" w:themeColor="background1"/>
                <w:sz w:val="18"/>
                <w:szCs w:val="18"/>
              </w:rPr>
              <w:t>Data entry</w:t>
            </w:r>
          </w:p>
        </w:tc>
        <w:tc>
          <w:tcPr>
            <w:tcW w:w="0" w:type="auto"/>
          </w:tcPr>
          <w:p w14:paraId="041CDB2B" w14:textId="77777777" w:rsidR="00817104" w:rsidRPr="003649B7" w:rsidRDefault="00817104" w:rsidP="003649B7">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9B7">
              <w:rPr>
                <w:b/>
                <w:bCs w:val="0"/>
                <w:color w:val="FFFFFF" w:themeColor="background1"/>
                <w:sz w:val="18"/>
                <w:szCs w:val="18"/>
              </w:rPr>
              <w:t>Rationale</w:t>
            </w:r>
          </w:p>
        </w:tc>
        <w:tc>
          <w:tcPr>
            <w:tcW w:w="0" w:type="auto"/>
          </w:tcPr>
          <w:p w14:paraId="6210C3AE" w14:textId="77777777" w:rsidR="00817104" w:rsidRPr="003649B7" w:rsidRDefault="00817104" w:rsidP="003649B7">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49B7">
              <w:rPr>
                <w:b/>
                <w:bCs w:val="0"/>
                <w:color w:val="FFFFFF" w:themeColor="background1"/>
                <w:sz w:val="18"/>
                <w:szCs w:val="18"/>
              </w:rPr>
              <w:t>Due date</w:t>
            </w:r>
          </w:p>
        </w:tc>
      </w:tr>
      <w:tr w:rsidR="00817104" w14:paraId="002968B1" w14:textId="77777777" w:rsidTr="003649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1EC572C3" w14:textId="77777777" w:rsidR="00817104" w:rsidRPr="00D93A24" w:rsidRDefault="00817104" w:rsidP="003649B7">
            <w:pPr>
              <w:pStyle w:val="Tabletext"/>
            </w:pPr>
            <w:r w:rsidRPr="00D93A24">
              <w:t>Compulsory order/legal status</w:t>
            </w:r>
          </w:p>
        </w:tc>
        <w:tc>
          <w:tcPr>
            <w:tcW w:w="0" w:type="auto"/>
          </w:tcPr>
          <w:p w14:paraId="17D07244" w14:textId="77777777" w:rsidR="00817104" w:rsidRPr="00D93A24" w:rsidRDefault="00817104" w:rsidP="003649B7">
            <w:pPr>
              <w:pStyle w:val="Tabletext"/>
              <w:cnfStyle w:val="000000100000" w:firstRow="0" w:lastRow="0" w:firstColumn="0" w:lastColumn="0" w:oddVBand="0" w:evenVBand="0" w:oddHBand="1" w:evenHBand="0" w:firstRowFirstColumn="0" w:firstRowLastColumn="0" w:lastRowFirstColumn="0" w:lastRowLastColumn="0"/>
            </w:pPr>
            <w:r w:rsidRPr="00D93A24">
              <w:t>Timely information regarding compulsory/forensic/security client status</w:t>
            </w:r>
          </w:p>
        </w:tc>
        <w:tc>
          <w:tcPr>
            <w:tcW w:w="0" w:type="auto"/>
          </w:tcPr>
          <w:p w14:paraId="32BC62DC" w14:textId="77777777" w:rsidR="00817104" w:rsidRPr="00D93A24" w:rsidRDefault="00817104" w:rsidP="003649B7">
            <w:pPr>
              <w:pStyle w:val="Tabletext"/>
              <w:cnfStyle w:val="000000100000" w:firstRow="0" w:lastRow="0" w:firstColumn="0" w:lastColumn="0" w:oddVBand="0" w:evenVBand="0" w:oddHBand="1" w:evenHBand="0" w:firstRowFirstColumn="0" w:firstRowLastColumn="0" w:lastRowFirstColumn="0" w:lastRowLastColumn="0"/>
            </w:pPr>
            <w:r w:rsidRPr="00D93A24">
              <w:t xml:space="preserve">Twice daily, </w:t>
            </w:r>
            <w:r>
              <w:t>7</w:t>
            </w:r>
            <w:r w:rsidRPr="00D93A24">
              <w:t xml:space="preserve"> days per week</w:t>
            </w:r>
          </w:p>
        </w:tc>
      </w:tr>
      <w:tr w:rsidR="00817104" w14:paraId="4CD0A060" w14:textId="77777777" w:rsidTr="003649B7">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FA20ED0" w14:textId="77777777" w:rsidR="00817104" w:rsidRPr="00D93A24" w:rsidRDefault="00817104" w:rsidP="003649B7">
            <w:pPr>
              <w:pStyle w:val="Tabletext"/>
            </w:pPr>
            <w:r w:rsidRPr="00D93A24">
              <w:t xml:space="preserve">Admissions, transfers and separations </w:t>
            </w:r>
          </w:p>
        </w:tc>
        <w:tc>
          <w:tcPr>
            <w:tcW w:w="0" w:type="auto"/>
          </w:tcPr>
          <w:p w14:paraId="171F2A77" w14:textId="77777777" w:rsidR="00817104" w:rsidRPr="00D93A24" w:rsidRDefault="00817104" w:rsidP="003649B7">
            <w:pPr>
              <w:pStyle w:val="Tabletext"/>
              <w:cnfStyle w:val="000000000000" w:firstRow="0" w:lastRow="0" w:firstColumn="0" w:lastColumn="0" w:oddVBand="0" w:evenVBand="0" w:oddHBand="0" w:evenHBand="0" w:firstRowFirstColumn="0" w:firstRowLastColumn="0" w:lastRowFirstColumn="0" w:lastRowLastColumn="0"/>
            </w:pPr>
            <w:r w:rsidRPr="00D93A24">
              <w:t>Statutory reporting</w:t>
            </w:r>
          </w:p>
          <w:p w14:paraId="21ACE47C" w14:textId="77777777" w:rsidR="00817104" w:rsidRPr="00D93A24" w:rsidRDefault="00817104" w:rsidP="003649B7">
            <w:pPr>
              <w:pStyle w:val="Tabletext"/>
              <w:cnfStyle w:val="000000000000" w:firstRow="0" w:lastRow="0" w:firstColumn="0" w:lastColumn="0" w:oddVBand="0" w:evenVBand="0" w:oddHBand="0" w:evenHBand="0" w:firstRowFirstColumn="0" w:firstRowLastColumn="0" w:lastRowFirstColumn="0" w:lastRowLastColumn="0"/>
            </w:pPr>
            <w:r w:rsidRPr="00D93A24">
              <w:t>Maintenance of statewide bed register</w:t>
            </w:r>
          </w:p>
        </w:tc>
        <w:tc>
          <w:tcPr>
            <w:tcW w:w="0" w:type="auto"/>
          </w:tcPr>
          <w:p w14:paraId="00C626F1" w14:textId="77777777" w:rsidR="00817104" w:rsidRPr="00D93A24" w:rsidRDefault="00817104" w:rsidP="003649B7">
            <w:pPr>
              <w:pStyle w:val="Tabletext"/>
              <w:cnfStyle w:val="000000000000" w:firstRow="0" w:lastRow="0" w:firstColumn="0" w:lastColumn="0" w:oddVBand="0" w:evenVBand="0" w:oddHBand="0" w:evenHBand="0" w:firstRowFirstColumn="0" w:firstRowLastColumn="0" w:lastRowFirstColumn="0" w:lastRowLastColumn="0"/>
            </w:pPr>
            <w:r w:rsidRPr="00D93A24">
              <w:t xml:space="preserve">Twice daily, </w:t>
            </w:r>
            <w:r>
              <w:t>7</w:t>
            </w:r>
            <w:r w:rsidRPr="00D93A24">
              <w:t xml:space="preserve"> days per week </w:t>
            </w:r>
          </w:p>
        </w:tc>
      </w:tr>
      <w:tr w:rsidR="00817104" w14:paraId="32666254" w14:textId="77777777" w:rsidTr="003649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7AA55EE3" w14:textId="77777777" w:rsidR="00817104" w:rsidRPr="00D93A24" w:rsidRDefault="00817104" w:rsidP="003649B7">
            <w:pPr>
              <w:pStyle w:val="Tabletext"/>
            </w:pPr>
            <w:r w:rsidRPr="00D93A24">
              <w:t>Client registration and episode creation</w:t>
            </w:r>
          </w:p>
        </w:tc>
        <w:tc>
          <w:tcPr>
            <w:tcW w:w="0" w:type="auto"/>
          </w:tcPr>
          <w:p w14:paraId="353611DE" w14:textId="77777777" w:rsidR="00817104" w:rsidRPr="00D93A24" w:rsidRDefault="00817104" w:rsidP="003649B7">
            <w:pPr>
              <w:pStyle w:val="Tabletext"/>
              <w:cnfStyle w:val="000000100000" w:firstRow="0" w:lastRow="0" w:firstColumn="0" w:lastColumn="0" w:oddVBand="0" w:evenVBand="0" w:oddHBand="1" w:evenHBand="0" w:firstRowFirstColumn="0" w:firstRowLastColumn="0" w:lastRowFirstColumn="0" w:lastRowLastColumn="0"/>
            </w:pPr>
            <w:r w:rsidRPr="00D93A24">
              <w:t>Informational continuity of care</w:t>
            </w:r>
          </w:p>
        </w:tc>
        <w:tc>
          <w:tcPr>
            <w:tcW w:w="0" w:type="auto"/>
          </w:tcPr>
          <w:p w14:paraId="76583E99" w14:textId="77777777" w:rsidR="00817104" w:rsidRPr="00D93A24" w:rsidRDefault="00817104" w:rsidP="003649B7">
            <w:pPr>
              <w:pStyle w:val="Tabletext"/>
              <w:cnfStyle w:val="000000100000" w:firstRow="0" w:lastRow="0" w:firstColumn="0" w:lastColumn="0" w:oddVBand="0" w:evenVBand="0" w:oddHBand="1" w:evenHBand="0" w:firstRowFirstColumn="0" w:firstRowLastColumn="0" w:lastRowFirstColumn="0" w:lastRowLastColumn="0"/>
            </w:pPr>
            <w:r w:rsidRPr="00D93A24">
              <w:t>Daily, within 24 hours following mental state assessment</w:t>
            </w:r>
          </w:p>
        </w:tc>
      </w:tr>
      <w:tr w:rsidR="00817104" w14:paraId="3263504D" w14:textId="77777777" w:rsidTr="003649B7">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1CD6F5FA" w14:textId="77777777" w:rsidR="00817104" w:rsidRPr="00D93A24" w:rsidRDefault="00817104" w:rsidP="003649B7">
            <w:pPr>
              <w:pStyle w:val="Tabletext"/>
            </w:pPr>
            <w:r w:rsidRPr="00D93A24">
              <w:t>Contacts</w:t>
            </w:r>
          </w:p>
        </w:tc>
        <w:tc>
          <w:tcPr>
            <w:tcW w:w="0" w:type="auto"/>
          </w:tcPr>
          <w:p w14:paraId="7DA739E7" w14:textId="77777777" w:rsidR="00817104" w:rsidRPr="00D93A24" w:rsidRDefault="00817104" w:rsidP="003649B7">
            <w:pPr>
              <w:pStyle w:val="Tabletext"/>
              <w:cnfStyle w:val="000000000000" w:firstRow="0" w:lastRow="0" w:firstColumn="0" w:lastColumn="0" w:oddVBand="0" w:evenVBand="0" w:oddHBand="0" w:evenHBand="0" w:firstRowFirstColumn="0" w:firstRowLastColumn="0" w:lastRowFirstColumn="0" w:lastRowLastColumn="0"/>
            </w:pPr>
            <w:r w:rsidRPr="00D93A24">
              <w:t>Statutory reporting</w:t>
            </w:r>
          </w:p>
        </w:tc>
        <w:tc>
          <w:tcPr>
            <w:tcW w:w="0" w:type="auto"/>
          </w:tcPr>
          <w:p w14:paraId="13655B11" w14:textId="77777777" w:rsidR="00817104" w:rsidRPr="00D93A24" w:rsidRDefault="00817104" w:rsidP="003649B7">
            <w:pPr>
              <w:pStyle w:val="Tabletext"/>
              <w:cnfStyle w:val="000000000000" w:firstRow="0" w:lastRow="0" w:firstColumn="0" w:lastColumn="0" w:oddVBand="0" w:evenVBand="0" w:oddHBand="0" w:evenHBand="0" w:firstRowFirstColumn="0" w:firstRowLastColumn="0" w:lastRowFirstColumn="0" w:lastRowLastColumn="0"/>
            </w:pPr>
            <w:r w:rsidRPr="00D93A24">
              <w:t xml:space="preserve">On </w:t>
            </w:r>
            <w:r>
              <w:t>tenth</w:t>
            </w:r>
            <w:r w:rsidRPr="00D93A24">
              <w:t xml:space="preserve"> of the month following the contact</w:t>
            </w:r>
          </w:p>
        </w:tc>
      </w:tr>
      <w:tr w:rsidR="00817104" w14:paraId="1A3F3828" w14:textId="77777777" w:rsidTr="003649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270C6B7F" w14:textId="77777777" w:rsidR="00817104" w:rsidRPr="00D93A24" w:rsidRDefault="00817104" w:rsidP="003649B7">
            <w:pPr>
              <w:pStyle w:val="Tabletext"/>
            </w:pPr>
            <w:r w:rsidRPr="00D93A24">
              <w:t>Outcome measures</w:t>
            </w:r>
          </w:p>
        </w:tc>
        <w:tc>
          <w:tcPr>
            <w:tcW w:w="0" w:type="auto"/>
          </w:tcPr>
          <w:p w14:paraId="2284B297" w14:textId="77777777" w:rsidR="00817104" w:rsidRPr="00D93A24" w:rsidRDefault="00817104" w:rsidP="003649B7">
            <w:pPr>
              <w:pStyle w:val="Tabletext"/>
              <w:cnfStyle w:val="000000100000" w:firstRow="0" w:lastRow="0" w:firstColumn="0" w:lastColumn="0" w:oddVBand="0" w:evenVBand="0" w:oddHBand="1" w:evenHBand="0" w:firstRowFirstColumn="0" w:firstRowLastColumn="0" w:lastRowFirstColumn="0" w:lastRowLastColumn="0"/>
            </w:pPr>
            <w:r w:rsidRPr="00D93A24">
              <w:t>Statutory reporting</w:t>
            </w:r>
          </w:p>
        </w:tc>
        <w:tc>
          <w:tcPr>
            <w:tcW w:w="0" w:type="auto"/>
          </w:tcPr>
          <w:p w14:paraId="57C42152" w14:textId="77777777" w:rsidR="00817104" w:rsidRPr="00D93A24" w:rsidRDefault="00817104" w:rsidP="003649B7">
            <w:pPr>
              <w:pStyle w:val="Tabletext"/>
              <w:cnfStyle w:val="000000100000" w:firstRow="0" w:lastRow="0" w:firstColumn="0" w:lastColumn="0" w:oddVBand="0" w:evenVBand="0" w:oddHBand="1" w:evenHBand="0" w:firstRowFirstColumn="0" w:firstRowLastColumn="0" w:lastRowFirstColumn="0" w:lastRowLastColumn="0"/>
            </w:pPr>
            <w:r w:rsidRPr="00D93A24">
              <w:t xml:space="preserve">On </w:t>
            </w:r>
            <w:r>
              <w:t>tenth</w:t>
            </w:r>
            <w:r w:rsidRPr="00D93A24">
              <w:t xml:space="preserve"> of the month following the measure collection </w:t>
            </w:r>
          </w:p>
        </w:tc>
      </w:tr>
      <w:tr w:rsidR="00817104" w14:paraId="11E6E302" w14:textId="77777777" w:rsidTr="003649B7">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065A298E" w14:textId="77777777" w:rsidR="00817104" w:rsidRPr="00D93A24" w:rsidRDefault="00817104" w:rsidP="003649B7">
            <w:pPr>
              <w:pStyle w:val="Tabletext"/>
            </w:pPr>
            <w:r w:rsidRPr="00D93A24">
              <w:t xml:space="preserve">Electroconvulsive therapy </w:t>
            </w:r>
            <w:r>
              <w:t xml:space="preserve">(ECT) </w:t>
            </w:r>
            <w:r w:rsidRPr="00D93A24">
              <w:t>procedures</w:t>
            </w:r>
          </w:p>
        </w:tc>
        <w:tc>
          <w:tcPr>
            <w:tcW w:w="0" w:type="auto"/>
          </w:tcPr>
          <w:p w14:paraId="4BF8E9F4" w14:textId="77777777" w:rsidR="00817104" w:rsidRPr="00D93A24" w:rsidRDefault="00817104" w:rsidP="003649B7">
            <w:pPr>
              <w:pStyle w:val="Tabletext"/>
              <w:cnfStyle w:val="000000000000" w:firstRow="0" w:lastRow="0" w:firstColumn="0" w:lastColumn="0" w:oddVBand="0" w:evenVBand="0" w:oddHBand="0" w:evenHBand="0" w:firstRowFirstColumn="0" w:firstRowLastColumn="0" w:lastRowFirstColumn="0" w:lastRowLastColumn="0"/>
            </w:pPr>
            <w:r w:rsidRPr="00D93A24">
              <w:t>Statutory reporting</w:t>
            </w:r>
          </w:p>
        </w:tc>
        <w:tc>
          <w:tcPr>
            <w:tcW w:w="0" w:type="auto"/>
          </w:tcPr>
          <w:p w14:paraId="2734066A" w14:textId="77777777" w:rsidR="00817104" w:rsidRPr="00D93A24" w:rsidRDefault="00817104" w:rsidP="003649B7">
            <w:pPr>
              <w:pStyle w:val="Tabletext"/>
              <w:cnfStyle w:val="000000000000" w:firstRow="0" w:lastRow="0" w:firstColumn="0" w:lastColumn="0" w:oddVBand="0" w:evenVBand="0" w:oddHBand="0" w:evenHBand="0" w:firstRowFirstColumn="0" w:firstRowLastColumn="0" w:lastRowFirstColumn="0" w:lastRowLastColumn="0"/>
            </w:pPr>
            <w:r w:rsidRPr="00D93A24">
              <w:t>As soon as practicably possible</w:t>
            </w:r>
          </w:p>
        </w:tc>
      </w:tr>
      <w:tr w:rsidR="00817104" w14:paraId="6C30FE32" w14:textId="77777777" w:rsidTr="003649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619F76AD" w14:textId="77777777" w:rsidR="00817104" w:rsidRPr="00D93A24" w:rsidRDefault="00817104" w:rsidP="003649B7">
            <w:pPr>
              <w:pStyle w:val="Tabletext"/>
            </w:pPr>
            <w:r>
              <w:t>Restrictive interventions</w:t>
            </w:r>
          </w:p>
        </w:tc>
        <w:tc>
          <w:tcPr>
            <w:tcW w:w="0" w:type="auto"/>
          </w:tcPr>
          <w:p w14:paraId="3D98B878" w14:textId="77777777" w:rsidR="00817104" w:rsidRPr="00D93A24" w:rsidRDefault="00817104" w:rsidP="003649B7">
            <w:pPr>
              <w:pStyle w:val="Tabletext"/>
              <w:cnfStyle w:val="000000100000" w:firstRow="0" w:lastRow="0" w:firstColumn="0" w:lastColumn="0" w:oddVBand="0" w:evenVBand="0" w:oddHBand="1" w:evenHBand="0" w:firstRowFirstColumn="0" w:firstRowLastColumn="0" w:lastRowFirstColumn="0" w:lastRowLastColumn="0"/>
            </w:pPr>
            <w:r w:rsidRPr="00D93A24">
              <w:t>Statutory reporting</w:t>
            </w:r>
          </w:p>
        </w:tc>
        <w:tc>
          <w:tcPr>
            <w:tcW w:w="0" w:type="auto"/>
          </w:tcPr>
          <w:p w14:paraId="26E9A378" w14:textId="77777777" w:rsidR="00817104" w:rsidRPr="00D93A24" w:rsidRDefault="00817104" w:rsidP="003649B7">
            <w:pPr>
              <w:pStyle w:val="Tabletext"/>
              <w:cnfStyle w:val="000000100000" w:firstRow="0" w:lastRow="0" w:firstColumn="0" w:lastColumn="0" w:oddVBand="0" w:evenVBand="0" w:oddHBand="1" w:evenHBand="0" w:firstRowFirstColumn="0" w:firstRowLastColumn="0" w:lastRowFirstColumn="0" w:lastRowLastColumn="0"/>
            </w:pPr>
            <w:r w:rsidRPr="00D93A24">
              <w:t xml:space="preserve">On </w:t>
            </w:r>
            <w:r>
              <w:t>tenth</w:t>
            </w:r>
            <w:r w:rsidRPr="00D93A24">
              <w:t xml:space="preserve"> of the month following the period of </w:t>
            </w:r>
            <w:r>
              <w:t>the restrictive intervention (seclusion, physical/bodily and chemical restraint)</w:t>
            </w:r>
          </w:p>
        </w:tc>
      </w:tr>
      <w:tr w:rsidR="00817104" w14:paraId="72604635" w14:textId="77777777" w:rsidTr="003649B7">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2E94A892" w14:textId="77777777" w:rsidR="00817104" w:rsidRPr="00D93A24" w:rsidRDefault="00817104" w:rsidP="003649B7">
            <w:pPr>
              <w:pStyle w:val="Tabletext"/>
            </w:pPr>
            <w:r w:rsidRPr="00D93A24">
              <w:t>Diagnosis</w:t>
            </w:r>
          </w:p>
        </w:tc>
        <w:tc>
          <w:tcPr>
            <w:tcW w:w="0" w:type="auto"/>
          </w:tcPr>
          <w:p w14:paraId="1813ABCE" w14:textId="77777777" w:rsidR="00817104" w:rsidRPr="00D93A24" w:rsidRDefault="00817104" w:rsidP="003649B7">
            <w:pPr>
              <w:pStyle w:val="Tabletext"/>
              <w:cnfStyle w:val="000000000000" w:firstRow="0" w:lastRow="0" w:firstColumn="0" w:lastColumn="0" w:oddVBand="0" w:evenVBand="0" w:oddHBand="0" w:evenHBand="0" w:firstRowFirstColumn="0" w:firstRowLastColumn="0" w:lastRowFirstColumn="0" w:lastRowLastColumn="0"/>
            </w:pPr>
            <w:r w:rsidRPr="00D93A24">
              <w:t>Statutory reporting</w:t>
            </w:r>
          </w:p>
        </w:tc>
        <w:tc>
          <w:tcPr>
            <w:tcW w:w="0" w:type="auto"/>
          </w:tcPr>
          <w:p w14:paraId="45B2AB3E" w14:textId="77777777" w:rsidR="00817104" w:rsidRPr="00D93A24" w:rsidRDefault="00817104" w:rsidP="003649B7">
            <w:pPr>
              <w:pStyle w:val="Tabletext"/>
              <w:cnfStyle w:val="000000000000" w:firstRow="0" w:lastRow="0" w:firstColumn="0" w:lastColumn="0" w:oddVBand="0" w:evenVBand="0" w:oddHBand="0" w:evenHBand="0" w:firstRowFirstColumn="0" w:firstRowLastColumn="0" w:lastRowFirstColumn="0" w:lastRowLastColumn="0"/>
            </w:pPr>
            <w:r w:rsidRPr="00D93A24">
              <w:t>Inpatients: On t</w:t>
            </w:r>
            <w:r>
              <w:t>he tenth</w:t>
            </w:r>
            <w:r w:rsidRPr="00D93A24">
              <w:t xml:space="preserve"> of the month following the diagnosis event</w:t>
            </w:r>
          </w:p>
        </w:tc>
      </w:tr>
    </w:tbl>
    <w:p w14:paraId="7272538A" w14:textId="77777777" w:rsidR="00817104" w:rsidRDefault="00817104" w:rsidP="00817104">
      <w:pPr>
        <w:pStyle w:val="Bodyaftertablefigure"/>
      </w:pPr>
      <w:r>
        <w:t>Departmental circulars and bulletins detail the business rules for key data requirements and guidelines for data recording practices.</w:t>
      </w:r>
    </w:p>
    <w:p w14:paraId="26FBD1BE" w14:textId="77777777" w:rsidR="00817104" w:rsidRDefault="00817104" w:rsidP="00817104">
      <w:pPr>
        <w:pStyle w:val="Body"/>
      </w:pPr>
      <w:r>
        <w:t xml:space="preserve">Business rules for data recording can be found under CMI/ODS under the heading of Data Quality at </w:t>
      </w:r>
      <w:hyperlink r:id="rId478">
        <w:r w:rsidRPr="0670E279">
          <w:rPr>
            <w:rStyle w:val="Hyperlink"/>
          </w:rPr>
          <w:t>Reporting requirements and business rules for clinical mental health services</w:t>
        </w:r>
      </w:hyperlink>
      <w:r>
        <w:t xml:space="preserve"> &lt;https://www.health.vic.gov.au/research-and-reporting/reporting-requirements-and-business-rules-for-clinical-mental-health&gt;, as well as mental health bulletins and program management circulars.</w:t>
      </w:r>
    </w:p>
    <w:p w14:paraId="25AA1C33" w14:textId="77777777" w:rsidR="00817104" w:rsidRPr="00D25DB2" w:rsidRDefault="00817104" w:rsidP="00817104">
      <w:pPr>
        <w:pStyle w:val="Body"/>
      </w:pPr>
      <w:r>
        <w:t>Regular meetings are held with hospital mental health system administrators to discuss system and data issues. System upgrades are performed to improve the functionality and utility of the system and data.</w:t>
      </w:r>
    </w:p>
    <w:p w14:paraId="0A089085" w14:textId="77777777" w:rsidR="00817104" w:rsidRPr="00D25DB2" w:rsidRDefault="00817104" w:rsidP="00817104">
      <w:pPr>
        <w:pStyle w:val="Heading4"/>
      </w:pPr>
      <w:r>
        <w:t>Data integrity</w:t>
      </w:r>
    </w:p>
    <w:p w14:paraId="059CF671" w14:textId="77777777" w:rsidR="00817104" w:rsidRPr="003E0C3A" w:rsidRDefault="00817104" w:rsidP="00817104">
      <w:pPr>
        <w:pStyle w:val="Body"/>
      </w:pPr>
      <w:r>
        <w:t>Services must review and reconcile data quality issues identified by the department and provide return advice at a minimum on a quarterly basis. Validation reports are updated monthly.</w:t>
      </w:r>
    </w:p>
    <w:p w14:paraId="71A70266" w14:textId="77777777" w:rsidR="00817104" w:rsidRPr="003E0C3A" w:rsidRDefault="00817104" w:rsidP="00817104">
      <w:pPr>
        <w:pStyle w:val="Body"/>
      </w:pPr>
      <w:r>
        <w:t>Quarterly returns are to be submitted by:</w:t>
      </w:r>
    </w:p>
    <w:p w14:paraId="2F13E97C" w14:textId="77777777" w:rsidR="00817104" w:rsidRPr="000A2E20" w:rsidRDefault="00817104" w:rsidP="00817104">
      <w:pPr>
        <w:pStyle w:val="Bullet1"/>
        <w:numPr>
          <w:ilvl w:val="0"/>
          <w:numId w:val="2"/>
        </w:numPr>
      </w:pPr>
      <w:r w:rsidRPr="000A2E20">
        <w:t xml:space="preserve">July–September: </w:t>
      </w:r>
      <w:r>
        <w:t>27 October</w:t>
      </w:r>
    </w:p>
    <w:p w14:paraId="29F0F937" w14:textId="77777777" w:rsidR="00817104" w:rsidRDefault="00817104" w:rsidP="00817104">
      <w:pPr>
        <w:pStyle w:val="Bullet1"/>
        <w:numPr>
          <w:ilvl w:val="0"/>
          <w:numId w:val="2"/>
        </w:numPr>
      </w:pPr>
      <w:r w:rsidRPr="000A2E20">
        <w:t xml:space="preserve">October–December: </w:t>
      </w:r>
      <w:r>
        <w:t>27 January</w:t>
      </w:r>
      <w:r w:rsidRPr="000A2E20" w:rsidDel="007166BF">
        <w:t xml:space="preserve"> </w:t>
      </w:r>
    </w:p>
    <w:p w14:paraId="1C956B2E" w14:textId="77777777" w:rsidR="00817104" w:rsidRPr="000A2E20" w:rsidRDefault="00817104" w:rsidP="00817104">
      <w:pPr>
        <w:pStyle w:val="Bullet1"/>
        <w:numPr>
          <w:ilvl w:val="0"/>
          <w:numId w:val="2"/>
        </w:numPr>
      </w:pPr>
      <w:r w:rsidRPr="000A2E20">
        <w:t xml:space="preserve">January–March: </w:t>
      </w:r>
      <w:r>
        <w:t>28 April</w:t>
      </w:r>
    </w:p>
    <w:p w14:paraId="2B3D8008" w14:textId="77777777" w:rsidR="00817104" w:rsidRPr="000A2E20" w:rsidRDefault="00817104" w:rsidP="00817104">
      <w:pPr>
        <w:pStyle w:val="Bullet1"/>
        <w:numPr>
          <w:ilvl w:val="0"/>
          <w:numId w:val="2"/>
        </w:numPr>
      </w:pPr>
      <w:r w:rsidRPr="000A2E20">
        <w:t xml:space="preserve">April–June: </w:t>
      </w:r>
      <w:r>
        <w:t>27 July.</w:t>
      </w:r>
    </w:p>
    <w:p w14:paraId="71656ED9" w14:textId="77777777" w:rsidR="00817104" w:rsidRPr="00D25DB2" w:rsidRDefault="00817104" w:rsidP="00817104">
      <w:pPr>
        <w:pStyle w:val="Bodyafterbullets"/>
      </w:pPr>
      <w:r>
        <w:t xml:space="preserve">Outstanding validation issues for the </w:t>
      </w:r>
      <w:r w:rsidRPr="0670E279">
        <w:rPr>
          <w:rFonts w:cs="Calibri"/>
        </w:rPr>
        <w:t>202</w:t>
      </w:r>
      <w:r>
        <w:rPr>
          <w:rFonts w:cs="Calibri"/>
        </w:rPr>
        <w:t>6</w:t>
      </w:r>
      <w:r w:rsidRPr="0670E279">
        <w:rPr>
          <w:rFonts w:cs="Calibri"/>
        </w:rPr>
        <w:t>–2</w:t>
      </w:r>
      <w:r>
        <w:rPr>
          <w:rFonts w:cs="Calibri"/>
        </w:rPr>
        <w:t>7</w:t>
      </w:r>
      <w:r w:rsidRPr="0670E279">
        <w:rPr>
          <w:rFonts w:cs="Calibri"/>
        </w:rPr>
        <w:t xml:space="preserve"> </w:t>
      </w:r>
      <w:r>
        <w:t xml:space="preserve">financial year must be reconciled by 24 August 2027. </w:t>
      </w:r>
    </w:p>
    <w:p w14:paraId="5B5A60A9" w14:textId="77777777" w:rsidR="00817104" w:rsidRPr="00D93A24" w:rsidRDefault="00817104" w:rsidP="00817104">
      <w:pPr>
        <w:pStyle w:val="Heading4"/>
      </w:pPr>
      <w:r>
        <w:lastRenderedPageBreak/>
        <w:t>ECT</w:t>
      </w:r>
    </w:p>
    <w:p w14:paraId="353B078A" w14:textId="77777777" w:rsidR="00817104" w:rsidRPr="00D25DB2" w:rsidRDefault="00817104" w:rsidP="00817104">
      <w:pPr>
        <w:pStyle w:val="Body"/>
      </w:pPr>
      <w:r>
        <w:t xml:space="preserve">The Chief Psychiatrist requires that all occasions of ECT be reported via CMI/ODS to the </w:t>
      </w:r>
      <w:r w:rsidRPr="00537F32">
        <w:t xml:space="preserve">Office of the Chief Psychiatrist </w:t>
      </w:r>
      <w:r>
        <w:t>(OCP). All ECT course details and procedures are to be recorded on the CMI/ODS, as soon as practicably possible after each procedure.</w:t>
      </w:r>
    </w:p>
    <w:p w14:paraId="349D124C" w14:textId="7F80A54C" w:rsidR="00817104" w:rsidRPr="00B81924" w:rsidRDefault="00817104" w:rsidP="00817104">
      <w:pPr>
        <w:pStyle w:val="Heading3"/>
      </w:pPr>
      <w:r>
        <w:t>National Mental Health Establishments Database</w:t>
      </w:r>
    </w:p>
    <w:p w14:paraId="08D3CD4C" w14:textId="77777777" w:rsidR="00817104" w:rsidRPr="00B61A4E" w:rsidRDefault="00817104" w:rsidP="00817104">
      <w:pPr>
        <w:pStyle w:val="Body"/>
      </w:pPr>
      <w:r>
        <w:t xml:space="preserve">The National Mental Health Establishments Database collection captures all mental health workforce data and expenditure. It is compiled to meet the </w:t>
      </w:r>
      <w:r w:rsidRPr="00E33D3B">
        <w:rPr>
          <w:rStyle w:val="Emphasis"/>
          <w:i w:val="0"/>
          <w:iCs w:val="0"/>
        </w:rPr>
        <w:t>Mental health services annual report</w:t>
      </w:r>
      <w:r>
        <w:t xml:space="preserve"> and national mental health reporting requirements.</w:t>
      </w:r>
    </w:p>
    <w:p w14:paraId="40778E5D" w14:textId="77777777" w:rsidR="00817104" w:rsidRPr="00B61A4E" w:rsidRDefault="00817104" w:rsidP="00817104">
      <w:pPr>
        <w:pStyle w:val="Body"/>
      </w:pPr>
      <w:r>
        <w:t>The data collection for the previous financial year begins in October each year, with health services, residential service providers and departmental divisions required to submit a return.</w:t>
      </w:r>
    </w:p>
    <w:p w14:paraId="459D50A3" w14:textId="77777777" w:rsidR="00817104" w:rsidRPr="00453A2B" w:rsidRDefault="00817104" w:rsidP="00817104">
      <w:pPr>
        <w:pStyle w:val="Body"/>
      </w:pPr>
      <w:r>
        <w:t>As has been the practice in previous years, the Mental Health Establishments collection for 2024–25 will be pre-populated with health service activity data from the CMI/ODS when available. This information is subject to health service review and amendment as required.</w:t>
      </w:r>
    </w:p>
    <w:p w14:paraId="3F2B68AA" w14:textId="77777777" w:rsidR="00817104" w:rsidRDefault="00817104" w:rsidP="00817104">
      <w:pPr>
        <w:pStyle w:val="Body"/>
      </w:pPr>
      <w:r>
        <w:t xml:space="preserve">For more information, visit </w:t>
      </w:r>
      <w:hyperlink r:id="rId479" w:history="1">
        <w:r w:rsidRPr="00556589">
          <w:rPr>
            <w:rStyle w:val="Hyperlink"/>
          </w:rPr>
          <w:t>HealthCollect</w:t>
        </w:r>
      </w:hyperlink>
      <w:r>
        <w:t xml:space="preserve"> &lt;</w:t>
      </w:r>
      <w:r w:rsidRPr="00E33D3B">
        <w:t>https://www.healthcollect.vic.gov.au</w:t>
      </w:r>
      <w:r>
        <w:t>&gt; (login required).</w:t>
      </w:r>
    </w:p>
    <w:p w14:paraId="7F5B075D" w14:textId="575685D0" w:rsidR="00817104" w:rsidRDefault="00817104" w:rsidP="00817104">
      <w:pPr>
        <w:pStyle w:val="Body"/>
      </w:pPr>
      <w:r w:rsidRPr="00B61A4E">
        <w:t>Reporting</w:t>
      </w:r>
      <w:r>
        <w:t xml:space="preserve"> </w:t>
      </w:r>
      <w:r w:rsidRPr="00B61A4E">
        <w:t>timelines</w:t>
      </w:r>
      <w:r>
        <w:t xml:space="preserve"> </w:t>
      </w:r>
      <w:r w:rsidRPr="00B61A4E">
        <w:t>for</w:t>
      </w:r>
      <w:r>
        <w:t xml:space="preserve"> </w:t>
      </w:r>
      <w:r w:rsidRPr="00B61A4E">
        <w:t>the</w:t>
      </w:r>
      <w:r>
        <w:t xml:space="preserve"> </w:t>
      </w:r>
      <w:r w:rsidRPr="00B61A4E">
        <w:t>Mental</w:t>
      </w:r>
      <w:r>
        <w:t xml:space="preserve"> </w:t>
      </w:r>
      <w:r w:rsidRPr="00B61A4E">
        <w:t>Health</w:t>
      </w:r>
      <w:r>
        <w:t xml:space="preserve"> </w:t>
      </w:r>
      <w:r w:rsidRPr="00B61A4E">
        <w:t>Establishments</w:t>
      </w:r>
      <w:r>
        <w:t xml:space="preserve"> collection </w:t>
      </w:r>
      <w:r w:rsidRPr="00B61A4E">
        <w:t>are</w:t>
      </w:r>
      <w:r>
        <w:t xml:space="preserve"> </w:t>
      </w:r>
      <w:r w:rsidRPr="00B61A4E">
        <w:t>outlined</w:t>
      </w:r>
      <w:r>
        <w:t xml:space="preserve"> </w:t>
      </w:r>
      <w:r w:rsidRPr="00B61A4E">
        <w:t>in</w:t>
      </w:r>
      <w:r>
        <w:t xml:space="preserve"> Table 1</w:t>
      </w:r>
      <w:r w:rsidR="00C972D3">
        <w:t>5</w:t>
      </w:r>
      <w:r>
        <w:t>.</w:t>
      </w:r>
    </w:p>
    <w:p w14:paraId="6236712C" w14:textId="164CD045" w:rsidR="00817104" w:rsidRDefault="00817104" w:rsidP="00817104">
      <w:pPr>
        <w:pStyle w:val="Tablecaption"/>
      </w:pPr>
      <w:bookmarkStart w:id="2795" w:name="_Toc230537135"/>
      <w:r>
        <w:t xml:space="preserve">Table </w:t>
      </w:r>
      <w:r w:rsidR="00C972D3">
        <w:t>15</w:t>
      </w:r>
      <w:r>
        <w:t xml:space="preserve">. </w:t>
      </w:r>
      <w:r w:rsidRPr="00271C66">
        <w:t>Mental Health Establishments collection reporting timelines</w:t>
      </w:r>
      <w:bookmarkEnd w:id="2795"/>
    </w:p>
    <w:tbl>
      <w:tblPr>
        <w:tblStyle w:val="GridTable4-Accent1"/>
        <w:tblW w:w="0" w:type="auto"/>
        <w:tblLook w:val="04A0" w:firstRow="1" w:lastRow="0" w:firstColumn="1" w:lastColumn="0" w:noHBand="0" w:noVBand="1"/>
      </w:tblPr>
      <w:tblGrid>
        <w:gridCol w:w="1131"/>
        <w:gridCol w:w="6520"/>
        <w:gridCol w:w="1637"/>
      </w:tblGrid>
      <w:tr w:rsidR="00817104" w:rsidRPr="00926A20" w14:paraId="6C1C4CFC" w14:textId="77777777" w:rsidTr="002F6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A07E86" w14:textId="77777777" w:rsidR="00817104" w:rsidRPr="00C972D3" w:rsidRDefault="00817104" w:rsidP="00785A21">
            <w:pPr>
              <w:pStyle w:val="Tablecolhead"/>
              <w:rPr>
                <w:b/>
                <w:bCs w:val="0"/>
                <w:color w:val="FFFFFF" w:themeColor="background1"/>
                <w:sz w:val="18"/>
                <w:szCs w:val="18"/>
              </w:rPr>
            </w:pPr>
            <w:r w:rsidRPr="00C972D3">
              <w:rPr>
                <w:b/>
                <w:bCs w:val="0"/>
                <w:color w:val="FFFFFF" w:themeColor="background1"/>
                <w:sz w:val="18"/>
                <w:szCs w:val="18"/>
              </w:rPr>
              <w:t>Collection period</w:t>
            </w:r>
          </w:p>
        </w:tc>
        <w:tc>
          <w:tcPr>
            <w:tcW w:w="6520" w:type="dxa"/>
          </w:tcPr>
          <w:p w14:paraId="7122B6D7" w14:textId="77777777" w:rsidR="00817104" w:rsidRPr="00C972D3"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972D3">
              <w:rPr>
                <w:b/>
                <w:bCs w:val="0"/>
                <w:color w:val="FFFFFF" w:themeColor="background1"/>
                <w:sz w:val="18"/>
                <w:szCs w:val="18"/>
              </w:rPr>
              <w:t>Reporting requirements</w:t>
            </w:r>
          </w:p>
        </w:tc>
        <w:tc>
          <w:tcPr>
            <w:tcW w:w="0" w:type="auto"/>
          </w:tcPr>
          <w:p w14:paraId="5BCD3FFA" w14:textId="77777777" w:rsidR="00817104" w:rsidRPr="00C972D3"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972D3">
              <w:rPr>
                <w:b/>
                <w:bCs w:val="0"/>
                <w:color w:val="FFFFFF" w:themeColor="background1"/>
                <w:sz w:val="18"/>
                <w:szCs w:val="18"/>
              </w:rPr>
              <w:t>Due date</w:t>
            </w:r>
          </w:p>
        </w:tc>
      </w:tr>
      <w:tr w:rsidR="00817104" w:rsidRPr="00926A20" w14:paraId="1E1FD58B" w14:textId="77777777" w:rsidTr="002F6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C2405B" w14:textId="77777777" w:rsidR="00817104" w:rsidRPr="00926A20" w:rsidRDefault="00817104">
            <w:pPr>
              <w:pStyle w:val="Tabletext"/>
              <w:rPr>
                <w:szCs w:val="18"/>
              </w:rPr>
            </w:pPr>
            <w:r w:rsidRPr="00926A20">
              <w:rPr>
                <w:szCs w:val="18"/>
              </w:rPr>
              <w:t>2024–25</w:t>
            </w:r>
          </w:p>
        </w:tc>
        <w:tc>
          <w:tcPr>
            <w:tcW w:w="6520" w:type="dxa"/>
          </w:tcPr>
          <w:p w14:paraId="7B2BB09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Stage 2: Resolution of any final issues and any additional clarification required for the Australian Institute of Health and Welfare for 2023–24. Validations and questions sent to health services must be finalised by end of July 2025</w:t>
            </w:r>
          </w:p>
        </w:tc>
        <w:tc>
          <w:tcPr>
            <w:tcW w:w="1636" w:type="dxa"/>
          </w:tcPr>
          <w:p w14:paraId="56232A6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24 July 2026</w:t>
            </w:r>
          </w:p>
        </w:tc>
      </w:tr>
      <w:tr w:rsidR="00817104" w:rsidRPr="00926A20" w14:paraId="5C07F01D" w14:textId="77777777" w:rsidTr="002F676A">
        <w:tc>
          <w:tcPr>
            <w:cnfStyle w:val="001000000000" w:firstRow="0" w:lastRow="0" w:firstColumn="1" w:lastColumn="0" w:oddVBand="0" w:evenVBand="0" w:oddHBand="0" w:evenHBand="0" w:firstRowFirstColumn="0" w:firstRowLastColumn="0" w:lastRowFirstColumn="0" w:lastRowLastColumn="0"/>
            <w:tcW w:w="0" w:type="auto"/>
          </w:tcPr>
          <w:p w14:paraId="464FFA94" w14:textId="77777777" w:rsidR="00817104" w:rsidRPr="00926A20" w:rsidRDefault="00817104">
            <w:pPr>
              <w:pStyle w:val="Tabletext"/>
              <w:rPr>
                <w:szCs w:val="18"/>
              </w:rPr>
            </w:pPr>
            <w:r w:rsidRPr="00926A20">
              <w:rPr>
                <w:szCs w:val="18"/>
              </w:rPr>
              <w:t>2025–26</w:t>
            </w:r>
          </w:p>
        </w:tc>
        <w:tc>
          <w:tcPr>
            <w:tcW w:w="6520" w:type="dxa"/>
          </w:tcPr>
          <w:p w14:paraId="054CEBB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New financial year data submission opens through the HealthCollect portal and remains open for one month. Data entry by health services is to be finalised by end of October 2026, when the portal will close</w:t>
            </w:r>
          </w:p>
        </w:tc>
        <w:tc>
          <w:tcPr>
            <w:tcW w:w="0" w:type="auto"/>
          </w:tcPr>
          <w:p w14:paraId="72FC81A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30 October 2026</w:t>
            </w:r>
          </w:p>
        </w:tc>
      </w:tr>
      <w:tr w:rsidR="00817104" w:rsidRPr="00926A20" w14:paraId="0F932DF8" w14:textId="77777777" w:rsidTr="002F6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9364C6" w14:textId="77777777" w:rsidR="00817104" w:rsidRPr="00926A20" w:rsidRDefault="00817104">
            <w:pPr>
              <w:pStyle w:val="Tabletext"/>
              <w:rPr>
                <w:szCs w:val="18"/>
              </w:rPr>
            </w:pPr>
            <w:r w:rsidRPr="00926A20">
              <w:rPr>
                <w:szCs w:val="18"/>
              </w:rPr>
              <w:t>2025–26</w:t>
            </w:r>
          </w:p>
        </w:tc>
        <w:tc>
          <w:tcPr>
            <w:tcW w:w="6520" w:type="dxa"/>
          </w:tcPr>
          <w:p w14:paraId="2C8DCA6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Stage 1 Validations: Resolution of services’ initial validation issues arising from the HealthCollect portal data submission</w:t>
            </w:r>
          </w:p>
        </w:tc>
        <w:tc>
          <w:tcPr>
            <w:tcW w:w="0" w:type="auto"/>
          </w:tcPr>
          <w:p w14:paraId="569AE6C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26 February 2027</w:t>
            </w:r>
          </w:p>
        </w:tc>
      </w:tr>
      <w:tr w:rsidR="00817104" w:rsidRPr="00926A20" w14:paraId="56587CD2" w14:textId="77777777" w:rsidTr="002F676A">
        <w:tc>
          <w:tcPr>
            <w:cnfStyle w:val="001000000000" w:firstRow="0" w:lastRow="0" w:firstColumn="1" w:lastColumn="0" w:oddVBand="0" w:evenVBand="0" w:oddHBand="0" w:evenHBand="0" w:firstRowFirstColumn="0" w:firstRowLastColumn="0" w:lastRowFirstColumn="0" w:lastRowLastColumn="0"/>
            <w:tcW w:w="0" w:type="auto"/>
          </w:tcPr>
          <w:p w14:paraId="1C572AE2" w14:textId="77777777" w:rsidR="00817104" w:rsidRPr="00926A20" w:rsidRDefault="00817104">
            <w:pPr>
              <w:pStyle w:val="Tabletext"/>
              <w:rPr>
                <w:szCs w:val="18"/>
              </w:rPr>
            </w:pPr>
            <w:r w:rsidRPr="00926A20">
              <w:rPr>
                <w:szCs w:val="18"/>
              </w:rPr>
              <w:t>2025–26</w:t>
            </w:r>
          </w:p>
        </w:tc>
        <w:tc>
          <w:tcPr>
            <w:tcW w:w="6520" w:type="dxa"/>
          </w:tcPr>
          <w:p w14:paraId="5714E4E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Stage 2: Resolution of any final issues and any additional clarification required for the Australian Institute of Health and Welfare. Validations and questions sent to health services must be finalised by end of July 2027</w:t>
            </w:r>
          </w:p>
        </w:tc>
        <w:tc>
          <w:tcPr>
            <w:tcW w:w="0" w:type="auto"/>
          </w:tcPr>
          <w:p w14:paraId="579DA890"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30 July 2027</w:t>
            </w:r>
          </w:p>
        </w:tc>
      </w:tr>
    </w:tbl>
    <w:p w14:paraId="1BB95C55" w14:textId="05526227" w:rsidR="00817104" w:rsidRPr="009B76B2" w:rsidRDefault="00817104" w:rsidP="00817104">
      <w:pPr>
        <w:pStyle w:val="Heading3"/>
      </w:pPr>
      <w:bookmarkStart w:id="2796" w:name="_Toc167174112"/>
      <w:bookmarkStart w:id="2797" w:name="_Toc167174452"/>
      <w:bookmarkEnd w:id="2796"/>
      <w:bookmarkEnd w:id="2797"/>
      <w:r>
        <w:t xml:space="preserve">Mental </w:t>
      </w:r>
      <w:r w:rsidRPr="00D93A24">
        <w:t>health</w:t>
      </w:r>
      <w:r>
        <w:t xml:space="preserve"> triage MDS</w:t>
      </w:r>
    </w:p>
    <w:p w14:paraId="3117ECC4" w14:textId="77777777" w:rsidR="00817104" w:rsidRDefault="00817104" w:rsidP="00817104">
      <w:pPr>
        <w:pStyle w:val="Body"/>
        <w:rPr>
          <w:rStyle w:val="Hyperlink"/>
        </w:rPr>
      </w:pPr>
      <w:r>
        <w:t xml:space="preserve">Triage MDS submissions are to be provided in the prescribed format on a monthly basis by the fifteenth of each month. The data file must be </w:t>
      </w:r>
      <w:r w:rsidRPr="00477CA3">
        <w:t>submitted</w:t>
      </w:r>
      <w:r w:rsidRPr="00FC24AC">
        <w:rPr>
          <w:color w:val="000000" w:themeColor="text1"/>
        </w:rPr>
        <w:t xml:space="preserve"> </w:t>
      </w:r>
      <w:r>
        <w:t xml:space="preserve">via the Managed File Transfer portal. For documentation detailing the format and reporting </w:t>
      </w:r>
      <w:r w:rsidRPr="0670E279">
        <w:rPr>
          <w:rFonts w:eastAsia="Calibri"/>
        </w:rPr>
        <w:t>require</w:t>
      </w:r>
      <w:r w:rsidRPr="0670E279">
        <w:rPr>
          <w:rFonts w:ascii="Calibri" w:eastAsia="Calibri" w:hAnsi="Calibri" w:cs="Calibri"/>
          <w:sz w:val="22"/>
          <w:szCs w:val="22"/>
        </w:rPr>
        <w:t>m</w:t>
      </w:r>
      <w:r w:rsidRPr="0670E279">
        <w:rPr>
          <w:rFonts w:eastAsia="Calibri"/>
        </w:rPr>
        <w:t>ents</w:t>
      </w:r>
      <w:r>
        <w:rPr>
          <w:rFonts w:eastAsia="Calibri"/>
        </w:rPr>
        <w:t>, visit the</w:t>
      </w:r>
      <w:r w:rsidRPr="0670E279">
        <w:rPr>
          <w:rFonts w:eastAsia="Calibri"/>
        </w:rPr>
        <w:t xml:space="preserve"> </w:t>
      </w:r>
      <w:hyperlink r:id="rId480">
        <w:r w:rsidRPr="0670E279">
          <w:rPr>
            <w:rStyle w:val="Hyperlink"/>
          </w:rPr>
          <w:t>M</w:t>
        </w:r>
        <w:r w:rsidRPr="0670E279">
          <w:rPr>
            <w:rStyle w:val="Hyperlink"/>
            <w:rFonts w:eastAsia="Calibri"/>
          </w:rPr>
          <w:t>enta</w:t>
        </w:r>
        <w:r w:rsidRPr="0670E279">
          <w:rPr>
            <w:rStyle w:val="Hyperlink"/>
          </w:rPr>
          <w:t>l health triage service</w:t>
        </w:r>
      </w:hyperlink>
      <w:r w:rsidRPr="0670E279">
        <w:rPr>
          <w:rFonts w:cs="Arial"/>
        </w:rPr>
        <w:t xml:space="preserve"> &lt;</w:t>
      </w:r>
      <w:r w:rsidRPr="0670E279">
        <w:rPr>
          <w:rFonts w:eastAsia="Calibri" w:cs="Arial"/>
        </w:rPr>
        <w:t>https://www.health.vic.gov.au/practice-and-service-quality/mental-health-triage-service&gt;.</w:t>
      </w:r>
    </w:p>
    <w:p w14:paraId="7DE2E468" w14:textId="448C2A4A" w:rsidR="00817104" w:rsidRPr="00B81924" w:rsidRDefault="00817104" w:rsidP="00817104">
      <w:pPr>
        <w:pStyle w:val="Heading3"/>
      </w:pPr>
      <w:r>
        <w:t>MHCSS</w:t>
      </w:r>
    </w:p>
    <w:p w14:paraId="04615562" w14:textId="77777777" w:rsidR="00817104" w:rsidRPr="00B61A4E" w:rsidRDefault="00817104" w:rsidP="00817104">
      <w:pPr>
        <w:pStyle w:val="Body"/>
      </w:pPr>
      <w:r w:rsidRPr="00B61A4E">
        <w:t>Agencies</w:t>
      </w:r>
      <w:r>
        <w:t xml:space="preserve"> </w:t>
      </w:r>
      <w:r w:rsidRPr="00B61A4E">
        <w:t>funded</w:t>
      </w:r>
      <w:r>
        <w:t xml:space="preserve"> </w:t>
      </w:r>
      <w:r w:rsidRPr="00B61A4E">
        <w:t>to</w:t>
      </w:r>
      <w:r>
        <w:t xml:space="preserve"> </w:t>
      </w:r>
      <w:r w:rsidRPr="00B61A4E">
        <w:t>deliver</w:t>
      </w:r>
      <w:r>
        <w:t xml:space="preserve"> MHCSS </w:t>
      </w:r>
      <w:r w:rsidRPr="00B61A4E">
        <w:t>activit</w:t>
      </w:r>
      <w:r>
        <w:t xml:space="preserve">ies </w:t>
      </w:r>
      <w:r w:rsidRPr="00B61A4E">
        <w:t>are</w:t>
      </w:r>
      <w:r>
        <w:t xml:space="preserve"> </w:t>
      </w:r>
      <w:r w:rsidRPr="00B61A4E">
        <w:t>expected</w:t>
      </w:r>
      <w:r>
        <w:t xml:space="preserve"> </w:t>
      </w:r>
      <w:r w:rsidRPr="00B61A4E">
        <w:t>to</w:t>
      </w:r>
      <w:r>
        <w:t xml:space="preserve"> </w:t>
      </w:r>
      <w:r w:rsidRPr="00B61A4E">
        <w:t>provide</w:t>
      </w:r>
      <w:r>
        <w:t xml:space="preserve"> </w:t>
      </w:r>
      <w:r w:rsidRPr="00B61A4E">
        <w:t>data</w:t>
      </w:r>
      <w:r>
        <w:t xml:space="preserve"> quarterly. C</w:t>
      </w:r>
      <w:r w:rsidRPr="00B61A4E">
        <w:t>ompliance</w:t>
      </w:r>
      <w:r>
        <w:t xml:space="preserve"> </w:t>
      </w:r>
      <w:r w:rsidRPr="00B61A4E">
        <w:t>with</w:t>
      </w:r>
      <w:r>
        <w:t xml:space="preserve"> </w:t>
      </w:r>
      <w:r w:rsidRPr="00B61A4E">
        <w:t>these</w:t>
      </w:r>
      <w:r>
        <w:t xml:space="preserve"> </w:t>
      </w:r>
      <w:r w:rsidRPr="00B61A4E">
        <w:t>reporting</w:t>
      </w:r>
      <w:r>
        <w:t xml:space="preserve"> </w:t>
      </w:r>
      <w:r w:rsidRPr="00B61A4E">
        <w:t>requirements</w:t>
      </w:r>
      <w:r>
        <w:t xml:space="preserve"> is </w:t>
      </w:r>
      <w:r w:rsidRPr="00B61A4E">
        <w:t>a</w:t>
      </w:r>
      <w:r>
        <w:t xml:space="preserve"> </w:t>
      </w:r>
      <w:r w:rsidRPr="00B61A4E">
        <w:t>key</w:t>
      </w:r>
      <w:r>
        <w:t xml:space="preserve"> </w:t>
      </w:r>
      <w:r w:rsidRPr="00B61A4E">
        <w:t>accountability</w:t>
      </w:r>
      <w:r>
        <w:t xml:space="preserve"> </w:t>
      </w:r>
      <w:r w:rsidRPr="00B61A4E">
        <w:t>requirement</w:t>
      </w:r>
      <w:r>
        <w:t xml:space="preserve"> </w:t>
      </w:r>
      <w:r w:rsidRPr="00B61A4E">
        <w:t>to</w:t>
      </w:r>
      <w:r>
        <w:t xml:space="preserve"> </w:t>
      </w:r>
      <w:r w:rsidRPr="00B61A4E">
        <w:t>be</w:t>
      </w:r>
      <w:r>
        <w:t xml:space="preserve"> </w:t>
      </w:r>
      <w:r w:rsidRPr="00B61A4E">
        <w:t>used</w:t>
      </w:r>
      <w:r>
        <w:t xml:space="preserve"> </w:t>
      </w:r>
      <w:r w:rsidRPr="00B61A4E">
        <w:t>as</w:t>
      </w:r>
      <w:r>
        <w:t xml:space="preserve"> </w:t>
      </w:r>
      <w:r w:rsidRPr="00B61A4E">
        <w:t>part</w:t>
      </w:r>
      <w:r>
        <w:t xml:space="preserve"> </w:t>
      </w:r>
      <w:r w:rsidRPr="00B61A4E">
        <w:t>of</w:t>
      </w:r>
      <w:r>
        <w:t xml:space="preserve"> </w:t>
      </w:r>
      <w:r w:rsidRPr="00B61A4E">
        <w:t>the</w:t>
      </w:r>
      <w:r>
        <w:t xml:space="preserve"> </w:t>
      </w:r>
      <w:r w:rsidRPr="00B61A4E">
        <w:t>ongoing</w:t>
      </w:r>
      <w:r>
        <w:t xml:space="preserve"> </w:t>
      </w:r>
      <w:r w:rsidRPr="00B61A4E">
        <w:t>review</w:t>
      </w:r>
      <w:r>
        <w:t xml:space="preserve"> </w:t>
      </w:r>
      <w:r w:rsidRPr="00B61A4E">
        <w:t>and</w:t>
      </w:r>
      <w:r>
        <w:t xml:space="preserve"> </w:t>
      </w:r>
      <w:r w:rsidRPr="00B61A4E">
        <w:t>monitoring</w:t>
      </w:r>
      <w:r>
        <w:t xml:space="preserve"> </w:t>
      </w:r>
      <w:r w:rsidRPr="00B61A4E">
        <w:t>processes.</w:t>
      </w:r>
    </w:p>
    <w:p w14:paraId="25153DC9" w14:textId="0C494EC6" w:rsidR="00817104" w:rsidRPr="00B61A4E" w:rsidRDefault="00817104" w:rsidP="00817104">
      <w:pPr>
        <w:pStyle w:val="Body"/>
      </w:pPr>
      <w:r w:rsidRPr="00B61A4E">
        <w:t>Quarterly</w:t>
      </w:r>
      <w:r>
        <w:t xml:space="preserve"> </w:t>
      </w:r>
      <w:r w:rsidRPr="00B61A4E">
        <w:t>Data</w:t>
      </w:r>
      <w:r>
        <w:t xml:space="preserve"> </w:t>
      </w:r>
      <w:r w:rsidRPr="00B61A4E">
        <w:t>Collection</w:t>
      </w:r>
      <w:r>
        <w:t xml:space="preserve"> </w:t>
      </w:r>
      <w:r w:rsidRPr="00B61A4E">
        <w:t>data</w:t>
      </w:r>
      <w:r>
        <w:t xml:space="preserve"> </w:t>
      </w:r>
      <w:r w:rsidRPr="00B61A4E">
        <w:t>must</w:t>
      </w:r>
      <w:r>
        <w:t xml:space="preserve"> </w:t>
      </w:r>
      <w:r w:rsidRPr="00B61A4E">
        <w:t>be</w:t>
      </w:r>
      <w:r>
        <w:t xml:space="preserve"> </w:t>
      </w:r>
      <w:r w:rsidRPr="00B61A4E">
        <w:t>submitted</w:t>
      </w:r>
      <w:r>
        <w:t xml:space="preserve"> </w:t>
      </w:r>
      <w:r w:rsidRPr="00B61A4E">
        <w:t>by</w:t>
      </w:r>
      <w:r>
        <w:t xml:space="preserve"> the seventh </w:t>
      </w:r>
      <w:r w:rsidRPr="00B61A4E">
        <w:t>of</w:t>
      </w:r>
      <w:r>
        <w:t xml:space="preserve"> </w:t>
      </w:r>
      <w:r w:rsidRPr="00B61A4E">
        <w:t>the</w:t>
      </w:r>
      <w:r>
        <w:t xml:space="preserve"> </w:t>
      </w:r>
      <w:r w:rsidRPr="00B61A4E">
        <w:t>month</w:t>
      </w:r>
      <w:r>
        <w:t xml:space="preserve"> </w:t>
      </w:r>
      <w:r w:rsidRPr="00B61A4E">
        <w:t>fo</w:t>
      </w:r>
      <w:r>
        <w:t xml:space="preserve">llowing the end of the quarter by emailing </w:t>
      </w:r>
      <w:hyperlink r:id="rId481" w:history="1">
        <w:r w:rsidRPr="00224214">
          <w:rPr>
            <w:rStyle w:val="Hyperlink"/>
          </w:rPr>
          <w:t>MHCSS</w:t>
        </w:r>
      </w:hyperlink>
      <w:r>
        <w:t xml:space="preserve"> &lt;mhcss@health.vic.gov.au&gt;.</w:t>
      </w:r>
    </w:p>
    <w:p w14:paraId="3AF00FCD" w14:textId="77777777" w:rsidR="00817104" w:rsidRDefault="00817104" w:rsidP="00817104">
      <w:pPr>
        <w:pStyle w:val="Body"/>
      </w:pPr>
      <w:r w:rsidRPr="00B61A4E">
        <w:lastRenderedPageBreak/>
        <w:t>The</w:t>
      </w:r>
      <w:r>
        <w:t xml:space="preserve"> </w:t>
      </w:r>
      <w:r w:rsidRPr="00B61A4E">
        <w:t>supplementary</w:t>
      </w:r>
      <w:r>
        <w:t xml:space="preserve"> MHCSS E</w:t>
      </w:r>
      <w:r w:rsidRPr="00B61A4E">
        <w:t>xcel</w:t>
      </w:r>
      <w:r>
        <w:t xml:space="preserve"> </w:t>
      </w:r>
      <w:r w:rsidRPr="00B61A4E">
        <w:t>spreadsheet</w:t>
      </w:r>
      <w:r>
        <w:t xml:space="preserve"> is an aggregate </w:t>
      </w:r>
      <w:r w:rsidRPr="00B61A4E">
        <w:t>data</w:t>
      </w:r>
      <w:r>
        <w:t xml:space="preserve"> collection. It </w:t>
      </w:r>
      <w:r w:rsidRPr="00B61A4E">
        <w:t>must</w:t>
      </w:r>
      <w:r>
        <w:t xml:space="preserve"> </w:t>
      </w:r>
      <w:r w:rsidRPr="00B61A4E">
        <w:t>be</w:t>
      </w:r>
      <w:r>
        <w:t xml:space="preserve"> </w:t>
      </w:r>
      <w:r w:rsidRPr="00B61A4E">
        <w:t>submitted</w:t>
      </w:r>
      <w:r>
        <w:t xml:space="preserve"> </w:t>
      </w:r>
      <w:r w:rsidRPr="00B61A4E">
        <w:t>by</w:t>
      </w:r>
      <w:r>
        <w:t xml:space="preserve"> </w:t>
      </w:r>
      <w:r w:rsidRPr="00B61A4E">
        <w:t>the</w:t>
      </w:r>
      <w:r>
        <w:t xml:space="preserve"> fifteenth </w:t>
      </w:r>
      <w:r w:rsidRPr="00B61A4E">
        <w:t>of</w:t>
      </w:r>
      <w:r>
        <w:t xml:space="preserve"> </w:t>
      </w:r>
      <w:r w:rsidRPr="00B61A4E">
        <w:t>the</w:t>
      </w:r>
      <w:r>
        <w:t xml:space="preserve"> </w:t>
      </w:r>
      <w:r w:rsidRPr="00B61A4E">
        <w:t>month</w:t>
      </w:r>
      <w:r>
        <w:t xml:space="preserve"> </w:t>
      </w:r>
      <w:r w:rsidRPr="00B61A4E">
        <w:t>following</w:t>
      </w:r>
      <w:r>
        <w:t xml:space="preserve"> </w:t>
      </w:r>
      <w:r w:rsidRPr="00B61A4E">
        <w:t>the</w:t>
      </w:r>
      <w:r>
        <w:t xml:space="preserve"> </w:t>
      </w:r>
      <w:r w:rsidRPr="00B61A4E">
        <w:t>end</w:t>
      </w:r>
      <w:r>
        <w:t xml:space="preserve"> </w:t>
      </w:r>
      <w:r w:rsidRPr="00B61A4E">
        <w:t>of</w:t>
      </w:r>
      <w:r>
        <w:t xml:space="preserve"> </w:t>
      </w:r>
      <w:r w:rsidRPr="00B61A4E">
        <w:t>the</w:t>
      </w:r>
      <w:r>
        <w:t xml:space="preserve"> </w:t>
      </w:r>
      <w:r w:rsidRPr="00B61A4E">
        <w:t>quarter.</w:t>
      </w:r>
      <w:r>
        <w:t xml:space="preserve"> The file must be submitted via the </w:t>
      </w:r>
      <w:hyperlink r:id="rId482">
        <w:r w:rsidRPr="54E0662E">
          <w:rPr>
            <w:rStyle w:val="Hyperlink"/>
          </w:rPr>
          <w:t>MHCSS data email</w:t>
        </w:r>
      </w:hyperlink>
      <w:r>
        <w:t xml:space="preserve"> </w:t>
      </w:r>
      <w:r w:rsidRPr="54E0662E">
        <w:rPr>
          <w:rFonts w:cs="Calibri"/>
          <w:lang w:eastAsia="en-AU"/>
        </w:rPr>
        <w:t>&lt;mhcssdata@health.vic.go</w:t>
      </w:r>
      <w:r>
        <w:t>v.au&gt;.</w:t>
      </w:r>
    </w:p>
    <w:p w14:paraId="269B05C3" w14:textId="77777777" w:rsidR="00817104" w:rsidRPr="00260FFF" w:rsidRDefault="00817104" w:rsidP="00817104">
      <w:pPr>
        <w:pStyle w:val="Heading4"/>
      </w:pPr>
      <w:r w:rsidRPr="00260FFF">
        <w:t xml:space="preserve">Mental Health and Wellbeing </w:t>
      </w:r>
      <w:r>
        <w:t>Locals</w:t>
      </w:r>
    </w:p>
    <w:p w14:paraId="2438DEF6" w14:textId="77777777" w:rsidR="00817104" w:rsidRDefault="00817104" w:rsidP="00817104">
      <w:pPr>
        <w:pStyle w:val="Body"/>
      </w:pPr>
      <w:r>
        <w:t>Currently, providers of Mental Health and Wellbeing</w:t>
      </w:r>
      <w:r w:rsidDel="00963BCF">
        <w:t xml:space="preserve"> </w:t>
      </w:r>
      <w:r>
        <w:t>Locals are required to collect and report aggregate data, submitted to the department using the HealthCollect online platform. The submission of aggregate data is a requirement of funding. Monthly data is to be submitted by the tenth day of the following month.</w:t>
      </w:r>
    </w:p>
    <w:p w14:paraId="34CE4408" w14:textId="77777777" w:rsidR="00817104" w:rsidDel="001E7404" w:rsidRDefault="00817104" w:rsidP="00817104">
      <w:pPr>
        <w:pStyle w:val="Body"/>
      </w:pPr>
      <w:r>
        <w:t xml:space="preserve">Work is progressing to develop, find and implement modern infrastructure for ICT systems, including a statewide mental health and wellbeing record (see </w:t>
      </w:r>
      <w:hyperlink w:anchor="_24.3.1_Secure_and" w:history="1">
        <w:r w:rsidRPr="008E5EFF">
          <w:rPr>
            <w:rStyle w:val="Hyperlink"/>
          </w:rPr>
          <w:t>section 24.3</w:t>
        </w:r>
        <w:r>
          <w:rPr>
            <w:rStyle w:val="Hyperlink"/>
          </w:rPr>
          <w:t>.1</w:t>
        </w:r>
      </w:hyperlink>
      <w:r>
        <w:t>). The department is working with providers of mental health and wellbeing services to develop and implement these systems, and Mental Health and Wellbeing Locals will be required to work with the department in support of this work.</w:t>
      </w:r>
    </w:p>
    <w:p w14:paraId="6814B761" w14:textId="77777777" w:rsidR="00817104" w:rsidRPr="00C25293" w:rsidRDefault="00817104" w:rsidP="00817104">
      <w:pPr>
        <w:pStyle w:val="Heading4"/>
      </w:pPr>
      <w:r w:rsidRPr="00B81924">
        <w:t>Reportable</w:t>
      </w:r>
      <w:r>
        <w:t xml:space="preserve"> d</w:t>
      </w:r>
      <w:r w:rsidRPr="00B81924">
        <w:t>eaths</w:t>
      </w:r>
    </w:p>
    <w:p w14:paraId="7DCBE139" w14:textId="77777777" w:rsidR="00817104" w:rsidRDefault="00817104" w:rsidP="00817104">
      <w:pPr>
        <w:pStyle w:val="Body"/>
        <w:numPr>
          <w:ilvl w:val="0"/>
          <w:numId w:val="8"/>
        </w:numPr>
      </w:pPr>
      <w:r w:rsidRPr="006B34D8">
        <w:t>All clinical mental health service providers, including specialist mental health services in custodial settings, must report deaths to the Chief Psychiatrist.</w:t>
      </w:r>
    </w:p>
    <w:p w14:paraId="118C3182" w14:textId="77777777" w:rsidR="00817104" w:rsidRPr="00A8495E" w:rsidRDefault="00817104" w:rsidP="00817104">
      <w:pPr>
        <w:pStyle w:val="Heading4"/>
      </w:pPr>
      <w:r>
        <w:t>Deaths on mental health i</w:t>
      </w:r>
      <w:r w:rsidRPr="006023E5">
        <w:t>npatient</w:t>
      </w:r>
      <w:r>
        <w:t xml:space="preserve"> unit</w:t>
      </w:r>
      <w:r w:rsidRPr="006023E5">
        <w:t>s</w:t>
      </w:r>
    </w:p>
    <w:p w14:paraId="4A540DFC" w14:textId="7FDE37FD" w:rsidR="00817104" w:rsidRDefault="00817104" w:rsidP="00817104">
      <w:pPr>
        <w:pStyle w:val="Body"/>
      </w:pPr>
      <w:r w:rsidRPr="00B9607D">
        <w:t>Any inpatient death at a designated mental health service or a bed-based mental health unit in a custodial setting is to be reported, regardless of legal status, cause or location of death.</w:t>
      </w:r>
      <w:r>
        <w:t xml:space="preserve"> Initial notification should be made by </w:t>
      </w:r>
      <w:r w:rsidRPr="004E6EC7">
        <w:t xml:space="preserve">emailing the </w:t>
      </w:r>
      <w:hyperlink r:id="rId483" w:history="1">
        <w:r w:rsidRPr="00AB38B1">
          <w:rPr>
            <w:rStyle w:val="Hyperlink"/>
          </w:rPr>
          <w:t>O</w:t>
        </w:r>
        <w:bookmarkStart w:id="2798" w:name="_Hlt225851101"/>
        <w:bookmarkStart w:id="2799" w:name="_Hlt225851102"/>
        <w:r w:rsidRPr="00AB38B1">
          <w:rPr>
            <w:rStyle w:val="Hyperlink"/>
          </w:rPr>
          <w:t>C</w:t>
        </w:r>
        <w:bookmarkEnd w:id="2798"/>
        <w:bookmarkEnd w:id="2799"/>
        <w:r w:rsidRPr="00AB38B1">
          <w:rPr>
            <w:rStyle w:val="Hyperlink"/>
          </w:rPr>
          <w:t>P</w:t>
        </w:r>
      </w:hyperlink>
      <w:r>
        <w:t xml:space="preserve"> &lt;</w:t>
      </w:r>
      <w:r w:rsidRPr="002D6AE5">
        <w:t>mailto:</w:t>
      </w:r>
      <w:r w:rsidRPr="00E52401">
        <w:t>ocp@health.vic.gov.au</w:t>
      </w:r>
      <w:r>
        <w:t xml:space="preserve">&gt; and submitting a </w:t>
      </w:r>
      <w:hyperlink r:id="rId484" w:history="1">
        <w:r w:rsidRPr="008802DE">
          <w:rPr>
            <w:rStyle w:val="Hyperlink"/>
          </w:rPr>
          <w:t>MHWA125 form</w:t>
        </w:r>
      </w:hyperlink>
      <w:r>
        <w:t xml:space="preserve"> &lt;</w:t>
      </w:r>
      <w:r w:rsidRPr="0024104A">
        <w:t>https://www.health.vic.gov.au/sites/default/files/2023-09/mhwa-form-125-notice-of-death.pdf</w:t>
      </w:r>
      <w:r>
        <w:t>&gt;</w:t>
      </w:r>
      <w:r w:rsidRPr="001F4EC2">
        <w:rPr>
          <w:rFonts w:eastAsia="Times New Roman"/>
        </w:rPr>
        <w:t xml:space="preserve"> </w:t>
      </w:r>
      <w:r>
        <w:t xml:space="preserve">submitted to the OCP via the </w:t>
      </w:r>
      <w:hyperlink r:id="rId485" w:history="1">
        <w:r w:rsidRPr="2E7DA5D4">
          <w:rPr>
            <w:rStyle w:val="Hyperlink"/>
          </w:rPr>
          <w:t>SharePo</w:t>
        </w:r>
        <w:bookmarkStart w:id="2800" w:name="_Hlt225850893"/>
        <w:bookmarkStart w:id="2801" w:name="_Hlt225850894"/>
        <w:r w:rsidRPr="2E7DA5D4">
          <w:rPr>
            <w:rStyle w:val="Hyperlink"/>
          </w:rPr>
          <w:t>i</w:t>
        </w:r>
        <w:bookmarkEnd w:id="2800"/>
        <w:bookmarkEnd w:id="2801"/>
        <w:r w:rsidRPr="2E7DA5D4">
          <w:rPr>
            <w:rStyle w:val="Hyperlink"/>
          </w:rPr>
          <w:t>nt portal</w:t>
        </w:r>
      </w:hyperlink>
      <w:r>
        <w:t xml:space="preserve"> &lt;https://dhhsvicgovau.sharepoint.com/sites/OCP&gt;.</w:t>
      </w:r>
    </w:p>
    <w:p w14:paraId="15A95A83" w14:textId="77777777" w:rsidR="00817104" w:rsidRDefault="00817104" w:rsidP="00817104">
      <w:pPr>
        <w:pStyle w:val="Body"/>
      </w:pPr>
      <w:r>
        <w:t>For the purposes of this policy, an inpatient is defined by the Chief Psychiatrist as any person, regardless of legal status, who:</w:t>
      </w:r>
    </w:p>
    <w:p w14:paraId="1D01FE87" w14:textId="77777777" w:rsidR="00817104" w:rsidRPr="00226C69" w:rsidRDefault="00817104" w:rsidP="00817104">
      <w:pPr>
        <w:pStyle w:val="Bullet1"/>
        <w:numPr>
          <w:ilvl w:val="0"/>
          <w:numId w:val="2"/>
        </w:numPr>
      </w:pPr>
      <w:r>
        <w:t>has been admitted to a mental health inpatient unit</w:t>
      </w:r>
    </w:p>
    <w:p w14:paraId="708E3797" w14:textId="77777777" w:rsidR="00817104" w:rsidRPr="00226C69" w:rsidRDefault="00817104" w:rsidP="00817104">
      <w:pPr>
        <w:pStyle w:val="Bullet1"/>
        <w:numPr>
          <w:ilvl w:val="0"/>
          <w:numId w:val="2"/>
        </w:numPr>
      </w:pPr>
      <w:r>
        <w:t>is on approved leave from an inpatient unit</w:t>
      </w:r>
    </w:p>
    <w:p w14:paraId="1AF77EB0" w14:textId="77777777" w:rsidR="00817104" w:rsidRPr="00226C69" w:rsidRDefault="00817104" w:rsidP="00817104">
      <w:pPr>
        <w:pStyle w:val="Bullet1"/>
        <w:numPr>
          <w:ilvl w:val="0"/>
          <w:numId w:val="2"/>
        </w:numPr>
      </w:pPr>
      <w:r>
        <w:t>has absconded from an inpatient unit</w:t>
      </w:r>
    </w:p>
    <w:p w14:paraId="23C3EFE5" w14:textId="77777777" w:rsidR="00817104" w:rsidRPr="00226C69" w:rsidRDefault="00817104" w:rsidP="00817104">
      <w:pPr>
        <w:pStyle w:val="Bullet1"/>
        <w:numPr>
          <w:ilvl w:val="0"/>
          <w:numId w:val="2"/>
        </w:numPr>
      </w:pPr>
      <w:r>
        <w:t>has been transferred to a non-psychiatric ward during a mental health admission</w:t>
      </w:r>
    </w:p>
    <w:p w14:paraId="2ED6E262" w14:textId="77777777" w:rsidR="00817104" w:rsidRDefault="00817104" w:rsidP="00817104">
      <w:pPr>
        <w:pStyle w:val="Bullet1"/>
        <w:numPr>
          <w:ilvl w:val="0"/>
          <w:numId w:val="2"/>
        </w:numPr>
      </w:pPr>
      <w:r>
        <w:t>has been discharged from a mental health inpatient unit within the previous 24 hours.</w:t>
      </w:r>
    </w:p>
    <w:p w14:paraId="04B79A4E" w14:textId="77777777" w:rsidR="00817104" w:rsidRDefault="00817104" w:rsidP="00817104">
      <w:pPr>
        <w:pStyle w:val="Heading4"/>
        <w:rPr>
          <w:lang w:eastAsia="en-NZ"/>
        </w:rPr>
      </w:pPr>
      <w:r>
        <w:rPr>
          <w:lang w:eastAsia="en-NZ"/>
        </w:rPr>
        <w:t xml:space="preserve">Deaths of compulsory patients </w:t>
      </w:r>
    </w:p>
    <w:p w14:paraId="12A74781" w14:textId="02F89873" w:rsidR="00817104" w:rsidRPr="002B2E2A" w:rsidRDefault="00817104" w:rsidP="00817104">
      <w:pPr>
        <w:pStyle w:val="Body"/>
        <w:rPr>
          <w:lang w:eastAsia="en-NZ"/>
        </w:rPr>
      </w:pPr>
      <w:r>
        <w:t>All deaths of compulsory patients</w:t>
      </w:r>
      <w:r w:rsidRPr="00B9607D">
        <w:t xml:space="preserve"> </w:t>
      </w:r>
      <w:r>
        <w:t xml:space="preserve">under the </w:t>
      </w:r>
      <w:r w:rsidRPr="004B6089">
        <w:rPr>
          <w:i/>
          <w:iCs/>
        </w:rPr>
        <w:t>Mental Health and Wellbeing Act 2022</w:t>
      </w:r>
      <w:r>
        <w:rPr>
          <w:i/>
          <w:iCs/>
        </w:rPr>
        <w:t xml:space="preserve"> </w:t>
      </w:r>
      <w:r w:rsidRPr="00B9607D">
        <w:t xml:space="preserve">at a designated mental health service or a bed-based mental health unit in a custodial setting </w:t>
      </w:r>
      <w:r>
        <w:t>must</w:t>
      </w:r>
      <w:r w:rsidRPr="00B9607D">
        <w:t xml:space="preserve"> be reported</w:t>
      </w:r>
      <w:r>
        <w:t xml:space="preserve"> to the OCP by submitting a MHWA125 form via the </w:t>
      </w:r>
      <w:bookmarkStart w:id="2802" w:name="_Hlk194999653"/>
      <w:r>
        <w:fldChar w:fldCharType="begin"/>
      </w:r>
      <w:r w:rsidR="00E86B26">
        <w:instrText>HYPERLINK "https://dhhsvicgovau.sharepoint.com/sites/OCP"</w:instrText>
      </w:r>
      <w:r>
        <w:fldChar w:fldCharType="separate"/>
      </w:r>
      <w:r w:rsidRPr="00BB4EA8">
        <w:rPr>
          <w:rStyle w:val="Hyperlink"/>
        </w:rPr>
        <w:t>SharePoint portal</w:t>
      </w:r>
      <w:r>
        <w:fldChar w:fldCharType="end"/>
      </w:r>
      <w:r>
        <w:t xml:space="preserve"> &lt;</w:t>
      </w:r>
      <w:bookmarkEnd w:id="2802"/>
      <w:r w:rsidRPr="002D6AE5">
        <w:t>https://dhhsvicgovau.sharepoint.com/sites/OCP</w:t>
      </w:r>
      <w:r>
        <w:t xml:space="preserve">&gt; (requires login). </w:t>
      </w:r>
    </w:p>
    <w:p w14:paraId="366ED6F0" w14:textId="77777777" w:rsidR="00817104" w:rsidRPr="00477CA3" w:rsidRDefault="00817104" w:rsidP="00817104">
      <w:pPr>
        <w:pStyle w:val="Heading4"/>
      </w:pPr>
      <w:r w:rsidRPr="006D51F8">
        <w:rPr>
          <w:lang w:eastAsia="en-NZ"/>
        </w:rPr>
        <w:t>Non-</w:t>
      </w:r>
      <w:r w:rsidRPr="006D51F8">
        <w:t>inpatient</w:t>
      </w:r>
      <w:r w:rsidRPr="006D51F8">
        <w:rPr>
          <w:lang w:eastAsia="en-NZ"/>
        </w:rPr>
        <w:t xml:space="preserve"> and non-compulsory consumer </w:t>
      </w:r>
      <w:r w:rsidRPr="006D51F8">
        <w:t>deaths</w:t>
      </w:r>
    </w:p>
    <w:p w14:paraId="55387C12" w14:textId="77777777" w:rsidR="00817104" w:rsidRDefault="00817104" w:rsidP="00817104">
      <w:pPr>
        <w:pStyle w:val="Bodyafterbullets"/>
      </w:pPr>
      <w:r>
        <w:t>The Chief Psychiatrist requires all unexpected, unnatural or violent deaths (including suspected suicides) to be reported if a person:</w:t>
      </w:r>
    </w:p>
    <w:p w14:paraId="72FC91EE" w14:textId="77777777" w:rsidR="00817104" w:rsidRDefault="00817104" w:rsidP="00817104">
      <w:pPr>
        <w:pStyle w:val="Bullet1"/>
        <w:numPr>
          <w:ilvl w:val="0"/>
          <w:numId w:val="2"/>
        </w:numPr>
      </w:pPr>
      <w:r>
        <w:t>is a current registered consumer of a designated mental health service</w:t>
      </w:r>
    </w:p>
    <w:p w14:paraId="5E775E08" w14:textId="77777777" w:rsidR="00817104" w:rsidRDefault="00817104" w:rsidP="00817104">
      <w:pPr>
        <w:pStyle w:val="Bullet1"/>
        <w:numPr>
          <w:ilvl w:val="0"/>
          <w:numId w:val="2"/>
        </w:numPr>
      </w:pPr>
      <w:r>
        <w:t>has been discharged from a designated mental health service within the previous three months</w:t>
      </w:r>
    </w:p>
    <w:p w14:paraId="245F3B70" w14:textId="77777777" w:rsidR="00817104" w:rsidRDefault="00817104" w:rsidP="00817104">
      <w:pPr>
        <w:pStyle w:val="Bullet1"/>
        <w:numPr>
          <w:ilvl w:val="0"/>
          <w:numId w:val="2"/>
        </w:numPr>
      </w:pPr>
      <w:r>
        <w:t>is seeking mental health care from a designated mental health service but is not registered.</w:t>
      </w:r>
    </w:p>
    <w:p w14:paraId="74780C0E" w14:textId="77777777" w:rsidR="00817104" w:rsidRDefault="00817104" w:rsidP="00817104">
      <w:pPr>
        <w:pStyle w:val="Bodyafterbullets"/>
      </w:pPr>
      <w:r>
        <w:lastRenderedPageBreak/>
        <w:t>People are considered to be mental health consumers until their case is closed and they have been notified of this closure, or the service has made all reasonable efforts to do so.</w:t>
      </w:r>
    </w:p>
    <w:p w14:paraId="3C736328" w14:textId="0938971A" w:rsidR="00817104" w:rsidRPr="0008389C" w:rsidRDefault="00817104" w:rsidP="00817104">
      <w:pPr>
        <w:pStyle w:val="Body"/>
      </w:pPr>
      <w:r w:rsidRPr="28541732">
        <w:rPr>
          <w:lang w:eastAsia="en-AU"/>
        </w:rPr>
        <w:t>Designated</w:t>
      </w:r>
      <w:r>
        <w:rPr>
          <w:lang w:eastAsia="en-AU"/>
        </w:rPr>
        <w:t xml:space="preserve"> </w:t>
      </w:r>
      <w:r w:rsidRPr="28541732">
        <w:rPr>
          <w:lang w:eastAsia="en-AU"/>
        </w:rPr>
        <w:t>mental</w:t>
      </w:r>
      <w:r>
        <w:rPr>
          <w:lang w:eastAsia="en-AU"/>
        </w:rPr>
        <w:t xml:space="preserve"> </w:t>
      </w:r>
      <w:r w:rsidRPr="28541732">
        <w:rPr>
          <w:lang w:eastAsia="en-AU"/>
        </w:rPr>
        <w:t>health</w:t>
      </w:r>
      <w:r>
        <w:rPr>
          <w:lang w:eastAsia="en-AU"/>
        </w:rPr>
        <w:t xml:space="preserve"> </w:t>
      </w:r>
      <w:r w:rsidRPr="28541732">
        <w:rPr>
          <w:lang w:eastAsia="en-AU"/>
        </w:rPr>
        <w:t>services</w:t>
      </w:r>
      <w:r>
        <w:rPr>
          <w:lang w:eastAsia="en-AU"/>
        </w:rPr>
        <w:t xml:space="preserve"> </w:t>
      </w:r>
      <w:r w:rsidRPr="28541732">
        <w:rPr>
          <w:lang w:eastAsia="en-AU"/>
        </w:rPr>
        <w:t>and</w:t>
      </w:r>
      <w:r>
        <w:rPr>
          <w:lang w:eastAsia="en-AU"/>
        </w:rPr>
        <w:t xml:space="preserve"> MHCSS must </w:t>
      </w:r>
      <w:r w:rsidRPr="28541732">
        <w:rPr>
          <w:lang w:eastAsia="en-AU"/>
        </w:rPr>
        <w:t>notify</w:t>
      </w:r>
      <w:r>
        <w:rPr>
          <w:lang w:eastAsia="en-AU"/>
        </w:rPr>
        <w:t xml:space="preserve"> </w:t>
      </w:r>
      <w:r w:rsidRPr="28541732">
        <w:rPr>
          <w:lang w:eastAsia="en-AU"/>
        </w:rPr>
        <w:t>the</w:t>
      </w:r>
      <w:r>
        <w:rPr>
          <w:lang w:eastAsia="en-AU"/>
        </w:rPr>
        <w:t xml:space="preserve"> </w:t>
      </w:r>
      <w:r w:rsidRPr="28541732">
        <w:rPr>
          <w:lang w:eastAsia="en-AU"/>
        </w:rPr>
        <w:t>Chief</w:t>
      </w:r>
      <w:r>
        <w:rPr>
          <w:lang w:eastAsia="en-AU"/>
        </w:rPr>
        <w:t xml:space="preserve"> </w:t>
      </w:r>
      <w:r w:rsidRPr="28541732">
        <w:rPr>
          <w:lang w:eastAsia="en-AU"/>
        </w:rPr>
        <w:t>Psychiatrist</w:t>
      </w:r>
      <w:r>
        <w:rPr>
          <w:lang w:eastAsia="en-AU"/>
        </w:rPr>
        <w:t xml:space="preserve"> </w:t>
      </w:r>
      <w:r w:rsidRPr="28541732">
        <w:rPr>
          <w:lang w:eastAsia="en-AU"/>
        </w:rPr>
        <w:t>of</w:t>
      </w:r>
      <w:r>
        <w:rPr>
          <w:lang w:eastAsia="en-AU"/>
        </w:rPr>
        <w:t xml:space="preserve"> </w:t>
      </w:r>
      <w:r w:rsidRPr="28541732">
        <w:rPr>
          <w:lang w:eastAsia="en-AU"/>
        </w:rPr>
        <w:t>a</w:t>
      </w:r>
      <w:r>
        <w:rPr>
          <w:lang w:eastAsia="en-AU"/>
        </w:rPr>
        <w:t xml:space="preserve"> </w:t>
      </w:r>
      <w:r w:rsidRPr="28541732">
        <w:rPr>
          <w:lang w:eastAsia="en-AU"/>
        </w:rPr>
        <w:t>consumer</w:t>
      </w:r>
      <w:r>
        <w:rPr>
          <w:lang w:eastAsia="en-AU"/>
        </w:rPr>
        <w:t>’</w:t>
      </w:r>
      <w:r w:rsidRPr="28541732">
        <w:rPr>
          <w:lang w:eastAsia="en-AU"/>
        </w:rPr>
        <w:t>s</w:t>
      </w:r>
      <w:r>
        <w:rPr>
          <w:lang w:eastAsia="en-AU"/>
        </w:rPr>
        <w:t xml:space="preserve"> </w:t>
      </w:r>
      <w:r w:rsidRPr="28541732">
        <w:rPr>
          <w:lang w:eastAsia="en-AU"/>
        </w:rPr>
        <w:t>death</w:t>
      </w:r>
      <w:r>
        <w:rPr>
          <w:lang w:eastAsia="en-AU"/>
        </w:rPr>
        <w:t xml:space="preserve"> </w:t>
      </w:r>
      <w:r w:rsidRPr="28541732">
        <w:rPr>
          <w:lang w:eastAsia="en-AU"/>
        </w:rPr>
        <w:t>using</w:t>
      </w:r>
      <w:r>
        <w:rPr>
          <w:lang w:eastAsia="en-AU"/>
        </w:rPr>
        <w:t xml:space="preserve"> </w:t>
      </w:r>
      <w:r w:rsidRPr="28541732">
        <w:rPr>
          <w:lang w:eastAsia="en-AU"/>
        </w:rPr>
        <w:t>the</w:t>
      </w:r>
      <w:r>
        <w:rPr>
          <w:lang w:eastAsia="en-AU"/>
        </w:rPr>
        <w:t xml:space="preserve"> </w:t>
      </w:r>
      <w:r>
        <w:t xml:space="preserve">MHWA </w:t>
      </w:r>
      <w:r w:rsidRPr="28541732">
        <w:rPr>
          <w:lang w:eastAsia="en-AU"/>
        </w:rPr>
        <w:t>125</w:t>
      </w:r>
      <w:r>
        <w:rPr>
          <w:lang w:eastAsia="en-AU"/>
        </w:rPr>
        <w:t xml:space="preserve"> </w:t>
      </w:r>
      <w:r w:rsidRPr="28541732">
        <w:rPr>
          <w:lang w:eastAsia="en-AU"/>
        </w:rPr>
        <w:t>form</w:t>
      </w:r>
      <w:r>
        <w:rPr>
          <w:lang w:eastAsia="en-AU"/>
        </w:rPr>
        <w:t xml:space="preserve"> submitted via the </w:t>
      </w:r>
      <w:hyperlink r:id="rId486" w:history="1">
        <w:r w:rsidRPr="00A13783">
          <w:rPr>
            <w:rStyle w:val="Hyperlink"/>
            <w:lang w:eastAsia="en-AU"/>
          </w:rPr>
          <w:t>SharePoint portal</w:t>
        </w:r>
      </w:hyperlink>
      <w:r w:rsidRPr="00A13783">
        <w:rPr>
          <w:lang w:eastAsia="en-AU"/>
        </w:rPr>
        <w:t xml:space="preserve"> </w:t>
      </w:r>
      <w:r>
        <w:rPr>
          <w:lang w:eastAsia="en-AU"/>
        </w:rPr>
        <w:t>&lt;</w:t>
      </w:r>
      <w:r w:rsidRPr="002D6AE5">
        <w:t>https://dhhsvicgovau.sharepoint.com/sites/OCP</w:t>
      </w:r>
      <w:r>
        <w:t>&gt;</w:t>
      </w:r>
      <w:r>
        <w:rPr>
          <w:lang w:eastAsia="en-AU"/>
        </w:rPr>
        <w:t xml:space="preserve"> (requires login)</w:t>
      </w:r>
      <w:r w:rsidRPr="28541732">
        <w:rPr>
          <w:lang w:eastAsia="en-AU"/>
        </w:rPr>
        <w:t>.</w:t>
      </w:r>
    </w:p>
    <w:p w14:paraId="31AFC8ED" w14:textId="77777777" w:rsidR="00817104" w:rsidRPr="00927019" w:rsidRDefault="00817104" w:rsidP="00817104">
      <w:pPr>
        <w:pStyle w:val="Body"/>
        <w:rPr>
          <w:rFonts w:cs="Calibri"/>
        </w:rPr>
      </w:pPr>
      <w:r>
        <w:rPr>
          <w:rFonts w:cs="Calibri"/>
        </w:rPr>
        <w:t>For m</w:t>
      </w:r>
      <w:r w:rsidRPr="00927019">
        <w:rPr>
          <w:rFonts w:cs="Calibri"/>
        </w:rPr>
        <w:t>ore</w:t>
      </w:r>
      <w:r>
        <w:rPr>
          <w:rFonts w:cs="Calibri"/>
        </w:rPr>
        <w:t xml:space="preserve"> </w:t>
      </w:r>
      <w:r w:rsidRPr="00927019">
        <w:rPr>
          <w:rFonts w:cs="Calibri"/>
        </w:rPr>
        <w:t>information</w:t>
      </w:r>
      <w:r>
        <w:rPr>
          <w:rFonts w:cs="Calibri"/>
        </w:rPr>
        <w:t xml:space="preserve"> </w:t>
      </w:r>
      <w:r w:rsidRPr="00927019">
        <w:rPr>
          <w:rFonts w:cs="Calibri"/>
        </w:rPr>
        <w:t>on</w:t>
      </w:r>
      <w:r>
        <w:rPr>
          <w:rFonts w:cs="Calibri"/>
        </w:rPr>
        <w:t xml:space="preserve"> </w:t>
      </w:r>
      <w:r w:rsidRPr="00927019">
        <w:rPr>
          <w:rFonts w:cs="Calibri"/>
        </w:rPr>
        <w:t>what</w:t>
      </w:r>
      <w:r>
        <w:rPr>
          <w:rFonts w:cs="Calibri"/>
        </w:rPr>
        <w:t xml:space="preserve"> </w:t>
      </w:r>
      <w:r w:rsidRPr="00927019">
        <w:rPr>
          <w:rFonts w:cs="Calibri"/>
        </w:rPr>
        <w:t>is</w:t>
      </w:r>
      <w:r>
        <w:rPr>
          <w:rFonts w:cs="Calibri"/>
        </w:rPr>
        <w:t xml:space="preserve"> </w:t>
      </w:r>
      <w:r w:rsidRPr="00927019">
        <w:rPr>
          <w:rFonts w:cs="Calibri"/>
        </w:rPr>
        <w:t>meant</w:t>
      </w:r>
      <w:r>
        <w:rPr>
          <w:rFonts w:cs="Calibri"/>
        </w:rPr>
        <w:t xml:space="preserve"> </w:t>
      </w:r>
      <w:r w:rsidRPr="00927019">
        <w:rPr>
          <w:rFonts w:cs="Calibri"/>
        </w:rPr>
        <w:t>by</w:t>
      </w:r>
      <w:r>
        <w:rPr>
          <w:rFonts w:cs="Calibri"/>
        </w:rPr>
        <w:t xml:space="preserve"> </w:t>
      </w:r>
      <w:r w:rsidRPr="00927019">
        <w:rPr>
          <w:rFonts w:cs="Calibri"/>
        </w:rPr>
        <w:t>‘reportable</w:t>
      </w:r>
      <w:r>
        <w:rPr>
          <w:rFonts w:cs="Calibri"/>
        </w:rPr>
        <w:t xml:space="preserve"> </w:t>
      </w:r>
      <w:r w:rsidRPr="00927019">
        <w:rPr>
          <w:rFonts w:cs="Calibri"/>
        </w:rPr>
        <w:t>death</w:t>
      </w:r>
      <w:r>
        <w:rPr>
          <w:rFonts w:cs="Calibri"/>
        </w:rPr>
        <w:t>s</w:t>
      </w:r>
      <w:r w:rsidRPr="00927019">
        <w:rPr>
          <w:rFonts w:cs="Calibri"/>
        </w:rPr>
        <w:t>’</w:t>
      </w:r>
      <w:r>
        <w:rPr>
          <w:rFonts w:cs="Calibri"/>
        </w:rPr>
        <w:t xml:space="preserve"> </w:t>
      </w:r>
      <w:r w:rsidRPr="00927019">
        <w:rPr>
          <w:rFonts w:cs="Calibri"/>
        </w:rPr>
        <w:t>and</w:t>
      </w:r>
      <w:r>
        <w:rPr>
          <w:rFonts w:cs="Calibri"/>
        </w:rPr>
        <w:t xml:space="preserve"> </w:t>
      </w:r>
      <w:r w:rsidRPr="00927019">
        <w:rPr>
          <w:rFonts w:cs="Calibri"/>
        </w:rPr>
        <w:t>the</w:t>
      </w:r>
      <w:r>
        <w:rPr>
          <w:rFonts w:cs="Calibri"/>
        </w:rPr>
        <w:t xml:space="preserve"> </w:t>
      </w:r>
      <w:r w:rsidRPr="00927019">
        <w:rPr>
          <w:rFonts w:cs="Calibri"/>
        </w:rPr>
        <w:t>procedures</w:t>
      </w:r>
      <w:r>
        <w:rPr>
          <w:rFonts w:cs="Calibri"/>
        </w:rPr>
        <w:t xml:space="preserve"> </w:t>
      </w:r>
      <w:r w:rsidRPr="00927019">
        <w:rPr>
          <w:rFonts w:cs="Calibri"/>
        </w:rPr>
        <w:t>for</w:t>
      </w:r>
      <w:r>
        <w:rPr>
          <w:rFonts w:cs="Calibri"/>
        </w:rPr>
        <w:t xml:space="preserve"> </w:t>
      </w:r>
      <w:r w:rsidRPr="00927019">
        <w:rPr>
          <w:rFonts w:cs="Calibri"/>
        </w:rPr>
        <w:t>reporting</w:t>
      </w:r>
      <w:r>
        <w:rPr>
          <w:rFonts w:cs="Calibri"/>
        </w:rPr>
        <w:t xml:space="preserve"> </w:t>
      </w:r>
      <w:r w:rsidRPr="00927019">
        <w:rPr>
          <w:rFonts w:cs="Calibri"/>
        </w:rPr>
        <w:t>them</w:t>
      </w:r>
      <w:r w:rsidDel="00CC2FD1">
        <w:rPr>
          <w:rFonts w:cs="Calibri"/>
        </w:rPr>
        <w:t xml:space="preserve">, </w:t>
      </w:r>
      <w:r>
        <w:rPr>
          <w:rFonts w:cs="Calibri"/>
        </w:rPr>
        <w:t xml:space="preserve">visit </w:t>
      </w:r>
      <w:hyperlink r:id="rId487" w:history="1">
        <w:r>
          <w:rPr>
            <w:rStyle w:val="Hyperlink"/>
            <w:rFonts w:cs="Calibri"/>
          </w:rPr>
          <w:t>R</w:t>
        </w:r>
        <w:r w:rsidRPr="007D797D">
          <w:rPr>
            <w:rStyle w:val="Hyperlink"/>
            <w:rFonts w:cs="Calibri"/>
          </w:rPr>
          <w:t>eportable deaths</w:t>
        </w:r>
      </w:hyperlink>
      <w:r>
        <w:rPr>
          <w:rFonts w:cs="Calibri"/>
        </w:rPr>
        <w:t xml:space="preserve"> </w:t>
      </w:r>
      <w:r w:rsidRPr="00927019">
        <w:rPr>
          <w:rFonts w:cs="Calibri"/>
        </w:rPr>
        <w:t>&lt;</w:t>
      </w:r>
      <w:r w:rsidRPr="00386907">
        <w:rPr>
          <w:rFonts w:cs="Calibri"/>
        </w:rPr>
        <w:t>https://www.health.vic.gov.au/chief-psychiatrist/reportable-deaths-mental-health-and-wellbeing-act-2022</w:t>
      </w:r>
      <w:r w:rsidRPr="00927019">
        <w:rPr>
          <w:rFonts w:cs="Calibri"/>
        </w:rPr>
        <w:t>&gt;</w:t>
      </w:r>
      <w:r>
        <w:rPr>
          <w:rFonts w:cs="Calibri"/>
        </w:rPr>
        <w:t>.</w:t>
      </w:r>
    </w:p>
    <w:p w14:paraId="3FBC0C4E" w14:textId="77777777" w:rsidR="00817104" w:rsidRPr="00091CB5" w:rsidRDefault="00817104" w:rsidP="00817104">
      <w:pPr>
        <w:pStyle w:val="Heading4"/>
      </w:pPr>
      <w:r>
        <w:t>Sentinel event reporting of suicides</w:t>
      </w:r>
    </w:p>
    <w:p w14:paraId="2C30EEDE" w14:textId="77777777" w:rsidR="00817104" w:rsidRPr="002554FB" w:rsidRDefault="00817104" w:rsidP="00817104">
      <w:pPr>
        <w:rPr>
          <w:rFonts w:cs="Arial"/>
          <w:lang w:eastAsia="en-NZ"/>
        </w:rPr>
      </w:pPr>
      <w:r w:rsidRPr="002554FB">
        <w:rPr>
          <w:rFonts w:cs="Arial"/>
          <w:lang w:eastAsia="en-AU"/>
        </w:rPr>
        <w:t xml:space="preserve">Suspected suicide or serious self-harm within a healthcare setting is categorised as a sentinel event (that is, unexpected healthcare incidents that result in death or serious disability) and should be notified to </w:t>
      </w:r>
      <w:r>
        <w:rPr>
          <w:rFonts w:cs="Arial"/>
          <w:lang w:eastAsia="en-AU"/>
        </w:rPr>
        <w:t>SCV</w:t>
      </w:r>
      <w:r w:rsidRPr="002554FB">
        <w:rPr>
          <w:rFonts w:cs="Arial"/>
          <w:lang w:eastAsia="en-AU"/>
        </w:rPr>
        <w:t>’s Sentinel event program. This includes suicides on mental health inpatient units, as well as those in other health settings, such as acute, subacute or rehabilitation services, or compulsory clients while on approved or non-approved leave.</w:t>
      </w:r>
    </w:p>
    <w:p w14:paraId="6C488F04" w14:textId="77777777" w:rsidR="00817104" w:rsidRPr="00F64A0A" w:rsidRDefault="00817104" w:rsidP="00817104">
      <w:pPr>
        <w:pStyle w:val="Body"/>
        <w:rPr>
          <w:lang w:eastAsia="en-AU"/>
        </w:rPr>
      </w:pPr>
      <w:r>
        <w:rPr>
          <w:lang w:eastAsia="en-NZ"/>
        </w:rPr>
        <w:t xml:space="preserve">For more information, visit </w:t>
      </w:r>
      <w:hyperlink r:id="rId488" w:history="1">
        <w:r w:rsidRPr="007A024D">
          <w:rPr>
            <w:rStyle w:val="Hyperlink"/>
            <w:lang w:eastAsia="en-NZ"/>
          </w:rPr>
          <w:t>Sentinel events</w:t>
        </w:r>
      </w:hyperlink>
      <w:r>
        <w:rPr>
          <w:lang w:eastAsia="en-NZ"/>
        </w:rPr>
        <w:t xml:space="preserve"> </w:t>
      </w:r>
      <w:r w:rsidRPr="6D023C74">
        <w:rPr>
          <w:lang w:eastAsia="en-AU"/>
        </w:rPr>
        <w:t>&lt;https://www.bettersafercare.vic.gov.au/notify-us/sentinel-events&gt;</w:t>
      </w:r>
      <w:r w:rsidRPr="00477CA3">
        <w:rPr>
          <w:vertAlign w:val="superscript"/>
          <w:lang w:eastAsia="en-NZ"/>
        </w:rPr>
        <w:footnoteReference w:id="19"/>
      </w:r>
      <w:r>
        <w:rPr>
          <w:lang w:eastAsia="en-AU"/>
        </w:rPr>
        <w:t>.</w:t>
      </w:r>
      <w:r>
        <w:rPr>
          <w:lang w:eastAsia="en-NZ"/>
        </w:rPr>
        <w:t xml:space="preserve"> </w:t>
      </w:r>
    </w:p>
    <w:p w14:paraId="36A37A86" w14:textId="77777777" w:rsidR="00817104" w:rsidRDefault="00817104" w:rsidP="00817104">
      <w:pPr>
        <w:pStyle w:val="Heading4"/>
        <w:rPr>
          <w:lang w:eastAsia="en-AU"/>
        </w:rPr>
      </w:pPr>
      <w:r>
        <w:rPr>
          <w:lang w:eastAsia="en-AU"/>
        </w:rPr>
        <w:t>Incident reporting and community service organisations</w:t>
      </w:r>
    </w:p>
    <w:p w14:paraId="38A03A13" w14:textId="77777777" w:rsidR="00817104" w:rsidRPr="00BB182C" w:rsidRDefault="00817104" w:rsidP="00817104">
      <w:pPr>
        <w:pStyle w:val="Body"/>
        <w:rPr>
          <w:lang w:eastAsia="en-AU"/>
        </w:rPr>
      </w:pPr>
      <w:r w:rsidRPr="00BB182C">
        <w:rPr>
          <w:lang w:eastAsia="en-AU"/>
        </w:rPr>
        <w:t xml:space="preserve">Victorian public health and community service organisations that provide services on behalf of the department (such as MHCSS), and report patient, resident or client safety incidents </w:t>
      </w:r>
      <w:r>
        <w:rPr>
          <w:lang w:eastAsia="en-AU"/>
        </w:rPr>
        <w:t>via the</w:t>
      </w:r>
      <w:r w:rsidRPr="00BB182C">
        <w:rPr>
          <w:lang w:eastAsia="en-AU"/>
        </w:rPr>
        <w:t xml:space="preserve"> VHIMS</w:t>
      </w:r>
      <w:r>
        <w:rPr>
          <w:lang w:eastAsia="en-AU"/>
        </w:rPr>
        <w:t xml:space="preserve"> MDS</w:t>
      </w:r>
      <w:r w:rsidRPr="00BB182C">
        <w:rPr>
          <w:lang w:eastAsia="en-AU"/>
        </w:rPr>
        <w:t xml:space="preserve">, are subject to the overarching </w:t>
      </w:r>
      <w:hyperlink r:id="rId489" w:history="1">
        <w:r w:rsidRPr="00BB182C">
          <w:rPr>
            <w:rStyle w:val="Hyperlink"/>
            <w:lang w:eastAsia="en-AU"/>
          </w:rPr>
          <w:t>Policy</w:t>
        </w:r>
        <w:r>
          <w:rPr>
            <w:rStyle w:val="Hyperlink"/>
            <w:lang w:eastAsia="en-AU"/>
          </w:rPr>
          <w:t xml:space="preserve"> and guideline for a</w:t>
        </w:r>
        <w:r w:rsidRPr="00BB182C">
          <w:rPr>
            <w:rStyle w:val="Hyperlink"/>
            <w:lang w:eastAsia="en-AU"/>
          </w:rPr>
          <w:t>dverse patient safety events</w:t>
        </w:r>
      </w:hyperlink>
      <w:r w:rsidRPr="00BB182C">
        <w:rPr>
          <w:lang w:eastAsia="en-AU"/>
        </w:rPr>
        <w:t xml:space="preserve"> &lt;https://www.bettersafercare.vic.gov.au/publications/policy-adverse-patient-safety-events&gt; and supporting framework.</w:t>
      </w:r>
    </w:p>
    <w:p w14:paraId="75E0CB1B" w14:textId="77777777" w:rsidR="00817104" w:rsidRDefault="00817104" w:rsidP="00817104">
      <w:pPr>
        <w:pStyle w:val="Body"/>
        <w:rPr>
          <w:lang w:eastAsia="en-AU"/>
        </w:rPr>
      </w:pPr>
      <w:r w:rsidRPr="00BB182C">
        <w:rPr>
          <w:lang w:eastAsia="en-AU"/>
        </w:rPr>
        <w:t xml:space="preserve">Community organisations that provide services on behalf of the department and do not report incidents through VHIMS are still subject to the department’s incident reporting instruction. </w:t>
      </w:r>
      <w:r>
        <w:rPr>
          <w:lang w:eastAsia="en-AU"/>
        </w:rPr>
        <w:t>For information about the</w:t>
      </w:r>
      <w:r w:rsidRPr="00BB182C">
        <w:rPr>
          <w:lang w:eastAsia="en-AU"/>
        </w:rPr>
        <w:t xml:space="preserve"> reporting instruction</w:t>
      </w:r>
      <w:r>
        <w:rPr>
          <w:lang w:eastAsia="en-AU"/>
        </w:rPr>
        <w:t>, visit</w:t>
      </w:r>
      <w:r w:rsidRPr="00BB182C">
        <w:rPr>
          <w:lang w:eastAsia="en-AU"/>
        </w:rPr>
        <w:t xml:space="preserve"> </w:t>
      </w:r>
      <w:hyperlink r:id="rId490" w:history="1">
        <w:r w:rsidRPr="00BB182C">
          <w:rPr>
            <w:rStyle w:val="Hyperlink"/>
            <w:lang w:eastAsia="en-AU"/>
          </w:rPr>
          <w:t>Incident reporting</w:t>
        </w:r>
      </w:hyperlink>
      <w:r w:rsidRPr="00BB182C">
        <w:rPr>
          <w:lang w:eastAsia="en-AU"/>
        </w:rPr>
        <w:t xml:space="preserve"> &lt;https://fac.dffh.vic.gov.au/incident-reporting&gt;. The accompanying incident report form can be found at </w:t>
      </w:r>
      <w:hyperlink r:id="rId491" w:history="1">
        <w:r w:rsidRPr="00BB182C">
          <w:rPr>
            <w:rStyle w:val="Hyperlink"/>
            <w:lang w:eastAsia="en-AU"/>
          </w:rPr>
          <w:t>Incident report form</w:t>
        </w:r>
      </w:hyperlink>
      <w:r w:rsidRPr="00BB182C">
        <w:rPr>
          <w:lang w:eastAsia="en-AU"/>
        </w:rPr>
        <w:t xml:space="preserve"> &lt;https://fac.dffh.vic.gov.au/incident-report-form-complete-hand&gt;. </w:t>
      </w:r>
    </w:p>
    <w:p w14:paraId="4BDCD3B4" w14:textId="77777777" w:rsidR="00817104" w:rsidRDefault="00817104" w:rsidP="00817104">
      <w:pPr>
        <w:pStyle w:val="Heading4"/>
        <w:numPr>
          <w:ilvl w:val="3"/>
          <w:numId w:val="8"/>
        </w:numPr>
      </w:pPr>
      <w:r>
        <w:t xml:space="preserve">Restrictive </w:t>
      </w:r>
      <w:r w:rsidRPr="00C25293">
        <w:t>interventions</w:t>
      </w:r>
      <w:r>
        <w:t xml:space="preserve"> reporting (seclusion, bodily restraint or chemical restraint)</w:t>
      </w:r>
    </w:p>
    <w:p w14:paraId="71B274D5" w14:textId="77777777" w:rsidR="00817104" w:rsidRPr="00ED4DB0" w:rsidRDefault="00817104" w:rsidP="00817104">
      <w:pPr>
        <w:pStyle w:val="Body"/>
        <w:numPr>
          <w:ilvl w:val="0"/>
          <w:numId w:val="8"/>
        </w:numPr>
      </w:pPr>
      <w:r>
        <w:t xml:space="preserve">The </w:t>
      </w:r>
      <w:r w:rsidRPr="00E52401">
        <w:t>Mental Health and Wellbeing Act</w:t>
      </w:r>
      <w:r>
        <w:t xml:space="preserve"> regulates the use of restrictive interventions. </w:t>
      </w:r>
      <w:r w:rsidRPr="0042712E">
        <w:t>Part</w:t>
      </w:r>
      <w:r w:rsidDel="00332C81">
        <w:t xml:space="preserve"> </w:t>
      </w:r>
      <w:r>
        <w:t xml:space="preserve">3.7 of the Act outlines when restrictive interventions can be used, who can authorise them and the monitoring of restrictive interventions when used. </w:t>
      </w:r>
      <w:r w:rsidRPr="00B24218">
        <w:t>Section 3 of the Act defines a ‘restrictive intervention’ as ‘seclusion, bodily restraint or chemical restraint’</w:t>
      </w:r>
      <w:r w:rsidRPr="00B24218" w:rsidDel="00BA49B3">
        <w:t>.</w:t>
      </w:r>
      <w:r>
        <w:t xml:space="preserve"> Chemical restraint is newly defined in the Act; its regulation commenced on 1 September 2023.</w:t>
      </w:r>
    </w:p>
    <w:p w14:paraId="6639046A" w14:textId="77777777" w:rsidR="00817104" w:rsidRDefault="00817104" w:rsidP="00817104">
      <w:pPr>
        <w:pStyle w:val="Body"/>
        <w:numPr>
          <w:ilvl w:val="0"/>
          <w:numId w:val="8"/>
        </w:numPr>
        <w:rPr>
          <w:rFonts w:eastAsia="Times New Roman"/>
        </w:rPr>
      </w:pPr>
      <w:r>
        <w:t>All restrictive interventions must be reported to the Chief Psychiatrist.</w:t>
      </w:r>
    </w:p>
    <w:p w14:paraId="346B4C39" w14:textId="77777777" w:rsidR="00817104" w:rsidRDefault="00817104" w:rsidP="00817104">
      <w:pPr>
        <w:pStyle w:val="Body"/>
        <w:numPr>
          <w:ilvl w:val="0"/>
          <w:numId w:val="8"/>
        </w:numPr>
      </w:pPr>
      <w:r>
        <w:t xml:space="preserve">In accordance with the </w:t>
      </w:r>
      <w:r w:rsidRPr="00E52401">
        <w:t>Mental Health and Wellbeing Act</w:t>
      </w:r>
      <w:r>
        <w:t xml:space="preserve"> and the </w:t>
      </w:r>
      <w:hyperlink r:id="rId492">
        <w:r w:rsidRPr="5EDB1250">
          <w:rPr>
            <w:rStyle w:val="Hyperlink"/>
          </w:rPr>
          <w:t>Chief Psychiatrist’s guideline for restrictive interventions</w:t>
        </w:r>
      </w:hyperlink>
      <w:r>
        <w:t xml:space="preserve"> &lt;</w:t>
      </w:r>
      <w:r w:rsidRPr="004962CD">
        <w:t>https://www.health.vic.gov.au/key-staff/reducing-restrictive-interventions</w:t>
      </w:r>
      <w:r>
        <w:t xml:space="preserve">&gt;, an Authorised Psychiatrist must give a written report to the Chief Psychiatrist on the use of any restrictive intervention </w:t>
      </w:r>
      <w:r w:rsidRPr="009F71D1">
        <w:t>(s.118 of the Act).</w:t>
      </w:r>
      <w:r>
        <w:t xml:space="preserve"> This report must contain the details required by the Chief Psychiatrist and be submitted within the time stipulated </w:t>
      </w:r>
      <w:r w:rsidRPr="009F71D1">
        <w:t>(s.118 of the Act</w:t>
      </w:r>
      <w:r>
        <w:t>).</w:t>
      </w:r>
    </w:p>
    <w:p w14:paraId="1357E7E6" w14:textId="140C53FD" w:rsidR="00817104" w:rsidRDefault="00817104" w:rsidP="00817104">
      <w:pPr>
        <w:pStyle w:val="Body"/>
        <w:numPr>
          <w:ilvl w:val="0"/>
          <w:numId w:val="8"/>
        </w:numPr>
      </w:pPr>
      <w:r>
        <w:lastRenderedPageBreak/>
        <w:t>In practice,</w:t>
      </w:r>
      <w:r w:rsidDel="0016652C">
        <w:t xml:space="preserve"> </w:t>
      </w:r>
      <w:r>
        <w:t>services record</w:t>
      </w:r>
      <w:r w:rsidDel="0016652C">
        <w:t xml:space="preserve"> </w:t>
      </w:r>
      <w:r>
        <w:t xml:space="preserve">restrictive interventions </w:t>
      </w:r>
      <w:r w:rsidRPr="00E137C6">
        <w:t>contemporaneously into the CMI database</w:t>
      </w:r>
      <w:r>
        <w:t>, with</w:t>
      </w:r>
      <w:r w:rsidRPr="00E137C6" w:rsidDel="00495F38">
        <w:t xml:space="preserve"> </w:t>
      </w:r>
      <w:r>
        <w:t xml:space="preserve">the OCP using the CMI database to monitor the use of restrictive interventions across Victoria. </w:t>
      </w:r>
      <w:r w:rsidRPr="0030190A">
        <w:t xml:space="preserve">If the use of restrictive </w:t>
      </w:r>
      <w:r>
        <w:t>interventions</w:t>
      </w:r>
      <w:r w:rsidRPr="0030190A">
        <w:t xml:space="preserve"> exceeds</w:t>
      </w:r>
      <w:r>
        <w:t xml:space="preserve"> a </w:t>
      </w:r>
      <w:r w:rsidRPr="0030190A">
        <w:t xml:space="preserve">benchmark, services must complete an exceeded benchmark </w:t>
      </w:r>
      <w:r>
        <w:t xml:space="preserve">report </w:t>
      </w:r>
      <w:r w:rsidRPr="0030190A">
        <w:t xml:space="preserve">and submit it to </w:t>
      </w:r>
      <w:r>
        <w:t xml:space="preserve">the OCP </w:t>
      </w:r>
      <w:r w:rsidRPr="0030190A">
        <w:t xml:space="preserve">via the </w:t>
      </w:r>
      <w:hyperlink r:id="rId493">
        <w:r w:rsidRPr="5EDB1250">
          <w:rPr>
            <w:rStyle w:val="Hyperlink"/>
          </w:rPr>
          <w:t>SharePoint portal</w:t>
        </w:r>
      </w:hyperlink>
      <w:r w:rsidRPr="0030190A">
        <w:t xml:space="preserve"> &lt;</w:t>
      </w:r>
      <w:r w:rsidRPr="002D6AE5">
        <w:t>https://dhhsvicgovau.sharepoint.com/sites/OCP</w:t>
      </w:r>
      <w:r>
        <w:t>&gt; (requires login).</w:t>
      </w:r>
    </w:p>
    <w:p w14:paraId="2E681715" w14:textId="77777777" w:rsidR="00817104" w:rsidRDefault="00817104" w:rsidP="00817104">
      <w:pPr>
        <w:pStyle w:val="Body"/>
        <w:numPr>
          <w:ilvl w:val="0"/>
          <w:numId w:val="8"/>
        </w:numPr>
      </w:pPr>
      <w:r>
        <w:t>For more</w:t>
      </w:r>
      <w:r w:rsidRPr="000B0ACA">
        <w:t xml:space="preserve"> details on reporting requirements</w:t>
      </w:r>
      <w:r>
        <w:t>, visit</w:t>
      </w:r>
      <w:r w:rsidRPr="000B0ACA">
        <w:t xml:space="preserve"> </w:t>
      </w:r>
      <w:hyperlink r:id="rId494" w:history="1">
        <w:r>
          <w:rPr>
            <w:rStyle w:val="Hyperlink"/>
          </w:rPr>
          <w:t>R</w:t>
        </w:r>
        <w:r w:rsidRPr="000B0ACA">
          <w:rPr>
            <w:rStyle w:val="Hyperlink"/>
          </w:rPr>
          <w:t>estrictive interventions</w:t>
        </w:r>
      </w:hyperlink>
      <w:r w:rsidRPr="000B0ACA">
        <w:t xml:space="preserve"> &lt;https://www.health.vic.gov.au/chief-psychiatrist/chief-psychiatrists-restrictive-interventions&gt;.</w:t>
      </w:r>
    </w:p>
    <w:p w14:paraId="6A4A40C4" w14:textId="77777777" w:rsidR="00817104" w:rsidRDefault="00817104" w:rsidP="00817104">
      <w:pPr>
        <w:pStyle w:val="Body"/>
        <w:numPr>
          <w:ilvl w:val="0"/>
          <w:numId w:val="8"/>
        </w:numPr>
      </w:pPr>
      <w:r>
        <w:t xml:space="preserve">Restrictive interventions must also be reported to the Chief Psychiatrist when they are used on people receiving a mental health and wellbeing service in the EDs and urgent care centres of designated mental health services, and when they are used on people who are receiving compulsory treatment under the Mental Health and Wellbeing Act. </w:t>
      </w:r>
      <w:r w:rsidRPr="00E137C6">
        <w:t xml:space="preserve">All </w:t>
      </w:r>
      <w:r>
        <w:t>r</w:t>
      </w:r>
      <w:r w:rsidRPr="00E137C6">
        <w:t xml:space="preserve">estrictive </w:t>
      </w:r>
      <w:r>
        <w:t>i</w:t>
      </w:r>
      <w:r w:rsidRPr="00E137C6">
        <w:t>nterventions must be recorded and reported</w:t>
      </w:r>
      <w:r>
        <w:t>,</w:t>
      </w:r>
      <w:r w:rsidRPr="00E137C6">
        <w:t xml:space="preserve"> regardless of the person’s status under the </w:t>
      </w:r>
      <w:r>
        <w:t>M</w:t>
      </w:r>
      <w:r w:rsidRPr="00E137C6">
        <w:t xml:space="preserve">ental </w:t>
      </w:r>
      <w:r>
        <w:t>H</w:t>
      </w:r>
      <w:r w:rsidRPr="00E137C6">
        <w:t>ealth</w:t>
      </w:r>
      <w:r>
        <w:t xml:space="preserve"> and Wellbeing</w:t>
      </w:r>
      <w:r w:rsidRPr="00E137C6">
        <w:t xml:space="preserve"> </w:t>
      </w:r>
      <w:r>
        <w:t>A</w:t>
      </w:r>
      <w:r w:rsidRPr="00E137C6">
        <w:t>ct.</w:t>
      </w:r>
      <w:r>
        <w:t xml:space="preserve"> </w:t>
      </w:r>
    </w:p>
    <w:p w14:paraId="3DA38BA0" w14:textId="77777777" w:rsidR="00817104" w:rsidRPr="009A2930" w:rsidRDefault="00817104" w:rsidP="00817104">
      <w:pPr>
        <w:pStyle w:val="Body"/>
        <w:numPr>
          <w:ilvl w:val="0"/>
          <w:numId w:val="8"/>
        </w:numPr>
      </w:pPr>
      <w:r>
        <w:t>Services are obligated to provide appropriate information to people subjected to restrictive interventions about their rights, including post-intervention support.</w:t>
      </w:r>
    </w:p>
    <w:p w14:paraId="46304C98" w14:textId="77777777" w:rsidR="00817104" w:rsidRPr="00091CB5" w:rsidRDefault="00817104" w:rsidP="00817104">
      <w:pPr>
        <w:pStyle w:val="Heading4"/>
      </w:pPr>
      <w:r w:rsidRPr="00937637">
        <w:t>Episodes</w:t>
      </w:r>
      <w:r>
        <w:t xml:space="preserve"> </w:t>
      </w:r>
      <w:r w:rsidRPr="00937637">
        <w:t>of</w:t>
      </w:r>
      <w:r>
        <w:t xml:space="preserve"> </w:t>
      </w:r>
      <w:r w:rsidRPr="007F0F9E">
        <w:t>extended</w:t>
      </w:r>
      <w:r>
        <w:t xml:space="preserve"> </w:t>
      </w:r>
      <w:r w:rsidRPr="007F0F9E">
        <w:t>seclusion</w:t>
      </w:r>
    </w:p>
    <w:p w14:paraId="45F74A65" w14:textId="77777777" w:rsidR="00817104" w:rsidRDefault="00817104" w:rsidP="00817104">
      <w:pPr>
        <w:pStyle w:val="Body"/>
      </w:pPr>
      <w:r>
        <w:t>De</w:t>
      </w:r>
      <w:r w:rsidRPr="00FF1E33">
        <w:t>signated</w:t>
      </w:r>
      <w:r>
        <w:t xml:space="preserve"> </w:t>
      </w:r>
      <w:r w:rsidRPr="00FF1E33">
        <w:t>mental</w:t>
      </w:r>
      <w:r>
        <w:t xml:space="preserve"> </w:t>
      </w:r>
      <w:r w:rsidRPr="00FF1E33">
        <w:t>health</w:t>
      </w:r>
      <w:r>
        <w:t xml:space="preserve"> </w:t>
      </w:r>
      <w:r w:rsidRPr="00FF1E33">
        <w:t>services</w:t>
      </w:r>
      <w:r>
        <w:t xml:space="preserve"> must provide a clinical report to </w:t>
      </w:r>
      <w:r w:rsidRPr="00FF1E33">
        <w:t>the</w:t>
      </w:r>
      <w:r>
        <w:t xml:space="preserve"> </w:t>
      </w:r>
      <w:r w:rsidRPr="00FF1E33">
        <w:t>Chief</w:t>
      </w:r>
      <w:r>
        <w:t xml:space="preserve"> </w:t>
      </w:r>
      <w:r w:rsidRPr="00FF1E33">
        <w:t>Psychiatrist</w:t>
      </w:r>
      <w:r>
        <w:t xml:space="preserve"> </w:t>
      </w:r>
      <w:r w:rsidRPr="00FF1E33">
        <w:t>of</w:t>
      </w:r>
      <w:r>
        <w:t xml:space="preserve"> </w:t>
      </w:r>
      <w:r w:rsidRPr="00FF1E33">
        <w:t>any</w:t>
      </w:r>
      <w:r>
        <w:t xml:space="preserve"> </w:t>
      </w:r>
      <w:r w:rsidRPr="00FF1E33">
        <w:t>episode</w:t>
      </w:r>
      <w:r>
        <w:t xml:space="preserve"> </w:t>
      </w:r>
      <w:r w:rsidRPr="00FF1E33">
        <w:t>of</w:t>
      </w:r>
      <w:r>
        <w:t xml:space="preserve"> </w:t>
      </w:r>
      <w:r w:rsidRPr="00FF1E33">
        <w:t>seclusion</w:t>
      </w:r>
      <w:r>
        <w:t xml:space="preserve"> that </w:t>
      </w:r>
      <w:r w:rsidRPr="00FF1E33">
        <w:t>exceeds</w:t>
      </w:r>
      <w:r>
        <w:t xml:space="preserve"> 12 hours for adults, and four hours for aged and young people under 18 years of age.</w:t>
      </w:r>
    </w:p>
    <w:p w14:paraId="3AEDE31A" w14:textId="77777777" w:rsidR="00817104" w:rsidRDefault="00817104" w:rsidP="00817104">
      <w:pPr>
        <w:pStyle w:val="Body"/>
      </w:pPr>
      <w:r>
        <w:t>Should the episode of seclusion exceed 48 hours, it is expected that escalation processes, including case conferencing and second opinions, occur within their designated m</w:t>
      </w:r>
      <w:r w:rsidRPr="00E137C6">
        <w:t xml:space="preserve">ental </w:t>
      </w:r>
      <w:r>
        <w:t>h</w:t>
      </w:r>
      <w:r w:rsidRPr="00E137C6">
        <w:t xml:space="preserve">ealth </w:t>
      </w:r>
      <w:r>
        <w:t>se</w:t>
      </w:r>
      <w:r w:rsidRPr="00E137C6">
        <w:t>rvice</w:t>
      </w:r>
      <w:r>
        <w:t>. Where an extended period of seclusion in excess of 48 hours is anticipated, it must be discussed with the Authorised Psychiatrist or delegate, to outline strategies aimed at reducing the behaviours and avoiding the need for a restrictive intervention.</w:t>
      </w:r>
    </w:p>
    <w:p w14:paraId="532E3130" w14:textId="77777777" w:rsidR="00817104" w:rsidRDefault="00817104" w:rsidP="00817104">
      <w:pPr>
        <w:pStyle w:val="Body"/>
      </w:pPr>
      <w:r>
        <w:t>When seclusion is used for extended periods of time or on a recurrent basis, it is good clinical practice for mental health services to undertake case conferencing and a second opinion, external to the treating team, to develop a care plan that outlines strategies for behavioural change and avoiding the need for seclusion. If the seclusion episode exceeds seven consecutive days, the Authorised Psychiatrist or delegate must contact the Chief Psychiatrist and provide a clinical report and care plan.</w:t>
      </w:r>
    </w:p>
    <w:p w14:paraId="2E21E8FD" w14:textId="77777777" w:rsidR="00817104" w:rsidRPr="00091CB5" w:rsidRDefault="00817104" w:rsidP="00817104">
      <w:pPr>
        <w:pStyle w:val="Heading4"/>
      </w:pPr>
      <w:r w:rsidRPr="00937637">
        <w:t>Extended</w:t>
      </w:r>
      <w:r>
        <w:t xml:space="preserve"> </w:t>
      </w:r>
      <w:r w:rsidRPr="00937637">
        <w:t>admission</w:t>
      </w:r>
      <w:r>
        <w:t xml:space="preserve"> </w:t>
      </w:r>
      <w:r w:rsidRPr="00937637">
        <w:t>to</w:t>
      </w:r>
      <w:r>
        <w:t xml:space="preserve"> a </w:t>
      </w:r>
      <w:r w:rsidRPr="00937637">
        <w:t>high</w:t>
      </w:r>
      <w:r>
        <w:t>-</w:t>
      </w:r>
      <w:r w:rsidRPr="00937637">
        <w:t>dependency</w:t>
      </w:r>
      <w:r>
        <w:t xml:space="preserve"> </w:t>
      </w:r>
      <w:r w:rsidRPr="00937637">
        <w:t>area</w:t>
      </w:r>
    </w:p>
    <w:p w14:paraId="65F3F0A0" w14:textId="77777777" w:rsidR="00817104" w:rsidRPr="00FF1E33" w:rsidRDefault="00817104" w:rsidP="00817104">
      <w:pPr>
        <w:pStyle w:val="Body"/>
        <w:numPr>
          <w:ilvl w:val="0"/>
          <w:numId w:val="8"/>
        </w:numPr>
      </w:pPr>
      <w:r>
        <w:t>Mental health services will be required to present evidence of an active case-conferencing process to assist in bringing the admission to conclusion for any admission to a high-dependency area exceeding 30 consecutive days and at any time on request thereafter.</w:t>
      </w:r>
    </w:p>
    <w:p w14:paraId="5A63053D" w14:textId="77777777" w:rsidR="00817104" w:rsidRDefault="00817104" w:rsidP="00817104">
      <w:pPr>
        <w:pStyle w:val="Heading4"/>
        <w:numPr>
          <w:ilvl w:val="3"/>
          <w:numId w:val="8"/>
        </w:numPr>
      </w:pPr>
      <w:r>
        <w:t xml:space="preserve">Sexual </w:t>
      </w:r>
      <w:r w:rsidRPr="000E43FE">
        <w:t>safety</w:t>
      </w:r>
      <w:r>
        <w:t xml:space="preserve"> reporting</w:t>
      </w:r>
    </w:p>
    <w:p w14:paraId="23CCCA35" w14:textId="1523ED94" w:rsidR="00817104" w:rsidRPr="002554FB" w:rsidRDefault="00817104" w:rsidP="00817104">
      <w:pPr>
        <w:pStyle w:val="Body"/>
        <w:numPr>
          <w:ilvl w:val="0"/>
          <w:numId w:val="8"/>
        </w:numPr>
        <w:rPr>
          <w:color w:val="000000" w:themeColor="text1"/>
        </w:rPr>
      </w:pPr>
      <w:r w:rsidRPr="004947AB">
        <w:rPr>
          <w:color w:val="000000" w:themeColor="text1"/>
        </w:rPr>
        <w:t xml:space="preserve">All sexual safety incidents occurring in bed-based designated mental health services and bed-based mental health and wellbeing services in custodial settings must be reported via </w:t>
      </w:r>
      <w:r>
        <w:rPr>
          <w:color w:val="000000" w:themeColor="text1"/>
        </w:rPr>
        <w:t xml:space="preserve">the </w:t>
      </w:r>
      <w:hyperlink r:id="rId495" w:history="1">
        <w:r w:rsidRPr="001E1DA9">
          <w:rPr>
            <w:rStyle w:val="Hyperlink"/>
          </w:rPr>
          <w:t>VHIMS MDS</w:t>
        </w:r>
      </w:hyperlink>
      <w:r w:rsidRPr="002554FB">
        <w:rPr>
          <w:color w:val="000000" w:themeColor="text1"/>
        </w:rPr>
        <w:t xml:space="preserve"> </w:t>
      </w:r>
      <w:r>
        <w:rPr>
          <w:color w:val="000000" w:themeColor="text1"/>
        </w:rPr>
        <w:t>&lt;</w:t>
      </w:r>
      <w:r w:rsidR="005C5C2F" w:rsidRPr="005C5C2F">
        <w:rPr>
          <w:color w:val="000000" w:themeColor="text1"/>
        </w:rPr>
        <w:t>https://vahi.vic.gov.au/</w:t>
      </w:r>
      <w:r>
        <w:rPr>
          <w:color w:val="000000" w:themeColor="text1"/>
        </w:rPr>
        <w:t xml:space="preserve">&gt;. </w:t>
      </w:r>
    </w:p>
    <w:p w14:paraId="02760CF4" w14:textId="77777777" w:rsidR="00817104" w:rsidRDefault="00817104" w:rsidP="00817104">
      <w:pPr>
        <w:pStyle w:val="Body"/>
        <w:numPr>
          <w:ilvl w:val="0"/>
          <w:numId w:val="8"/>
        </w:numPr>
        <w:rPr>
          <w:color w:val="000000" w:themeColor="text1"/>
        </w:rPr>
      </w:pPr>
      <w:r>
        <w:t>Sexual safety incidents are alleged, witnessed or suspected occurrences of sexual activity, sexual harassment and sexual assault.</w:t>
      </w:r>
    </w:p>
    <w:p w14:paraId="05DB9AE0" w14:textId="77777777" w:rsidR="00817104" w:rsidRDefault="00817104" w:rsidP="00817104">
      <w:pPr>
        <w:pStyle w:val="Body"/>
        <w:numPr>
          <w:ilvl w:val="0"/>
          <w:numId w:val="8"/>
        </w:numPr>
        <w:rPr>
          <w:color w:val="000000" w:themeColor="text1"/>
        </w:rPr>
      </w:pPr>
      <w:r>
        <w:t xml:space="preserve">Serious sexual safety incidents that are assigned an ISR of 1 or 2 through VHIMS MDS must be reported directly to the OCP within 24 or 72 hours respectively. The OCP reviews all ISR 1 and 2 </w:t>
      </w:r>
      <w:r>
        <w:lastRenderedPageBreak/>
        <w:t>incidents and works closely with services to ensure that incidents are responded to thoroughly and that risks are addressed.</w:t>
      </w:r>
    </w:p>
    <w:p w14:paraId="54D139A0" w14:textId="3F129511" w:rsidR="00817104" w:rsidRPr="002554FB" w:rsidRDefault="00817104" w:rsidP="00817104">
      <w:pPr>
        <w:pStyle w:val="Body"/>
        <w:numPr>
          <w:ilvl w:val="0"/>
          <w:numId w:val="8"/>
        </w:numPr>
      </w:pPr>
      <w:r>
        <w:t>For ISR 3 and 4 rated incidents, services</w:t>
      </w:r>
      <w:r w:rsidRPr="00722B36">
        <w:t xml:space="preserve"> are required to extract information from </w:t>
      </w:r>
      <w:r>
        <w:t xml:space="preserve">the </w:t>
      </w:r>
      <w:r w:rsidRPr="00722B36">
        <w:t xml:space="preserve">VHIMS </w:t>
      </w:r>
      <w:r>
        <w:t>MDS</w:t>
      </w:r>
      <w:r w:rsidRPr="00722B36">
        <w:t xml:space="preserve"> into the </w:t>
      </w:r>
      <w:r>
        <w:t>E</w:t>
      </w:r>
      <w:r w:rsidRPr="00722B36">
        <w:t xml:space="preserve">xcel template provided by the </w:t>
      </w:r>
      <w:r>
        <w:t>OCP</w:t>
      </w:r>
      <w:r w:rsidRPr="00722B36">
        <w:t xml:space="preserve"> and submit it to the </w:t>
      </w:r>
      <w:r>
        <w:t>OCP</w:t>
      </w:r>
      <w:r w:rsidRPr="00722B36">
        <w:t xml:space="preserve"> </w:t>
      </w:r>
      <w:r>
        <w:t xml:space="preserve">on a </w:t>
      </w:r>
      <w:r w:rsidRPr="00722B36">
        <w:t xml:space="preserve">monthly </w:t>
      </w:r>
      <w:r>
        <w:t xml:space="preserve">basis via the </w:t>
      </w:r>
      <w:hyperlink r:id="rId496">
        <w:r w:rsidRPr="05F8BFC6">
          <w:rPr>
            <w:rStyle w:val="Hyperlink"/>
          </w:rPr>
          <w:t>SharePoint portal</w:t>
        </w:r>
      </w:hyperlink>
      <w:r>
        <w:t xml:space="preserve"> &lt;</w:t>
      </w:r>
      <w:r w:rsidRPr="002D6AE5">
        <w:t>https://dhhsvicgovau.sharepoint.com/sites/OCP</w:t>
      </w:r>
      <w:r>
        <w:t>&gt; (login required).</w:t>
      </w:r>
    </w:p>
    <w:p w14:paraId="799C8D13" w14:textId="77777777" w:rsidR="00817104" w:rsidRPr="002554FB" w:rsidRDefault="00817104" w:rsidP="00817104">
      <w:pPr>
        <w:pStyle w:val="Body"/>
        <w:numPr>
          <w:ilvl w:val="0"/>
          <w:numId w:val="8"/>
        </w:numPr>
      </w:pPr>
      <w:r w:rsidRPr="002554FB">
        <w:t xml:space="preserve">While the reporting of sexual safety incidents to the </w:t>
      </w:r>
      <w:r>
        <w:t>OCP</w:t>
      </w:r>
      <w:r w:rsidRPr="00722B36">
        <w:t xml:space="preserve"> </w:t>
      </w:r>
      <w:r w:rsidRPr="002554FB">
        <w:t>is an important part of governance, services must also have strong local governance processes to ensure that sexual safety is addressed, prevention strategies are embedded and risks can be eliminated.</w:t>
      </w:r>
    </w:p>
    <w:p w14:paraId="05DCFA48" w14:textId="77777777" w:rsidR="00817104" w:rsidRDefault="00817104" w:rsidP="00817104">
      <w:pPr>
        <w:pStyle w:val="Body"/>
        <w:numPr>
          <w:ilvl w:val="0"/>
          <w:numId w:val="8"/>
        </w:numPr>
      </w:pPr>
      <w:r>
        <w:t>For d</w:t>
      </w:r>
      <w:r w:rsidRPr="002554FB">
        <w:t>etailed information about reporting requirements for sexual safety</w:t>
      </w:r>
      <w:r>
        <w:t>, visit</w:t>
      </w:r>
      <w:r w:rsidRPr="002554FB">
        <w:t xml:space="preserve"> </w:t>
      </w:r>
      <w:hyperlink r:id="rId497" w:history="1">
        <w:r>
          <w:rPr>
            <w:rStyle w:val="Hyperlink"/>
          </w:rPr>
          <w:t>Chief Psychiatrist’s directive for sexual safety reporting</w:t>
        </w:r>
      </w:hyperlink>
      <w:r w:rsidRPr="002554FB">
        <w:t xml:space="preserve"> &lt;https://www.health.vic.gov.au/chief-psychiatrist/improving-sexual-safety&gt;.</w:t>
      </w:r>
    </w:p>
    <w:p w14:paraId="097A50AF" w14:textId="786C994B" w:rsidR="00817104" w:rsidRPr="000E43FE" w:rsidRDefault="00817104" w:rsidP="00817104">
      <w:pPr>
        <w:pStyle w:val="Heading4"/>
        <w:numPr>
          <w:ilvl w:val="3"/>
          <w:numId w:val="8"/>
        </w:numPr>
      </w:pPr>
      <w:r>
        <w:t>E</w:t>
      </w:r>
      <w:r w:rsidR="009152AF">
        <w:t>lec</w:t>
      </w:r>
      <w:r w:rsidR="009152AF" w:rsidRPr="000232AF">
        <w:t>troconvulsive treatment</w:t>
      </w:r>
      <w:r w:rsidR="009152AF">
        <w:t xml:space="preserve"> (E</w:t>
      </w:r>
      <w:r>
        <w:t>CT</w:t>
      </w:r>
      <w:r w:rsidR="009152AF">
        <w:t>)</w:t>
      </w:r>
    </w:p>
    <w:p w14:paraId="347609B7" w14:textId="77777777" w:rsidR="00817104" w:rsidRPr="00091CB5" w:rsidRDefault="00817104" w:rsidP="00A6282B">
      <w:pPr>
        <w:pStyle w:val="Heading5"/>
        <w:spacing w:before="0" w:after="120"/>
      </w:pPr>
      <w:r w:rsidRPr="00937637">
        <w:t>Treatment</w:t>
      </w:r>
      <w:r>
        <w:t xml:space="preserve"> </w:t>
      </w:r>
      <w:r w:rsidRPr="00937637">
        <w:t>report</w:t>
      </w:r>
      <w:r>
        <w:t>ing</w:t>
      </w:r>
    </w:p>
    <w:p w14:paraId="2F5F778A" w14:textId="77777777" w:rsidR="00817104" w:rsidRDefault="00817104" w:rsidP="00A6282B">
      <w:pPr>
        <w:pStyle w:val="Body"/>
      </w:pPr>
      <w:r w:rsidRPr="00402B34">
        <w:t>Designated</w:t>
      </w:r>
      <w:r>
        <w:t xml:space="preserve"> </w:t>
      </w:r>
      <w:r w:rsidRPr="00402B34">
        <w:t>mental</w:t>
      </w:r>
      <w:r>
        <w:t xml:space="preserve"> </w:t>
      </w:r>
      <w:r w:rsidRPr="00402B34">
        <w:t>health</w:t>
      </w:r>
      <w:r>
        <w:t xml:space="preserve"> </w:t>
      </w:r>
      <w:r w:rsidRPr="00402B34">
        <w:t>services</w:t>
      </w:r>
      <w:r>
        <w:t xml:space="preserve"> must </w:t>
      </w:r>
      <w:r w:rsidRPr="00402B34">
        <w:t>report</w:t>
      </w:r>
      <w:r>
        <w:t xml:space="preserve"> </w:t>
      </w:r>
      <w:r w:rsidRPr="00402B34">
        <w:t>the</w:t>
      </w:r>
      <w:r>
        <w:t xml:space="preserve"> </w:t>
      </w:r>
      <w:r w:rsidRPr="00402B34">
        <w:t>use</w:t>
      </w:r>
      <w:r>
        <w:t xml:space="preserve"> </w:t>
      </w:r>
      <w:r w:rsidRPr="00402B34">
        <w:t>of</w:t>
      </w:r>
      <w:r>
        <w:t xml:space="preserve"> </w:t>
      </w:r>
      <w:r w:rsidRPr="00402B34">
        <w:t>ECT</w:t>
      </w:r>
      <w:r>
        <w:t xml:space="preserve"> </w:t>
      </w:r>
      <w:r w:rsidRPr="00402B34">
        <w:t>to</w:t>
      </w:r>
      <w:r>
        <w:t xml:space="preserve"> </w:t>
      </w:r>
      <w:r w:rsidRPr="00402B34">
        <w:t>the</w:t>
      </w:r>
      <w:r>
        <w:t xml:space="preserve"> </w:t>
      </w:r>
      <w:r w:rsidRPr="00402B34">
        <w:t>Chief</w:t>
      </w:r>
      <w:r>
        <w:t xml:space="preserve"> </w:t>
      </w:r>
      <w:r w:rsidRPr="00402B34">
        <w:t>Psychiatrist.</w:t>
      </w:r>
      <w:r>
        <w:t xml:space="preserve"> </w:t>
      </w:r>
      <w:r w:rsidRPr="00402B34">
        <w:t>The</w:t>
      </w:r>
      <w:r>
        <w:t xml:space="preserve"> </w:t>
      </w:r>
      <w:r w:rsidRPr="00402B34">
        <w:t>information</w:t>
      </w:r>
      <w:r>
        <w:t xml:space="preserve"> </w:t>
      </w:r>
      <w:r w:rsidRPr="00402B34">
        <w:t>to</w:t>
      </w:r>
      <w:r>
        <w:t xml:space="preserve"> </w:t>
      </w:r>
      <w:r w:rsidRPr="00402B34">
        <w:t>be</w:t>
      </w:r>
      <w:r>
        <w:t xml:space="preserve"> </w:t>
      </w:r>
      <w:r w:rsidRPr="00402B34">
        <w:t>submitted</w:t>
      </w:r>
      <w:r>
        <w:t xml:space="preserve"> </w:t>
      </w:r>
      <w:r w:rsidRPr="00402B34">
        <w:t>includes:</w:t>
      </w:r>
    </w:p>
    <w:p w14:paraId="7C79BC99" w14:textId="77777777" w:rsidR="00817104" w:rsidRDefault="00817104" w:rsidP="00A6282B">
      <w:pPr>
        <w:pStyle w:val="Bullet1"/>
        <w:numPr>
          <w:ilvl w:val="0"/>
          <w:numId w:val="2"/>
        </w:numPr>
        <w:spacing w:after="120"/>
      </w:pPr>
      <w:r>
        <w:t>the date, name, UR number, sex and age of each person</w:t>
      </w:r>
    </w:p>
    <w:p w14:paraId="6545471F" w14:textId="77777777" w:rsidR="00817104" w:rsidRPr="001A5838" w:rsidRDefault="00817104" w:rsidP="00A6282B">
      <w:pPr>
        <w:pStyle w:val="Bullet1"/>
        <w:numPr>
          <w:ilvl w:val="0"/>
          <w:numId w:val="2"/>
        </w:numPr>
        <w:spacing w:after="120"/>
      </w:pPr>
      <w:r>
        <w:t>the names of the doctors giving the anaesthetic and ECT</w:t>
      </w:r>
    </w:p>
    <w:p w14:paraId="2DC64EBF" w14:textId="77777777" w:rsidR="00817104" w:rsidRPr="001A5838" w:rsidRDefault="00817104" w:rsidP="00A6282B">
      <w:pPr>
        <w:pStyle w:val="Bullet1"/>
        <w:numPr>
          <w:ilvl w:val="0"/>
          <w:numId w:val="2"/>
        </w:numPr>
        <w:spacing w:after="120"/>
      </w:pPr>
      <w:r>
        <w:t>treatment laterality, pulse width and stimulus level</w:t>
      </w:r>
    </w:p>
    <w:p w14:paraId="2BC7D11A" w14:textId="77777777" w:rsidR="00817104" w:rsidRDefault="00817104" w:rsidP="00A6282B">
      <w:pPr>
        <w:pStyle w:val="Bullet1"/>
        <w:numPr>
          <w:ilvl w:val="0"/>
          <w:numId w:val="2"/>
        </w:numPr>
        <w:spacing w:after="120"/>
      </w:pPr>
      <w:r>
        <w:t>a clinical outcome measure</w:t>
      </w:r>
    </w:p>
    <w:p w14:paraId="2BAD9283" w14:textId="77777777" w:rsidR="00817104" w:rsidRDefault="00817104" w:rsidP="00A6282B">
      <w:pPr>
        <w:pStyle w:val="Bullet1"/>
        <w:numPr>
          <w:ilvl w:val="0"/>
          <w:numId w:val="2"/>
        </w:numPr>
        <w:spacing w:after="120"/>
      </w:pPr>
      <w:r>
        <w:t>the nature of the consent given for treatment.</w:t>
      </w:r>
    </w:p>
    <w:p w14:paraId="3CDA6AAE" w14:textId="77777777" w:rsidR="00817104" w:rsidRDefault="00817104" w:rsidP="00A6282B">
      <w:pPr>
        <w:pStyle w:val="Bodyafterbullets"/>
        <w:spacing w:before="0"/>
      </w:pPr>
      <w:r>
        <w:t xml:space="preserve">The Authorised Psychiatrist is responsible for ensuring reporting is undertaken. However, the Authorised Psychiatrist may designate a staff member, preferably the ECT coordinator, to undertake this function. </w:t>
      </w:r>
    </w:p>
    <w:p w14:paraId="223B6CCE" w14:textId="77777777" w:rsidR="00817104" w:rsidRDefault="00817104" w:rsidP="00A6282B">
      <w:pPr>
        <w:pStyle w:val="Bodyafterbullets"/>
        <w:spacing w:before="0"/>
      </w:pPr>
      <w:r w:rsidRPr="00525425">
        <w:t>Report</w:t>
      </w:r>
      <w:r>
        <w:t>ing takes place through the CMI-database and must be completed within a month of treatment.</w:t>
      </w:r>
    </w:p>
    <w:p w14:paraId="5CC9DB46" w14:textId="77777777" w:rsidR="00817104" w:rsidRPr="009F34A6" w:rsidRDefault="00817104" w:rsidP="00A6282B">
      <w:pPr>
        <w:pStyle w:val="Heading5"/>
        <w:spacing w:before="0" w:after="120"/>
      </w:pPr>
      <w:r w:rsidRPr="00937637">
        <w:t>Adverse</w:t>
      </w:r>
      <w:r>
        <w:t xml:space="preserve"> </w:t>
      </w:r>
      <w:r w:rsidRPr="00937637">
        <w:t>events</w:t>
      </w:r>
    </w:p>
    <w:p w14:paraId="46EDEE5C" w14:textId="77777777" w:rsidR="00817104" w:rsidRDefault="00817104" w:rsidP="00A6282B">
      <w:pPr>
        <w:pStyle w:val="Body"/>
      </w:pPr>
      <w:r>
        <w:t>The Chief Psychiatrist must be notified about adverse events directly related to ECT that either:</w:t>
      </w:r>
    </w:p>
    <w:p w14:paraId="30DE28C6" w14:textId="77777777" w:rsidR="00817104" w:rsidRDefault="00817104" w:rsidP="00A6282B">
      <w:pPr>
        <w:pStyle w:val="Bullet1"/>
        <w:numPr>
          <w:ilvl w:val="0"/>
          <w:numId w:val="2"/>
        </w:numPr>
        <w:spacing w:after="120"/>
      </w:pPr>
      <w:r>
        <w:t>result in death (including near misses), serious injury or serious illness</w:t>
      </w:r>
    </w:p>
    <w:p w14:paraId="55CEF63D" w14:textId="77777777" w:rsidR="00817104" w:rsidRDefault="00817104" w:rsidP="00A6282B">
      <w:pPr>
        <w:pStyle w:val="Bullet1"/>
        <w:numPr>
          <w:ilvl w:val="0"/>
          <w:numId w:val="2"/>
        </w:numPr>
        <w:spacing w:after="120"/>
      </w:pPr>
      <w:r>
        <w:t>require transfer to an ED or similar setting.</w:t>
      </w:r>
    </w:p>
    <w:p w14:paraId="7FC978D8" w14:textId="77777777" w:rsidR="00817104" w:rsidRDefault="00817104" w:rsidP="00A6282B">
      <w:pPr>
        <w:pStyle w:val="Bodyafterbullets"/>
        <w:spacing w:before="0"/>
      </w:pPr>
      <w:r>
        <w:t xml:space="preserve">These notifications must be made using an ECT serious adverse event report form. </w:t>
      </w:r>
    </w:p>
    <w:p w14:paraId="6F2DEBE1" w14:textId="77777777" w:rsidR="00817104" w:rsidRPr="00402B34" w:rsidRDefault="00817104" w:rsidP="00A6282B">
      <w:pPr>
        <w:pStyle w:val="Bodyafterbullets"/>
        <w:spacing w:before="0"/>
      </w:pPr>
      <w:r w:rsidRPr="00402B34">
        <w:t>Other</w:t>
      </w:r>
      <w:r>
        <w:t xml:space="preserve"> </w:t>
      </w:r>
      <w:r w:rsidRPr="00402B34">
        <w:t>incidents</w:t>
      </w:r>
      <w:r>
        <w:t xml:space="preserve"> </w:t>
      </w:r>
      <w:r w:rsidRPr="00402B34">
        <w:t>and</w:t>
      </w:r>
      <w:r>
        <w:t xml:space="preserve"> </w:t>
      </w:r>
      <w:r w:rsidRPr="00402B34">
        <w:t>near</w:t>
      </w:r>
      <w:r>
        <w:t xml:space="preserve"> </w:t>
      </w:r>
      <w:r w:rsidRPr="00402B34">
        <w:t>misses</w:t>
      </w:r>
      <w:r>
        <w:t xml:space="preserve"> </w:t>
      </w:r>
      <w:r w:rsidRPr="00402B34">
        <w:t>should</w:t>
      </w:r>
      <w:r>
        <w:t xml:space="preserve"> </w:t>
      </w:r>
      <w:r w:rsidRPr="00402B34">
        <w:t>be</w:t>
      </w:r>
      <w:r>
        <w:t xml:space="preserve"> </w:t>
      </w:r>
      <w:r w:rsidRPr="00402B34">
        <w:t>reported</w:t>
      </w:r>
      <w:r>
        <w:t xml:space="preserve"> </w:t>
      </w:r>
      <w:r w:rsidRPr="00402B34">
        <w:t>to</w:t>
      </w:r>
      <w:r>
        <w:t xml:space="preserve"> </w:t>
      </w:r>
      <w:r w:rsidRPr="00402B34">
        <w:t>the</w:t>
      </w:r>
      <w:r>
        <w:t xml:space="preserve"> </w:t>
      </w:r>
      <w:r w:rsidRPr="00402B34">
        <w:t>service’s</w:t>
      </w:r>
      <w:r>
        <w:t xml:space="preserve"> </w:t>
      </w:r>
      <w:r w:rsidRPr="00402B34">
        <w:t>own</w:t>
      </w:r>
      <w:r>
        <w:t xml:space="preserve"> </w:t>
      </w:r>
      <w:r w:rsidRPr="00402B34">
        <w:t>ECT</w:t>
      </w:r>
      <w:r>
        <w:t xml:space="preserve"> </w:t>
      </w:r>
      <w:r w:rsidRPr="00402B34">
        <w:t>committee</w:t>
      </w:r>
      <w:r>
        <w:t xml:space="preserve"> </w:t>
      </w:r>
      <w:r w:rsidRPr="00402B34">
        <w:t>and</w:t>
      </w:r>
      <w:r>
        <w:t xml:space="preserve"> </w:t>
      </w:r>
      <w:r w:rsidRPr="00402B34">
        <w:t>safety-monitoring</w:t>
      </w:r>
      <w:r>
        <w:t xml:space="preserve"> </w:t>
      </w:r>
      <w:r w:rsidRPr="00402B34">
        <w:t>bodies.</w:t>
      </w:r>
    </w:p>
    <w:p w14:paraId="4FBF08DA" w14:textId="77777777" w:rsidR="00817104" w:rsidRPr="009F34A6" w:rsidRDefault="00817104" w:rsidP="00A6282B">
      <w:pPr>
        <w:pStyle w:val="Heading5"/>
        <w:spacing w:before="0" w:after="120"/>
      </w:pPr>
      <w:r w:rsidRPr="00937637">
        <w:t>People</w:t>
      </w:r>
      <w:r>
        <w:t xml:space="preserve"> </w:t>
      </w:r>
      <w:r w:rsidRPr="00937637">
        <w:t>under</w:t>
      </w:r>
      <w:r>
        <w:t xml:space="preserve"> </w:t>
      </w:r>
      <w:r w:rsidRPr="00937637">
        <w:t>the</w:t>
      </w:r>
      <w:r>
        <w:t xml:space="preserve"> </w:t>
      </w:r>
      <w:r w:rsidRPr="00937637">
        <w:t>age</w:t>
      </w:r>
      <w:r>
        <w:t xml:space="preserve"> </w:t>
      </w:r>
      <w:r w:rsidRPr="00937637">
        <w:t>of</w:t>
      </w:r>
      <w:r>
        <w:t xml:space="preserve"> </w:t>
      </w:r>
      <w:r w:rsidRPr="00937637">
        <w:t>18</w:t>
      </w:r>
      <w:r>
        <w:t xml:space="preserve"> </w:t>
      </w:r>
      <w:r w:rsidRPr="00937637">
        <w:t>years</w:t>
      </w:r>
    </w:p>
    <w:p w14:paraId="6EC3859C" w14:textId="77777777" w:rsidR="00817104" w:rsidRDefault="00817104" w:rsidP="00A6282B">
      <w:pPr>
        <w:pStyle w:val="Body"/>
      </w:pPr>
      <w:r>
        <w:t xml:space="preserve">The </w:t>
      </w:r>
      <w:r w:rsidRPr="008957A1">
        <w:t xml:space="preserve">Mental Health </w:t>
      </w:r>
      <w:r>
        <w:t xml:space="preserve">and Wellbeing </w:t>
      </w:r>
      <w:r w:rsidRPr="008957A1">
        <w:t>Act</w:t>
      </w:r>
      <w:r>
        <w:t xml:space="preserve"> regulates the use of ECT for </w:t>
      </w:r>
      <w:r w:rsidRPr="004F11E8">
        <w:t>all</w:t>
      </w:r>
      <w:r>
        <w:t xml:space="preserve"> </w:t>
      </w:r>
      <w:r w:rsidRPr="004F11E8">
        <w:t>young</w:t>
      </w:r>
      <w:r>
        <w:t xml:space="preserve"> </w:t>
      </w:r>
      <w:r>
        <w:rPr>
          <w:bCs/>
        </w:rPr>
        <w:t>people</w:t>
      </w:r>
      <w:r>
        <w:t xml:space="preserve"> under the age of 18 years in Victoria, whether voluntary or compulsory. This includes young people in public mental health services, and private hospitals and clinics, even when the young person has given informed consent to treatment.</w:t>
      </w:r>
    </w:p>
    <w:p w14:paraId="5DE99985" w14:textId="77777777" w:rsidR="00817104" w:rsidRDefault="00817104" w:rsidP="00A6282B">
      <w:pPr>
        <w:pStyle w:val="Body"/>
      </w:pPr>
      <w:r w:rsidRPr="00402B34">
        <w:t>A</w:t>
      </w:r>
      <w:r>
        <w:t xml:space="preserve"> </w:t>
      </w:r>
      <w:r w:rsidRPr="00402B34">
        <w:t>psychiatrist</w:t>
      </w:r>
      <w:r>
        <w:t xml:space="preserve"> must </w:t>
      </w:r>
      <w:r w:rsidRPr="00402B34">
        <w:t>apply</w:t>
      </w:r>
      <w:r>
        <w:t xml:space="preserve"> </w:t>
      </w:r>
      <w:r w:rsidRPr="00402B34">
        <w:t>to</w:t>
      </w:r>
      <w:r>
        <w:t xml:space="preserve"> </w:t>
      </w:r>
      <w:r w:rsidRPr="00402B34">
        <w:t>the</w:t>
      </w:r>
      <w:r>
        <w:t xml:space="preserve"> Mental Health T</w:t>
      </w:r>
      <w:r w:rsidRPr="00402B34">
        <w:t>ribunal</w:t>
      </w:r>
      <w:r>
        <w:t xml:space="preserve"> </w:t>
      </w:r>
      <w:r w:rsidRPr="00402B34">
        <w:t>to</w:t>
      </w:r>
      <w:r>
        <w:t xml:space="preserve"> </w:t>
      </w:r>
      <w:r w:rsidRPr="00402B34">
        <w:t>perform</w:t>
      </w:r>
      <w:r>
        <w:t xml:space="preserve"> </w:t>
      </w:r>
      <w:r w:rsidRPr="00402B34">
        <w:t>a</w:t>
      </w:r>
      <w:r>
        <w:t xml:space="preserve"> </w:t>
      </w:r>
      <w:r w:rsidRPr="00402B34">
        <w:t>course</w:t>
      </w:r>
      <w:r>
        <w:t xml:space="preserve"> </w:t>
      </w:r>
      <w:r w:rsidRPr="00402B34">
        <w:t>of</w:t>
      </w:r>
      <w:r>
        <w:t xml:space="preserve"> </w:t>
      </w:r>
      <w:r w:rsidRPr="00402B34">
        <w:t>ECT</w:t>
      </w:r>
      <w:r>
        <w:t xml:space="preserve">, even if the young person provides informed consent. </w:t>
      </w:r>
    </w:p>
    <w:p w14:paraId="65B37A3A" w14:textId="77777777" w:rsidR="00817104" w:rsidRDefault="00817104" w:rsidP="00A6282B">
      <w:pPr>
        <w:pStyle w:val="Body"/>
      </w:pPr>
      <w:r w:rsidRPr="00402B34">
        <w:lastRenderedPageBreak/>
        <w:t>The</w:t>
      </w:r>
      <w:r>
        <w:t xml:space="preserve"> </w:t>
      </w:r>
      <w:r w:rsidRPr="00402B34">
        <w:t>Chief</w:t>
      </w:r>
      <w:r>
        <w:t xml:space="preserve"> </w:t>
      </w:r>
      <w:r w:rsidRPr="00402B34">
        <w:t>Psychiatrist</w:t>
      </w:r>
      <w:r>
        <w:t xml:space="preserve"> </w:t>
      </w:r>
      <w:r w:rsidRPr="00402B34">
        <w:t>does</w:t>
      </w:r>
      <w:r>
        <w:t xml:space="preserve"> </w:t>
      </w:r>
      <w:r w:rsidRPr="00402B34">
        <w:t>not</w:t>
      </w:r>
      <w:r>
        <w:t xml:space="preserve"> </w:t>
      </w:r>
      <w:r w:rsidRPr="00402B34">
        <w:t>make</w:t>
      </w:r>
      <w:r>
        <w:t xml:space="preserve"> </w:t>
      </w:r>
      <w:r w:rsidRPr="00402B34">
        <w:t>decisions</w:t>
      </w:r>
      <w:r>
        <w:t xml:space="preserve"> </w:t>
      </w:r>
      <w:r w:rsidRPr="00402B34">
        <w:t>concerning</w:t>
      </w:r>
      <w:r>
        <w:t xml:space="preserve"> </w:t>
      </w:r>
      <w:r w:rsidRPr="00402B34">
        <w:t>treatment</w:t>
      </w:r>
      <w:r>
        <w:t xml:space="preserve">. However, the Chief Psychiatrist </w:t>
      </w:r>
      <w:r w:rsidRPr="00402B34">
        <w:t>must</w:t>
      </w:r>
      <w:r>
        <w:t xml:space="preserve"> </w:t>
      </w:r>
      <w:r w:rsidRPr="00402B34">
        <w:t>be</w:t>
      </w:r>
      <w:r>
        <w:t xml:space="preserve"> </w:t>
      </w:r>
      <w:r w:rsidRPr="00402B34">
        <w:t>informed</w:t>
      </w:r>
      <w:r>
        <w:t xml:space="preserve"> </w:t>
      </w:r>
      <w:r w:rsidRPr="00402B34">
        <w:t>of</w:t>
      </w:r>
      <w:r>
        <w:t xml:space="preserve"> </w:t>
      </w:r>
      <w:r w:rsidRPr="00402B34">
        <w:t>plans</w:t>
      </w:r>
      <w:r>
        <w:t xml:space="preserve"> </w:t>
      </w:r>
      <w:r w:rsidRPr="00402B34">
        <w:t>to</w:t>
      </w:r>
      <w:r>
        <w:t xml:space="preserve"> </w:t>
      </w:r>
      <w:r w:rsidRPr="00402B34">
        <w:t>administer</w:t>
      </w:r>
      <w:r>
        <w:t xml:space="preserve"> </w:t>
      </w:r>
      <w:r w:rsidRPr="00402B34">
        <w:t>ECT</w:t>
      </w:r>
      <w:r>
        <w:t xml:space="preserve"> </w:t>
      </w:r>
      <w:r w:rsidRPr="00402B34">
        <w:t>to</w:t>
      </w:r>
      <w:r>
        <w:t xml:space="preserve"> </w:t>
      </w:r>
      <w:r w:rsidRPr="00402B34">
        <w:t>a</w:t>
      </w:r>
      <w:r>
        <w:t xml:space="preserve"> </w:t>
      </w:r>
      <w:r w:rsidRPr="00402B34">
        <w:t>young</w:t>
      </w:r>
      <w:r>
        <w:t xml:space="preserve"> </w:t>
      </w:r>
      <w:r w:rsidRPr="00402B34">
        <w:t>person</w:t>
      </w:r>
      <w:r>
        <w:t xml:space="preserve">. </w:t>
      </w:r>
    </w:p>
    <w:p w14:paraId="3164E707" w14:textId="77777777" w:rsidR="00817104" w:rsidRDefault="00817104" w:rsidP="00A6282B">
      <w:pPr>
        <w:pStyle w:val="Bodyafterbullets"/>
        <w:spacing w:before="0"/>
      </w:pPr>
      <w:r w:rsidRPr="00754660">
        <w:t xml:space="preserve">The </w:t>
      </w:r>
      <w:hyperlink r:id="rId498" w:history="1">
        <w:r>
          <w:rPr>
            <w:rStyle w:val="Hyperlink"/>
          </w:rPr>
          <w:t>ECT – C</w:t>
        </w:r>
        <w:r w:rsidRPr="002B4DB0">
          <w:rPr>
            <w:rStyle w:val="Hyperlink"/>
          </w:rPr>
          <w:t>hief Psychiatrist’s guideline</w:t>
        </w:r>
      </w:hyperlink>
      <w:r>
        <w:t xml:space="preserve"> &lt;https://www.health.vic.gov.au/publications/chief-psychiatrists-guideline-on-electroconvulsive-treatment&gt; provides guidance about the prescription and performance of ECT in Victorian public mental health services. </w:t>
      </w:r>
    </w:p>
    <w:p w14:paraId="06FFB6DC" w14:textId="77777777" w:rsidR="00817104" w:rsidRPr="008E71D9" w:rsidRDefault="00817104" w:rsidP="00817104">
      <w:pPr>
        <w:pStyle w:val="Heading4"/>
        <w:numPr>
          <w:ilvl w:val="3"/>
          <w:numId w:val="8"/>
        </w:numPr>
      </w:pPr>
      <w:r>
        <w:t>Neurosurgery for mental illness</w:t>
      </w:r>
    </w:p>
    <w:p w14:paraId="1B16DC0F" w14:textId="77777777" w:rsidR="00817104" w:rsidRDefault="00817104" w:rsidP="00817104">
      <w:pPr>
        <w:pStyle w:val="Body"/>
        <w:numPr>
          <w:ilvl w:val="0"/>
          <w:numId w:val="8"/>
        </w:numPr>
      </w:pPr>
      <w:r w:rsidRPr="001068AD">
        <w:t>Neurosurgery for mental illness can only be performed with the informed consent of the person and the approval of the Mental Health Tribunal.</w:t>
      </w:r>
    </w:p>
    <w:p w14:paraId="5704DF86" w14:textId="77777777" w:rsidR="00817104" w:rsidRPr="009B76B2" w:rsidRDefault="00817104" w:rsidP="00817104">
      <w:pPr>
        <w:pStyle w:val="Body"/>
        <w:numPr>
          <w:ilvl w:val="0"/>
          <w:numId w:val="8"/>
        </w:numPr>
      </w:pPr>
      <w:r w:rsidRPr="008E71D9">
        <w:t>Following</w:t>
      </w:r>
      <w:r>
        <w:t xml:space="preserve"> </w:t>
      </w:r>
      <w:r w:rsidRPr="008E71D9">
        <w:t>treatment,</w:t>
      </w:r>
      <w:r>
        <w:t xml:space="preserve"> </w:t>
      </w:r>
      <w:r w:rsidRPr="008E71D9">
        <w:t>the</w:t>
      </w:r>
      <w:r>
        <w:t xml:space="preserve"> A</w:t>
      </w:r>
      <w:r w:rsidRPr="008E71D9">
        <w:t>uthorised</w:t>
      </w:r>
      <w:r>
        <w:t xml:space="preserve"> P</w:t>
      </w:r>
      <w:r w:rsidRPr="008E71D9">
        <w:t>sychiatrist</w:t>
      </w:r>
      <w:r>
        <w:t xml:space="preserve"> </w:t>
      </w:r>
      <w:r w:rsidRPr="008E71D9">
        <w:t>treating</w:t>
      </w:r>
      <w:r>
        <w:t xml:space="preserve"> </w:t>
      </w:r>
      <w:r w:rsidRPr="008E71D9">
        <w:t>the</w:t>
      </w:r>
      <w:r>
        <w:t xml:space="preserve"> </w:t>
      </w:r>
      <w:r w:rsidRPr="008E71D9">
        <w:t>person</w:t>
      </w:r>
      <w:r>
        <w:t xml:space="preserve"> </w:t>
      </w:r>
      <w:r w:rsidRPr="008E71D9">
        <w:t>must</w:t>
      </w:r>
      <w:r>
        <w:t xml:space="preserve"> </w:t>
      </w:r>
      <w:r w:rsidRPr="008E71D9">
        <w:t>provide</w:t>
      </w:r>
      <w:r>
        <w:t xml:space="preserve"> </w:t>
      </w:r>
      <w:r w:rsidRPr="008E71D9">
        <w:t>a</w:t>
      </w:r>
      <w:r>
        <w:t xml:space="preserve"> </w:t>
      </w:r>
      <w:r w:rsidRPr="008E71D9">
        <w:t>written</w:t>
      </w:r>
      <w:r>
        <w:t xml:space="preserve"> </w:t>
      </w:r>
      <w:r w:rsidRPr="008E71D9">
        <w:t>report</w:t>
      </w:r>
      <w:r>
        <w:t xml:space="preserve"> </w:t>
      </w:r>
      <w:r w:rsidRPr="008E71D9">
        <w:t>to</w:t>
      </w:r>
      <w:r>
        <w:t xml:space="preserve"> </w:t>
      </w:r>
      <w:r w:rsidRPr="008E71D9">
        <w:t>the</w:t>
      </w:r>
      <w:r>
        <w:t xml:space="preserve"> </w:t>
      </w:r>
      <w:r w:rsidRPr="008E71D9">
        <w:t>Chief</w:t>
      </w:r>
      <w:r>
        <w:t xml:space="preserve"> </w:t>
      </w:r>
      <w:r w:rsidRPr="008E71D9">
        <w:t>Psychiatrist</w:t>
      </w:r>
      <w:r>
        <w:t xml:space="preserve">, which </w:t>
      </w:r>
      <w:r w:rsidRPr="008E71D9">
        <w:t>includ</w:t>
      </w:r>
      <w:r>
        <w:t xml:space="preserve">es </w:t>
      </w:r>
      <w:r w:rsidRPr="008E71D9">
        <w:t>a</w:t>
      </w:r>
      <w:r>
        <w:t xml:space="preserve"> </w:t>
      </w:r>
      <w:r w:rsidRPr="008E71D9">
        <w:t>description</w:t>
      </w:r>
      <w:r>
        <w:t xml:space="preserve"> </w:t>
      </w:r>
      <w:r w:rsidRPr="008E71D9">
        <w:t>of</w:t>
      </w:r>
      <w:r>
        <w:t xml:space="preserve"> </w:t>
      </w:r>
      <w:r w:rsidRPr="008E71D9">
        <w:t>the</w:t>
      </w:r>
      <w:r>
        <w:t xml:space="preserve"> </w:t>
      </w:r>
      <w:r w:rsidRPr="008E71D9">
        <w:t>treatment’s</w:t>
      </w:r>
      <w:r>
        <w:t xml:space="preserve"> </w:t>
      </w:r>
      <w:r w:rsidRPr="008E71D9">
        <w:t>outcome</w:t>
      </w:r>
      <w:r>
        <w:t xml:space="preserve"> within three months after the surgery is performed, and again within 12 months after the surgery is performed</w:t>
      </w:r>
      <w:r w:rsidRPr="008E71D9">
        <w:t>.</w:t>
      </w:r>
    </w:p>
    <w:p w14:paraId="70FFFABB" w14:textId="77777777" w:rsidR="00817104" w:rsidRDefault="00817104" w:rsidP="00817104">
      <w:pPr>
        <w:pStyle w:val="Heading4"/>
        <w:numPr>
          <w:ilvl w:val="3"/>
          <w:numId w:val="8"/>
        </w:numPr>
      </w:pPr>
      <w:r w:rsidRPr="51FE7A05">
        <w:t>Reporting</w:t>
      </w:r>
      <w:r>
        <w:t xml:space="preserve"> </w:t>
      </w:r>
      <w:r w:rsidRPr="51FE7A05">
        <w:t>of</w:t>
      </w:r>
      <w:r>
        <w:t xml:space="preserve"> i</w:t>
      </w:r>
      <w:r w:rsidRPr="51FE7A05">
        <w:t>ncidents</w:t>
      </w:r>
      <w:r>
        <w:t xml:space="preserve"> </w:t>
      </w:r>
      <w:r w:rsidRPr="000E43FE">
        <w:t>where</w:t>
      </w:r>
      <w:r>
        <w:t xml:space="preserve"> </w:t>
      </w:r>
      <w:r w:rsidRPr="51FE7A05">
        <w:t>there</w:t>
      </w:r>
      <w:r>
        <w:t xml:space="preserve"> </w:t>
      </w:r>
      <w:r w:rsidRPr="51FE7A05">
        <w:t>is</w:t>
      </w:r>
      <w:r>
        <w:t xml:space="preserve"> f</w:t>
      </w:r>
      <w:r w:rsidRPr="51FE7A05">
        <w:t>ailure</w:t>
      </w:r>
      <w:r>
        <w:t xml:space="preserve"> </w:t>
      </w:r>
      <w:r w:rsidRPr="51FE7A05">
        <w:t>to</w:t>
      </w:r>
      <w:r>
        <w:t xml:space="preserve"> c</w:t>
      </w:r>
      <w:r w:rsidRPr="51FE7A05">
        <w:t>omply</w:t>
      </w:r>
      <w:r>
        <w:t xml:space="preserve"> </w:t>
      </w:r>
      <w:r w:rsidRPr="51FE7A05">
        <w:t>with</w:t>
      </w:r>
      <w:r>
        <w:t xml:space="preserve"> the </w:t>
      </w:r>
      <w:r w:rsidRPr="009728CB">
        <w:t xml:space="preserve">Mental Health </w:t>
      </w:r>
      <w:r>
        <w:t>and Wellbeing</w:t>
      </w:r>
      <w:r w:rsidRPr="009728CB">
        <w:t xml:space="preserve"> Act</w:t>
      </w:r>
    </w:p>
    <w:p w14:paraId="2742DD15" w14:textId="77777777" w:rsidR="00817104" w:rsidRDefault="00817104" w:rsidP="00817104">
      <w:pPr>
        <w:pStyle w:val="Body"/>
      </w:pPr>
      <w:r w:rsidRPr="51FE7A05">
        <w:t>The</w:t>
      </w:r>
      <w:r>
        <w:t xml:space="preserve"> </w:t>
      </w:r>
      <w:r w:rsidRPr="51FE7A05">
        <w:t>Chief</w:t>
      </w:r>
      <w:r>
        <w:t xml:space="preserve"> </w:t>
      </w:r>
      <w:r w:rsidRPr="51FE7A05">
        <w:t>Psychiatrist</w:t>
      </w:r>
      <w:r>
        <w:t xml:space="preserve"> </w:t>
      </w:r>
      <w:r w:rsidRPr="51FE7A05">
        <w:t>has</w:t>
      </w:r>
      <w:r>
        <w:t xml:space="preserve"> </w:t>
      </w:r>
      <w:r w:rsidRPr="51FE7A05">
        <w:t>statutory</w:t>
      </w:r>
      <w:r>
        <w:t xml:space="preserve"> </w:t>
      </w:r>
      <w:r w:rsidRPr="51FE7A05">
        <w:t>roles</w:t>
      </w:r>
      <w:r>
        <w:t xml:space="preserve"> </w:t>
      </w:r>
      <w:r w:rsidRPr="51FE7A05">
        <w:t>and</w:t>
      </w:r>
      <w:r>
        <w:t xml:space="preserve"> </w:t>
      </w:r>
      <w:r w:rsidRPr="51FE7A05">
        <w:t>functions</w:t>
      </w:r>
      <w:r>
        <w:t xml:space="preserve"> </w:t>
      </w:r>
      <w:r w:rsidRPr="51FE7A05">
        <w:t>under</w:t>
      </w:r>
      <w:r>
        <w:t xml:space="preserve"> </w:t>
      </w:r>
      <w:r w:rsidRPr="51FE7A05">
        <w:t>the</w:t>
      </w:r>
      <w:r>
        <w:t xml:space="preserve"> </w:t>
      </w:r>
      <w:r w:rsidRPr="00A96D8B">
        <w:rPr>
          <w:iCs/>
        </w:rPr>
        <w:t>Mental Health and Wellbeing Act</w:t>
      </w:r>
      <w:r>
        <w:rPr>
          <w:i/>
          <w:iCs/>
        </w:rPr>
        <w:t xml:space="preserve"> </w:t>
      </w:r>
      <w:r w:rsidRPr="51FE7A05">
        <w:t>(</w:t>
      </w:r>
      <w:r>
        <w:t>Part 6.3</w:t>
      </w:r>
      <w:r w:rsidRPr="51FE7A05">
        <w:t>).</w:t>
      </w:r>
      <w:r>
        <w:t xml:space="preserve"> </w:t>
      </w:r>
      <w:r w:rsidRPr="51FE7A05">
        <w:t>This</w:t>
      </w:r>
      <w:r>
        <w:t xml:space="preserve"> </w:t>
      </w:r>
      <w:r w:rsidRPr="51FE7A05">
        <w:t>include</w:t>
      </w:r>
      <w:r>
        <w:t xml:space="preserve">s </w:t>
      </w:r>
      <w:r w:rsidRPr="00BB5732">
        <w:t>providing clinical leadership to clinical mental health service providers in relation to their obligations under the Act, the regulations and any Codes of Practice (s.267(1)(d)</w:t>
      </w:r>
      <w:r>
        <w:t>)</w:t>
      </w:r>
      <w:r w:rsidRPr="51FE7A05">
        <w:t>.</w:t>
      </w:r>
    </w:p>
    <w:p w14:paraId="4B283FED" w14:textId="77777777" w:rsidR="00817104" w:rsidRPr="00F64A0A" w:rsidRDefault="00817104" w:rsidP="00817104">
      <w:pPr>
        <w:pStyle w:val="Body"/>
      </w:pPr>
      <w:r w:rsidRPr="00F64A0A">
        <w:t>Where</w:t>
      </w:r>
      <w:r>
        <w:t xml:space="preserve"> </w:t>
      </w:r>
      <w:r w:rsidRPr="00F64A0A">
        <w:t>there</w:t>
      </w:r>
      <w:r>
        <w:t xml:space="preserve"> </w:t>
      </w:r>
      <w:r w:rsidRPr="00F64A0A">
        <w:t>is</w:t>
      </w:r>
      <w:r>
        <w:t xml:space="preserve"> </w:t>
      </w:r>
      <w:r w:rsidRPr="00F64A0A">
        <w:t>a</w:t>
      </w:r>
      <w:r>
        <w:t xml:space="preserve"> </w:t>
      </w:r>
      <w:r w:rsidRPr="00F64A0A">
        <w:t>failure</w:t>
      </w:r>
      <w:r>
        <w:t xml:space="preserve"> </w:t>
      </w:r>
      <w:r w:rsidRPr="00F64A0A">
        <w:t>to</w:t>
      </w:r>
      <w:r>
        <w:t xml:space="preserve"> </w:t>
      </w:r>
      <w:r w:rsidRPr="00F64A0A">
        <w:t>comply</w:t>
      </w:r>
      <w:r>
        <w:t xml:space="preserve"> </w:t>
      </w:r>
      <w:r w:rsidRPr="00F64A0A">
        <w:t>with</w:t>
      </w:r>
      <w:r>
        <w:t xml:space="preserve"> </w:t>
      </w:r>
      <w:r w:rsidRPr="00F64A0A">
        <w:t>the</w:t>
      </w:r>
      <w:r>
        <w:t xml:space="preserve"> </w:t>
      </w:r>
      <w:r w:rsidRPr="00F64A0A">
        <w:t>Act,</w:t>
      </w:r>
      <w:r>
        <w:t xml:space="preserve"> </w:t>
      </w:r>
      <w:r w:rsidRPr="00F64A0A">
        <w:t>designated</w:t>
      </w:r>
      <w:r>
        <w:t xml:space="preserve"> </w:t>
      </w:r>
      <w:r w:rsidRPr="00F64A0A">
        <w:t>mental</w:t>
      </w:r>
      <w:r>
        <w:t xml:space="preserve"> </w:t>
      </w:r>
      <w:r w:rsidRPr="00F64A0A">
        <w:t>health</w:t>
      </w:r>
      <w:r>
        <w:t xml:space="preserve"> </w:t>
      </w:r>
      <w:r w:rsidRPr="00F64A0A">
        <w:t>services</w:t>
      </w:r>
      <w:r>
        <w:t xml:space="preserve"> </w:t>
      </w:r>
      <w:r w:rsidRPr="00F64A0A">
        <w:t>should</w:t>
      </w:r>
      <w:r>
        <w:t xml:space="preserve"> </w:t>
      </w:r>
      <w:r w:rsidRPr="00F64A0A">
        <w:t>report</w:t>
      </w:r>
      <w:r>
        <w:t xml:space="preserve"> </w:t>
      </w:r>
      <w:r w:rsidRPr="00F64A0A">
        <w:t>it</w:t>
      </w:r>
      <w:r>
        <w:t xml:space="preserve"> </w:t>
      </w:r>
      <w:r w:rsidRPr="00F64A0A">
        <w:t>to</w:t>
      </w:r>
      <w:r>
        <w:t xml:space="preserve"> </w:t>
      </w:r>
      <w:r w:rsidRPr="00F64A0A">
        <w:t>the</w:t>
      </w:r>
      <w:r>
        <w:t xml:space="preserve"> </w:t>
      </w:r>
      <w:r w:rsidRPr="00F64A0A">
        <w:t>Chief</w:t>
      </w:r>
      <w:r>
        <w:t xml:space="preserve"> </w:t>
      </w:r>
      <w:r w:rsidRPr="00F64A0A">
        <w:t>Psychiatrist.</w:t>
      </w:r>
      <w:r>
        <w:t xml:space="preserve"> </w:t>
      </w:r>
      <w:r w:rsidRPr="00F64A0A">
        <w:t>This</w:t>
      </w:r>
      <w:r>
        <w:t xml:space="preserve"> </w:t>
      </w:r>
      <w:r w:rsidRPr="00F64A0A">
        <w:t>include</w:t>
      </w:r>
      <w:r>
        <w:t xml:space="preserve">s </w:t>
      </w:r>
      <w:r w:rsidRPr="00F64A0A">
        <w:t>incidents</w:t>
      </w:r>
      <w:r>
        <w:t xml:space="preserve"> </w:t>
      </w:r>
      <w:r w:rsidRPr="00F64A0A">
        <w:t>anywhere</w:t>
      </w:r>
      <w:r>
        <w:t xml:space="preserve"> </w:t>
      </w:r>
      <w:r w:rsidRPr="00F64A0A">
        <w:t>within</w:t>
      </w:r>
      <w:r w:rsidDel="00D52C19">
        <w:t xml:space="preserve"> </w:t>
      </w:r>
      <w:r w:rsidRPr="00F64A0A">
        <w:t>designated</w:t>
      </w:r>
      <w:r>
        <w:t xml:space="preserve"> </w:t>
      </w:r>
      <w:r w:rsidRPr="00F64A0A">
        <w:t>mental</w:t>
      </w:r>
      <w:r>
        <w:t xml:space="preserve"> </w:t>
      </w:r>
      <w:r w:rsidRPr="00F64A0A">
        <w:t>health</w:t>
      </w:r>
      <w:r>
        <w:t xml:space="preserve"> </w:t>
      </w:r>
      <w:r w:rsidRPr="00F64A0A">
        <w:t>services,</w:t>
      </w:r>
      <w:r>
        <w:t xml:space="preserve"> </w:t>
      </w:r>
      <w:r w:rsidRPr="00F64A0A">
        <w:t>including</w:t>
      </w:r>
      <w:r w:rsidDel="003E5FE8">
        <w:t xml:space="preserve"> </w:t>
      </w:r>
      <w:r>
        <w:t xml:space="preserve">EDs, urgent care centres </w:t>
      </w:r>
      <w:r w:rsidRPr="00F64A0A">
        <w:t>and</w:t>
      </w:r>
      <w:r>
        <w:t xml:space="preserve"> </w:t>
      </w:r>
      <w:r w:rsidRPr="00F64A0A">
        <w:t>general</w:t>
      </w:r>
      <w:r>
        <w:t xml:space="preserve"> </w:t>
      </w:r>
      <w:r w:rsidRPr="00F64A0A">
        <w:t>hospital</w:t>
      </w:r>
      <w:r>
        <w:t xml:space="preserve"> </w:t>
      </w:r>
      <w:r w:rsidRPr="00F64A0A">
        <w:t>wards.</w:t>
      </w:r>
    </w:p>
    <w:p w14:paraId="62294402" w14:textId="2F8E2096" w:rsidR="00817104" w:rsidRPr="00F64A0A" w:rsidRDefault="00817104" w:rsidP="00817104">
      <w:pPr>
        <w:pStyle w:val="Body"/>
      </w:pPr>
      <w:r w:rsidRPr="00F64A0A">
        <w:t>The</w:t>
      </w:r>
      <w:r>
        <w:t xml:space="preserve"> </w:t>
      </w:r>
      <w:r w:rsidRPr="00F64A0A">
        <w:t>report</w:t>
      </w:r>
      <w:r>
        <w:t xml:space="preserve"> </w:t>
      </w:r>
      <w:r w:rsidRPr="00F64A0A">
        <w:t>should</w:t>
      </w:r>
      <w:r>
        <w:t xml:space="preserve"> </w:t>
      </w:r>
      <w:r w:rsidRPr="00F64A0A">
        <w:t>be</w:t>
      </w:r>
      <w:r>
        <w:t xml:space="preserve"> </w:t>
      </w:r>
      <w:r w:rsidRPr="00F64A0A">
        <w:t>completed</w:t>
      </w:r>
      <w:r>
        <w:t xml:space="preserve"> </w:t>
      </w:r>
      <w:r w:rsidRPr="00F64A0A">
        <w:t>in</w:t>
      </w:r>
      <w:r>
        <w:t xml:space="preserve"> </w:t>
      </w:r>
      <w:r w:rsidRPr="00F64A0A">
        <w:t>writing</w:t>
      </w:r>
      <w:r>
        <w:t xml:space="preserve"> </w:t>
      </w:r>
      <w:r w:rsidRPr="00F64A0A">
        <w:t>by</w:t>
      </w:r>
      <w:r>
        <w:t xml:space="preserve"> </w:t>
      </w:r>
      <w:r w:rsidRPr="00F64A0A">
        <w:t>the</w:t>
      </w:r>
      <w:r>
        <w:t xml:space="preserve"> A</w:t>
      </w:r>
      <w:r w:rsidRPr="00F64A0A">
        <w:t>uthorised</w:t>
      </w:r>
      <w:r>
        <w:t xml:space="preserve"> P</w:t>
      </w:r>
      <w:r w:rsidRPr="00F64A0A">
        <w:t>sychiatrist</w:t>
      </w:r>
      <w:r>
        <w:t xml:space="preserve">, </w:t>
      </w:r>
      <w:r w:rsidRPr="00F64A0A">
        <w:t>or</w:t>
      </w:r>
      <w:r>
        <w:t xml:space="preserve"> their </w:t>
      </w:r>
      <w:r w:rsidRPr="00F64A0A">
        <w:t>delegate</w:t>
      </w:r>
      <w:r>
        <w:t xml:space="preserve">, </w:t>
      </w:r>
      <w:r w:rsidRPr="00F64A0A">
        <w:t>within</w:t>
      </w:r>
      <w:r>
        <w:t xml:space="preserve"> </w:t>
      </w:r>
      <w:r w:rsidRPr="00F64A0A">
        <w:t>three</w:t>
      </w:r>
      <w:r>
        <w:t xml:space="preserve"> </w:t>
      </w:r>
      <w:r w:rsidRPr="00F64A0A">
        <w:t>business</w:t>
      </w:r>
      <w:r>
        <w:t xml:space="preserve"> </w:t>
      </w:r>
      <w:r w:rsidRPr="00F64A0A">
        <w:t>days.</w:t>
      </w:r>
      <w:r>
        <w:t xml:space="preserve"> The report can be emailed to the </w:t>
      </w:r>
      <w:hyperlink r:id="rId499" w:history="1">
        <w:r w:rsidRPr="00B063EE">
          <w:rPr>
            <w:rStyle w:val="Hyperlink"/>
          </w:rPr>
          <w:t>OCP</w:t>
        </w:r>
      </w:hyperlink>
      <w:r>
        <w:t xml:space="preserve"> &lt;ocp@health.vic.gov.au</w:t>
      </w:r>
      <w:r w:rsidRPr="3D061E1A">
        <w:rPr>
          <w:rFonts w:eastAsia="Calibri"/>
        </w:rPr>
        <w:t>&gt;</w:t>
      </w:r>
      <w:r>
        <w:t xml:space="preserve">. </w:t>
      </w:r>
      <w:r w:rsidRPr="00F64A0A">
        <w:t>Where</w:t>
      </w:r>
      <w:r>
        <w:t xml:space="preserve"> </w:t>
      </w:r>
      <w:r w:rsidRPr="00F64A0A">
        <w:t>required,</w:t>
      </w:r>
      <w:r>
        <w:t xml:space="preserve"> call </w:t>
      </w:r>
      <w:r w:rsidRPr="00F64A0A">
        <w:t>the</w:t>
      </w:r>
      <w:r>
        <w:t xml:space="preserve"> OCP </w:t>
      </w:r>
      <w:r w:rsidRPr="00F64A0A">
        <w:t>on</w:t>
      </w:r>
      <w:r>
        <w:t xml:space="preserve"> 1300 767 299 </w:t>
      </w:r>
      <w:r w:rsidRPr="00F64A0A">
        <w:t>for</w:t>
      </w:r>
      <w:r>
        <w:t xml:space="preserve"> </w:t>
      </w:r>
      <w:r w:rsidRPr="00F64A0A">
        <w:t>further</w:t>
      </w:r>
      <w:r>
        <w:t xml:space="preserve"> </w:t>
      </w:r>
      <w:r w:rsidRPr="00F64A0A">
        <w:t>guidance.</w:t>
      </w:r>
    </w:p>
    <w:p w14:paraId="6422E38E" w14:textId="77777777" w:rsidR="00817104" w:rsidRDefault="00817104" w:rsidP="00817104">
      <w:pPr>
        <w:pStyle w:val="Body"/>
      </w:pPr>
      <w:r w:rsidRPr="00F64A0A">
        <w:t>The</w:t>
      </w:r>
      <w:r>
        <w:t xml:space="preserve"> </w:t>
      </w:r>
      <w:r w:rsidRPr="00F64A0A">
        <w:t>report</w:t>
      </w:r>
      <w:r>
        <w:t xml:space="preserve"> </w:t>
      </w:r>
      <w:r w:rsidRPr="00F64A0A">
        <w:t>should</w:t>
      </w:r>
      <w:r>
        <w:t xml:space="preserve"> </w:t>
      </w:r>
      <w:r w:rsidRPr="00F64A0A">
        <w:t>include:</w:t>
      </w:r>
    </w:p>
    <w:p w14:paraId="2980AED5" w14:textId="77777777" w:rsidR="00817104" w:rsidRDefault="00817104" w:rsidP="00817104">
      <w:pPr>
        <w:pStyle w:val="Bullet1"/>
        <w:numPr>
          <w:ilvl w:val="0"/>
          <w:numId w:val="2"/>
        </w:numPr>
      </w:pPr>
      <w:r>
        <w:t>demographic details of the consumer affected by the failure to comply</w:t>
      </w:r>
    </w:p>
    <w:p w14:paraId="48BFD89A" w14:textId="77777777" w:rsidR="00817104" w:rsidRDefault="00817104" w:rsidP="00817104">
      <w:pPr>
        <w:pStyle w:val="Bullet1"/>
        <w:numPr>
          <w:ilvl w:val="0"/>
          <w:numId w:val="2"/>
        </w:numPr>
      </w:pPr>
      <w:r>
        <w:t>circumstances of the incident, including the consumer’s legal status under the Act</w:t>
      </w:r>
    </w:p>
    <w:p w14:paraId="02E560C5" w14:textId="77777777" w:rsidR="00817104" w:rsidRDefault="00817104" w:rsidP="00817104">
      <w:pPr>
        <w:pStyle w:val="Bullet1"/>
        <w:numPr>
          <w:ilvl w:val="0"/>
          <w:numId w:val="2"/>
        </w:numPr>
      </w:pPr>
      <w:r>
        <w:t>whether an open disclosure has been completed with the person and/or carers and family members</w:t>
      </w:r>
    </w:p>
    <w:p w14:paraId="34BE0A5B" w14:textId="77777777" w:rsidR="00817104" w:rsidRDefault="00817104" w:rsidP="00817104">
      <w:pPr>
        <w:pStyle w:val="Bullet1"/>
        <w:numPr>
          <w:ilvl w:val="0"/>
          <w:numId w:val="2"/>
        </w:numPr>
      </w:pPr>
      <w:r w:rsidRPr="003244AF">
        <w:t>supports provided to the consumer affected</w:t>
      </w:r>
    </w:p>
    <w:p w14:paraId="79A02604" w14:textId="77777777" w:rsidR="00817104" w:rsidRDefault="00817104" w:rsidP="00817104">
      <w:pPr>
        <w:pStyle w:val="Bullet1"/>
        <w:numPr>
          <w:ilvl w:val="0"/>
          <w:numId w:val="2"/>
        </w:numPr>
      </w:pPr>
      <w:r>
        <w:t>any remedial action to prevent a future occurrence of such incidents.</w:t>
      </w:r>
    </w:p>
    <w:p w14:paraId="0FDF59F2" w14:textId="77777777" w:rsidR="00817104" w:rsidRDefault="00817104" w:rsidP="00817104">
      <w:pPr>
        <w:pStyle w:val="Bodyafterbullets"/>
      </w:pPr>
      <w:r>
        <w:t xml:space="preserve">If </w:t>
      </w:r>
      <w:r w:rsidRPr="51FE7A05">
        <w:t>the</w:t>
      </w:r>
      <w:r>
        <w:t xml:space="preserve"> </w:t>
      </w:r>
      <w:r w:rsidRPr="51FE7A05">
        <w:t>service</w:t>
      </w:r>
      <w:r>
        <w:t xml:space="preserve"> </w:t>
      </w:r>
      <w:r w:rsidRPr="51FE7A05">
        <w:t>become</w:t>
      </w:r>
      <w:r>
        <w:t xml:space="preserve">s </w:t>
      </w:r>
      <w:r w:rsidRPr="51FE7A05">
        <w:t>aware</w:t>
      </w:r>
      <w:r>
        <w:t xml:space="preserve"> </w:t>
      </w:r>
      <w:r w:rsidRPr="51FE7A05">
        <w:t>of</w:t>
      </w:r>
      <w:r>
        <w:t xml:space="preserve"> </w:t>
      </w:r>
      <w:r w:rsidRPr="51FE7A05">
        <w:t>an</w:t>
      </w:r>
      <w:r>
        <w:t xml:space="preserve"> </w:t>
      </w:r>
      <w:r w:rsidRPr="51FE7A05">
        <w:t>incident</w:t>
      </w:r>
      <w:r>
        <w:t xml:space="preserve"> involving a </w:t>
      </w:r>
      <w:r w:rsidRPr="51FE7A05">
        <w:t>failure</w:t>
      </w:r>
      <w:r>
        <w:t xml:space="preserve"> </w:t>
      </w:r>
      <w:r w:rsidRPr="51FE7A05">
        <w:t>to</w:t>
      </w:r>
      <w:r>
        <w:t xml:space="preserve"> </w:t>
      </w:r>
      <w:r w:rsidRPr="51FE7A05">
        <w:t>comply</w:t>
      </w:r>
      <w:r>
        <w:t xml:space="preserve"> </w:t>
      </w:r>
      <w:r w:rsidRPr="51FE7A05">
        <w:t>with</w:t>
      </w:r>
      <w:r>
        <w:t xml:space="preserve"> </w:t>
      </w:r>
      <w:r w:rsidRPr="51FE7A05">
        <w:t>the</w:t>
      </w:r>
      <w:r>
        <w:t xml:space="preserve"> </w:t>
      </w:r>
      <w:r w:rsidRPr="51FE7A05">
        <w:t>Act</w:t>
      </w:r>
      <w:r>
        <w:t xml:space="preserve"> </w:t>
      </w:r>
      <w:r w:rsidRPr="51FE7A05">
        <w:t>through</w:t>
      </w:r>
      <w:r>
        <w:t xml:space="preserve"> </w:t>
      </w:r>
      <w:r w:rsidRPr="51FE7A05">
        <w:t>a</w:t>
      </w:r>
      <w:r>
        <w:t xml:space="preserve"> </w:t>
      </w:r>
      <w:r w:rsidRPr="51FE7A05">
        <w:t>complaint</w:t>
      </w:r>
      <w:r>
        <w:t xml:space="preserve"> </w:t>
      </w:r>
      <w:r w:rsidRPr="51FE7A05">
        <w:t>investigation</w:t>
      </w:r>
      <w:r>
        <w:t xml:space="preserve"> </w:t>
      </w:r>
      <w:r w:rsidRPr="51FE7A05">
        <w:t>by</w:t>
      </w:r>
      <w:r>
        <w:t xml:space="preserve"> </w:t>
      </w:r>
      <w:r w:rsidRPr="51FE7A05">
        <w:t>the</w:t>
      </w:r>
      <w:r>
        <w:t xml:space="preserve"> </w:t>
      </w:r>
      <w:r w:rsidRPr="51FE7A05" w:rsidDel="00800BDA">
        <w:t>Mental</w:t>
      </w:r>
      <w:r w:rsidDel="00800BDA">
        <w:t xml:space="preserve"> </w:t>
      </w:r>
      <w:r w:rsidRPr="51FE7A05" w:rsidDel="00800BDA">
        <w:t>Health</w:t>
      </w:r>
      <w:r w:rsidDel="00800BDA">
        <w:t xml:space="preserve"> </w:t>
      </w:r>
      <w:r>
        <w:t xml:space="preserve">and Wellbeing Commission </w:t>
      </w:r>
      <w:r w:rsidRPr="51FE7A05">
        <w:t>or</w:t>
      </w:r>
      <w:r>
        <w:t xml:space="preserve"> </w:t>
      </w:r>
      <w:r w:rsidRPr="51FE7A05">
        <w:t>other</w:t>
      </w:r>
      <w:r>
        <w:t xml:space="preserve"> </w:t>
      </w:r>
      <w:r w:rsidRPr="51FE7A05">
        <w:t>authorities,</w:t>
      </w:r>
      <w:r>
        <w:t xml:space="preserve"> </w:t>
      </w:r>
      <w:r w:rsidRPr="51FE7A05">
        <w:t>it</w:t>
      </w:r>
      <w:r>
        <w:t xml:space="preserve"> </w:t>
      </w:r>
      <w:r w:rsidRPr="51FE7A05">
        <w:t>must</w:t>
      </w:r>
      <w:r>
        <w:t xml:space="preserve"> </w:t>
      </w:r>
      <w:r w:rsidRPr="51FE7A05">
        <w:t>be</w:t>
      </w:r>
      <w:r>
        <w:t xml:space="preserve"> </w:t>
      </w:r>
      <w:r w:rsidRPr="51FE7A05">
        <w:t>reported</w:t>
      </w:r>
      <w:r>
        <w:t xml:space="preserve"> </w:t>
      </w:r>
      <w:r w:rsidRPr="51FE7A05">
        <w:t>to</w:t>
      </w:r>
      <w:r>
        <w:t xml:space="preserve"> </w:t>
      </w:r>
      <w:r w:rsidRPr="51FE7A05">
        <w:t>the</w:t>
      </w:r>
      <w:r>
        <w:t xml:space="preserve"> </w:t>
      </w:r>
      <w:r w:rsidRPr="51FE7A05">
        <w:t>Chief</w:t>
      </w:r>
      <w:r>
        <w:t xml:space="preserve"> </w:t>
      </w:r>
      <w:r w:rsidRPr="51FE7A05">
        <w:t>Psychiatrist</w:t>
      </w:r>
      <w:r>
        <w:t xml:space="preserve"> </w:t>
      </w:r>
      <w:r w:rsidRPr="51FE7A05">
        <w:t>immediately.</w:t>
      </w:r>
    </w:p>
    <w:p w14:paraId="068A6160" w14:textId="77777777" w:rsidR="00817104" w:rsidRDefault="00817104" w:rsidP="00817104">
      <w:pPr>
        <w:pStyle w:val="Body"/>
      </w:pPr>
      <w:r w:rsidRPr="51FE7A05">
        <w:t>Designated</w:t>
      </w:r>
      <w:r>
        <w:t xml:space="preserve"> </w:t>
      </w:r>
      <w:r w:rsidRPr="51FE7A05">
        <w:t>mental</w:t>
      </w:r>
      <w:r>
        <w:t xml:space="preserve"> </w:t>
      </w:r>
      <w:r w:rsidRPr="51FE7A05">
        <w:t>health</w:t>
      </w:r>
      <w:r>
        <w:t xml:space="preserve"> </w:t>
      </w:r>
      <w:r w:rsidRPr="51FE7A05">
        <w:t>services</w:t>
      </w:r>
      <w:r>
        <w:t xml:space="preserve"> </w:t>
      </w:r>
      <w:r w:rsidRPr="51FE7A05">
        <w:t>must</w:t>
      </w:r>
      <w:r>
        <w:t xml:space="preserve"> </w:t>
      </w:r>
      <w:r w:rsidRPr="51FE7A05">
        <w:t>include</w:t>
      </w:r>
      <w:r>
        <w:t xml:space="preserve"> </w:t>
      </w:r>
      <w:r w:rsidRPr="51FE7A05">
        <w:t>this</w:t>
      </w:r>
      <w:r>
        <w:t xml:space="preserve"> reporting requirement </w:t>
      </w:r>
      <w:r w:rsidRPr="51FE7A05">
        <w:t>in</w:t>
      </w:r>
      <w:r>
        <w:t xml:space="preserve"> </w:t>
      </w:r>
      <w:r w:rsidRPr="51FE7A05">
        <w:t>their</w:t>
      </w:r>
      <w:r>
        <w:t xml:space="preserve"> </w:t>
      </w:r>
      <w:r w:rsidRPr="51FE7A05">
        <w:t>local</w:t>
      </w:r>
      <w:r>
        <w:t xml:space="preserve"> </w:t>
      </w:r>
      <w:r w:rsidRPr="51FE7A05">
        <w:t>policies</w:t>
      </w:r>
      <w:r>
        <w:t xml:space="preserve"> </w:t>
      </w:r>
      <w:r w:rsidRPr="51FE7A05">
        <w:t>and</w:t>
      </w:r>
      <w:r>
        <w:t xml:space="preserve"> </w:t>
      </w:r>
      <w:r w:rsidRPr="51FE7A05">
        <w:t>procedures.</w:t>
      </w:r>
      <w:r>
        <w:t xml:space="preserve"> </w:t>
      </w:r>
      <w:r w:rsidRPr="51FE7A05">
        <w:t>They</w:t>
      </w:r>
      <w:r>
        <w:t xml:space="preserve"> </w:t>
      </w:r>
      <w:r w:rsidRPr="51FE7A05">
        <w:t>should</w:t>
      </w:r>
      <w:r>
        <w:t xml:space="preserve"> </w:t>
      </w:r>
      <w:r w:rsidRPr="51FE7A05">
        <w:t>ensure</w:t>
      </w:r>
      <w:r>
        <w:t xml:space="preserve"> </w:t>
      </w:r>
      <w:r w:rsidRPr="51FE7A05">
        <w:t>that</w:t>
      </w:r>
      <w:r>
        <w:t xml:space="preserve"> </w:t>
      </w:r>
      <w:r w:rsidRPr="51FE7A05">
        <w:t>it</w:t>
      </w:r>
      <w:r>
        <w:t xml:space="preserve"> </w:t>
      </w:r>
      <w:r w:rsidRPr="51FE7A05">
        <w:t>is</w:t>
      </w:r>
      <w:r>
        <w:t xml:space="preserve"> </w:t>
      </w:r>
      <w:r w:rsidRPr="51FE7A05">
        <w:t>communicated</w:t>
      </w:r>
      <w:r>
        <w:t xml:space="preserve"> </w:t>
      </w:r>
      <w:r w:rsidRPr="51FE7A05">
        <w:t>to</w:t>
      </w:r>
      <w:r>
        <w:t xml:space="preserve"> </w:t>
      </w:r>
      <w:r w:rsidRPr="51FE7A05">
        <w:t>all</w:t>
      </w:r>
      <w:r>
        <w:t xml:space="preserve"> </w:t>
      </w:r>
      <w:r w:rsidRPr="51FE7A05">
        <w:t>clinical</w:t>
      </w:r>
      <w:r>
        <w:t xml:space="preserve"> </w:t>
      </w:r>
      <w:r w:rsidRPr="51FE7A05">
        <w:t>staff</w:t>
      </w:r>
      <w:r>
        <w:t xml:space="preserve"> </w:t>
      </w:r>
      <w:r w:rsidRPr="51FE7A05">
        <w:t>to</w:t>
      </w:r>
      <w:r>
        <w:t xml:space="preserve"> </w:t>
      </w:r>
      <w:r w:rsidRPr="51FE7A05">
        <w:t>enable</w:t>
      </w:r>
      <w:r>
        <w:t xml:space="preserve"> </w:t>
      </w:r>
      <w:r w:rsidRPr="51FE7A05">
        <w:t>them</w:t>
      </w:r>
      <w:r>
        <w:t xml:space="preserve"> </w:t>
      </w:r>
      <w:r w:rsidRPr="51FE7A05">
        <w:t>to</w:t>
      </w:r>
      <w:r>
        <w:t xml:space="preserve"> </w:t>
      </w:r>
      <w:r w:rsidRPr="51FE7A05">
        <w:t>comply</w:t>
      </w:r>
      <w:r>
        <w:t xml:space="preserve"> </w:t>
      </w:r>
      <w:r w:rsidRPr="51FE7A05">
        <w:t>with</w:t>
      </w:r>
      <w:r>
        <w:t xml:space="preserve"> </w:t>
      </w:r>
      <w:r w:rsidRPr="51FE7A05">
        <w:t>the</w:t>
      </w:r>
      <w:r>
        <w:t xml:space="preserve"> </w:t>
      </w:r>
      <w:r w:rsidRPr="51FE7A05">
        <w:t>Act.</w:t>
      </w:r>
      <w:r>
        <w:t xml:space="preserve"> </w:t>
      </w:r>
    </w:p>
    <w:p w14:paraId="05C645CB" w14:textId="77777777" w:rsidR="00817104" w:rsidRDefault="00817104" w:rsidP="00817104">
      <w:pPr>
        <w:pStyle w:val="Body"/>
      </w:pPr>
      <w:r>
        <w:t xml:space="preserve">For more information, visit </w:t>
      </w:r>
      <w:hyperlink r:id="rId500" w:history="1">
        <w:r w:rsidRPr="00772111">
          <w:rPr>
            <w:rStyle w:val="Hyperlink"/>
          </w:rPr>
          <w:t>Reporting a f</w:t>
        </w:r>
        <w:r w:rsidRPr="002619FA">
          <w:rPr>
            <w:rStyle w:val="Hyperlink"/>
          </w:rPr>
          <w:t>ailu</w:t>
        </w:r>
        <w:bookmarkStart w:id="2803" w:name="_Hlt225856515"/>
        <w:bookmarkStart w:id="2804" w:name="_Hlt225856516"/>
        <w:r w:rsidRPr="002619FA">
          <w:rPr>
            <w:rStyle w:val="Hyperlink"/>
          </w:rPr>
          <w:t>r</w:t>
        </w:r>
        <w:bookmarkEnd w:id="2803"/>
        <w:bookmarkEnd w:id="2804"/>
        <w:r w:rsidRPr="002619FA">
          <w:rPr>
            <w:rStyle w:val="Hyperlink"/>
          </w:rPr>
          <w:t>e to comply with the Mental Health</w:t>
        </w:r>
        <w:r w:rsidRPr="00C63248">
          <w:rPr>
            <w:rStyle w:val="Hyperlink"/>
          </w:rPr>
          <w:t xml:space="preserve"> </w:t>
        </w:r>
        <w:r w:rsidRPr="002108C7">
          <w:rPr>
            <w:rStyle w:val="Hyperlink"/>
          </w:rPr>
          <w:t>and Wellbeing</w:t>
        </w:r>
        <w:r w:rsidRPr="002619FA">
          <w:rPr>
            <w:rStyle w:val="Hyperlink"/>
          </w:rPr>
          <w:t xml:space="preserve"> Act</w:t>
        </w:r>
        <w:r w:rsidRPr="00772111">
          <w:rPr>
            <w:rStyle w:val="Hyperlink"/>
          </w:rPr>
          <w:t xml:space="preserve"> 2022</w:t>
        </w:r>
      </w:hyperlink>
      <w:r>
        <w:t xml:space="preserve"> &lt;</w:t>
      </w:r>
      <w:r w:rsidRPr="00901C95">
        <w:t>https://www.health.vic.gov.au/chief-psychiatrist/reporting-a-failure-to-comply-with-the-mental-health-and-wellbeing-act-2022</w:t>
      </w:r>
      <w:r>
        <w:t>&gt;.</w:t>
      </w:r>
    </w:p>
    <w:p w14:paraId="22702CC7" w14:textId="3EF9A1C8" w:rsidR="00817104" w:rsidRPr="009B76B2" w:rsidRDefault="00817104" w:rsidP="00817104">
      <w:pPr>
        <w:pStyle w:val="Heading3"/>
      </w:pPr>
      <w:r>
        <w:t xml:space="preserve">Victorian </w:t>
      </w:r>
      <w:r w:rsidRPr="00091CB5">
        <w:t>Alcohol</w:t>
      </w:r>
      <w:r>
        <w:t xml:space="preserve"> and Drug Collection </w:t>
      </w:r>
    </w:p>
    <w:p w14:paraId="44729254" w14:textId="2226A0F5" w:rsidR="00817104" w:rsidRPr="009B76B2" w:rsidRDefault="00817104" w:rsidP="00817104">
      <w:pPr>
        <w:pStyle w:val="Body"/>
      </w:pPr>
      <w:r>
        <w:t xml:space="preserve">The </w:t>
      </w:r>
      <w:r w:rsidR="00962AFA">
        <w:t xml:space="preserve">Victorian </w:t>
      </w:r>
      <w:r w:rsidR="00962AFA" w:rsidRPr="00091CB5">
        <w:t>Alcohol</w:t>
      </w:r>
      <w:r w:rsidR="00962AFA">
        <w:t xml:space="preserve"> and Drug Collection (</w:t>
      </w:r>
      <w:r>
        <w:t>VADC</w:t>
      </w:r>
      <w:r w:rsidR="00962AFA">
        <w:t>)</w:t>
      </w:r>
      <w:r>
        <w:t xml:space="preserve"> supports public accountability for service provision. Outputs contribute to the AOD Treatment Services National MDS, as well as performance </w:t>
      </w:r>
      <w:r>
        <w:lastRenderedPageBreak/>
        <w:t>measurement and monitoring for Commonwealth, state and departmental purposes. All AOD treatment service providers must submit activity data via the VADC.</w:t>
      </w:r>
    </w:p>
    <w:p w14:paraId="7A6477A7" w14:textId="77777777" w:rsidR="00817104" w:rsidRPr="009B76B2" w:rsidRDefault="00817104" w:rsidP="00817104">
      <w:pPr>
        <w:pStyle w:val="Body"/>
      </w:pPr>
      <w:r>
        <w:t xml:space="preserve">AOD treatment service providers must ensure client management systems can meet VADC reporting requirements. For details on data specifications, bulletins and the submission process, visit </w:t>
      </w:r>
      <w:hyperlink r:id="rId501">
        <w:r w:rsidRPr="0670E279">
          <w:rPr>
            <w:rStyle w:val="Hyperlink"/>
          </w:rPr>
          <w:t>VADC</w:t>
        </w:r>
      </w:hyperlink>
      <w:r>
        <w:t xml:space="preserve"> &lt;https://www.health.vic.gov.au/funding-and-reporting-aod-services/victorian-alcohol-and-drug-collection-vadc&gt;.</w:t>
      </w:r>
    </w:p>
    <w:p w14:paraId="7B4F4B62" w14:textId="77777777" w:rsidR="00817104" w:rsidRPr="00AF7922" w:rsidRDefault="00817104" w:rsidP="00817104">
      <w:pPr>
        <w:pStyle w:val="Body"/>
      </w:pPr>
      <w:r>
        <w:t xml:space="preserve">VADC data must be submitted monthly, with data due by the fifteenth day of the subsequent month. Data for the 2025–26 financial year must be finalised before the consolidation date of 1 </w:t>
      </w:r>
      <w:r w:rsidDel="00775B87">
        <w:t>January</w:t>
      </w:r>
      <w:r>
        <w:t xml:space="preserve"> 2027</w:t>
      </w:r>
    </w:p>
    <w:p w14:paraId="2C0BE969" w14:textId="77777777" w:rsidR="00817104" w:rsidRPr="009B76B2" w:rsidRDefault="00817104" w:rsidP="00817104">
      <w:pPr>
        <w:pStyle w:val="Heading4"/>
      </w:pPr>
      <w:r>
        <w:t xml:space="preserve">Needle and Syringe </w:t>
      </w:r>
      <w:r w:rsidRPr="00091CB5">
        <w:t>Program</w:t>
      </w:r>
      <w:r>
        <w:t xml:space="preserve"> portal</w:t>
      </w:r>
    </w:p>
    <w:p w14:paraId="60062FE4" w14:textId="65B4254E" w:rsidR="00817104" w:rsidRPr="004B485C" w:rsidRDefault="00817104" w:rsidP="00817104">
      <w:pPr>
        <w:pStyle w:val="Body"/>
      </w:pPr>
      <w:r>
        <w:t xml:space="preserve">The </w:t>
      </w:r>
      <w:r w:rsidR="008F46A4">
        <w:t>Australian</w:t>
      </w:r>
      <w:r>
        <w:t xml:space="preserve"> and Victorian Government</w:t>
      </w:r>
      <w:r w:rsidR="008F46A4">
        <w:t>s</w:t>
      </w:r>
      <w:r>
        <w:t xml:space="preserve"> fund services to reduce the harms associated with AOD use. The harm reduction services data collection records the level of activity in these services, such as contacts, service provision (for example, needles provided and returned, education and referrals), and responses to harm reduction questions. Information about the free provision of a range of injecting and safe-sex equipment, and the disposal of returned waste, is also recorded.</w:t>
      </w:r>
    </w:p>
    <w:p w14:paraId="68683A5B" w14:textId="77777777" w:rsidR="00817104" w:rsidRDefault="00817104" w:rsidP="00817104">
      <w:pPr>
        <w:pStyle w:val="Body"/>
      </w:pPr>
      <w:r>
        <w:t>Harm reduction services data is provided by:</w:t>
      </w:r>
    </w:p>
    <w:p w14:paraId="0193B0EB" w14:textId="77777777" w:rsidR="00817104" w:rsidRDefault="00817104" w:rsidP="00817104">
      <w:pPr>
        <w:pStyle w:val="Bullet1"/>
        <w:numPr>
          <w:ilvl w:val="0"/>
          <w:numId w:val="2"/>
        </w:numPr>
      </w:pPr>
      <w:r>
        <w:t>needle and syringe programs</w:t>
      </w:r>
    </w:p>
    <w:p w14:paraId="19F6E484" w14:textId="77777777" w:rsidR="00817104" w:rsidRDefault="00817104" w:rsidP="00817104">
      <w:pPr>
        <w:pStyle w:val="Bullet1"/>
        <w:numPr>
          <w:ilvl w:val="0"/>
          <w:numId w:val="2"/>
        </w:numPr>
      </w:pPr>
      <w:r>
        <w:t>mobile overdose response services</w:t>
      </w:r>
    </w:p>
    <w:p w14:paraId="2FA957D3" w14:textId="77777777" w:rsidR="00817104" w:rsidRDefault="00817104" w:rsidP="00817104">
      <w:pPr>
        <w:pStyle w:val="Bullet1"/>
        <w:numPr>
          <w:ilvl w:val="0"/>
          <w:numId w:val="2"/>
        </w:numPr>
      </w:pPr>
      <w:r>
        <w:t>mobile drug safety workers.</w:t>
      </w:r>
    </w:p>
    <w:p w14:paraId="0E9AFDA7" w14:textId="77777777" w:rsidR="00817104" w:rsidRDefault="00817104" w:rsidP="00817104">
      <w:pPr>
        <w:pStyle w:val="Bodyafterbullets"/>
      </w:pPr>
      <w:r>
        <w:t xml:space="preserve">All primary Needle and Syringe Program providers and recipients of </w:t>
      </w:r>
      <w:r w:rsidRPr="00A96D8B">
        <w:t>Ice Action Plan</w:t>
      </w:r>
      <w:r>
        <w:t xml:space="preserve"> funding must report via the Needle and Syringe Program portal. Email </w:t>
      </w:r>
      <w:hyperlink r:id="rId502">
        <w:r>
          <w:rPr>
            <w:rStyle w:val="Hyperlink"/>
          </w:rPr>
          <w:t>AOD enquries</w:t>
        </w:r>
      </w:hyperlink>
      <w:r>
        <w:t xml:space="preserve"> &lt;</w:t>
      </w:r>
      <w:hyperlink r:id="rId503">
        <w:r w:rsidRPr="00477CA3">
          <w:rPr>
            <w:rStyle w:val="BodyChar"/>
          </w:rPr>
          <w:t>AOD.enquiries@health.vic.gov.au</w:t>
        </w:r>
      </w:hyperlink>
      <w:r w:rsidRPr="00477CA3">
        <w:rPr>
          <w:rStyle w:val="BodyChar"/>
        </w:rPr>
        <w:t xml:space="preserve">&gt; </w:t>
      </w:r>
      <w:r>
        <w:t>for more information about the portal.</w:t>
      </w:r>
    </w:p>
    <w:p w14:paraId="6B01B024" w14:textId="77777777" w:rsidR="00817104" w:rsidRDefault="00817104" w:rsidP="00817104">
      <w:pPr>
        <w:pStyle w:val="Bodyafterbullets"/>
      </w:pPr>
      <w:r>
        <w:t xml:space="preserve">For more information about the program, visit </w:t>
      </w:r>
      <w:hyperlink r:id="rId504" w:history="1">
        <w:r w:rsidRPr="49CAA8AE">
          <w:rPr>
            <w:rStyle w:val="Hyperlink"/>
          </w:rPr>
          <w:t xml:space="preserve">Needle and Syringe </w:t>
        </w:r>
        <w:r>
          <w:rPr>
            <w:rStyle w:val="Hyperlink"/>
          </w:rPr>
          <w:t>P</w:t>
        </w:r>
        <w:r w:rsidRPr="49CAA8AE">
          <w:rPr>
            <w:rStyle w:val="Hyperlink"/>
          </w:rPr>
          <w:t xml:space="preserve">rogram </w:t>
        </w:r>
        <w:r>
          <w:rPr>
            <w:rStyle w:val="Hyperlink"/>
          </w:rPr>
          <w:t xml:space="preserve">framework and practice </w:t>
        </w:r>
        <w:r w:rsidRPr="49CAA8AE">
          <w:rPr>
            <w:rStyle w:val="Hyperlink"/>
          </w:rPr>
          <w:t>guidelines</w:t>
        </w:r>
      </w:hyperlink>
      <w:r>
        <w:t xml:space="preserve"> &lt;</w:t>
      </w:r>
      <w:r w:rsidRPr="49CAA8AE">
        <w:t>https://www.health.vic.gov.au/publications/victorian-needle-and-syringe-program-operating-policy-and-guidelines&gt;</w:t>
      </w:r>
      <w:r>
        <w:t>.</w:t>
      </w:r>
    </w:p>
    <w:p w14:paraId="3ACF4DAD" w14:textId="23D191A6" w:rsidR="00817104" w:rsidRDefault="00817104" w:rsidP="00817104">
      <w:pPr>
        <w:pStyle w:val="Heading3"/>
      </w:pPr>
      <w:r>
        <w:t>Drugs and Poisons I</w:t>
      </w:r>
      <w:r w:rsidRPr="00091CB5">
        <w:t>nformation</w:t>
      </w:r>
      <w:r>
        <w:t xml:space="preserve"> System</w:t>
      </w:r>
    </w:p>
    <w:p w14:paraId="3DE3B9FE" w14:textId="77777777" w:rsidR="00817104" w:rsidRPr="00B61A4E" w:rsidRDefault="00817104" w:rsidP="00817104">
      <w:pPr>
        <w:pStyle w:val="Body"/>
      </w:pPr>
      <w:r>
        <w:t xml:space="preserve">The department operates an electronic information system known as the Drugs and Poisons Information System, to support its administration of the medicines and poisons industry licensing scheme under the </w:t>
      </w:r>
      <w:r w:rsidRPr="6147E652">
        <w:rPr>
          <w:rStyle w:val="Emphasis"/>
        </w:rPr>
        <w:t>Drugs, Poisons and Controlled Substances Act 1981</w:t>
      </w:r>
      <w:r>
        <w:t>.</w:t>
      </w:r>
    </w:p>
    <w:p w14:paraId="64631E70" w14:textId="77777777" w:rsidR="00817104" w:rsidRDefault="00817104" w:rsidP="00817104">
      <w:pPr>
        <w:pStyle w:val="Body"/>
      </w:pPr>
      <w:r>
        <w:t>The Drugs and Poisons Information System</w:t>
      </w:r>
      <w:r w:rsidDel="004D4CBC">
        <w:t xml:space="preserve"> </w:t>
      </w:r>
      <w:r>
        <w:t>is a standalone system that records licences and permits issued to organisations or individuals who have a legitimate need to use, possess, manufacture or supply medicines and poisons, as part of their practice or business (such as pharmaceutical wholesalers, research, educational or industrial organisations, or health services). The information system also records the payment of fees relating to these licences and permits.</w:t>
      </w:r>
    </w:p>
    <w:p w14:paraId="49938E5F" w14:textId="39CD4C65" w:rsidR="00817104" w:rsidRDefault="00817104" w:rsidP="00817104">
      <w:pPr>
        <w:pStyle w:val="Heading3"/>
      </w:pPr>
      <w:r>
        <w:t>SafeScript – Victoria’s real-time prescription monitoring system</w:t>
      </w:r>
    </w:p>
    <w:p w14:paraId="3CC9AAA1" w14:textId="77777777" w:rsidR="00817104" w:rsidRDefault="00817104" w:rsidP="00817104">
      <w:pPr>
        <w:pStyle w:val="Body"/>
      </w:pPr>
      <w:r>
        <w:t>SafeScript is computer software that allows prescription records for certain high-risk medicines to be transmitted in real time to a centralised database, which can then be accessed by medical practitioners, nurse practitioners and pharmacists, during a consultation with a consumer.</w:t>
      </w:r>
    </w:p>
    <w:p w14:paraId="1FA3AD58" w14:textId="77777777" w:rsidR="00817104" w:rsidRPr="00A32B1D" w:rsidRDefault="00817104" w:rsidP="00817104">
      <w:pPr>
        <w:pStyle w:val="Body"/>
      </w:pPr>
      <w:r>
        <w:lastRenderedPageBreak/>
        <w:t>SafeScript provides practitioners and pharmacists with a clinical tool to make safer decisions about whether to prescribe or dispense a high-risk medicine. It facilitates early identification, treatment and support for consumers who are developing signs of substance-use disorder.</w:t>
      </w:r>
    </w:p>
    <w:p w14:paraId="653DCE0D" w14:textId="77777777" w:rsidR="00817104" w:rsidRPr="00A32B1D" w:rsidRDefault="00817104" w:rsidP="00817104">
      <w:pPr>
        <w:pStyle w:val="Body"/>
      </w:pPr>
      <w:r>
        <w:t>The data for SafeScript is collected automatically from prescription exchange services, which currently support ePrescribing, the electronic transfer of prescriptions from medical clinics to pharmacies.</w:t>
      </w:r>
    </w:p>
    <w:p w14:paraId="0F16B4B3" w14:textId="77777777" w:rsidR="00817104" w:rsidRPr="00A32B1D" w:rsidRDefault="00817104" w:rsidP="00817104">
      <w:pPr>
        <w:pStyle w:val="Body"/>
      </w:pPr>
      <w:r>
        <w:t>When a prescription is issued at a medical clinic or dispensed at a pharmacy, the prescription exchange service sends a record of the prescription in real time to SafeScript. No additional data entry is necessary to record a prescription in SafeScript.</w:t>
      </w:r>
    </w:p>
    <w:p w14:paraId="751EE0AF" w14:textId="77777777" w:rsidR="00817104" w:rsidRDefault="00817104" w:rsidP="00817104">
      <w:pPr>
        <w:pStyle w:val="Body"/>
      </w:pPr>
      <w:r>
        <w:t xml:space="preserve">It is mandatory for medical practitioners, nurse practitioners and pharmacists to take all reasonable steps to check SafeScript before prescribing or dispensing a medicine monitored in SafeScript, unless exempted under the </w:t>
      </w:r>
      <w:r w:rsidRPr="00477CA3">
        <w:t>Drugs, Poisons and Controlled Substances Regulations 2017</w:t>
      </w:r>
      <w:r>
        <w:t>.</w:t>
      </w:r>
    </w:p>
    <w:p w14:paraId="3C9E997A" w14:textId="77777777" w:rsidR="00817104" w:rsidRDefault="00817104" w:rsidP="00817104">
      <w:pPr>
        <w:pStyle w:val="Body"/>
      </w:pPr>
      <w:r>
        <w:t xml:space="preserve">Commenced in Q3 2024, a SafeScript enhancement now provides the department with the ability to receive, process and record treatment permits issued to doctors prescribing Schedule 8 drugs to consumers. This includes Schedule 8 permits for opioid replacement therapy (pharmacotherapy). It also allows processing and recording of notifications of drug dependence made by prescribers and warrants to prescribe certain Schedule 4 medicines. </w:t>
      </w:r>
    </w:p>
    <w:p w14:paraId="2B72B98F" w14:textId="77777777" w:rsidR="00817104" w:rsidRPr="00B61A4E" w:rsidRDefault="00817104" w:rsidP="00817104">
      <w:pPr>
        <w:pStyle w:val="Body"/>
      </w:pPr>
      <w:r>
        <w:t>SafeScript is also used to assist with prescription-monitoring activities and during investigative processes. Interventions are initiated if unlawful or possibly unsafe prescribing is identified. Noncompliant health practitioners may be subject to further action, ranging from educational counselling to prosecution. Where applicable, offending is referred to Ahpra, the Veterinary Practitioners Registration Board of Victoria or Victoria Police.</w:t>
      </w:r>
    </w:p>
    <w:p w14:paraId="6B456D6D" w14:textId="77777777" w:rsidR="00817104" w:rsidRPr="00A32B1D" w:rsidRDefault="00817104" w:rsidP="00817104">
      <w:pPr>
        <w:pStyle w:val="Body"/>
      </w:pPr>
      <w:r>
        <w:t>Authorised departmental officers may also access SafeScript as part of their regulatory role in ensuring the safe supply of medicines in the community.</w:t>
      </w:r>
    </w:p>
    <w:p w14:paraId="6183DD91" w14:textId="77777777" w:rsidR="00817104" w:rsidRDefault="00817104" w:rsidP="00817104">
      <w:pPr>
        <w:pStyle w:val="Body"/>
      </w:pPr>
      <w:r>
        <w:t xml:space="preserve">SafeScript has joined the National Data Exchange, as part of a Commonwealth system. Victoria is working with the Australian Digital Health Agency to enable data sharing between the jurisdictions. </w:t>
      </w:r>
    </w:p>
    <w:p w14:paraId="1AD7DDF8" w14:textId="13F89649" w:rsidR="00817104" w:rsidRPr="00295795" w:rsidRDefault="00817104" w:rsidP="00817104">
      <w:pPr>
        <w:pStyle w:val="Heading3"/>
      </w:pPr>
      <w:r w:rsidRPr="00295795">
        <w:t>Opioid replacement therapy dispenser census</w:t>
      </w:r>
    </w:p>
    <w:p w14:paraId="666B21D9" w14:textId="77777777" w:rsidR="00817104" w:rsidRDefault="00817104" w:rsidP="00817104">
      <w:pPr>
        <w:pStyle w:val="Body"/>
      </w:pPr>
      <w:bookmarkStart w:id="2805" w:name="_Toc165964781"/>
      <w:bookmarkStart w:id="2806" w:name="_Toc167174641"/>
      <w:r w:rsidRPr="00C140BA">
        <w:t>The</w:t>
      </w:r>
      <w:r>
        <w:t xml:space="preserve"> </w:t>
      </w:r>
      <w:r w:rsidRPr="00C140BA">
        <w:t>department</w:t>
      </w:r>
      <w:r>
        <w:t xml:space="preserve"> </w:t>
      </w:r>
      <w:r w:rsidRPr="00C140BA">
        <w:t>conducts</w:t>
      </w:r>
      <w:r>
        <w:t xml:space="preserve"> an </w:t>
      </w:r>
      <w:r w:rsidRPr="00C140BA">
        <w:t>opioid</w:t>
      </w:r>
      <w:r>
        <w:t xml:space="preserve"> </w:t>
      </w:r>
      <w:r w:rsidRPr="00C140BA">
        <w:t>replacement</w:t>
      </w:r>
      <w:r>
        <w:t xml:space="preserve"> </w:t>
      </w:r>
      <w:r w:rsidRPr="00C140BA">
        <w:t>therapy</w:t>
      </w:r>
      <w:r>
        <w:t xml:space="preserve"> </w:t>
      </w:r>
      <w:r w:rsidRPr="00C140BA">
        <w:t>dispenser</w:t>
      </w:r>
      <w:r>
        <w:t xml:space="preserve"> </w:t>
      </w:r>
      <w:r w:rsidRPr="00C140BA">
        <w:t>census</w:t>
      </w:r>
      <w:r>
        <w:t xml:space="preserve"> collection,</w:t>
      </w:r>
      <w:r w:rsidRPr="00D656FF">
        <w:t xml:space="preserve"> also know</w:t>
      </w:r>
      <w:r>
        <w:t>n</w:t>
      </w:r>
      <w:r w:rsidRPr="00D656FF">
        <w:t xml:space="preserve"> as the National Opioid Pharmacotherapy Statistics Annual Data collection</w:t>
      </w:r>
      <w:r w:rsidRPr="00C140BA">
        <w:t>.</w:t>
      </w:r>
      <w:r>
        <w:t xml:space="preserve"> </w:t>
      </w:r>
      <w:r w:rsidRPr="00F35BC5">
        <w:t xml:space="preserve">It surveys all relevant service dispensaries </w:t>
      </w:r>
      <w:r>
        <w:t>that</w:t>
      </w:r>
      <w:r w:rsidRPr="00F35BC5">
        <w:t xml:space="preserve"> provide opioid replacement therapy in Victoria (this includes </w:t>
      </w:r>
      <w:r>
        <w:t>c</w:t>
      </w:r>
      <w:r w:rsidRPr="00F35BC5">
        <w:t>orrectional facilities).</w:t>
      </w:r>
    </w:p>
    <w:p w14:paraId="36FE68DC" w14:textId="77777777" w:rsidR="00817104" w:rsidRDefault="00817104" w:rsidP="00817104">
      <w:pPr>
        <w:pStyle w:val="Body"/>
      </w:pPr>
      <w:r w:rsidRPr="00C140BA">
        <w:t>All</w:t>
      </w:r>
      <w:r>
        <w:t xml:space="preserve"> </w:t>
      </w:r>
      <w:r w:rsidRPr="00C140BA">
        <w:t>dispensers</w:t>
      </w:r>
      <w:r>
        <w:t xml:space="preserve"> </w:t>
      </w:r>
      <w:r w:rsidRPr="00C140BA">
        <w:t>are</w:t>
      </w:r>
      <w:r>
        <w:t xml:space="preserve"> emailed a link to an electronic </w:t>
      </w:r>
      <w:r w:rsidRPr="00C140BA">
        <w:t>survey</w:t>
      </w:r>
      <w:r>
        <w:t xml:space="preserve"> for completion and return. </w:t>
      </w:r>
      <w:r w:rsidRPr="7448F3BE">
        <w:t>The survey collects demographic information</w:t>
      </w:r>
      <w:r>
        <w:t>, including</w:t>
      </w:r>
      <w:r w:rsidRPr="7448F3BE">
        <w:t xml:space="preserve"> details of </w:t>
      </w:r>
      <w:r w:rsidRPr="00C140BA">
        <w:t>opioid</w:t>
      </w:r>
      <w:r>
        <w:t xml:space="preserve"> </w:t>
      </w:r>
      <w:r w:rsidRPr="00C140BA">
        <w:t>replacement</w:t>
      </w:r>
      <w:r>
        <w:t xml:space="preserve"> </w:t>
      </w:r>
      <w:r w:rsidRPr="00C140BA">
        <w:t>therapy</w:t>
      </w:r>
      <w:r>
        <w:t xml:space="preserve"> </w:t>
      </w:r>
      <w:r w:rsidRPr="7448F3BE">
        <w:t>drug type and formulation</w:t>
      </w:r>
      <w:r>
        <w:t>,</w:t>
      </w:r>
      <w:r w:rsidRPr="7448F3BE">
        <w:t xml:space="preserve"> via </w:t>
      </w:r>
      <w:r>
        <w:t xml:space="preserve">a </w:t>
      </w:r>
      <w:r w:rsidRPr="7448F3BE">
        <w:t xml:space="preserve">series of questions emailed and returned </w:t>
      </w:r>
      <w:r>
        <w:t xml:space="preserve">directly </w:t>
      </w:r>
      <w:r w:rsidRPr="7448F3BE">
        <w:t xml:space="preserve">to the </w:t>
      </w:r>
      <w:r>
        <w:t>Mental Health and Wellbeing Division</w:t>
      </w:r>
      <w:r w:rsidRPr="7448F3BE">
        <w:t xml:space="preserve"> by the dispensing agencies.</w:t>
      </w:r>
    </w:p>
    <w:p w14:paraId="59099065" w14:textId="77777777" w:rsidR="00817104" w:rsidRPr="00C140BA" w:rsidRDefault="00817104" w:rsidP="00817104">
      <w:pPr>
        <w:pStyle w:val="Body"/>
      </w:pPr>
      <w:r w:rsidRPr="7448F3BE">
        <w:t>Aggregated data is used for policy and planning purposes, such as identifying gaps in treatment areas for focused access improvements</w:t>
      </w:r>
      <w:r>
        <w:t>.</w:t>
      </w:r>
      <w:r w:rsidRPr="7448F3BE">
        <w:t xml:space="preserve"> Finally, it collects data of </w:t>
      </w:r>
      <w:r>
        <w:t>consumers</w:t>
      </w:r>
      <w:r w:rsidRPr="7448F3BE">
        <w:t xml:space="preserve"> who identify as Aboriginal, as </w:t>
      </w:r>
      <w:r>
        <w:t>at</w:t>
      </w:r>
      <w:r w:rsidRPr="7448F3BE">
        <w:t xml:space="preserve"> 30 June</w:t>
      </w:r>
      <w:r>
        <w:t xml:space="preserve"> for the reporting period</w:t>
      </w:r>
      <w:r w:rsidRPr="7448F3BE">
        <w:t>.</w:t>
      </w:r>
    </w:p>
    <w:p w14:paraId="5EF54FAD" w14:textId="77777777" w:rsidR="00817104" w:rsidRDefault="00817104" w:rsidP="00817104">
      <w:pPr>
        <w:pStyle w:val="Body"/>
      </w:pPr>
      <w:r w:rsidRPr="00C140BA">
        <w:t>The</w:t>
      </w:r>
      <w:r>
        <w:t xml:space="preserve"> </w:t>
      </w:r>
      <w:r w:rsidRPr="00C140BA">
        <w:t>data</w:t>
      </w:r>
      <w:r>
        <w:t xml:space="preserve"> </w:t>
      </w:r>
      <w:r w:rsidRPr="00C140BA">
        <w:t>provides</w:t>
      </w:r>
      <w:r>
        <w:t xml:space="preserve"> </w:t>
      </w:r>
      <w:r w:rsidRPr="00C140BA">
        <w:t>a</w:t>
      </w:r>
      <w:r>
        <w:t xml:space="preserve"> </w:t>
      </w:r>
      <w:r w:rsidRPr="00C140BA">
        <w:t>count</w:t>
      </w:r>
      <w:r>
        <w:t xml:space="preserve"> </w:t>
      </w:r>
      <w:r w:rsidRPr="00C140BA">
        <w:t>of</w:t>
      </w:r>
      <w:r>
        <w:t xml:space="preserve"> consumers </w:t>
      </w:r>
      <w:r w:rsidRPr="00C140BA">
        <w:t>being</w:t>
      </w:r>
      <w:r>
        <w:t xml:space="preserve"> </w:t>
      </w:r>
      <w:r w:rsidRPr="00C140BA">
        <w:t>dosed</w:t>
      </w:r>
      <w:r>
        <w:t xml:space="preserve"> </w:t>
      </w:r>
      <w:r w:rsidRPr="00C140BA">
        <w:t>at</w:t>
      </w:r>
      <w:r>
        <w:t xml:space="preserve"> </w:t>
      </w:r>
      <w:r w:rsidRPr="00C140BA">
        <w:t>a</w:t>
      </w:r>
      <w:r>
        <w:t xml:space="preserve"> </w:t>
      </w:r>
      <w:r w:rsidRPr="00C140BA">
        <w:t>given</w:t>
      </w:r>
      <w:r>
        <w:t xml:space="preserve"> </w:t>
      </w:r>
      <w:r w:rsidRPr="00C140BA">
        <w:t>time.</w:t>
      </w:r>
      <w:r>
        <w:t xml:space="preserve"> </w:t>
      </w:r>
      <w:r w:rsidRPr="00C140BA">
        <w:t>This</w:t>
      </w:r>
      <w:r>
        <w:t xml:space="preserve"> </w:t>
      </w:r>
      <w:r w:rsidRPr="00C140BA">
        <w:t>allows</w:t>
      </w:r>
      <w:r>
        <w:t xml:space="preserve"> </w:t>
      </w:r>
      <w:r w:rsidRPr="00C140BA">
        <w:t>patterns</w:t>
      </w:r>
      <w:r>
        <w:t xml:space="preserve"> </w:t>
      </w:r>
      <w:r w:rsidRPr="00C140BA">
        <w:t>of</w:t>
      </w:r>
      <w:r>
        <w:t xml:space="preserve"> </w:t>
      </w:r>
      <w:r w:rsidRPr="00C140BA">
        <w:t>opioid</w:t>
      </w:r>
      <w:r>
        <w:t xml:space="preserve"> </w:t>
      </w:r>
      <w:r w:rsidRPr="00C140BA">
        <w:t>replacement</w:t>
      </w:r>
      <w:r>
        <w:t xml:space="preserve"> </w:t>
      </w:r>
      <w:r w:rsidRPr="00C140BA">
        <w:t>therapy</w:t>
      </w:r>
      <w:r>
        <w:t xml:space="preserve"> </w:t>
      </w:r>
      <w:r w:rsidRPr="00C140BA">
        <w:t>access</w:t>
      </w:r>
      <w:r>
        <w:t xml:space="preserve"> </w:t>
      </w:r>
      <w:r w:rsidRPr="00C140BA">
        <w:t>to</w:t>
      </w:r>
      <w:r>
        <w:t xml:space="preserve"> </w:t>
      </w:r>
      <w:r w:rsidRPr="00C140BA">
        <w:t>be</w:t>
      </w:r>
      <w:r>
        <w:t xml:space="preserve"> </w:t>
      </w:r>
      <w:r w:rsidRPr="00C140BA">
        <w:t>monitored</w:t>
      </w:r>
      <w:r>
        <w:t xml:space="preserve"> </w:t>
      </w:r>
      <w:r w:rsidRPr="00C140BA">
        <w:t>across</w:t>
      </w:r>
      <w:r>
        <w:t xml:space="preserve"> </w:t>
      </w:r>
      <w:r w:rsidRPr="00C140BA">
        <w:t>the</w:t>
      </w:r>
      <w:r>
        <w:t xml:space="preserve"> </w:t>
      </w:r>
      <w:r w:rsidRPr="00C140BA">
        <w:t>state,</w:t>
      </w:r>
      <w:r>
        <w:t xml:space="preserve"> </w:t>
      </w:r>
      <w:r w:rsidRPr="00C140BA">
        <w:t>which</w:t>
      </w:r>
      <w:r>
        <w:t xml:space="preserve">, </w:t>
      </w:r>
      <w:r w:rsidRPr="00C140BA">
        <w:t>in</w:t>
      </w:r>
      <w:r>
        <w:t xml:space="preserve"> </w:t>
      </w:r>
      <w:r w:rsidRPr="00C140BA">
        <w:t>turn</w:t>
      </w:r>
      <w:r>
        <w:t xml:space="preserve">, </w:t>
      </w:r>
      <w:r w:rsidRPr="00C140BA">
        <w:t>informs</w:t>
      </w:r>
      <w:r>
        <w:t xml:space="preserve"> </w:t>
      </w:r>
      <w:r w:rsidRPr="00C140BA">
        <w:t>departmental</w:t>
      </w:r>
      <w:r>
        <w:t xml:space="preserve"> </w:t>
      </w:r>
      <w:r w:rsidRPr="00C140BA">
        <w:t>sector</w:t>
      </w:r>
      <w:r>
        <w:t xml:space="preserve"> </w:t>
      </w:r>
      <w:r w:rsidRPr="00C140BA">
        <w:t>support</w:t>
      </w:r>
      <w:r>
        <w:t xml:space="preserve"> </w:t>
      </w:r>
      <w:r w:rsidRPr="00C140BA">
        <w:t>activities.</w:t>
      </w:r>
      <w:r>
        <w:t xml:space="preserve"> This data is then aggregated at a national level to determine opioid replacement therapy access trends nationally.</w:t>
      </w:r>
    </w:p>
    <w:p w14:paraId="03FE89A7" w14:textId="42AA2EF5" w:rsidR="00817104" w:rsidRDefault="00817104" w:rsidP="00817104">
      <w:pPr>
        <w:pStyle w:val="Heading2"/>
      </w:pPr>
      <w:bookmarkStart w:id="2807" w:name="_Toc231982395"/>
      <w:bookmarkStart w:id="2808" w:name="_Toc165964782"/>
      <w:bookmarkStart w:id="2809" w:name="_Toc167174642"/>
      <w:bookmarkStart w:id="2810" w:name="_Toc224127349"/>
      <w:bookmarkEnd w:id="2805"/>
      <w:bookmarkEnd w:id="2806"/>
      <w:r>
        <w:lastRenderedPageBreak/>
        <w:t xml:space="preserve">Public health data reporting </w:t>
      </w:r>
      <w:r w:rsidRPr="00091CB5">
        <w:t>requirements</w:t>
      </w:r>
      <w:bookmarkEnd w:id="2807"/>
    </w:p>
    <w:p w14:paraId="56F36B10" w14:textId="77777777" w:rsidR="00817104" w:rsidRDefault="00817104" w:rsidP="00817104">
      <w:pPr>
        <w:pStyle w:val="Body"/>
        <w:rPr>
          <w:rFonts w:eastAsia="Arial" w:cs="Arial"/>
          <w:i/>
          <w:szCs w:val="21"/>
        </w:rPr>
      </w:pPr>
      <w:r>
        <w:t xml:space="preserve">National and jurisdictional data and reporting requirements are mandated under the </w:t>
      </w:r>
      <w:r w:rsidRPr="0670E279">
        <w:rPr>
          <w:i/>
          <w:iCs/>
        </w:rPr>
        <w:t>National Health Security Act 2007</w:t>
      </w:r>
      <w:r>
        <w:t xml:space="preserve"> (Cth) and its National Notifiable Disease List instrument, the </w:t>
      </w:r>
      <w:r w:rsidRPr="004C0B7A">
        <w:rPr>
          <w:i/>
          <w:iCs/>
        </w:rPr>
        <w:t>National Health Security Agreement (2008),</w:t>
      </w:r>
      <w:r w:rsidRPr="00B063EE">
        <w:t xml:space="preserve"> and the </w:t>
      </w:r>
      <w:r w:rsidRPr="002C5483">
        <w:rPr>
          <w:i/>
          <w:iCs/>
        </w:rPr>
        <w:t xml:space="preserve">World Health Organization’s International Health Regulations (2005). </w:t>
      </w:r>
    </w:p>
    <w:p w14:paraId="535F22C6" w14:textId="77777777" w:rsidR="00817104" w:rsidRDefault="00817104" w:rsidP="00817104">
      <w:pPr>
        <w:pStyle w:val="Body"/>
        <w:rPr>
          <w:rFonts w:eastAsia="Arial" w:cs="Arial"/>
          <w:i/>
          <w:iCs/>
          <w:szCs w:val="21"/>
        </w:rPr>
      </w:pPr>
      <w:r w:rsidRPr="09443EA3">
        <w:rPr>
          <w:rFonts w:eastAsia="Arial" w:cs="Arial"/>
          <w:szCs w:val="21"/>
        </w:rPr>
        <w:t xml:space="preserve">There are requirements for laboratories and medical practitioners working in all hospitals and health services to notify the department of certain notifiable conditions under the </w:t>
      </w:r>
      <w:r w:rsidRPr="001517F3">
        <w:rPr>
          <w:rFonts w:eastAsia="Arial" w:cs="Arial"/>
          <w:i/>
          <w:iCs/>
          <w:szCs w:val="21"/>
        </w:rPr>
        <w:t>Public Health and Wellbeing Act</w:t>
      </w:r>
      <w:r w:rsidRPr="09443EA3">
        <w:rPr>
          <w:rFonts w:eastAsia="Arial" w:cs="Arial"/>
          <w:i/>
          <w:iCs/>
          <w:szCs w:val="21"/>
        </w:rPr>
        <w:t xml:space="preserve"> 2008</w:t>
      </w:r>
      <w:r w:rsidRPr="09443EA3">
        <w:rPr>
          <w:rFonts w:eastAsia="Arial" w:cs="Arial"/>
          <w:szCs w:val="21"/>
        </w:rPr>
        <w:t xml:space="preserve"> and the </w:t>
      </w:r>
      <w:r w:rsidRPr="002D6AE5">
        <w:rPr>
          <w:rFonts w:eastAsia="Arial" w:cs="Arial"/>
          <w:szCs w:val="21"/>
        </w:rPr>
        <w:t>Public Health and Wellbeing Regulations 2019</w:t>
      </w:r>
      <w:r>
        <w:rPr>
          <w:rFonts w:eastAsia="Arial" w:cs="Arial"/>
          <w:szCs w:val="21"/>
        </w:rPr>
        <w:t>.</w:t>
      </w:r>
    </w:p>
    <w:p w14:paraId="03C5D73B" w14:textId="77777777" w:rsidR="00817104" w:rsidRDefault="00817104" w:rsidP="00817104">
      <w:pPr>
        <w:pStyle w:val="Body"/>
      </w:pPr>
      <w:r>
        <w:t>These data support a coordination of the networked public health system to perform public health functions. Collection, analysis and reporting of this data is used to track notifiable conditions under the Public Health and Wellbeing Act and Regulations.</w:t>
      </w:r>
    </w:p>
    <w:p w14:paraId="57DEA8FB" w14:textId="77777777" w:rsidR="00817104" w:rsidRDefault="00817104" w:rsidP="00817104">
      <w:pPr>
        <w:pStyle w:val="Body"/>
      </w:pPr>
      <w:r w:rsidRPr="0042292C">
        <w:t xml:space="preserve">The department has licensed the Maven </w:t>
      </w:r>
      <w:r w:rsidRPr="00A96D8B">
        <w:t>Enhanced</w:t>
      </w:r>
      <w:r w:rsidRPr="0042292C">
        <w:rPr>
          <w:b/>
          <w:bCs/>
          <w:i/>
          <w:iCs/>
        </w:rPr>
        <w:t xml:space="preserve"> </w:t>
      </w:r>
      <w:r w:rsidRPr="0042292C">
        <w:t>Disease Surveillance System, known locally as the Public Health Event Surveillance System</w:t>
      </w:r>
      <w:r>
        <w:t xml:space="preserve"> (PHESS)</w:t>
      </w:r>
      <w:r w:rsidRPr="0042292C">
        <w:t>, for the purpose of notifiable condition notification, surveillance, management and analysis in Victoria.</w:t>
      </w:r>
      <w:r>
        <w:t xml:space="preserve"> </w:t>
      </w:r>
    </w:p>
    <w:p w14:paraId="14058804" w14:textId="77777777" w:rsidR="00817104" w:rsidRDefault="00817104" w:rsidP="00817104">
      <w:pPr>
        <w:pStyle w:val="Body"/>
      </w:pPr>
      <w:r>
        <w:t>As well as being used to monitor and manage notifiable conditions across Victoria, these data are required for statewide reporting to the National Interoperable Notifiable Diseases Surveillance System under a national agreement.</w:t>
      </w:r>
    </w:p>
    <w:p w14:paraId="333FCB55" w14:textId="77777777" w:rsidR="00817104" w:rsidRDefault="00817104" w:rsidP="00817104">
      <w:pPr>
        <w:pStyle w:val="Body"/>
      </w:pPr>
      <w:r>
        <w:t>There are other public health data reporting requirements that apply</w:t>
      </w:r>
      <w:r w:rsidRPr="00B65E4B">
        <w:t xml:space="preserve"> exclusively to lead health services that operate a LPHU</w:t>
      </w:r>
      <w:r>
        <w:t xml:space="preserve"> or the Victorian Tuberculosis Program. For details published in supplemental policy guidance, visit </w:t>
      </w:r>
      <w:hyperlink r:id="rId505" w:history="1">
        <w:r w:rsidRPr="00D94416">
          <w:rPr>
            <w:rStyle w:val="Hyperlink"/>
          </w:rPr>
          <w:t>LPHUs</w:t>
        </w:r>
      </w:hyperlink>
      <w:r>
        <w:t xml:space="preserve"> &lt;https://www.health.vic.gov.au/local-public-health-units&gt;.</w:t>
      </w:r>
    </w:p>
    <w:p w14:paraId="31685977" w14:textId="15D84EF0" w:rsidR="00817104" w:rsidRDefault="00817104" w:rsidP="00817104">
      <w:pPr>
        <w:pStyle w:val="Heading2"/>
      </w:pPr>
      <w:bookmarkStart w:id="2811" w:name="_Toc231982396"/>
      <w:r>
        <w:t xml:space="preserve">Aged care data </w:t>
      </w:r>
      <w:r w:rsidRPr="00091CB5">
        <w:t>reporting</w:t>
      </w:r>
      <w:r>
        <w:t xml:space="preserve"> requirements</w:t>
      </w:r>
      <w:bookmarkEnd w:id="2808"/>
      <w:bookmarkEnd w:id="2809"/>
      <w:bookmarkEnd w:id="2810"/>
      <w:bookmarkEnd w:id="2811"/>
    </w:p>
    <w:p w14:paraId="0B3CFF0E" w14:textId="177AE1DC" w:rsidR="00817104" w:rsidRDefault="00817104" w:rsidP="00817104">
      <w:pPr>
        <w:pStyle w:val="Body"/>
      </w:pPr>
      <w:bookmarkStart w:id="2812" w:name="_Ref165877146"/>
      <w:r>
        <w:t>Data collection requirements and timelines for ageing, aged and carer support, and aids and equipment services, are provided in Table 1</w:t>
      </w:r>
      <w:r w:rsidR="00C972D3">
        <w:t>6</w:t>
      </w:r>
      <w:r>
        <w:t>.</w:t>
      </w:r>
    </w:p>
    <w:p w14:paraId="3E1160E0" w14:textId="77777777" w:rsidR="00817104" w:rsidRPr="00243080" w:rsidRDefault="00817104" w:rsidP="00817104">
      <w:pPr>
        <w:pStyle w:val="Body"/>
        <w:rPr>
          <w:rFonts w:eastAsia="Calibri" w:cs="Calibri"/>
        </w:rPr>
      </w:pPr>
      <w:r>
        <w:t>Information on performance is collected through a range of channels, including the:</w:t>
      </w:r>
    </w:p>
    <w:p w14:paraId="3BBE5255" w14:textId="77777777" w:rsidR="00817104" w:rsidRPr="004E7EBA" w:rsidRDefault="00817104" w:rsidP="00817104">
      <w:pPr>
        <w:pStyle w:val="Bullet1"/>
        <w:numPr>
          <w:ilvl w:val="0"/>
          <w:numId w:val="2"/>
        </w:numPr>
      </w:pPr>
      <w:r w:rsidRPr="000232AF">
        <w:t xml:space="preserve">Victorian Community Support Services </w:t>
      </w:r>
      <w:r>
        <w:t xml:space="preserve">(VCSS) MDS for the HACC PYP and low-cost accommodation program </w:t>
      </w:r>
    </w:p>
    <w:p w14:paraId="0F69625F" w14:textId="77777777" w:rsidR="00817104" w:rsidRPr="000A5DA9" w:rsidRDefault="00817104" w:rsidP="00817104">
      <w:pPr>
        <w:pStyle w:val="Bullet1"/>
        <w:numPr>
          <w:ilvl w:val="0"/>
          <w:numId w:val="2"/>
        </w:numPr>
      </w:pPr>
      <w:r>
        <w:t>Victorian aids and equipment reporting template</w:t>
      </w:r>
    </w:p>
    <w:p w14:paraId="58EF81AB" w14:textId="77777777" w:rsidR="00817104" w:rsidRPr="000A5DA9" w:rsidRDefault="00817104" w:rsidP="00817104">
      <w:pPr>
        <w:pStyle w:val="Bullet1"/>
        <w:numPr>
          <w:ilvl w:val="0"/>
          <w:numId w:val="2"/>
        </w:numPr>
      </w:pPr>
      <w:r>
        <w:t>HACC PYP fees report on request</w:t>
      </w:r>
    </w:p>
    <w:p w14:paraId="774E6EEF" w14:textId="77777777" w:rsidR="00817104" w:rsidRDefault="00817104" w:rsidP="00817104">
      <w:pPr>
        <w:pStyle w:val="Bullet1"/>
        <w:numPr>
          <w:ilvl w:val="0"/>
          <w:numId w:val="2"/>
        </w:numPr>
      </w:pPr>
      <w:r>
        <w:t>HACC PYP service activity reports on request</w:t>
      </w:r>
    </w:p>
    <w:p w14:paraId="1702C3A8" w14:textId="77777777" w:rsidR="00817104" w:rsidRPr="0062508E" w:rsidRDefault="00817104" w:rsidP="00817104">
      <w:pPr>
        <w:pStyle w:val="Bullet1"/>
        <w:numPr>
          <w:ilvl w:val="0"/>
          <w:numId w:val="2"/>
        </w:numPr>
      </w:pPr>
      <w:r>
        <w:t>residential aged care services data collection.</w:t>
      </w:r>
    </w:p>
    <w:p w14:paraId="6018CF2F" w14:textId="77777777" w:rsidR="00817104" w:rsidRPr="00A56355" w:rsidRDefault="00817104" w:rsidP="00817104">
      <w:pPr>
        <w:pStyle w:val="Bodyafterbullets"/>
      </w:pPr>
      <w:r>
        <w:t xml:space="preserve">The </w:t>
      </w:r>
      <w:r w:rsidRPr="00926A20">
        <w:rPr>
          <w:i/>
          <w:iCs/>
        </w:rPr>
        <w:t>Carers Recognition Act 2012</w:t>
      </w:r>
      <w:r w:rsidRPr="0670E279">
        <w:rPr>
          <w:rStyle w:val="Emphasis"/>
        </w:rPr>
        <w:t xml:space="preserve"> </w:t>
      </w:r>
      <w:r>
        <w:t xml:space="preserve">sets out obligations for councils and organisations covered by that Act, including the obligation to raise awareness and understanding of the care relationship principles, as set out in the Act. Relevant organisations must report on their compliance against these obligations in their annual report. Specific requirements can be found in ss. 5, 11 and 12 of the Act. </w:t>
      </w:r>
    </w:p>
    <w:p w14:paraId="32D11F08" w14:textId="4DE5145B" w:rsidR="00817104" w:rsidRDefault="00817104" w:rsidP="00817104">
      <w:pPr>
        <w:pStyle w:val="Tablecaption"/>
      </w:pPr>
      <w:bookmarkStart w:id="2813" w:name="_Toc230537136"/>
      <w:bookmarkEnd w:id="2812"/>
      <w:r>
        <w:t xml:space="preserve">Table </w:t>
      </w:r>
      <w:r w:rsidR="00C972D3">
        <w:t>16</w:t>
      </w:r>
      <w:r>
        <w:t xml:space="preserve">. </w:t>
      </w:r>
      <w:r w:rsidRPr="00E07549">
        <w:t>Ageing, aged and home care – data collection and reporting requirements</w:t>
      </w:r>
      <w:bookmarkEnd w:id="2813"/>
    </w:p>
    <w:tbl>
      <w:tblPr>
        <w:tblStyle w:val="GridTable4-Accent1"/>
        <w:tblW w:w="5000" w:type="pct"/>
        <w:tblLook w:val="04A0" w:firstRow="1" w:lastRow="0" w:firstColumn="1" w:lastColumn="0" w:noHBand="0" w:noVBand="1"/>
      </w:tblPr>
      <w:tblGrid>
        <w:gridCol w:w="867"/>
        <w:gridCol w:w="2248"/>
        <w:gridCol w:w="6173"/>
      </w:tblGrid>
      <w:tr w:rsidR="00817104" w:rsidRPr="00C972D3" w14:paraId="1597E6DF" w14:textId="77777777" w:rsidTr="00C972D3">
        <w:trPr>
          <w:cnfStyle w:val="100000000000" w:firstRow="1" w:lastRow="0" w:firstColumn="0" w:lastColumn="0" w:oddVBand="0" w:evenVBand="0" w:oddHBand="0" w:evenHBand="0" w:firstRowFirstColumn="0" w:firstRowLastColumn="0" w:lastRowFirstColumn="0" w:lastRowLastColumn="0"/>
          <w:trHeight w:val="306"/>
          <w:tblHeader/>
        </w:trPr>
        <w:tc>
          <w:tcPr>
            <w:cnfStyle w:val="001000000000" w:firstRow="0" w:lastRow="0" w:firstColumn="1" w:lastColumn="0" w:oddVBand="0" w:evenVBand="0" w:oddHBand="0" w:evenHBand="0" w:firstRowFirstColumn="0" w:firstRowLastColumn="0" w:lastRowFirstColumn="0" w:lastRowLastColumn="0"/>
            <w:tcW w:w="467" w:type="pct"/>
          </w:tcPr>
          <w:p w14:paraId="1BA05165" w14:textId="77777777" w:rsidR="00817104" w:rsidRPr="00C972D3" w:rsidRDefault="00817104" w:rsidP="00C972D3">
            <w:pPr>
              <w:pStyle w:val="Tablecolhead"/>
              <w:rPr>
                <w:b/>
                <w:bCs w:val="0"/>
                <w:color w:val="FFFFFF" w:themeColor="background1"/>
                <w:sz w:val="18"/>
                <w:szCs w:val="18"/>
              </w:rPr>
            </w:pPr>
            <w:r w:rsidRPr="00C972D3">
              <w:rPr>
                <w:b/>
                <w:bCs w:val="0"/>
                <w:color w:val="FFFFFF" w:themeColor="background1"/>
                <w:sz w:val="18"/>
                <w:szCs w:val="18"/>
              </w:rPr>
              <w:t>Activity no.</w:t>
            </w:r>
          </w:p>
        </w:tc>
        <w:tc>
          <w:tcPr>
            <w:tcW w:w="1210" w:type="pct"/>
          </w:tcPr>
          <w:p w14:paraId="705F6136" w14:textId="77777777" w:rsidR="00817104" w:rsidRPr="00C972D3" w:rsidRDefault="00817104" w:rsidP="00C972D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972D3">
              <w:rPr>
                <w:b/>
                <w:bCs w:val="0"/>
                <w:color w:val="FFFFFF" w:themeColor="background1"/>
                <w:sz w:val="18"/>
                <w:szCs w:val="18"/>
              </w:rPr>
              <w:t>Activity name</w:t>
            </w:r>
          </w:p>
        </w:tc>
        <w:tc>
          <w:tcPr>
            <w:tcW w:w="3324" w:type="pct"/>
          </w:tcPr>
          <w:p w14:paraId="16214670" w14:textId="77777777" w:rsidR="00817104" w:rsidRPr="00C972D3" w:rsidRDefault="00817104" w:rsidP="00C972D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972D3">
              <w:rPr>
                <w:b/>
                <w:bCs w:val="0"/>
                <w:color w:val="FFFFFF" w:themeColor="background1"/>
                <w:sz w:val="18"/>
                <w:szCs w:val="18"/>
              </w:rPr>
              <w:t>Data collection description</w:t>
            </w:r>
          </w:p>
        </w:tc>
      </w:tr>
      <w:tr w:rsidR="00817104" w:rsidRPr="00C972D3" w14:paraId="3A357FE5"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tcPr>
          <w:p w14:paraId="7F80A49E" w14:textId="77777777" w:rsidR="00817104" w:rsidRPr="00C972D3" w:rsidRDefault="00817104" w:rsidP="00C972D3">
            <w:pPr>
              <w:pStyle w:val="Tabletext"/>
              <w:rPr>
                <w:szCs w:val="18"/>
              </w:rPr>
            </w:pPr>
            <w:r w:rsidRPr="00C972D3">
              <w:rPr>
                <w:szCs w:val="18"/>
              </w:rPr>
              <w:t>13005</w:t>
            </w:r>
          </w:p>
        </w:tc>
        <w:tc>
          <w:tcPr>
            <w:tcW w:w="1210" w:type="pct"/>
          </w:tcPr>
          <w:p w14:paraId="053836AA"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ACA</w:t>
            </w:r>
          </w:p>
        </w:tc>
        <w:tc>
          <w:tcPr>
            <w:tcW w:w="3324" w:type="pct"/>
          </w:tcPr>
          <w:p w14:paraId="5895D593"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 xml:space="preserve">Quarterly report on audit of assessments (Integrated Assessment Tool) and client satisfaction (Client Satisfaction Survey Template) </w:t>
            </w:r>
          </w:p>
          <w:p w14:paraId="072F3CA0"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lastRenderedPageBreak/>
              <w:t xml:space="preserve">Count the total number of assessments completed (My Aged Care Health Data portal for business intelligence reports (monthly) </w:t>
            </w:r>
          </w:p>
        </w:tc>
      </w:tr>
      <w:tr w:rsidR="00817104" w:rsidRPr="00C972D3" w14:paraId="46F0366B" w14:textId="77777777" w:rsidTr="00C972D3">
        <w:tc>
          <w:tcPr>
            <w:cnfStyle w:val="001000000000" w:firstRow="0" w:lastRow="0" w:firstColumn="1" w:lastColumn="0" w:oddVBand="0" w:evenVBand="0" w:oddHBand="0" w:evenHBand="0" w:firstRowFirstColumn="0" w:firstRowLastColumn="0" w:lastRowFirstColumn="0" w:lastRowLastColumn="0"/>
            <w:tcW w:w="467" w:type="pct"/>
          </w:tcPr>
          <w:p w14:paraId="31784FC1" w14:textId="77777777" w:rsidR="00817104" w:rsidRPr="00C972D3" w:rsidRDefault="00817104" w:rsidP="00C972D3">
            <w:pPr>
              <w:pStyle w:val="Tabletext"/>
              <w:rPr>
                <w:szCs w:val="18"/>
              </w:rPr>
            </w:pPr>
            <w:r w:rsidRPr="00C972D3">
              <w:rPr>
                <w:szCs w:val="18"/>
              </w:rPr>
              <w:lastRenderedPageBreak/>
              <w:t>13015</w:t>
            </w:r>
          </w:p>
        </w:tc>
        <w:tc>
          <w:tcPr>
            <w:tcW w:w="1210" w:type="pct"/>
          </w:tcPr>
          <w:p w14:paraId="6F98779A"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HACC PYP Linkages – Case Management</w:t>
            </w:r>
          </w:p>
        </w:tc>
        <w:tc>
          <w:tcPr>
            <w:tcW w:w="3324" w:type="pct"/>
          </w:tcPr>
          <w:p w14:paraId="47313CA4"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VCSS MDS</w:t>
            </w:r>
          </w:p>
        </w:tc>
      </w:tr>
      <w:tr w:rsidR="00817104" w:rsidRPr="00C972D3" w14:paraId="134B954C"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tcPr>
          <w:p w14:paraId="086494B8" w14:textId="77777777" w:rsidR="00817104" w:rsidRPr="00C972D3" w:rsidRDefault="00817104" w:rsidP="00C972D3">
            <w:pPr>
              <w:pStyle w:val="Tabletext"/>
              <w:rPr>
                <w:szCs w:val="18"/>
              </w:rPr>
            </w:pPr>
            <w:r w:rsidRPr="00C972D3">
              <w:rPr>
                <w:szCs w:val="18"/>
              </w:rPr>
              <w:t>13015</w:t>
            </w:r>
          </w:p>
        </w:tc>
        <w:tc>
          <w:tcPr>
            <w:tcW w:w="1210" w:type="pct"/>
          </w:tcPr>
          <w:p w14:paraId="15AA1543"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HACC PYP Linkages – Case Management</w:t>
            </w:r>
          </w:p>
        </w:tc>
        <w:tc>
          <w:tcPr>
            <w:tcW w:w="3324" w:type="pct"/>
          </w:tcPr>
          <w:p w14:paraId="38FE6A95"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Linkages brokerage report – on request</w:t>
            </w:r>
          </w:p>
        </w:tc>
      </w:tr>
      <w:tr w:rsidR="00817104" w:rsidRPr="00C972D3" w14:paraId="584040CE" w14:textId="77777777" w:rsidTr="00C972D3">
        <w:tc>
          <w:tcPr>
            <w:cnfStyle w:val="001000000000" w:firstRow="0" w:lastRow="0" w:firstColumn="1" w:lastColumn="0" w:oddVBand="0" w:evenVBand="0" w:oddHBand="0" w:evenHBand="0" w:firstRowFirstColumn="0" w:firstRowLastColumn="0" w:lastRowFirstColumn="0" w:lastRowLastColumn="0"/>
            <w:tcW w:w="467" w:type="pct"/>
          </w:tcPr>
          <w:p w14:paraId="55AB3CCE" w14:textId="77777777" w:rsidR="00817104" w:rsidRPr="00C972D3" w:rsidRDefault="00817104" w:rsidP="00C972D3">
            <w:pPr>
              <w:pStyle w:val="Tabletext"/>
              <w:rPr>
                <w:szCs w:val="18"/>
              </w:rPr>
            </w:pPr>
            <w:r w:rsidRPr="00C972D3">
              <w:rPr>
                <w:szCs w:val="18"/>
              </w:rPr>
              <w:t>13024</w:t>
            </w:r>
          </w:p>
        </w:tc>
        <w:tc>
          <w:tcPr>
            <w:tcW w:w="1210" w:type="pct"/>
          </w:tcPr>
          <w:p w14:paraId="25488D85"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HACC PYP Assessment and Care Management</w:t>
            </w:r>
          </w:p>
        </w:tc>
        <w:tc>
          <w:tcPr>
            <w:tcW w:w="3324" w:type="pct"/>
          </w:tcPr>
          <w:p w14:paraId="6B69E342"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 xml:space="preserve">VCSS MDS </w:t>
            </w:r>
          </w:p>
        </w:tc>
      </w:tr>
      <w:tr w:rsidR="00817104" w:rsidRPr="00C972D3" w14:paraId="44726FA5"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tcPr>
          <w:p w14:paraId="3402F2FB" w14:textId="77777777" w:rsidR="00817104" w:rsidRPr="00C972D3" w:rsidRDefault="00817104" w:rsidP="00C972D3">
            <w:pPr>
              <w:pStyle w:val="Tabletext"/>
              <w:rPr>
                <w:szCs w:val="18"/>
              </w:rPr>
            </w:pPr>
            <w:r w:rsidRPr="00C972D3">
              <w:rPr>
                <w:szCs w:val="18"/>
              </w:rPr>
              <w:t>13026</w:t>
            </w:r>
          </w:p>
        </w:tc>
        <w:tc>
          <w:tcPr>
            <w:tcW w:w="1210" w:type="pct"/>
          </w:tcPr>
          <w:p w14:paraId="70306058"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HACC PYP Community Care</w:t>
            </w:r>
          </w:p>
        </w:tc>
        <w:tc>
          <w:tcPr>
            <w:tcW w:w="3324" w:type="pct"/>
          </w:tcPr>
          <w:p w14:paraId="0AED1605"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 xml:space="preserve">VCSS MDS </w:t>
            </w:r>
          </w:p>
        </w:tc>
      </w:tr>
      <w:tr w:rsidR="00817104" w:rsidRPr="00C972D3" w14:paraId="07F89564" w14:textId="77777777" w:rsidTr="00C972D3">
        <w:tc>
          <w:tcPr>
            <w:cnfStyle w:val="001000000000" w:firstRow="0" w:lastRow="0" w:firstColumn="1" w:lastColumn="0" w:oddVBand="0" w:evenVBand="0" w:oddHBand="0" w:evenHBand="0" w:firstRowFirstColumn="0" w:firstRowLastColumn="0" w:lastRowFirstColumn="0" w:lastRowLastColumn="0"/>
            <w:tcW w:w="467" w:type="pct"/>
          </w:tcPr>
          <w:p w14:paraId="7531DEC3" w14:textId="77777777" w:rsidR="00817104" w:rsidRPr="00C972D3" w:rsidRDefault="00817104" w:rsidP="00C972D3">
            <w:pPr>
              <w:pStyle w:val="Tabletext"/>
              <w:rPr>
                <w:szCs w:val="18"/>
              </w:rPr>
            </w:pPr>
            <w:r w:rsidRPr="00C972D3">
              <w:rPr>
                <w:szCs w:val="18"/>
              </w:rPr>
              <w:t>13031</w:t>
            </w:r>
          </w:p>
        </w:tc>
        <w:tc>
          <w:tcPr>
            <w:tcW w:w="1210" w:type="pct"/>
          </w:tcPr>
          <w:p w14:paraId="153BC62B"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 xml:space="preserve">Public sector residential aged care </w:t>
            </w:r>
          </w:p>
        </w:tc>
        <w:tc>
          <w:tcPr>
            <w:tcW w:w="3324" w:type="pct"/>
          </w:tcPr>
          <w:p w14:paraId="312E25AE"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Service level reporting of the number of residents and resident days per month for AN-ACC place categories and demographic items</w:t>
            </w:r>
          </w:p>
          <w:p w14:paraId="526857AE"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Data is to be submitted via the AIMS Health Collect Portal by the 21</w:t>
            </w:r>
            <w:r w:rsidRPr="00C972D3">
              <w:rPr>
                <w:szCs w:val="18"/>
                <w:vertAlign w:val="superscript"/>
              </w:rPr>
              <w:t>st</w:t>
            </w:r>
            <w:r w:rsidRPr="00C972D3">
              <w:rPr>
                <w:szCs w:val="18"/>
              </w:rPr>
              <w:t xml:space="preserve"> of the following month </w:t>
            </w:r>
          </w:p>
        </w:tc>
      </w:tr>
      <w:tr w:rsidR="00817104" w:rsidRPr="00C972D3" w14:paraId="5F4BFA62"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tcPr>
          <w:p w14:paraId="6687D55F" w14:textId="77777777" w:rsidR="00817104" w:rsidRPr="00C972D3" w:rsidRDefault="00817104" w:rsidP="00C972D3">
            <w:pPr>
              <w:pStyle w:val="Tabletext"/>
              <w:rPr>
                <w:szCs w:val="18"/>
              </w:rPr>
            </w:pPr>
            <w:r w:rsidRPr="00C972D3">
              <w:rPr>
                <w:szCs w:val="18"/>
              </w:rPr>
              <w:t>13031</w:t>
            </w:r>
          </w:p>
        </w:tc>
        <w:tc>
          <w:tcPr>
            <w:tcW w:w="1210" w:type="pct"/>
          </w:tcPr>
          <w:p w14:paraId="0411989F"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 xml:space="preserve">Public sector residential aged care </w:t>
            </w:r>
          </w:p>
        </w:tc>
        <w:tc>
          <w:tcPr>
            <w:tcW w:w="3324" w:type="pct"/>
          </w:tcPr>
          <w:p w14:paraId="3218CFF3"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 xml:space="preserve">Quarterly PSRACS quality indicators data captures all data required to meet the Commonwealth’s Quality Indicators submission </w:t>
            </w:r>
          </w:p>
          <w:p w14:paraId="7CEE5BFD"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Data is to be submitted via the AIMS Health Collect Portal by the fifteenth day after end of the reporting period</w:t>
            </w:r>
          </w:p>
        </w:tc>
      </w:tr>
      <w:tr w:rsidR="00817104" w:rsidRPr="00C972D3" w14:paraId="5963B342" w14:textId="77777777" w:rsidTr="00C972D3">
        <w:tc>
          <w:tcPr>
            <w:cnfStyle w:val="001000000000" w:firstRow="0" w:lastRow="0" w:firstColumn="1" w:lastColumn="0" w:oddVBand="0" w:evenVBand="0" w:oddHBand="0" w:evenHBand="0" w:firstRowFirstColumn="0" w:firstRowLastColumn="0" w:lastRowFirstColumn="0" w:lastRowLastColumn="0"/>
            <w:tcW w:w="467" w:type="pct"/>
          </w:tcPr>
          <w:p w14:paraId="00D17D03" w14:textId="77777777" w:rsidR="00817104" w:rsidRPr="00C972D3" w:rsidRDefault="00817104" w:rsidP="00C972D3">
            <w:pPr>
              <w:pStyle w:val="Tabletext"/>
              <w:rPr>
                <w:szCs w:val="18"/>
              </w:rPr>
            </w:pPr>
            <w:r w:rsidRPr="00C972D3">
              <w:rPr>
                <w:szCs w:val="18"/>
              </w:rPr>
              <w:t>13031</w:t>
            </w:r>
          </w:p>
        </w:tc>
        <w:tc>
          <w:tcPr>
            <w:tcW w:w="1210" w:type="pct"/>
          </w:tcPr>
          <w:p w14:paraId="7FB595C8"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Public sector residential aged care</w:t>
            </w:r>
          </w:p>
        </w:tc>
        <w:tc>
          <w:tcPr>
            <w:tcW w:w="3324" w:type="pct"/>
          </w:tcPr>
          <w:p w14:paraId="7440149D"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Annual reporting on number of PSRACS completing the VICNISS infection control module; participation in the annual Aged Care National Antimicrobial Prescribing Survey; monitoring and reporting on significant organisms; staff vaccination rates for influenza</w:t>
            </w:r>
          </w:p>
        </w:tc>
      </w:tr>
      <w:tr w:rsidR="00817104" w:rsidRPr="00C972D3" w14:paraId="39F1E0A0"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tcPr>
          <w:p w14:paraId="60E0DE4A" w14:textId="77777777" w:rsidR="00817104" w:rsidRPr="00C972D3" w:rsidRDefault="00817104" w:rsidP="00C972D3">
            <w:pPr>
              <w:pStyle w:val="Tabletext"/>
              <w:rPr>
                <w:szCs w:val="18"/>
              </w:rPr>
            </w:pPr>
            <w:r w:rsidRPr="00C972D3">
              <w:rPr>
                <w:szCs w:val="18"/>
              </w:rPr>
              <w:t>13038</w:t>
            </w:r>
          </w:p>
        </w:tc>
        <w:tc>
          <w:tcPr>
            <w:tcW w:w="1210" w:type="pct"/>
          </w:tcPr>
          <w:p w14:paraId="2DBCABA1"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HACC PYP Service System Resourcing</w:t>
            </w:r>
          </w:p>
        </w:tc>
        <w:tc>
          <w:tcPr>
            <w:tcW w:w="3324" w:type="pct"/>
          </w:tcPr>
          <w:p w14:paraId="3A1104CC"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 xml:space="preserve">HACC PYP Service Activity Report – on request </w:t>
            </w:r>
          </w:p>
        </w:tc>
      </w:tr>
      <w:tr w:rsidR="00817104" w:rsidRPr="00C972D3" w14:paraId="3B6E7B68" w14:textId="77777777" w:rsidTr="00C972D3">
        <w:tc>
          <w:tcPr>
            <w:cnfStyle w:val="001000000000" w:firstRow="0" w:lastRow="0" w:firstColumn="1" w:lastColumn="0" w:oddVBand="0" w:evenVBand="0" w:oddHBand="0" w:evenHBand="0" w:firstRowFirstColumn="0" w:firstRowLastColumn="0" w:lastRowFirstColumn="0" w:lastRowLastColumn="0"/>
            <w:tcW w:w="467" w:type="pct"/>
          </w:tcPr>
          <w:p w14:paraId="0F431DCA" w14:textId="77777777" w:rsidR="00817104" w:rsidRPr="00C972D3" w:rsidRDefault="00817104" w:rsidP="00C972D3">
            <w:pPr>
              <w:pStyle w:val="Tabletext"/>
              <w:rPr>
                <w:szCs w:val="18"/>
              </w:rPr>
            </w:pPr>
            <w:r w:rsidRPr="00C972D3">
              <w:rPr>
                <w:szCs w:val="18"/>
              </w:rPr>
              <w:t>13043</w:t>
            </w:r>
          </w:p>
        </w:tc>
        <w:tc>
          <w:tcPr>
            <w:tcW w:w="1210" w:type="pct"/>
          </w:tcPr>
          <w:p w14:paraId="1CDA82AF"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HACC PYP Flexible Service Response</w:t>
            </w:r>
          </w:p>
        </w:tc>
        <w:tc>
          <w:tcPr>
            <w:tcW w:w="3324" w:type="pct"/>
          </w:tcPr>
          <w:p w14:paraId="05D4452D"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HACC PYP Service Activity Report as relevant – on request</w:t>
            </w:r>
          </w:p>
        </w:tc>
      </w:tr>
      <w:tr w:rsidR="00817104" w:rsidRPr="00C972D3" w14:paraId="17DCB86F"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tcPr>
          <w:p w14:paraId="18811721" w14:textId="77777777" w:rsidR="00817104" w:rsidRPr="00C972D3" w:rsidRDefault="00817104" w:rsidP="00C972D3">
            <w:pPr>
              <w:pStyle w:val="Tabletext"/>
              <w:rPr>
                <w:szCs w:val="18"/>
              </w:rPr>
            </w:pPr>
            <w:r w:rsidRPr="00C972D3">
              <w:rPr>
                <w:szCs w:val="18"/>
              </w:rPr>
              <w:t>13043</w:t>
            </w:r>
          </w:p>
        </w:tc>
        <w:tc>
          <w:tcPr>
            <w:tcW w:w="1210" w:type="pct"/>
          </w:tcPr>
          <w:p w14:paraId="2B61185E"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HACC PYP Flexible Service Response</w:t>
            </w:r>
          </w:p>
        </w:tc>
        <w:tc>
          <w:tcPr>
            <w:tcW w:w="3324" w:type="pct"/>
          </w:tcPr>
          <w:p w14:paraId="46F09DA6"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VCSS MDS as relevant</w:t>
            </w:r>
          </w:p>
        </w:tc>
      </w:tr>
      <w:tr w:rsidR="00817104" w:rsidRPr="00C972D3" w14:paraId="295B3524" w14:textId="77777777" w:rsidTr="00C972D3">
        <w:tc>
          <w:tcPr>
            <w:cnfStyle w:val="001000000000" w:firstRow="0" w:lastRow="0" w:firstColumn="1" w:lastColumn="0" w:oddVBand="0" w:evenVBand="0" w:oddHBand="0" w:evenHBand="0" w:firstRowFirstColumn="0" w:firstRowLastColumn="0" w:lastRowFirstColumn="0" w:lastRowLastColumn="0"/>
            <w:tcW w:w="467" w:type="pct"/>
          </w:tcPr>
          <w:p w14:paraId="099C269C" w14:textId="77777777" w:rsidR="00817104" w:rsidRPr="00C972D3" w:rsidRDefault="00817104" w:rsidP="00C972D3">
            <w:pPr>
              <w:pStyle w:val="Tabletext"/>
              <w:rPr>
                <w:szCs w:val="18"/>
              </w:rPr>
            </w:pPr>
            <w:r w:rsidRPr="00C972D3">
              <w:rPr>
                <w:szCs w:val="18"/>
              </w:rPr>
              <w:t>13056</w:t>
            </w:r>
          </w:p>
        </w:tc>
        <w:tc>
          <w:tcPr>
            <w:tcW w:w="1210" w:type="pct"/>
          </w:tcPr>
          <w:p w14:paraId="4681EF8F"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HACC PYP Planned Activity Group</w:t>
            </w:r>
          </w:p>
        </w:tc>
        <w:tc>
          <w:tcPr>
            <w:tcW w:w="3324" w:type="pct"/>
          </w:tcPr>
          <w:p w14:paraId="01D02655"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VCSS MDS</w:t>
            </w:r>
          </w:p>
        </w:tc>
      </w:tr>
      <w:tr w:rsidR="00817104" w:rsidRPr="00C972D3" w14:paraId="29F2560A"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tcPr>
          <w:p w14:paraId="2B126AA4" w14:textId="77777777" w:rsidR="00817104" w:rsidRPr="00C972D3" w:rsidRDefault="00817104" w:rsidP="00C972D3">
            <w:pPr>
              <w:pStyle w:val="Tabletext"/>
              <w:rPr>
                <w:szCs w:val="18"/>
              </w:rPr>
            </w:pPr>
            <w:r w:rsidRPr="00C972D3">
              <w:rPr>
                <w:szCs w:val="18"/>
              </w:rPr>
              <w:t>13063</w:t>
            </w:r>
          </w:p>
        </w:tc>
        <w:tc>
          <w:tcPr>
            <w:tcW w:w="1210" w:type="pct"/>
          </w:tcPr>
          <w:p w14:paraId="7C91E7C5"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HACC PYP Volunteer Co-ordination</w:t>
            </w:r>
          </w:p>
        </w:tc>
        <w:tc>
          <w:tcPr>
            <w:tcW w:w="3324" w:type="pct"/>
          </w:tcPr>
          <w:p w14:paraId="04757ABD"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 xml:space="preserve">VCSS MDS </w:t>
            </w:r>
          </w:p>
        </w:tc>
      </w:tr>
      <w:tr w:rsidR="00817104" w:rsidRPr="00C972D3" w14:paraId="04ECC9F2" w14:textId="77777777" w:rsidTr="00C972D3">
        <w:tc>
          <w:tcPr>
            <w:cnfStyle w:val="001000000000" w:firstRow="0" w:lastRow="0" w:firstColumn="1" w:lastColumn="0" w:oddVBand="0" w:evenVBand="0" w:oddHBand="0" w:evenHBand="0" w:firstRowFirstColumn="0" w:firstRowLastColumn="0" w:lastRowFirstColumn="0" w:lastRowLastColumn="0"/>
            <w:tcW w:w="467" w:type="pct"/>
          </w:tcPr>
          <w:p w14:paraId="50DB8C02" w14:textId="77777777" w:rsidR="00817104" w:rsidRPr="00C972D3" w:rsidRDefault="00817104" w:rsidP="00C972D3">
            <w:pPr>
              <w:pStyle w:val="Tabletext"/>
              <w:rPr>
                <w:szCs w:val="18"/>
              </w:rPr>
            </w:pPr>
            <w:r w:rsidRPr="00C972D3">
              <w:rPr>
                <w:szCs w:val="18"/>
              </w:rPr>
              <w:t>13097</w:t>
            </w:r>
          </w:p>
        </w:tc>
        <w:tc>
          <w:tcPr>
            <w:tcW w:w="1210" w:type="pct"/>
          </w:tcPr>
          <w:p w14:paraId="1197026B"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HACC PYP Delivered Meals</w:t>
            </w:r>
          </w:p>
        </w:tc>
        <w:tc>
          <w:tcPr>
            <w:tcW w:w="3324" w:type="pct"/>
          </w:tcPr>
          <w:p w14:paraId="6944869B"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VCSS MDS</w:t>
            </w:r>
          </w:p>
        </w:tc>
      </w:tr>
      <w:tr w:rsidR="00817104" w:rsidRPr="00C972D3" w14:paraId="00D3981A"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tcPr>
          <w:p w14:paraId="0B0BF008" w14:textId="77777777" w:rsidR="00817104" w:rsidRPr="00C972D3" w:rsidRDefault="00817104" w:rsidP="00C972D3">
            <w:pPr>
              <w:pStyle w:val="Tabletext"/>
              <w:rPr>
                <w:szCs w:val="18"/>
              </w:rPr>
            </w:pPr>
            <w:r w:rsidRPr="00C972D3">
              <w:rPr>
                <w:szCs w:val="18"/>
              </w:rPr>
              <w:t>13099</w:t>
            </w:r>
          </w:p>
        </w:tc>
        <w:tc>
          <w:tcPr>
            <w:tcW w:w="1210" w:type="pct"/>
          </w:tcPr>
          <w:p w14:paraId="64040F56"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HACC PYP Property Maintenance</w:t>
            </w:r>
          </w:p>
        </w:tc>
        <w:tc>
          <w:tcPr>
            <w:tcW w:w="3324" w:type="pct"/>
          </w:tcPr>
          <w:p w14:paraId="0ACD4B6F"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VCSS MDS</w:t>
            </w:r>
          </w:p>
        </w:tc>
      </w:tr>
      <w:tr w:rsidR="00817104" w:rsidRPr="00C972D3" w14:paraId="0C820BF3" w14:textId="77777777" w:rsidTr="00C972D3">
        <w:tc>
          <w:tcPr>
            <w:cnfStyle w:val="001000000000" w:firstRow="0" w:lastRow="0" w:firstColumn="1" w:lastColumn="0" w:oddVBand="0" w:evenVBand="0" w:oddHBand="0" w:evenHBand="0" w:firstRowFirstColumn="0" w:firstRowLastColumn="0" w:lastRowFirstColumn="0" w:lastRowLastColumn="0"/>
            <w:tcW w:w="467" w:type="pct"/>
          </w:tcPr>
          <w:p w14:paraId="507EC874" w14:textId="77777777" w:rsidR="00817104" w:rsidRPr="00C972D3" w:rsidRDefault="00817104" w:rsidP="00C972D3">
            <w:pPr>
              <w:pStyle w:val="Tabletext"/>
              <w:rPr>
                <w:szCs w:val="18"/>
              </w:rPr>
            </w:pPr>
            <w:r w:rsidRPr="00C972D3">
              <w:rPr>
                <w:szCs w:val="18"/>
              </w:rPr>
              <w:t>13210</w:t>
            </w:r>
          </w:p>
        </w:tc>
        <w:tc>
          <w:tcPr>
            <w:tcW w:w="1210" w:type="pct"/>
          </w:tcPr>
          <w:p w14:paraId="2ADCEE06"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ACA Training and Development</w:t>
            </w:r>
          </w:p>
        </w:tc>
        <w:tc>
          <w:tcPr>
            <w:tcW w:w="3324" w:type="pct"/>
          </w:tcPr>
          <w:p w14:paraId="78A41FFD" w14:textId="77777777" w:rsidR="00817104" w:rsidRPr="00C972D3" w:rsidRDefault="00817104" w:rsidP="00915A99">
            <w:pPr>
              <w:pStyle w:val="Tablebullet1"/>
              <w:ind w:left="0" w:firstLine="0"/>
              <w:cnfStyle w:val="000000000000" w:firstRow="0" w:lastRow="0" w:firstColumn="0" w:lastColumn="0" w:oddVBand="0" w:evenVBand="0" w:oddHBand="0" w:evenHBand="0" w:firstRowFirstColumn="0" w:firstRowLastColumn="0" w:lastRowFirstColumn="0" w:lastRowLastColumn="0"/>
              <w:rPr>
                <w:szCs w:val="18"/>
              </w:rPr>
            </w:pPr>
            <w:r w:rsidRPr="00C972D3">
              <w:rPr>
                <w:szCs w:val="18"/>
              </w:rPr>
              <w:t xml:space="preserve">My Aged Care Workforce Learning Strategy Version 1.4 July 2025 and addendums </w:t>
            </w:r>
            <w:hyperlink r:id="rId506" w:history="1">
              <w:r w:rsidRPr="00C972D3">
                <w:rPr>
                  <w:rStyle w:val="Hyperlink"/>
                  <w:szCs w:val="18"/>
                </w:rPr>
                <w:t>My Aged Care Workforce Learning Strategy</w:t>
              </w:r>
            </w:hyperlink>
            <w:r w:rsidRPr="00C972D3">
              <w:rPr>
                <w:szCs w:val="18"/>
              </w:rPr>
              <w:t xml:space="preserve"> &lt;https://www.health.gov.au/resources/publications/my-aged-care-workforce-learning-strategy?language=en&gt;</w:t>
            </w:r>
          </w:p>
          <w:p w14:paraId="4B6C1582" w14:textId="77777777" w:rsidR="00817104" w:rsidRPr="00C972D3" w:rsidRDefault="00817104" w:rsidP="00915A99">
            <w:pPr>
              <w:pStyle w:val="Tablebullet1"/>
              <w:ind w:left="0" w:firstLine="0"/>
              <w:cnfStyle w:val="000000000000" w:firstRow="0" w:lastRow="0" w:firstColumn="0" w:lastColumn="0" w:oddVBand="0" w:evenVBand="0" w:oddHBand="0" w:evenHBand="0" w:firstRowFirstColumn="0" w:firstRowLastColumn="0" w:lastRowFirstColumn="0" w:lastRowLastColumn="0"/>
              <w:rPr>
                <w:strike/>
                <w:szCs w:val="18"/>
              </w:rPr>
            </w:pPr>
            <w:hyperlink r:id="rId507" w:history="1">
              <w:r w:rsidRPr="00C972D3">
                <w:rPr>
                  <w:rStyle w:val="Hyperlink"/>
                  <w:i/>
                  <w:iCs/>
                  <w:szCs w:val="18"/>
                </w:rPr>
                <w:t>ACA Quality Framework</w:t>
              </w:r>
            </w:hyperlink>
            <w:r w:rsidRPr="00C972D3">
              <w:rPr>
                <w:szCs w:val="18"/>
              </w:rPr>
              <w:t xml:space="preserve"> &lt;https://www.health.gov.au/resources/publications/aged-care-assessment-quality-framework?language=en&gt;</w:t>
            </w:r>
          </w:p>
        </w:tc>
      </w:tr>
      <w:tr w:rsidR="00817104" w:rsidRPr="00C972D3" w14:paraId="12879132"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tcPr>
          <w:p w14:paraId="74111615" w14:textId="77777777" w:rsidR="00817104" w:rsidRPr="00C972D3" w:rsidRDefault="00817104" w:rsidP="00C972D3">
            <w:pPr>
              <w:pStyle w:val="Tabletext"/>
              <w:rPr>
                <w:szCs w:val="18"/>
              </w:rPr>
            </w:pPr>
            <w:r w:rsidRPr="00C972D3">
              <w:rPr>
                <w:szCs w:val="18"/>
              </w:rPr>
              <w:t>13223</w:t>
            </w:r>
          </w:p>
        </w:tc>
        <w:tc>
          <w:tcPr>
            <w:tcW w:w="1210" w:type="pct"/>
          </w:tcPr>
          <w:p w14:paraId="4E89154B"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 xml:space="preserve">HACC PYP Health supports </w:t>
            </w:r>
          </w:p>
        </w:tc>
        <w:tc>
          <w:tcPr>
            <w:tcW w:w="3324" w:type="pct"/>
          </w:tcPr>
          <w:p w14:paraId="7C02CD36"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VCSS MDS</w:t>
            </w:r>
          </w:p>
        </w:tc>
      </w:tr>
      <w:tr w:rsidR="00817104" w:rsidRPr="00C972D3" w14:paraId="20AFFCBB" w14:textId="77777777" w:rsidTr="00C972D3">
        <w:tc>
          <w:tcPr>
            <w:cnfStyle w:val="001000000000" w:firstRow="0" w:lastRow="0" w:firstColumn="1" w:lastColumn="0" w:oddVBand="0" w:evenVBand="0" w:oddHBand="0" w:evenHBand="0" w:firstRowFirstColumn="0" w:firstRowLastColumn="0" w:lastRowFirstColumn="0" w:lastRowLastColumn="0"/>
            <w:tcW w:w="467" w:type="pct"/>
          </w:tcPr>
          <w:p w14:paraId="75D9F950" w14:textId="77777777" w:rsidR="00817104" w:rsidRPr="00C972D3" w:rsidRDefault="00817104" w:rsidP="00C972D3">
            <w:pPr>
              <w:pStyle w:val="Tabletext"/>
              <w:rPr>
                <w:szCs w:val="18"/>
              </w:rPr>
            </w:pPr>
            <w:r w:rsidRPr="00C972D3">
              <w:rPr>
                <w:szCs w:val="18"/>
              </w:rPr>
              <w:t>13223</w:t>
            </w:r>
          </w:p>
        </w:tc>
        <w:tc>
          <w:tcPr>
            <w:tcW w:w="1210" w:type="pct"/>
          </w:tcPr>
          <w:p w14:paraId="463E5D36"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i/>
                <w:iCs/>
                <w:szCs w:val="18"/>
              </w:rPr>
            </w:pPr>
            <w:r w:rsidRPr="00C972D3">
              <w:rPr>
                <w:szCs w:val="18"/>
              </w:rPr>
              <w:t xml:space="preserve">HACC PYP Health Support </w:t>
            </w:r>
          </w:p>
        </w:tc>
        <w:tc>
          <w:tcPr>
            <w:tcW w:w="3324" w:type="pct"/>
          </w:tcPr>
          <w:p w14:paraId="618AB0DD"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 xml:space="preserve">HACC PYP Wound Consumables report – on request </w:t>
            </w:r>
          </w:p>
        </w:tc>
      </w:tr>
      <w:tr w:rsidR="00817104" w:rsidRPr="00C972D3" w14:paraId="491D0B4C"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tcPr>
          <w:p w14:paraId="1A7F61BC" w14:textId="77777777" w:rsidR="00817104" w:rsidRPr="00C972D3" w:rsidRDefault="00817104" w:rsidP="00C972D3">
            <w:pPr>
              <w:pStyle w:val="Tabletext"/>
              <w:rPr>
                <w:szCs w:val="18"/>
              </w:rPr>
            </w:pPr>
            <w:r w:rsidRPr="00C972D3">
              <w:rPr>
                <w:szCs w:val="18"/>
              </w:rPr>
              <w:t>13227</w:t>
            </w:r>
          </w:p>
        </w:tc>
        <w:tc>
          <w:tcPr>
            <w:tcW w:w="1210" w:type="pct"/>
          </w:tcPr>
          <w:p w14:paraId="23D52DEF"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ACCO Services – HACC PYP</w:t>
            </w:r>
          </w:p>
        </w:tc>
        <w:tc>
          <w:tcPr>
            <w:tcW w:w="3324" w:type="pct"/>
          </w:tcPr>
          <w:p w14:paraId="444FEBFC"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VCSS MDS</w:t>
            </w:r>
          </w:p>
        </w:tc>
      </w:tr>
      <w:tr w:rsidR="00817104" w:rsidRPr="00C972D3" w14:paraId="27719AF4" w14:textId="77777777" w:rsidTr="00C972D3">
        <w:tc>
          <w:tcPr>
            <w:cnfStyle w:val="001000000000" w:firstRow="0" w:lastRow="0" w:firstColumn="1" w:lastColumn="0" w:oddVBand="0" w:evenVBand="0" w:oddHBand="0" w:evenHBand="0" w:firstRowFirstColumn="0" w:firstRowLastColumn="0" w:lastRowFirstColumn="0" w:lastRowLastColumn="0"/>
            <w:tcW w:w="467" w:type="pct"/>
          </w:tcPr>
          <w:p w14:paraId="7A4739E6" w14:textId="77777777" w:rsidR="00817104" w:rsidRPr="00C972D3" w:rsidRDefault="00817104" w:rsidP="00C972D3">
            <w:pPr>
              <w:pStyle w:val="Tabletext"/>
              <w:rPr>
                <w:szCs w:val="18"/>
              </w:rPr>
            </w:pPr>
            <w:r w:rsidRPr="00C972D3">
              <w:rPr>
                <w:szCs w:val="18"/>
              </w:rPr>
              <w:lastRenderedPageBreak/>
              <w:t>13227</w:t>
            </w:r>
          </w:p>
        </w:tc>
        <w:tc>
          <w:tcPr>
            <w:tcW w:w="1210" w:type="pct"/>
          </w:tcPr>
          <w:p w14:paraId="19851DD9"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ACCO Services – HACC PYP</w:t>
            </w:r>
          </w:p>
        </w:tc>
        <w:tc>
          <w:tcPr>
            <w:tcW w:w="3324" w:type="pct"/>
          </w:tcPr>
          <w:p w14:paraId="22D6D9E3"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 xml:space="preserve">HACC PYP Service Activity Report – on request </w:t>
            </w:r>
          </w:p>
        </w:tc>
      </w:tr>
      <w:tr w:rsidR="00817104" w:rsidRPr="00C972D3" w14:paraId="09DAA875"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tcPr>
          <w:p w14:paraId="4C52530A" w14:textId="77777777" w:rsidR="00817104" w:rsidRPr="00C972D3" w:rsidRDefault="00817104" w:rsidP="00C972D3">
            <w:pPr>
              <w:pStyle w:val="Tabletext"/>
              <w:rPr>
                <w:szCs w:val="18"/>
              </w:rPr>
            </w:pPr>
            <w:r w:rsidRPr="00C972D3">
              <w:rPr>
                <w:szCs w:val="18"/>
              </w:rPr>
              <w:t>13229</w:t>
            </w:r>
          </w:p>
        </w:tc>
        <w:tc>
          <w:tcPr>
            <w:tcW w:w="1210" w:type="pct"/>
          </w:tcPr>
          <w:p w14:paraId="0D487CA7"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HACC PYP Access and Support</w:t>
            </w:r>
          </w:p>
        </w:tc>
        <w:tc>
          <w:tcPr>
            <w:tcW w:w="3324" w:type="pct"/>
          </w:tcPr>
          <w:p w14:paraId="30E2DA3A" w14:textId="77777777" w:rsidR="00817104" w:rsidRPr="00C972D3"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rPr>
            </w:pPr>
            <w:r w:rsidRPr="00C972D3">
              <w:rPr>
                <w:szCs w:val="18"/>
              </w:rPr>
              <w:t>VCSS MDS</w:t>
            </w:r>
          </w:p>
        </w:tc>
      </w:tr>
      <w:tr w:rsidR="00817104" w:rsidRPr="00C972D3" w14:paraId="06049C43" w14:textId="77777777" w:rsidTr="00C972D3">
        <w:tc>
          <w:tcPr>
            <w:cnfStyle w:val="001000000000" w:firstRow="0" w:lastRow="0" w:firstColumn="1" w:lastColumn="0" w:oddVBand="0" w:evenVBand="0" w:oddHBand="0" w:evenHBand="0" w:firstRowFirstColumn="0" w:firstRowLastColumn="0" w:lastRowFirstColumn="0" w:lastRowLastColumn="0"/>
            <w:tcW w:w="467" w:type="pct"/>
          </w:tcPr>
          <w:p w14:paraId="247D4BA0" w14:textId="77777777" w:rsidR="00817104" w:rsidRPr="00C972D3" w:rsidRDefault="00817104" w:rsidP="00C972D3">
            <w:pPr>
              <w:pStyle w:val="Tabletext"/>
              <w:rPr>
                <w:szCs w:val="18"/>
              </w:rPr>
            </w:pPr>
            <w:r w:rsidRPr="00C972D3">
              <w:rPr>
                <w:szCs w:val="18"/>
              </w:rPr>
              <w:t>35030</w:t>
            </w:r>
          </w:p>
        </w:tc>
        <w:tc>
          <w:tcPr>
            <w:tcW w:w="1210" w:type="pct"/>
          </w:tcPr>
          <w:p w14:paraId="75CAF8A9"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 xml:space="preserve">Small rural – HACC PYP Health Care and Support </w:t>
            </w:r>
          </w:p>
        </w:tc>
        <w:tc>
          <w:tcPr>
            <w:tcW w:w="3324" w:type="pct"/>
          </w:tcPr>
          <w:p w14:paraId="06B26CCD" w14:textId="77777777" w:rsidR="00817104" w:rsidRPr="00C972D3"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rPr>
            </w:pPr>
            <w:r w:rsidRPr="00C972D3">
              <w:rPr>
                <w:szCs w:val="18"/>
              </w:rPr>
              <w:t>VCSS MDS</w:t>
            </w:r>
          </w:p>
        </w:tc>
      </w:tr>
    </w:tbl>
    <w:p w14:paraId="79EB7B1F" w14:textId="2659102D" w:rsidR="00817104" w:rsidRPr="00030A50" w:rsidRDefault="00817104" w:rsidP="00817104">
      <w:pPr>
        <w:pStyle w:val="Heading2"/>
      </w:pPr>
      <w:bookmarkStart w:id="2814" w:name="_Primary,_community_and"/>
      <w:bookmarkStart w:id="2815" w:name="_29.7_Primary,_community"/>
      <w:bookmarkStart w:id="2816" w:name="_Toc165964783"/>
      <w:bookmarkStart w:id="2817" w:name="_Toc167174643"/>
      <w:bookmarkStart w:id="2818" w:name="_Toc224127350"/>
      <w:bookmarkStart w:id="2819" w:name="_Toc231982397"/>
      <w:bookmarkEnd w:id="2814"/>
      <w:bookmarkEnd w:id="2815"/>
      <w:r>
        <w:t xml:space="preserve">Primary, </w:t>
      </w:r>
      <w:r w:rsidRPr="00091CB5">
        <w:t>community</w:t>
      </w:r>
      <w:r>
        <w:t xml:space="preserve"> and dental health data reporting requirements</w:t>
      </w:r>
      <w:bookmarkEnd w:id="2816"/>
      <w:bookmarkEnd w:id="2817"/>
      <w:bookmarkEnd w:id="2818"/>
      <w:bookmarkEnd w:id="2819"/>
    </w:p>
    <w:p w14:paraId="59DF4AB9" w14:textId="47E68BA6" w:rsidR="00817104" w:rsidRPr="00B61A4E" w:rsidRDefault="00817104" w:rsidP="00817104">
      <w:pPr>
        <w:pStyle w:val="Body"/>
      </w:pPr>
      <w:r>
        <w:t>A summary of reporting requirements for p</w:t>
      </w:r>
      <w:r w:rsidRPr="00536387">
        <w:t xml:space="preserve">rimary, community and dental health </w:t>
      </w:r>
      <w:r>
        <w:t>is shown in Table 1</w:t>
      </w:r>
      <w:r w:rsidR="00C972D3">
        <w:t>7</w:t>
      </w:r>
      <w:r>
        <w:t>.</w:t>
      </w:r>
    </w:p>
    <w:p w14:paraId="66427BCA" w14:textId="41CE50A9" w:rsidR="00817104" w:rsidRPr="00030A50" w:rsidRDefault="00817104" w:rsidP="00817104">
      <w:pPr>
        <w:pStyle w:val="Heading3"/>
      </w:pPr>
      <w:r>
        <w:t>Community health services</w:t>
      </w:r>
    </w:p>
    <w:p w14:paraId="1F93D365" w14:textId="77777777" w:rsidR="00817104" w:rsidRDefault="00817104" w:rsidP="00817104">
      <w:pPr>
        <w:pStyle w:val="Body"/>
      </w:pPr>
      <w:r>
        <w:t xml:space="preserve">All funded organisations receiving community health program funding must submit data that outline service delivery performance against targets. Agencies are responsible for accurate and timely submission of data, as per the documented reporting requirements. </w:t>
      </w:r>
    </w:p>
    <w:p w14:paraId="05218976" w14:textId="77777777" w:rsidR="00817104" w:rsidRDefault="00817104" w:rsidP="00817104">
      <w:pPr>
        <w:pStyle w:val="Body"/>
      </w:pPr>
      <w:r>
        <w:t xml:space="preserve">The </w:t>
      </w:r>
      <w:r w:rsidRPr="0049240F">
        <w:rPr>
          <w:rStyle w:val="Emphasis"/>
          <w:i w:val="0"/>
          <w:iCs w:val="0"/>
        </w:rPr>
        <w:t>Community health program data submission guidelines</w:t>
      </w:r>
      <w:r>
        <w:t xml:space="preserve"> are available from the </w:t>
      </w:r>
      <w:hyperlink r:id="rId508" w:history="1">
        <w:r w:rsidRPr="006F44EE">
          <w:rPr>
            <w:rStyle w:val="Hyperlink"/>
          </w:rPr>
          <w:t xml:space="preserve">Community Health </w:t>
        </w:r>
        <w:r>
          <w:rPr>
            <w:rStyle w:val="Hyperlink"/>
          </w:rPr>
          <w:t>MD</w:t>
        </w:r>
        <w:r w:rsidRPr="006F44EE">
          <w:rPr>
            <w:rStyle w:val="Hyperlink"/>
          </w:rPr>
          <w:t>S</w:t>
        </w:r>
      </w:hyperlink>
      <w:r>
        <w:t xml:space="preserve"> &lt;</w:t>
      </w:r>
      <w:r w:rsidRPr="008D4CA8">
        <w:t>https://www.health.vic.gov.au/primary-and-community-health/community-health-minimum-data-set-chmds</w:t>
      </w:r>
      <w:r>
        <w:t xml:space="preserve">&gt;. </w:t>
      </w:r>
    </w:p>
    <w:p w14:paraId="72A31715" w14:textId="77777777" w:rsidR="00817104" w:rsidRDefault="00817104" w:rsidP="00817104">
      <w:pPr>
        <w:pStyle w:val="Body"/>
      </w:pPr>
      <w:r>
        <w:t>Community health data must be submitted quarterly, with data due by the fifteenth of the month following the end of each quarter.</w:t>
      </w:r>
    </w:p>
    <w:p w14:paraId="75B968B4" w14:textId="77777777" w:rsidR="00817104" w:rsidRPr="000A0991" w:rsidRDefault="00817104" w:rsidP="00817104">
      <w:pPr>
        <w:pStyle w:val="Body"/>
      </w:pPr>
      <w:r>
        <w:t>All health services receiving community health program funding must ensure that:</w:t>
      </w:r>
    </w:p>
    <w:p w14:paraId="64F2A6C4" w14:textId="77777777" w:rsidR="00817104" w:rsidRPr="00DF2473" w:rsidRDefault="00817104" w:rsidP="00817104">
      <w:pPr>
        <w:pStyle w:val="Bullet1"/>
        <w:numPr>
          <w:ilvl w:val="0"/>
          <w:numId w:val="2"/>
        </w:numPr>
      </w:pPr>
      <w:r w:rsidRPr="00DF2473">
        <w:t>information systems comply with the department’s reporting requirements</w:t>
      </w:r>
    </w:p>
    <w:p w14:paraId="4BF4A444" w14:textId="77777777" w:rsidR="00817104" w:rsidRPr="000A5DA9" w:rsidRDefault="00817104" w:rsidP="00817104">
      <w:pPr>
        <w:pStyle w:val="Bullet1"/>
        <w:numPr>
          <w:ilvl w:val="0"/>
          <w:numId w:val="2"/>
        </w:numPr>
      </w:pPr>
      <w:r w:rsidRPr="00DF2473">
        <w:t>service information remains up to date on the National H</w:t>
      </w:r>
      <w:r>
        <w:t>ealth</w:t>
      </w:r>
      <w:r w:rsidRPr="00DF2473">
        <w:t xml:space="preserve"> Services Directory.</w:t>
      </w:r>
    </w:p>
    <w:p w14:paraId="034E903C" w14:textId="77777777" w:rsidR="00817104" w:rsidRPr="001D2856" w:rsidRDefault="00817104" w:rsidP="00817104">
      <w:pPr>
        <w:pStyle w:val="Bodyafterbullets"/>
      </w:pPr>
      <w:r>
        <w:t xml:space="preserve">Additional evidence may be required from time to time, to demonstrate that funding has been used appropriately. </w:t>
      </w:r>
    </w:p>
    <w:p w14:paraId="780004DE" w14:textId="77777777" w:rsidR="00817104" w:rsidRPr="001D2856" w:rsidRDefault="00817104" w:rsidP="00817104">
      <w:pPr>
        <w:pStyle w:val="Bodyafterbullets"/>
      </w:pPr>
      <w:r>
        <w:t xml:space="preserve">For more information, visit </w:t>
      </w:r>
      <w:hyperlink r:id="rId509">
        <w:r w:rsidRPr="0670E279">
          <w:rPr>
            <w:rStyle w:val="Hyperlink"/>
          </w:rPr>
          <w:t>Community health data reporting</w:t>
        </w:r>
      </w:hyperlink>
      <w:r>
        <w:t xml:space="preserve"> &lt;https://www.health.vic.gov.au/community-health/community-health-data-reporting&gt;.</w:t>
      </w:r>
    </w:p>
    <w:p w14:paraId="33C7A5E6" w14:textId="22F933B8" w:rsidR="00817104" w:rsidRPr="002A257F" w:rsidRDefault="00817104" w:rsidP="00817104">
      <w:pPr>
        <w:pStyle w:val="Heading3"/>
      </w:pPr>
      <w:r>
        <w:t>Dental health services</w:t>
      </w:r>
    </w:p>
    <w:p w14:paraId="0D342CAB" w14:textId="77777777" w:rsidR="00817104" w:rsidRPr="00993142" w:rsidRDefault="00817104" w:rsidP="00817104">
      <w:pPr>
        <w:pStyle w:val="Body"/>
      </w:pPr>
      <w:bookmarkStart w:id="2820" w:name="_Ref165877168"/>
      <w:r>
        <w:t xml:space="preserve">The department requires a quarterly extract of dental health program dataset items. This extract includes all episodes created during the reporting period, and any episodes modified during the reporting period. </w:t>
      </w:r>
    </w:p>
    <w:p w14:paraId="25A253DF" w14:textId="77777777" w:rsidR="00817104" w:rsidRDefault="00817104" w:rsidP="00817104">
      <w:pPr>
        <w:pStyle w:val="Body"/>
      </w:pPr>
      <w:r>
        <w:t xml:space="preserve">The department is responsible for validating quarterly extracts and providing error reports to Oral Health Victoria. </w:t>
      </w:r>
    </w:p>
    <w:p w14:paraId="5F784AE1" w14:textId="4D41E8E5" w:rsidR="00817104" w:rsidRPr="00C41C1A" w:rsidRDefault="00817104" w:rsidP="00817104">
      <w:pPr>
        <w:pStyle w:val="Heading3"/>
      </w:pPr>
      <w:r w:rsidRPr="00C41C1A">
        <w:t>Community Health</w:t>
      </w:r>
      <w:r>
        <w:t xml:space="preserve"> – </w:t>
      </w:r>
      <w:r w:rsidRPr="00C41C1A">
        <w:t xml:space="preserve">Health Promotion </w:t>
      </w:r>
    </w:p>
    <w:p w14:paraId="24DD94C6" w14:textId="77777777" w:rsidR="00817104" w:rsidRPr="000027B5" w:rsidRDefault="00817104" w:rsidP="00817104">
      <w:pPr>
        <w:pStyle w:val="Body"/>
      </w:pPr>
      <w:r w:rsidRPr="000027B5">
        <w:t>Agencies receiving Community Health</w:t>
      </w:r>
      <w:r>
        <w:t xml:space="preserve"> – </w:t>
      </w:r>
      <w:r w:rsidRPr="000027B5">
        <w:t xml:space="preserve">Health Promotion funding design and deliver prevention and health promotion initiatives in their </w:t>
      </w:r>
      <w:r>
        <w:t>local area</w:t>
      </w:r>
      <w:r w:rsidRPr="000027B5">
        <w:t xml:space="preserve">. </w:t>
      </w:r>
    </w:p>
    <w:p w14:paraId="63A12D25" w14:textId="77777777" w:rsidR="00817104" w:rsidRPr="000027B5" w:rsidRDefault="00817104" w:rsidP="00817104">
      <w:pPr>
        <w:pStyle w:val="Body"/>
      </w:pPr>
      <w:r w:rsidRPr="000027B5">
        <w:lastRenderedPageBreak/>
        <w:t xml:space="preserve">Agencies receiving this funding (Activity 28085) and the Small Rural Primary Health Flexible Services program (Activity 35048, Grant 289 </w:t>
      </w:r>
      <w:r>
        <w:t>–</w:t>
      </w:r>
      <w:r w:rsidRPr="000027B5">
        <w:t xml:space="preserve"> PCCP </w:t>
      </w:r>
      <w:r>
        <w:t>–</w:t>
      </w:r>
      <w:r w:rsidRPr="000027B5">
        <w:t xml:space="preserve"> Flexible Services </w:t>
      </w:r>
      <w:r>
        <w:t>–</w:t>
      </w:r>
      <w:r w:rsidRPr="000027B5">
        <w:t xml:space="preserve"> Health Promotion) must report annually on progress against their Health Promotion Plan. </w:t>
      </w:r>
    </w:p>
    <w:p w14:paraId="394DCDA4" w14:textId="77777777" w:rsidR="00817104" w:rsidRPr="003F3D90" w:rsidRDefault="00817104" w:rsidP="00817104">
      <w:pPr>
        <w:pStyle w:val="Body"/>
        <w:rPr>
          <w:rFonts w:eastAsia="Aptos" w:cs="Arial"/>
          <w:color w:val="467886"/>
          <w:szCs w:val="21"/>
          <w:u w:val="single"/>
        </w:rPr>
      </w:pPr>
      <w:r w:rsidRPr="000027B5">
        <w:t>For detailed program and reporting guidance</w:t>
      </w:r>
      <w:r>
        <w:t>, visit</w:t>
      </w:r>
      <w:r w:rsidRPr="000027B5">
        <w:t xml:space="preserve"> </w:t>
      </w:r>
      <w:hyperlink r:id="rId510" w:history="1">
        <w:r w:rsidRPr="00464813" w:rsidDel="000804EE">
          <w:rPr>
            <w:rStyle w:val="Hyperlink"/>
          </w:rPr>
          <w:t xml:space="preserve">Community Health </w:t>
        </w:r>
        <w:r>
          <w:rPr>
            <w:rStyle w:val="Hyperlink"/>
          </w:rPr>
          <w:t>–</w:t>
        </w:r>
        <w:r w:rsidRPr="00464813" w:rsidDel="000804EE">
          <w:rPr>
            <w:rStyle w:val="Hyperlink"/>
          </w:rPr>
          <w:t xml:space="preserve"> Health Promotion </w:t>
        </w:r>
        <w:r>
          <w:rPr>
            <w:rStyle w:val="Hyperlink"/>
          </w:rPr>
          <w:t xml:space="preserve">program </w:t>
        </w:r>
        <w:r w:rsidRPr="00464813" w:rsidDel="000804EE">
          <w:rPr>
            <w:rStyle w:val="Hyperlink"/>
          </w:rPr>
          <w:t>2025</w:t>
        </w:r>
        <w:r>
          <w:rPr>
            <w:rStyle w:val="Hyperlink"/>
          </w:rPr>
          <w:t>–</w:t>
        </w:r>
        <w:r w:rsidRPr="00464813" w:rsidDel="000804EE">
          <w:rPr>
            <w:rStyle w:val="Hyperlink"/>
          </w:rPr>
          <w:t>29</w:t>
        </w:r>
      </w:hyperlink>
      <w:r>
        <w:t xml:space="preserve"> </w:t>
      </w:r>
      <w:r>
        <w:rPr>
          <w:rFonts w:eastAsia="Aptos" w:cs="Arial"/>
          <w:szCs w:val="21"/>
        </w:rPr>
        <w:t>&lt;</w:t>
      </w:r>
      <w:r w:rsidRPr="00464813">
        <w:t>https://www.health.vic.gov.au/publications/community-health-health-promotion-2025-29</w:t>
      </w:r>
      <w:r>
        <w:t>&gt;</w:t>
      </w:r>
    </w:p>
    <w:p w14:paraId="78D6E750" w14:textId="7EF78795" w:rsidR="00817104" w:rsidRPr="00C972D3" w:rsidRDefault="00817104" w:rsidP="00C972D3">
      <w:pPr>
        <w:pStyle w:val="Tablecaption"/>
      </w:pPr>
      <w:bookmarkStart w:id="2821" w:name="_Toc230537137"/>
      <w:bookmarkEnd w:id="2820"/>
      <w:r w:rsidRPr="00C972D3">
        <w:t xml:space="preserve">Table </w:t>
      </w:r>
      <w:r w:rsidR="00C972D3" w:rsidRPr="00C972D3">
        <w:t>17</w:t>
      </w:r>
      <w:r w:rsidRPr="00C972D3">
        <w:t>. Primary, community and dental health – data collection and reporting requirements</w:t>
      </w:r>
      <w:bookmarkEnd w:id="2821"/>
    </w:p>
    <w:tbl>
      <w:tblPr>
        <w:tblStyle w:val="GridTable4-Accent1"/>
        <w:tblW w:w="0" w:type="auto"/>
        <w:tblLook w:val="04A0" w:firstRow="1" w:lastRow="0" w:firstColumn="1" w:lastColumn="0" w:noHBand="0" w:noVBand="1"/>
      </w:tblPr>
      <w:tblGrid>
        <w:gridCol w:w="1019"/>
        <w:gridCol w:w="3583"/>
        <w:gridCol w:w="4686"/>
      </w:tblGrid>
      <w:tr w:rsidR="00817104" w:rsidRPr="00812DC9" w14:paraId="75726542" w14:textId="77777777" w:rsidTr="00C972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6774E6FD" w14:textId="77777777" w:rsidR="00817104" w:rsidRPr="00C972D3" w:rsidRDefault="00817104" w:rsidP="00C972D3">
            <w:pPr>
              <w:pStyle w:val="Tablecolhead"/>
              <w:rPr>
                <w:b/>
                <w:bCs w:val="0"/>
                <w:color w:val="FFFFFF" w:themeColor="background1"/>
                <w:sz w:val="18"/>
                <w:szCs w:val="18"/>
              </w:rPr>
            </w:pPr>
            <w:r w:rsidRPr="00C972D3">
              <w:rPr>
                <w:b/>
                <w:bCs w:val="0"/>
                <w:color w:val="FFFFFF" w:themeColor="background1"/>
                <w:sz w:val="18"/>
                <w:szCs w:val="18"/>
              </w:rPr>
              <w:t>Activity no.</w:t>
            </w:r>
          </w:p>
        </w:tc>
        <w:tc>
          <w:tcPr>
            <w:tcW w:w="0" w:type="auto"/>
          </w:tcPr>
          <w:p w14:paraId="0ACE6CBA" w14:textId="77777777" w:rsidR="00817104" w:rsidRPr="00C972D3" w:rsidRDefault="00817104" w:rsidP="00C972D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972D3">
              <w:rPr>
                <w:b/>
                <w:bCs w:val="0"/>
                <w:color w:val="FFFFFF" w:themeColor="background1"/>
                <w:sz w:val="18"/>
                <w:szCs w:val="18"/>
              </w:rPr>
              <w:t>Activity name</w:t>
            </w:r>
          </w:p>
        </w:tc>
        <w:tc>
          <w:tcPr>
            <w:tcW w:w="0" w:type="auto"/>
          </w:tcPr>
          <w:p w14:paraId="2C2DD5DE" w14:textId="77777777" w:rsidR="00817104" w:rsidRPr="00C972D3" w:rsidRDefault="00817104" w:rsidP="00C972D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972D3">
              <w:rPr>
                <w:b/>
                <w:bCs w:val="0"/>
                <w:color w:val="FFFFFF" w:themeColor="background1"/>
                <w:sz w:val="18"/>
                <w:szCs w:val="18"/>
              </w:rPr>
              <w:t>Data collection description</w:t>
            </w:r>
          </w:p>
        </w:tc>
      </w:tr>
      <w:tr w:rsidR="00817104" w14:paraId="16224E7A" w14:textId="77777777" w:rsidTr="00C972D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auto"/>
          </w:tcPr>
          <w:p w14:paraId="40A39D59" w14:textId="77777777" w:rsidR="00817104" w:rsidRPr="00926A20" w:rsidRDefault="00817104" w:rsidP="00C972D3">
            <w:pPr>
              <w:pStyle w:val="Tabletext"/>
              <w:rPr>
                <w:szCs w:val="18"/>
                <w:lang w:eastAsia="en-AU"/>
              </w:rPr>
            </w:pPr>
            <w:r w:rsidRPr="00926A20">
              <w:rPr>
                <w:szCs w:val="18"/>
                <w:lang w:eastAsia="en-AU"/>
              </w:rPr>
              <w:t>27003</w:t>
            </w:r>
          </w:p>
        </w:tc>
        <w:tc>
          <w:tcPr>
            <w:tcW w:w="0" w:type="auto"/>
          </w:tcPr>
          <w:p w14:paraId="5FD82949"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Community Health Seniors Program</w:t>
            </w:r>
          </w:p>
        </w:tc>
        <w:tc>
          <w:tcPr>
            <w:tcW w:w="0" w:type="auto"/>
          </w:tcPr>
          <w:p w14:paraId="02B4BA14"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Community health MDS</w:t>
            </w:r>
          </w:p>
          <w:p w14:paraId="6A533B99"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Manual data collection</w:t>
            </w:r>
          </w:p>
        </w:tc>
      </w:tr>
      <w:tr w:rsidR="00817104" w14:paraId="5DDA6C91" w14:textId="77777777" w:rsidTr="00C972D3">
        <w:trPr>
          <w:trHeight w:val="64"/>
        </w:trPr>
        <w:tc>
          <w:tcPr>
            <w:cnfStyle w:val="001000000000" w:firstRow="0" w:lastRow="0" w:firstColumn="1" w:lastColumn="0" w:oddVBand="0" w:evenVBand="0" w:oddHBand="0" w:evenHBand="0" w:firstRowFirstColumn="0" w:firstRowLastColumn="0" w:lastRowFirstColumn="0" w:lastRowLastColumn="0"/>
            <w:tcW w:w="0" w:type="auto"/>
          </w:tcPr>
          <w:p w14:paraId="3D296C65" w14:textId="77777777" w:rsidR="00817104" w:rsidRPr="00926A20" w:rsidRDefault="00817104" w:rsidP="00C972D3">
            <w:pPr>
              <w:pStyle w:val="Tabletext"/>
              <w:rPr>
                <w:szCs w:val="18"/>
                <w:lang w:eastAsia="en-AU"/>
              </w:rPr>
            </w:pPr>
            <w:r w:rsidRPr="00926A20">
              <w:rPr>
                <w:szCs w:val="18"/>
                <w:lang w:eastAsia="en-AU"/>
              </w:rPr>
              <w:t xml:space="preserve">27017 </w:t>
            </w:r>
          </w:p>
        </w:tc>
        <w:tc>
          <w:tcPr>
            <w:tcW w:w="0" w:type="auto"/>
          </w:tcPr>
          <w:p w14:paraId="793042DE"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Oral health – health promotion</w:t>
            </w:r>
          </w:p>
        </w:tc>
        <w:tc>
          <w:tcPr>
            <w:tcW w:w="0" w:type="auto"/>
          </w:tcPr>
          <w:p w14:paraId="4B82393B"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rStyle w:val="Emphasis"/>
                <w:rFonts w:eastAsia="MS Gothic"/>
                <w:szCs w:val="18"/>
              </w:rPr>
            </w:pPr>
            <w:r w:rsidRPr="00926A20">
              <w:rPr>
                <w:szCs w:val="18"/>
                <w:lang w:eastAsia="en-AU"/>
              </w:rPr>
              <w:t xml:space="preserve">Report against agreed deliverables linked to the </w:t>
            </w:r>
            <w:r w:rsidRPr="00926A20">
              <w:rPr>
                <w:rStyle w:val="Emphasis"/>
                <w:rFonts w:eastAsia="MS Gothic"/>
                <w:i w:val="0"/>
                <w:iCs w:val="0"/>
                <w:szCs w:val="18"/>
              </w:rPr>
              <w:t>Victorian action plan to prevent oral disease 2020–30</w:t>
            </w:r>
          </w:p>
        </w:tc>
      </w:tr>
      <w:tr w:rsidR="00817104" w14:paraId="474EA2D7"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83D23E" w14:textId="77777777" w:rsidR="00817104" w:rsidRPr="00926A20" w:rsidRDefault="00817104" w:rsidP="00C972D3">
            <w:pPr>
              <w:pStyle w:val="Tabletext"/>
              <w:rPr>
                <w:szCs w:val="18"/>
                <w:lang w:eastAsia="en-AU"/>
              </w:rPr>
            </w:pPr>
            <w:r w:rsidRPr="00926A20">
              <w:rPr>
                <w:szCs w:val="18"/>
                <w:lang w:eastAsia="en-AU"/>
              </w:rPr>
              <w:t>27019</w:t>
            </w:r>
          </w:p>
        </w:tc>
        <w:tc>
          <w:tcPr>
            <w:tcW w:w="0" w:type="auto"/>
          </w:tcPr>
          <w:p w14:paraId="1F2546A7"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Royal Dental Hospital Melbourne dental care</w:t>
            </w:r>
          </w:p>
        </w:tc>
        <w:tc>
          <w:tcPr>
            <w:tcW w:w="0" w:type="auto"/>
          </w:tcPr>
          <w:p w14:paraId="74143BFF"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Dental health program dataset</w:t>
            </w:r>
          </w:p>
        </w:tc>
      </w:tr>
      <w:tr w:rsidR="00817104" w14:paraId="44CDDDAB"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2ECA0007" w14:textId="77777777" w:rsidR="00817104" w:rsidRPr="00926A20" w:rsidRDefault="00817104" w:rsidP="00C972D3">
            <w:pPr>
              <w:pStyle w:val="Tabletext"/>
              <w:rPr>
                <w:szCs w:val="18"/>
                <w:lang w:eastAsia="en-AU"/>
              </w:rPr>
            </w:pPr>
            <w:r w:rsidRPr="00926A20">
              <w:rPr>
                <w:szCs w:val="18"/>
                <w:lang w:eastAsia="en-AU"/>
              </w:rPr>
              <w:t>27023</w:t>
            </w:r>
          </w:p>
        </w:tc>
        <w:tc>
          <w:tcPr>
            <w:tcW w:w="0" w:type="auto"/>
          </w:tcPr>
          <w:p w14:paraId="166FD1EE"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Community dental care</w:t>
            </w:r>
          </w:p>
        </w:tc>
        <w:tc>
          <w:tcPr>
            <w:tcW w:w="0" w:type="auto"/>
          </w:tcPr>
          <w:p w14:paraId="5AD55294"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Dental health program dataset</w:t>
            </w:r>
          </w:p>
        </w:tc>
      </w:tr>
      <w:tr w:rsidR="00817104" w14:paraId="4FB93DA6"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BDC429" w14:textId="77777777" w:rsidR="00817104" w:rsidRPr="00926A20" w:rsidRDefault="00817104" w:rsidP="00C972D3">
            <w:pPr>
              <w:pStyle w:val="Tabletext"/>
              <w:rPr>
                <w:szCs w:val="18"/>
                <w:lang w:eastAsia="en-AU"/>
              </w:rPr>
            </w:pPr>
            <w:r w:rsidRPr="00926A20">
              <w:rPr>
                <w:szCs w:val="18"/>
                <w:lang w:eastAsia="en-AU"/>
              </w:rPr>
              <w:t>28000</w:t>
            </w:r>
          </w:p>
        </w:tc>
        <w:tc>
          <w:tcPr>
            <w:tcW w:w="0" w:type="auto"/>
          </w:tcPr>
          <w:p w14:paraId="131B26F9"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 xml:space="preserve">Health Self-Help (Band 1) </w:t>
            </w:r>
          </w:p>
        </w:tc>
        <w:tc>
          <w:tcPr>
            <w:tcW w:w="0" w:type="auto"/>
          </w:tcPr>
          <w:p w14:paraId="13B2DC47"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Annual activity report</w:t>
            </w:r>
          </w:p>
        </w:tc>
      </w:tr>
      <w:tr w:rsidR="00817104" w14:paraId="52A5E46E"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107EE971" w14:textId="77777777" w:rsidR="00817104" w:rsidRPr="00926A20" w:rsidRDefault="00817104" w:rsidP="00C972D3">
            <w:pPr>
              <w:pStyle w:val="Tabletext"/>
              <w:rPr>
                <w:szCs w:val="18"/>
                <w:lang w:eastAsia="en-AU"/>
              </w:rPr>
            </w:pPr>
            <w:r w:rsidRPr="00926A20">
              <w:rPr>
                <w:szCs w:val="18"/>
                <w:lang w:eastAsia="en-AU"/>
              </w:rPr>
              <w:t>28015</w:t>
            </w:r>
          </w:p>
        </w:tc>
        <w:tc>
          <w:tcPr>
            <w:tcW w:w="0" w:type="auto"/>
          </w:tcPr>
          <w:p w14:paraId="6FCE493F"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Family and Reproductive Rights Education Program</w:t>
            </w:r>
          </w:p>
        </w:tc>
        <w:tc>
          <w:tcPr>
            <w:tcW w:w="0" w:type="auto"/>
          </w:tcPr>
          <w:p w14:paraId="57DCF4BD"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Community health MDS</w:t>
            </w:r>
          </w:p>
        </w:tc>
      </w:tr>
      <w:tr w:rsidR="00817104" w14:paraId="03B6CF5B"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392DC5" w14:textId="77777777" w:rsidR="00817104" w:rsidRPr="00926A20" w:rsidRDefault="00817104" w:rsidP="00C972D3">
            <w:pPr>
              <w:pStyle w:val="Tabletext"/>
              <w:rPr>
                <w:szCs w:val="18"/>
                <w:lang w:eastAsia="en-AU"/>
              </w:rPr>
            </w:pPr>
            <w:r w:rsidRPr="00926A20">
              <w:rPr>
                <w:szCs w:val="18"/>
                <w:lang w:eastAsia="en-AU"/>
              </w:rPr>
              <w:t>28016</w:t>
            </w:r>
          </w:p>
        </w:tc>
        <w:tc>
          <w:tcPr>
            <w:tcW w:w="0" w:type="auto"/>
          </w:tcPr>
          <w:p w14:paraId="499DC84A"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Family and Reproductive Rights Education Program – health promotion</w:t>
            </w:r>
          </w:p>
        </w:tc>
        <w:tc>
          <w:tcPr>
            <w:tcW w:w="0" w:type="auto"/>
          </w:tcPr>
          <w:p w14:paraId="4519A409"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Report against health promotion plan</w:t>
            </w:r>
          </w:p>
        </w:tc>
      </w:tr>
      <w:tr w:rsidR="00817104" w14:paraId="1D45AB26"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173D809F" w14:textId="77777777" w:rsidR="00817104" w:rsidRPr="00926A20" w:rsidRDefault="00817104" w:rsidP="00C972D3">
            <w:pPr>
              <w:pStyle w:val="Tabletext"/>
              <w:rPr>
                <w:szCs w:val="18"/>
                <w:lang w:eastAsia="en-AU"/>
              </w:rPr>
            </w:pPr>
            <w:r w:rsidRPr="00926A20">
              <w:rPr>
                <w:szCs w:val="18"/>
                <w:lang w:eastAsia="en-AU"/>
              </w:rPr>
              <w:t>28018</w:t>
            </w:r>
          </w:p>
        </w:tc>
        <w:tc>
          <w:tcPr>
            <w:tcW w:w="0" w:type="auto"/>
          </w:tcPr>
          <w:p w14:paraId="2D7C0DD5"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Family planning – health promotion</w:t>
            </w:r>
          </w:p>
        </w:tc>
        <w:tc>
          <w:tcPr>
            <w:tcW w:w="0" w:type="auto"/>
          </w:tcPr>
          <w:p w14:paraId="0B2B7574"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Report against health promotion plan</w:t>
            </w:r>
          </w:p>
        </w:tc>
      </w:tr>
      <w:tr w:rsidR="00817104" w14:paraId="10A45ACC"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C399A3" w14:textId="77777777" w:rsidR="00817104" w:rsidRPr="00926A20" w:rsidRDefault="00817104" w:rsidP="00C972D3">
            <w:pPr>
              <w:pStyle w:val="Tabletext"/>
              <w:rPr>
                <w:szCs w:val="18"/>
                <w:lang w:eastAsia="en-AU"/>
              </w:rPr>
            </w:pPr>
            <w:r w:rsidRPr="00926A20">
              <w:rPr>
                <w:szCs w:val="18"/>
                <w:lang w:eastAsia="en-AU"/>
              </w:rPr>
              <w:t>28048</w:t>
            </w:r>
          </w:p>
        </w:tc>
        <w:tc>
          <w:tcPr>
            <w:tcW w:w="0" w:type="auto"/>
          </w:tcPr>
          <w:p w14:paraId="2EE9CAF9"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Community Health Language Services</w:t>
            </w:r>
          </w:p>
        </w:tc>
        <w:tc>
          <w:tcPr>
            <w:tcW w:w="0" w:type="auto"/>
          </w:tcPr>
          <w:p w14:paraId="5A1C743E"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Community health MDS funding acquittal</w:t>
            </w:r>
          </w:p>
        </w:tc>
      </w:tr>
      <w:tr w:rsidR="00817104" w14:paraId="203FC28C"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0C3C09A5" w14:textId="77777777" w:rsidR="00817104" w:rsidRPr="00926A20" w:rsidRDefault="00817104" w:rsidP="00C972D3">
            <w:pPr>
              <w:pStyle w:val="Tabletext"/>
              <w:rPr>
                <w:szCs w:val="18"/>
                <w:lang w:eastAsia="en-AU"/>
              </w:rPr>
            </w:pPr>
            <w:r w:rsidRPr="00926A20">
              <w:rPr>
                <w:szCs w:val="18"/>
                <w:lang w:eastAsia="en-AU"/>
              </w:rPr>
              <w:t>28050</w:t>
            </w:r>
          </w:p>
        </w:tc>
        <w:tc>
          <w:tcPr>
            <w:tcW w:w="0" w:type="auto"/>
          </w:tcPr>
          <w:p w14:paraId="764AC7FE"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Women’s health – health promotion</w:t>
            </w:r>
          </w:p>
        </w:tc>
        <w:tc>
          <w:tcPr>
            <w:tcW w:w="0" w:type="auto"/>
          </w:tcPr>
          <w:p w14:paraId="2DE75F4C"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Report against health promotion plan</w:t>
            </w:r>
          </w:p>
        </w:tc>
      </w:tr>
      <w:tr w:rsidR="00817104" w14:paraId="64463FEA"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1749D4" w14:textId="77777777" w:rsidR="00817104" w:rsidRPr="00926A20" w:rsidRDefault="00817104" w:rsidP="00C972D3">
            <w:pPr>
              <w:pStyle w:val="Tabletext"/>
              <w:rPr>
                <w:szCs w:val="18"/>
                <w:lang w:eastAsia="en-AU"/>
              </w:rPr>
            </w:pPr>
            <w:r w:rsidRPr="00926A20">
              <w:rPr>
                <w:szCs w:val="18"/>
              </w:rPr>
              <w:t>28055</w:t>
            </w:r>
          </w:p>
        </w:tc>
        <w:tc>
          <w:tcPr>
            <w:tcW w:w="0" w:type="auto"/>
          </w:tcPr>
          <w:p w14:paraId="1D78231C"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rPr>
              <w:t>Health support for children in care</w:t>
            </w:r>
          </w:p>
        </w:tc>
        <w:tc>
          <w:tcPr>
            <w:tcW w:w="0" w:type="auto"/>
          </w:tcPr>
          <w:p w14:paraId="24E79B87"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rPr>
              <w:t>Community health MDS</w:t>
            </w:r>
          </w:p>
        </w:tc>
      </w:tr>
      <w:tr w:rsidR="00817104" w14:paraId="7FAAD6F4"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760EE4D9" w14:textId="77777777" w:rsidR="00817104" w:rsidRPr="00926A20" w:rsidRDefault="00817104" w:rsidP="00C972D3">
            <w:pPr>
              <w:pStyle w:val="Tabletext"/>
              <w:rPr>
                <w:szCs w:val="18"/>
                <w:lang w:eastAsia="en-AU"/>
              </w:rPr>
            </w:pPr>
            <w:r w:rsidRPr="00926A20">
              <w:rPr>
                <w:szCs w:val="18"/>
                <w:lang w:eastAsia="en-AU"/>
              </w:rPr>
              <w:t>28063</w:t>
            </w:r>
          </w:p>
        </w:tc>
        <w:tc>
          <w:tcPr>
            <w:tcW w:w="0" w:type="auto"/>
          </w:tcPr>
          <w:p w14:paraId="346E47CD"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Family planning – education and training</w:t>
            </w:r>
          </w:p>
        </w:tc>
        <w:tc>
          <w:tcPr>
            <w:tcW w:w="0" w:type="auto"/>
          </w:tcPr>
          <w:p w14:paraId="05C55DC4"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 xml:space="preserve">Quarterly report </w:t>
            </w:r>
          </w:p>
        </w:tc>
      </w:tr>
      <w:tr w:rsidR="00817104" w14:paraId="02A61367"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055C07" w14:textId="77777777" w:rsidR="00817104" w:rsidRPr="00926A20" w:rsidRDefault="00817104" w:rsidP="00C972D3">
            <w:pPr>
              <w:pStyle w:val="Tabletext"/>
              <w:rPr>
                <w:szCs w:val="18"/>
                <w:lang w:eastAsia="en-AU"/>
              </w:rPr>
            </w:pPr>
            <w:r w:rsidRPr="00926A20">
              <w:rPr>
                <w:szCs w:val="18"/>
                <w:lang w:eastAsia="en-AU"/>
              </w:rPr>
              <w:t>28064</w:t>
            </w:r>
          </w:p>
        </w:tc>
        <w:tc>
          <w:tcPr>
            <w:tcW w:w="0" w:type="auto"/>
          </w:tcPr>
          <w:p w14:paraId="60A86F74"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Family planning – clinical services and training</w:t>
            </w:r>
          </w:p>
        </w:tc>
        <w:tc>
          <w:tcPr>
            <w:tcW w:w="0" w:type="auto"/>
          </w:tcPr>
          <w:p w14:paraId="38C89919"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Community health MDS</w:t>
            </w:r>
          </w:p>
        </w:tc>
      </w:tr>
      <w:tr w:rsidR="00817104" w14:paraId="5302681E"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3842F630" w14:textId="77777777" w:rsidR="00817104" w:rsidRPr="00926A20" w:rsidRDefault="00817104" w:rsidP="00C972D3">
            <w:pPr>
              <w:pStyle w:val="Tabletext"/>
              <w:rPr>
                <w:szCs w:val="18"/>
                <w:lang w:eastAsia="en-AU"/>
              </w:rPr>
            </w:pPr>
            <w:r w:rsidRPr="00926A20">
              <w:rPr>
                <w:szCs w:val="18"/>
                <w:lang w:eastAsia="en-AU"/>
              </w:rPr>
              <w:t>28066</w:t>
            </w:r>
          </w:p>
        </w:tc>
        <w:tc>
          <w:tcPr>
            <w:tcW w:w="0" w:type="auto"/>
          </w:tcPr>
          <w:p w14:paraId="7BEB69E0"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Innovative Health Services for Homeless Youth</w:t>
            </w:r>
          </w:p>
        </w:tc>
        <w:tc>
          <w:tcPr>
            <w:tcW w:w="0" w:type="auto"/>
          </w:tcPr>
          <w:p w14:paraId="1149B070"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Community health MDS</w:t>
            </w:r>
          </w:p>
        </w:tc>
      </w:tr>
      <w:tr w:rsidR="00817104" w14:paraId="03261511"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611FEA" w14:textId="77777777" w:rsidR="00817104" w:rsidRPr="00926A20" w:rsidRDefault="00817104" w:rsidP="00C972D3">
            <w:pPr>
              <w:pStyle w:val="Tabletext"/>
              <w:rPr>
                <w:szCs w:val="18"/>
                <w:lang w:eastAsia="en-AU"/>
              </w:rPr>
            </w:pPr>
            <w:r w:rsidRPr="00926A20">
              <w:rPr>
                <w:szCs w:val="18"/>
                <w:lang w:eastAsia="en-AU"/>
              </w:rPr>
              <w:t>28068</w:t>
            </w:r>
          </w:p>
        </w:tc>
        <w:tc>
          <w:tcPr>
            <w:tcW w:w="0" w:type="auto"/>
          </w:tcPr>
          <w:p w14:paraId="0F1225C2"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 xml:space="preserve">Family planning </w:t>
            </w:r>
          </w:p>
        </w:tc>
        <w:tc>
          <w:tcPr>
            <w:tcW w:w="0" w:type="auto"/>
          </w:tcPr>
          <w:p w14:paraId="463F3D79"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Community health MDS</w:t>
            </w:r>
          </w:p>
        </w:tc>
      </w:tr>
      <w:tr w:rsidR="00817104" w14:paraId="3E483A21"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6702D2F0" w14:textId="77777777" w:rsidR="00817104" w:rsidRPr="00926A20" w:rsidRDefault="00817104" w:rsidP="00C972D3">
            <w:pPr>
              <w:pStyle w:val="Tabletext"/>
              <w:rPr>
                <w:szCs w:val="18"/>
                <w:lang w:eastAsia="en-AU"/>
              </w:rPr>
            </w:pPr>
            <w:r w:rsidRPr="00926A20">
              <w:rPr>
                <w:szCs w:val="18"/>
                <w:lang w:eastAsia="en-AU"/>
              </w:rPr>
              <w:t>28071</w:t>
            </w:r>
          </w:p>
        </w:tc>
        <w:tc>
          <w:tcPr>
            <w:tcW w:w="0" w:type="auto"/>
          </w:tcPr>
          <w:p w14:paraId="72633002"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Aboriginal services and support</w:t>
            </w:r>
          </w:p>
        </w:tc>
        <w:tc>
          <w:tcPr>
            <w:tcW w:w="0" w:type="auto"/>
          </w:tcPr>
          <w:p w14:paraId="6235A001"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Local reporting</w:t>
            </w:r>
          </w:p>
        </w:tc>
      </w:tr>
      <w:tr w:rsidR="00817104" w14:paraId="74117AB1"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EACFD0" w14:textId="77777777" w:rsidR="00817104" w:rsidRPr="00926A20" w:rsidRDefault="00817104" w:rsidP="00C972D3">
            <w:pPr>
              <w:pStyle w:val="Tabletext"/>
              <w:rPr>
                <w:szCs w:val="18"/>
                <w:lang w:eastAsia="en-AU"/>
              </w:rPr>
            </w:pPr>
            <w:r w:rsidRPr="00926A20">
              <w:rPr>
                <w:szCs w:val="18"/>
                <w:lang w:eastAsia="en-AU"/>
              </w:rPr>
              <w:t>28072</w:t>
            </w:r>
          </w:p>
        </w:tc>
        <w:tc>
          <w:tcPr>
            <w:tcW w:w="0" w:type="auto"/>
          </w:tcPr>
          <w:p w14:paraId="123357E0"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Integrated Chronic Disease Management</w:t>
            </w:r>
          </w:p>
        </w:tc>
        <w:tc>
          <w:tcPr>
            <w:tcW w:w="0" w:type="auto"/>
          </w:tcPr>
          <w:p w14:paraId="56BEE2D9"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Community health MDS</w:t>
            </w:r>
          </w:p>
        </w:tc>
      </w:tr>
      <w:tr w:rsidR="00817104" w14:paraId="16E227FA"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5D9CCCAA" w14:textId="77777777" w:rsidR="00817104" w:rsidRPr="00926A20" w:rsidRDefault="00817104" w:rsidP="00C972D3">
            <w:pPr>
              <w:pStyle w:val="Tabletext"/>
              <w:rPr>
                <w:szCs w:val="18"/>
                <w:lang w:eastAsia="en-AU"/>
              </w:rPr>
            </w:pPr>
            <w:r w:rsidRPr="00926A20">
              <w:rPr>
                <w:szCs w:val="18"/>
                <w:lang w:eastAsia="en-AU"/>
              </w:rPr>
              <w:t>28076</w:t>
            </w:r>
          </w:p>
        </w:tc>
        <w:tc>
          <w:tcPr>
            <w:tcW w:w="0" w:type="auto"/>
          </w:tcPr>
          <w:p w14:paraId="6364730B"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Refugee and asylum seeker health services</w:t>
            </w:r>
          </w:p>
        </w:tc>
        <w:tc>
          <w:tcPr>
            <w:tcW w:w="0" w:type="auto"/>
          </w:tcPr>
          <w:p w14:paraId="1F9E4C4F"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Community health MDS</w:t>
            </w:r>
          </w:p>
        </w:tc>
      </w:tr>
      <w:tr w:rsidR="00817104" w14:paraId="7F88A53C"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D245AEA" w14:textId="77777777" w:rsidR="00817104" w:rsidRPr="00926A20" w:rsidRDefault="00817104" w:rsidP="00C972D3">
            <w:pPr>
              <w:pStyle w:val="Tabletext"/>
              <w:rPr>
                <w:szCs w:val="18"/>
                <w:lang w:eastAsia="en-AU"/>
              </w:rPr>
            </w:pPr>
            <w:r w:rsidRPr="00926A20">
              <w:rPr>
                <w:szCs w:val="18"/>
                <w:lang w:eastAsia="en-AU"/>
              </w:rPr>
              <w:t>28080</w:t>
            </w:r>
          </w:p>
        </w:tc>
        <w:tc>
          <w:tcPr>
            <w:tcW w:w="0" w:type="auto"/>
          </w:tcPr>
          <w:p w14:paraId="76C0AC94"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Healthy Mothers Healthy Babies</w:t>
            </w:r>
          </w:p>
        </w:tc>
        <w:tc>
          <w:tcPr>
            <w:tcW w:w="0" w:type="auto"/>
          </w:tcPr>
          <w:p w14:paraId="58A9A76B"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Community health MDS</w:t>
            </w:r>
          </w:p>
        </w:tc>
      </w:tr>
      <w:tr w:rsidR="00817104" w14:paraId="72DC6425"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3837E82E" w14:textId="77777777" w:rsidR="00817104" w:rsidRPr="00926A20" w:rsidRDefault="00817104" w:rsidP="00C972D3">
            <w:pPr>
              <w:pStyle w:val="Tabletext"/>
              <w:rPr>
                <w:szCs w:val="18"/>
                <w:lang w:eastAsia="en-AU"/>
              </w:rPr>
            </w:pPr>
            <w:r w:rsidRPr="00926A20">
              <w:rPr>
                <w:szCs w:val="18"/>
                <w:lang w:eastAsia="en-AU"/>
              </w:rPr>
              <w:t>28081</w:t>
            </w:r>
          </w:p>
        </w:tc>
        <w:tc>
          <w:tcPr>
            <w:tcW w:w="0" w:type="auto"/>
          </w:tcPr>
          <w:p w14:paraId="53D31071"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 xml:space="preserve">National Diabetes Services Scheme </w:t>
            </w:r>
          </w:p>
        </w:tc>
        <w:tc>
          <w:tcPr>
            <w:tcW w:w="0" w:type="auto"/>
          </w:tcPr>
          <w:p w14:paraId="632A8FD2"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Monthly report</w:t>
            </w:r>
          </w:p>
        </w:tc>
      </w:tr>
      <w:tr w:rsidR="00817104" w14:paraId="0AB55068"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FADF1F" w14:textId="77777777" w:rsidR="00817104" w:rsidRPr="00926A20" w:rsidRDefault="00817104" w:rsidP="00C972D3">
            <w:pPr>
              <w:pStyle w:val="Tabletext"/>
              <w:rPr>
                <w:szCs w:val="18"/>
                <w:lang w:eastAsia="en-AU"/>
              </w:rPr>
            </w:pPr>
            <w:r w:rsidRPr="00926A20">
              <w:rPr>
                <w:szCs w:val="18"/>
                <w:lang w:eastAsia="en-AU"/>
              </w:rPr>
              <w:t>28085</w:t>
            </w:r>
          </w:p>
        </w:tc>
        <w:tc>
          <w:tcPr>
            <w:tcW w:w="0" w:type="auto"/>
          </w:tcPr>
          <w:p w14:paraId="324E6F85"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Community health – health promotion</w:t>
            </w:r>
          </w:p>
        </w:tc>
        <w:tc>
          <w:tcPr>
            <w:tcW w:w="0" w:type="auto"/>
          </w:tcPr>
          <w:p w14:paraId="06191132"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dstrike/>
                <w:szCs w:val="18"/>
                <w:u w:val="single"/>
                <w:lang w:eastAsia="en-AU"/>
              </w:rPr>
            </w:pPr>
            <w:r w:rsidRPr="00926A20">
              <w:rPr>
                <w:szCs w:val="18"/>
                <w:lang w:eastAsia="en-AU"/>
              </w:rPr>
              <w:t>Report against health promotion plan</w:t>
            </w:r>
          </w:p>
        </w:tc>
      </w:tr>
      <w:tr w:rsidR="00817104" w14:paraId="729AB67A"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68DA63D2" w14:textId="77777777" w:rsidR="00817104" w:rsidRPr="00926A20" w:rsidRDefault="00817104" w:rsidP="00C972D3">
            <w:pPr>
              <w:pStyle w:val="Tabletext"/>
              <w:rPr>
                <w:szCs w:val="18"/>
                <w:lang w:eastAsia="en-AU"/>
              </w:rPr>
            </w:pPr>
            <w:r w:rsidRPr="00926A20">
              <w:rPr>
                <w:szCs w:val="18"/>
                <w:lang w:eastAsia="en-AU"/>
              </w:rPr>
              <w:t>28086</w:t>
            </w:r>
          </w:p>
        </w:tc>
        <w:tc>
          <w:tcPr>
            <w:tcW w:w="0" w:type="auto"/>
          </w:tcPr>
          <w:p w14:paraId="1D34586A"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Community health</w:t>
            </w:r>
          </w:p>
        </w:tc>
        <w:tc>
          <w:tcPr>
            <w:tcW w:w="0" w:type="auto"/>
          </w:tcPr>
          <w:p w14:paraId="7C30AE46"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Community health MDS</w:t>
            </w:r>
          </w:p>
        </w:tc>
      </w:tr>
      <w:tr w:rsidR="00817104" w14:paraId="5199D612"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575AAF" w14:textId="77777777" w:rsidR="00817104" w:rsidRPr="00926A20" w:rsidRDefault="00817104" w:rsidP="00C972D3">
            <w:pPr>
              <w:pStyle w:val="Tabletext"/>
              <w:rPr>
                <w:szCs w:val="18"/>
                <w:lang w:eastAsia="en-AU"/>
              </w:rPr>
            </w:pPr>
            <w:r w:rsidRPr="00926A20">
              <w:rPr>
                <w:szCs w:val="18"/>
                <w:lang w:eastAsia="en-AU"/>
              </w:rPr>
              <w:t>28088</w:t>
            </w:r>
          </w:p>
        </w:tc>
        <w:tc>
          <w:tcPr>
            <w:tcW w:w="0" w:type="auto"/>
          </w:tcPr>
          <w:p w14:paraId="163EC8DD"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ACCO services – primary health</w:t>
            </w:r>
          </w:p>
        </w:tc>
        <w:tc>
          <w:tcPr>
            <w:tcW w:w="0" w:type="auto"/>
          </w:tcPr>
          <w:p w14:paraId="01AC7F3C"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Roundtable reporting</w:t>
            </w:r>
          </w:p>
        </w:tc>
      </w:tr>
      <w:tr w:rsidR="00817104" w:rsidRPr="008A243A" w14:paraId="3C97F323"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15B65001" w14:textId="77777777" w:rsidR="00817104" w:rsidRPr="00926A20" w:rsidRDefault="00817104" w:rsidP="00C972D3">
            <w:pPr>
              <w:pStyle w:val="Tabletext"/>
              <w:rPr>
                <w:szCs w:val="18"/>
                <w:lang w:eastAsia="en-AU"/>
              </w:rPr>
            </w:pPr>
            <w:r w:rsidRPr="00926A20">
              <w:rPr>
                <w:szCs w:val="18"/>
                <w:lang w:eastAsia="en-AU"/>
              </w:rPr>
              <w:t>28090</w:t>
            </w:r>
          </w:p>
        </w:tc>
        <w:tc>
          <w:tcPr>
            <w:tcW w:w="0" w:type="auto"/>
          </w:tcPr>
          <w:p w14:paraId="0E27EA38"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Multidisciplinary Centre – Community Health Nurse</w:t>
            </w:r>
          </w:p>
        </w:tc>
        <w:tc>
          <w:tcPr>
            <w:tcW w:w="0" w:type="auto"/>
          </w:tcPr>
          <w:p w14:paraId="2C510E22"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lang w:eastAsia="en-AU"/>
              </w:rPr>
              <w:t>Community health MDS</w:t>
            </w:r>
          </w:p>
        </w:tc>
      </w:tr>
      <w:tr w:rsidR="00817104" w:rsidRPr="008A243A" w14:paraId="33D24F04"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5755D1" w14:textId="77777777" w:rsidR="00817104" w:rsidRPr="00926A20" w:rsidRDefault="00817104" w:rsidP="00C972D3">
            <w:pPr>
              <w:pStyle w:val="Tabletext"/>
              <w:rPr>
                <w:szCs w:val="18"/>
                <w:lang w:eastAsia="en-AU"/>
              </w:rPr>
            </w:pPr>
            <w:r w:rsidRPr="00926A20">
              <w:rPr>
                <w:szCs w:val="18"/>
                <w:lang w:eastAsia="en-AU"/>
              </w:rPr>
              <w:t>28091</w:t>
            </w:r>
          </w:p>
        </w:tc>
        <w:tc>
          <w:tcPr>
            <w:tcW w:w="0" w:type="auto"/>
          </w:tcPr>
          <w:p w14:paraId="2D83ED12"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Community Asthma Program</w:t>
            </w:r>
          </w:p>
        </w:tc>
        <w:tc>
          <w:tcPr>
            <w:tcW w:w="0" w:type="auto"/>
          </w:tcPr>
          <w:p w14:paraId="392AA395"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Community health MDS</w:t>
            </w:r>
          </w:p>
        </w:tc>
      </w:tr>
      <w:tr w:rsidR="00817104" w:rsidRPr="008A243A" w14:paraId="5AA2060D"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262E15A9" w14:textId="77777777" w:rsidR="00817104" w:rsidRPr="00926A20" w:rsidRDefault="00817104" w:rsidP="00C972D3">
            <w:pPr>
              <w:pStyle w:val="Tabletext"/>
              <w:rPr>
                <w:szCs w:val="18"/>
                <w:lang w:eastAsia="en-AU"/>
              </w:rPr>
            </w:pPr>
            <w:r w:rsidRPr="00926A20">
              <w:rPr>
                <w:szCs w:val="18"/>
              </w:rPr>
              <w:lastRenderedPageBreak/>
              <w:t>28092</w:t>
            </w:r>
          </w:p>
        </w:tc>
        <w:tc>
          <w:tcPr>
            <w:tcW w:w="0" w:type="auto"/>
          </w:tcPr>
          <w:p w14:paraId="5101B9A1"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rPr>
              <w:t>Infant Child and Family health and Wellbeing Hubs</w:t>
            </w:r>
          </w:p>
        </w:tc>
        <w:tc>
          <w:tcPr>
            <w:tcW w:w="0" w:type="auto"/>
          </w:tcPr>
          <w:p w14:paraId="4A3B2908" w14:textId="77777777" w:rsidR="00817104" w:rsidRPr="00926A20" w:rsidRDefault="00817104" w:rsidP="00C972D3">
            <w:pPr>
              <w:pStyle w:val="Tabletext"/>
              <w:cnfStyle w:val="000000000000" w:firstRow="0" w:lastRow="0" w:firstColumn="0" w:lastColumn="0" w:oddVBand="0" w:evenVBand="0" w:oddHBand="0" w:evenHBand="0" w:firstRowFirstColumn="0" w:firstRowLastColumn="0" w:lastRowFirstColumn="0" w:lastRowLastColumn="0"/>
              <w:rPr>
                <w:szCs w:val="18"/>
                <w:lang w:eastAsia="en-AU"/>
              </w:rPr>
            </w:pPr>
            <w:r w:rsidRPr="00926A20">
              <w:rPr>
                <w:szCs w:val="18"/>
              </w:rPr>
              <w:t>Community health MDS</w:t>
            </w:r>
          </w:p>
        </w:tc>
      </w:tr>
      <w:tr w:rsidR="00817104" w:rsidRPr="008A243A" w14:paraId="4A7281A1"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CEFB04" w14:textId="77777777" w:rsidR="00817104" w:rsidRPr="00926A20" w:rsidRDefault="00817104" w:rsidP="00C972D3">
            <w:pPr>
              <w:pStyle w:val="Tabletext"/>
              <w:rPr>
                <w:szCs w:val="18"/>
                <w:lang w:eastAsia="en-AU"/>
              </w:rPr>
            </w:pPr>
            <w:r w:rsidRPr="00926A20">
              <w:rPr>
                <w:szCs w:val="18"/>
                <w:lang w:eastAsia="en-AU"/>
              </w:rPr>
              <w:t>35048</w:t>
            </w:r>
          </w:p>
        </w:tc>
        <w:tc>
          <w:tcPr>
            <w:tcW w:w="0" w:type="auto"/>
          </w:tcPr>
          <w:p w14:paraId="63807735"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Small Rural Primary Health Flexible Services</w:t>
            </w:r>
          </w:p>
        </w:tc>
        <w:tc>
          <w:tcPr>
            <w:tcW w:w="0" w:type="auto"/>
          </w:tcPr>
          <w:p w14:paraId="526A1348" w14:textId="77777777" w:rsidR="00817104" w:rsidRPr="00926A20" w:rsidRDefault="00817104" w:rsidP="00C972D3">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r w:rsidRPr="00926A20">
              <w:rPr>
                <w:szCs w:val="18"/>
                <w:lang w:eastAsia="en-AU"/>
              </w:rPr>
              <w:t>Community health MDS or other relevant data collection, if funding is used for another allowable purpose</w:t>
            </w:r>
          </w:p>
        </w:tc>
      </w:tr>
    </w:tbl>
    <w:p w14:paraId="25E3DA7A" w14:textId="749064DE" w:rsidR="00817104" w:rsidRDefault="00817104" w:rsidP="00817104">
      <w:pPr>
        <w:pStyle w:val="Heading2"/>
      </w:pPr>
      <w:bookmarkStart w:id="2822" w:name="_Toc165964784"/>
      <w:bookmarkStart w:id="2823" w:name="_Toc167174644"/>
      <w:bookmarkStart w:id="2824" w:name="_Toc224127351"/>
      <w:bookmarkStart w:id="2825" w:name="_Toc231982398"/>
      <w:r>
        <w:t>Workforce data reporting requirements</w:t>
      </w:r>
      <w:bookmarkEnd w:id="2822"/>
      <w:bookmarkEnd w:id="2823"/>
      <w:bookmarkEnd w:id="2824"/>
      <w:bookmarkEnd w:id="2825"/>
    </w:p>
    <w:p w14:paraId="31413DC2" w14:textId="77777777" w:rsidR="00817104" w:rsidRDefault="00817104" w:rsidP="00817104">
      <w:pPr>
        <w:pStyle w:val="Body"/>
      </w:pPr>
      <w:r>
        <w:t>Reporting is required against workforce programs and datasets to inform statewide policy, planning and funding, and to ensure effective investment in the development of Victoria’s future workforce.</w:t>
      </w:r>
    </w:p>
    <w:p w14:paraId="2EEB013C" w14:textId="627A8405" w:rsidR="00817104" w:rsidRDefault="00817104" w:rsidP="00817104">
      <w:pPr>
        <w:pStyle w:val="Heading3"/>
      </w:pPr>
      <w:r>
        <w:t xml:space="preserve">Health services payroll and </w:t>
      </w:r>
      <w:r w:rsidRPr="004328C5">
        <w:t>workforce</w:t>
      </w:r>
      <w:r>
        <w:t xml:space="preserve"> minimum employee dataset</w:t>
      </w:r>
    </w:p>
    <w:p w14:paraId="089B38C3" w14:textId="77777777" w:rsidR="00817104" w:rsidRDefault="00817104" w:rsidP="00817104">
      <w:pPr>
        <w:pStyle w:val="Body"/>
      </w:pPr>
      <w:r>
        <w:t xml:space="preserve">Health services must transmit information detailed in the </w:t>
      </w:r>
      <w:r w:rsidRPr="0049240F">
        <w:t xml:space="preserve">Health Services Payroll </w:t>
      </w:r>
      <w:r>
        <w:t>a</w:t>
      </w:r>
      <w:r w:rsidRPr="0049240F">
        <w:t>nd Workforce Minimum Employee Dataset – Data Dictionary</w:t>
      </w:r>
      <w:r>
        <w:t xml:space="preserve"> to the department. Data must be transmitted to the department by the tenth day of the following month, or the prior working day, if the tenth day of the following month falls on a weekend or public holiday. Payroll data is required monthly, while workforce information is required biannually, covering the periods ending 31 December and 30 June each year.</w:t>
      </w:r>
    </w:p>
    <w:p w14:paraId="45DD3BC6" w14:textId="77777777" w:rsidR="00817104" w:rsidRPr="00993142" w:rsidRDefault="00817104" w:rsidP="00817104">
      <w:pPr>
        <w:pStyle w:val="Body"/>
      </w:pPr>
      <w:r>
        <w:t>Where health services undertake their own payroll processing, they must transmit the information directly to the department. In cases where health services engage a payroll bureau to process their payroll, health services may authorise the bureau to transmit the data to the department on their behalf. However, health services remain responsible for the accuracy of the data transmitted.</w:t>
      </w:r>
    </w:p>
    <w:p w14:paraId="534AF7D7" w14:textId="77777777" w:rsidR="00817104" w:rsidRDefault="00817104" w:rsidP="00817104">
      <w:pPr>
        <w:pStyle w:val="Body"/>
      </w:pPr>
      <w:r>
        <w:t>Where a health service decides to change payroll providers, it will be necessary to complete an accreditation process, prior to the change, to ensure continuity of data transmission to the department will not be compromised.</w:t>
      </w:r>
    </w:p>
    <w:p w14:paraId="7E12D5EF" w14:textId="112798E6" w:rsidR="00817104" w:rsidRDefault="00817104" w:rsidP="00817104">
      <w:pPr>
        <w:pStyle w:val="Heading2"/>
      </w:pPr>
      <w:bookmarkStart w:id="2826" w:name="_Toc165964785"/>
      <w:bookmarkStart w:id="2827" w:name="_Toc167174645"/>
      <w:bookmarkStart w:id="2828" w:name="_Toc224127352"/>
      <w:bookmarkStart w:id="2829" w:name="_Toc231982399"/>
      <w:r>
        <w:t>Training and d</w:t>
      </w:r>
      <w:r w:rsidRPr="004328C5">
        <w:t>evelopment</w:t>
      </w:r>
      <w:r>
        <w:t xml:space="preserve"> funding reporting and eligibility requirements</w:t>
      </w:r>
      <w:bookmarkEnd w:id="2826"/>
      <w:bookmarkEnd w:id="2827"/>
      <w:bookmarkEnd w:id="2828"/>
      <w:bookmarkEnd w:id="2829"/>
    </w:p>
    <w:p w14:paraId="33A62211" w14:textId="3721644E" w:rsidR="00817104" w:rsidRDefault="00817104" w:rsidP="00817104">
      <w:pPr>
        <w:pStyle w:val="Heading3"/>
      </w:pPr>
      <w:r>
        <w:t>Eligibility requirements</w:t>
      </w:r>
    </w:p>
    <w:p w14:paraId="0775C3EA" w14:textId="77777777" w:rsidR="00817104" w:rsidRDefault="00817104" w:rsidP="00817104">
      <w:pPr>
        <w:pStyle w:val="Body"/>
      </w:pPr>
      <w:r w:rsidRPr="00E4182D">
        <w:t>All public hospitals, metropolitan health services and multi-purpose services identified in schedules 1</w:t>
      </w:r>
      <w:r>
        <w:t>–</w:t>
      </w:r>
      <w:r w:rsidRPr="00E4182D">
        <w:t xml:space="preserve">5 of the </w:t>
      </w:r>
      <w:r w:rsidRPr="002D6AE5">
        <w:rPr>
          <w:i/>
          <w:iCs/>
        </w:rPr>
        <w:t xml:space="preserve">Health Services Act 1988 </w:t>
      </w:r>
      <w:r w:rsidRPr="00E4182D">
        <w:t xml:space="preserve">are eligible for core acute clinical workforce </w:t>
      </w:r>
      <w:r>
        <w:t>training and development</w:t>
      </w:r>
      <w:r w:rsidRPr="00E4182D">
        <w:t xml:space="preserve"> funding.</w:t>
      </w:r>
    </w:p>
    <w:p w14:paraId="4BE9A466" w14:textId="77777777" w:rsidR="00817104" w:rsidRPr="002E71F4" w:rsidRDefault="00817104" w:rsidP="00817104">
      <w:pPr>
        <w:pStyle w:val="Body"/>
      </w:pPr>
      <w:r w:rsidRPr="00D1655D">
        <w:t>To receive funding, organisations must: </w:t>
      </w:r>
    </w:p>
    <w:p w14:paraId="5D54C654" w14:textId="77777777" w:rsidR="00817104" w:rsidRPr="002F1FF1" w:rsidRDefault="00817104" w:rsidP="00817104">
      <w:pPr>
        <w:pStyle w:val="Bullet1"/>
        <w:numPr>
          <w:ilvl w:val="0"/>
          <w:numId w:val="2"/>
        </w:numPr>
      </w:pPr>
      <w:r>
        <w:t>e</w:t>
      </w:r>
      <w:r w:rsidRPr="002F1FF1">
        <w:t xml:space="preserve">nsure all funded programs conform to the most recent version of the </w:t>
      </w:r>
      <w:r w:rsidRPr="0049240F">
        <w:t xml:space="preserve">Training and </w:t>
      </w:r>
      <w:r>
        <w:t>d</w:t>
      </w:r>
      <w:r w:rsidRPr="0049240F">
        <w:t xml:space="preserve">evelopment </w:t>
      </w:r>
      <w:r>
        <w:t>f</w:t>
      </w:r>
      <w:r w:rsidRPr="0049240F">
        <w:t>unding</w:t>
      </w:r>
      <w:r>
        <w:t xml:space="preserve"> –</w:t>
      </w:r>
      <w:r w:rsidRPr="0049240F">
        <w:t xml:space="preserve"> Program </w:t>
      </w:r>
      <w:r>
        <w:t>g</w:t>
      </w:r>
      <w:r w:rsidRPr="0049240F">
        <w:t>uidelines</w:t>
      </w:r>
      <w:r w:rsidRPr="00A166D1">
        <w:t>,</w:t>
      </w:r>
      <w:r w:rsidRPr="002F1FF1">
        <w:t xml:space="preserve"> including the guidelines and standards set by A</w:t>
      </w:r>
      <w:r>
        <w:t>hpra</w:t>
      </w:r>
      <w:r w:rsidRPr="002F1FF1">
        <w:t xml:space="preserve"> and the national health practitioner boards</w:t>
      </w:r>
    </w:p>
    <w:p w14:paraId="1849663A" w14:textId="77777777" w:rsidR="00817104" w:rsidRPr="002F1FF1" w:rsidRDefault="00817104" w:rsidP="00817104">
      <w:pPr>
        <w:pStyle w:val="Bullet1"/>
        <w:numPr>
          <w:ilvl w:val="0"/>
          <w:numId w:val="2"/>
        </w:numPr>
      </w:pPr>
      <w:r w:rsidRPr="002F1FF1">
        <w:t xml:space="preserve">comply with specific eligibility and reporting requirements for each stream </w:t>
      </w:r>
    </w:p>
    <w:p w14:paraId="52E36D26" w14:textId="77777777" w:rsidR="00817104" w:rsidRDefault="00817104" w:rsidP="00817104">
      <w:pPr>
        <w:pStyle w:val="Bullet1"/>
        <w:numPr>
          <w:ilvl w:val="0"/>
          <w:numId w:val="2"/>
        </w:numPr>
      </w:pPr>
      <w:r w:rsidRPr="002F1FF1">
        <w:t xml:space="preserve">report against the externally reportable </w:t>
      </w:r>
      <w:r w:rsidRPr="0049240F">
        <w:rPr>
          <w:i/>
          <w:iCs/>
        </w:rPr>
        <w:t>Best Practice Clinical Learning Environment Framework</w:t>
      </w:r>
      <w:r w:rsidRPr="002F1FF1">
        <w:t xml:space="preserve"> </w:t>
      </w:r>
      <w:r>
        <w:t>measures.</w:t>
      </w:r>
    </w:p>
    <w:p w14:paraId="79DF3FD7" w14:textId="77777777" w:rsidR="00817104" w:rsidRPr="002E71F4" w:rsidRDefault="00817104" w:rsidP="00817104">
      <w:pPr>
        <w:pStyle w:val="Bodyafterbullets"/>
      </w:pPr>
      <w:r w:rsidRPr="00281A39">
        <w:lastRenderedPageBreak/>
        <w:t xml:space="preserve">For more information regarding the </w:t>
      </w:r>
      <w:r>
        <w:t>f</w:t>
      </w:r>
      <w:r w:rsidRPr="00281A39">
        <w:t xml:space="preserve">ramework, and </w:t>
      </w:r>
      <w:r>
        <w:t xml:space="preserve">eligibility requirements </w:t>
      </w:r>
      <w:r w:rsidRPr="00281A39">
        <w:t xml:space="preserve">detailed </w:t>
      </w:r>
      <w:r>
        <w:t>in the</w:t>
      </w:r>
      <w:r w:rsidRPr="00281A39">
        <w:t xml:space="preserve"> </w:t>
      </w:r>
      <w:r>
        <w:t>current</w:t>
      </w:r>
      <w:r w:rsidRPr="00281A39">
        <w:t xml:space="preserve"> </w:t>
      </w:r>
      <w:r w:rsidRPr="00204110">
        <w:t>Training and Development Funding</w:t>
      </w:r>
      <w:r>
        <w:t xml:space="preserve"> –</w:t>
      </w:r>
      <w:r w:rsidRPr="00204110">
        <w:t xml:space="preserve"> </w:t>
      </w:r>
      <w:r>
        <w:t>P</w:t>
      </w:r>
      <w:r w:rsidRPr="00204110">
        <w:t xml:space="preserve">rogram </w:t>
      </w:r>
      <w:r>
        <w:t>G</w:t>
      </w:r>
      <w:r w:rsidRPr="00204110">
        <w:t>uidelines</w:t>
      </w:r>
      <w:r w:rsidRPr="00281A39">
        <w:t>, visit:</w:t>
      </w:r>
      <w:r w:rsidRPr="00D1655D">
        <w:t> </w:t>
      </w:r>
    </w:p>
    <w:p w14:paraId="04A110AC" w14:textId="77777777" w:rsidR="00817104" w:rsidRPr="002E71F4" w:rsidRDefault="00817104" w:rsidP="00817104">
      <w:pPr>
        <w:pStyle w:val="Bullet1"/>
        <w:numPr>
          <w:ilvl w:val="0"/>
          <w:numId w:val="2"/>
        </w:numPr>
      </w:pPr>
      <w:hyperlink r:id="rId511">
        <w:r w:rsidRPr="0049240F">
          <w:rPr>
            <w:rStyle w:val="Hyperlink"/>
            <w:rFonts w:eastAsia="MS Mincho" w:cs="Arial"/>
            <w:i/>
            <w:iCs/>
          </w:rPr>
          <w:t>Best Practice Clinical Learning Environment Framework</w:t>
        </w:r>
      </w:hyperlink>
      <w:r w:rsidRPr="0670E279">
        <w:rPr>
          <w:rFonts w:eastAsia="MS Mincho" w:cs="Arial"/>
          <w:color w:val="000000" w:themeColor="text1"/>
        </w:rPr>
        <w:t xml:space="preserve"> </w:t>
      </w:r>
      <w:r w:rsidRPr="00281A39">
        <w:t>&lt;https://www.</w:t>
      </w:r>
      <w:r w:rsidRPr="00D1655D">
        <w:t>health</w:t>
      </w:r>
      <w:r w:rsidRPr="00281A39">
        <w:t>.vic.gov.au/education-and-training/best-practice-clinical-learning-environment-bpcle-framework&gt; </w:t>
      </w:r>
    </w:p>
    <w:p w14:paraId="320949D0" w14:textId="77777777" w:rsidR="00817104" w:rsidRPr="00F15583" w:rsidRDefault="00817104" w:rsidP="00817104">
      <w:pPr>
        <w:pStyle w:val="Bullet1"/>
        <w:numPr>
          <w:ilvl w:val="0"/>
          <w:numId w:val="2"/>
        </w:numPr>
      </w:pPr>
      <w:hyperlink r:id="rId512">
        <w:r>
          <w:rPr>
            <w:rStyle w:val="Hyperlink"/>
            <w:rFonts w:eastAsia="MS Mincho" w:cs="Arial"/>
          </w:rPr>
          <w:t>Training and development funding</w:t>
        </w:r>
      </w:hyperlink>
      <w:r>
        <w:t xml:space="preserve"> </w:t>
      </w:r>
      <w:r w:rsidRPr="00281A39">
        <w:t>&lt;https://www.</w:t>
      </w:r>
      <w:r w:rsidRPr="00D1655D">
        <w:t>health</w:t>
      </w:r>
      <w:r w:rsidRPr="00281A39">
        <w:t>.vic.gov.au/education-and-training/training-and-development-funding&gt;</w:t>
      </w:r>
      <w:r>
        <w:t>.</w:t>
      </w:r>
      <w:r w:rsidRPr="00281A39">
        <w:t> </w:t>
      </w:r>
    </w:p>
    <w:p w14:paraId="2961744D" w14:textId="1711D962" w:rsidR="00817104" w:rsidRDefault="00817104" w:rsidP="00817104">
      <w:pPr>
        <w:pStyle w:val="Heading2"/>
      </w:pPr>
      <w:bookmarkStart w:id="2830" w:name="_Toc165964786"/>
      <w:bookmarkStart w:id="2831" w:name="_Toc167174646"/>
      <w:bookmarkStart w:id="2832" w:name="_Toc224127353"/>
      <w:bookmarkStart w:id="2833" w:name="_Toc231982400"/>
      <w:r>
        <w:t>Commonwealth–state reporting requirements</w:t>
      </w:r>
      <w:bookmarkEnd w:id="2830"/>
      <w:bookmarkEnd w:id="2831"/>
      <w:bookmarkEnd w:id="2832"/>
      <w:bookmarkEnd w:id="2833"/>
    </w:p>
    <w:p w14:paraId="1AB7693E" w14:textId="22CD3E4C" w:rsidR="00817104" w:rsidRPr="009144EA" w:rsidRDefault="00817104" w:rsidP="00817104">
      <w:pPr>
        <w:pStyle w:val="Heading3"/>
      </w:pPr>
      <w:r w:rsidRPr="009144EA">
        <w:t>Intergovernmental agreements</w:t>
      </w:r>
    </w:p>
    <w:p w14:paraId="094D3D01" w14:textId="77777777" w:rsidR="00817104" w:rsidRPr="009144EA" w:rsidRDefault="00817104" w:rsidP="00817104">
      <w:pPr>
        <w:pStyle w:val="Body"/>
      </w:pPr>
      <w:r w:rsidRPr="009144EA">
        <w:t xml:space="preserve">Funded organisations may receive payments arising from Commonwealth–state agreements outside of the </w:t>
      </w:r>
      <w:r w:rsidRPr="002D6AE5">
        <w:t>NHRA</w:t>
      </w:r>
      <w:r w:rsidRPr="009144EA">
        <w:t xml:space="preserve">, including Commonwealth own-purpose expenditure and intergovernmental agreements. </w:t>
      </w:r>
    </w:p>
    <w:p w14:paraId="7329FBCB" w14:textId="77777777" w:rsidR="00817104" w:rsidRPr="009144EA" w:rsidRDefault="00817104" w:rsidP="00817104">
      <w:pPr>
        <w:pStyle w:val="Body"/>
      </w:pPr>
      <w:r w:rsidRPr="009144EA">
        <w:t>Funding received under such arrangements is subject to each program’s specific conditions of funding. Organisations funded under Commonwealth–state programs must submit regular reports, as required for the Commonwealth. In most cases, the department will submit these reports to the Commonwealth</w:t>
      </w:r>
      <w:r>
        <w:t>.</w:t>
      </w:r>
    </w:p>
    <w:p w14:paraId="2CAD8FEF" w14:textId="77777777" w:rsidR="00817104" w:rsidRPr="009144EA" w:rsidRDefault="00817104" w:rsidP="00817104">
      <w:pPr>
        <w:pStyle w:val="Body"/>
      </w:pPr>
      <w:r w:rsidRPr="009144EA">
        <w:t>The information required and timelines for individual programs are detailed in the applicable agreements with the Commonwealth and the guidelines applicable to the appropriate Commonwealth–state programs.</w:t>
      </w:r>
    </w:p>
    <w:p w14:paraId="1977A0F6" w14:textId="36DBBE34" w:rsidR="00817104" w:rsidRPr="009144EA" w:rsidRDefault="00817104" w:rsidP="00817104">
      <w:pPr>
        <w:pStyle w:val="Heading3"/>
      </w:pPr>
      <w:r w:rsidRPr="009144EA">
        <w:t>National Health Information Agreement</w:t>
      </w:r>
    </w:p>
    <w:p w14:paraId="1D66CEBE" w14:textId="77777777" w:rsidR="00817104" w:rsidRDefault="00817104" w:rsidP="00817104">
      <w:pPr>
        <w:pStyle w:val="Body"/>
      </w:pPr>
      <w:r w:rsidRPr="009144EA">
        <w:t xml:space="preserve">Under the National Health Information Agreement, states and territories provide Public Hospital Establishment and Local Health Network data, in addition to public hospital activity data, to the Australian Institute of Health and Welfare for inclusion in </w:t>
      </w:r>
      <w:r>
        <w:t>n</w:t>
      </w:r>
      <w:r w:rsidRPr="009144EA">
        <w:t xml:space="preserve">ational </w:t>
      </w:r>
      <w:r>
        <w:t>MDS</w:t>
      </w:r>
      <w:r w:rsidRPr="009144EA">
        <w:t>s.</w:t>
      </w:r>
      <w:r w:rsidRPr="0086340A">
        <w:t xml:space="preserve"> </w:t>
      </w:r>
    </w:p>
    <w:p w14:paraId="0C160C8B" w14:textId="271CAD81" w:rsidR="00817104" w:rsidRDefault="00817104" w:rsidP="00817104">
      <w:pPr>
        <w:pStyle w:val="Heading2"/>
      </w:pPr>
      <w:bookmarkStart w:id="2834" w:name="_Environmental_data_and"/>
      <w:bookmarkStart w:id="2835" w:name="_29.11_Environmental_data"/>
      <w:bookmarkStart w:id="2836" w:name="_Ref164684144"/>
      <w:bookmarkStart w:id="2837" w:name="_Toc165964787"/>
      <w:bookmarkStart w:id="2838" w:name="_Toc167174647"/>
      <w:bookmarkStart w:id="2839" w:name="_Toc224127354"/>
      <w:bookmarkStart w:id="2840" w:name="_Toc231982401"/>
      <w:bookmarkEnd w:id="2834"/>
      <w:bookmarkEnd w:id="2835"/>
      <w:r>
        <w:t xml:space="preserve">Environmental data and </w:t>
      </w:r>
      <w:r w:rsidRPr="006A0ADC">
        <w:t>reporting</w:t>
      </w:r>
      <w:r>
        <w:t xml:space="preserve"> requirements</w:t>
      </w:r>
      <w:bookmarkEnd w:id="2836"/>
      <w:bookmarkEnd w:id="2837"/>
      <w:bookmarkEnd w:id="2838"/>
      <w:bookmarkEnd w:id="2839"/>
      <w:bookmarkEnd w:id="2840"/>
    </w:p>
    <w:p w14:paraId="44EBE8D8" w14:textId="77777777" w:rsidR="00817104" w:rsidRPr="00E40280" w:rsidRDefault="00817104" w:rsidP="00817104">
      <w:pPr>
        <w:pStyle w:val="Body"/>
      </w:pPr>
      <w:r w:rsidRPr="00E40280">
        <w:t xml:space="preserve">FRD 24 introduced whole-of-government reporting requirements </w:t>
      </w:r>
      <w:r>
        <w:t>from the</w:t>
      </w:r>
      <w:r w:rsidRPr="00E40280">
        <w:t xml:space="preserve"> 2022</w:t>
      </w:r>
      <w:r>
        <w:t>–</w:t>
      </w:r>
      <w:r w:rsidRPr="00E40280">
        <w:t>23 reporting year</w:t>
      </w:r>
      <w:r>
        <w:t xml:space="preserve"> onwards,</w:t>
      </w:r>
      <w:r w:rsidRPr="00E40280">
        <w:t xml:space="preserve"> including new reporting obligations for Victorian public hospitals, health services</w:t>
      </w:r>
      <w:r>
        <w:t>,</w:t>
      </w:r>
      <w:r w:rsidRPr="00E40280">
        <w:t xml:space="preserve"> cemetery</w:t>
      </w:r>
      <w:r>
        <w:t xml:space="preserve"> trusts and agency buildings</w:t>
      </w:r>
      <w:r w:rsidRPr="00E40280">
        <w:t xml:space="preserve">. Data reported through the FRD 24 process is used to inform environmental indicators and associated commentary in health service annual reports. </w:t>
      </w:r>
    </w:p>
    <w:p w14:paraId="295070B9" w14:textId="77777777" w:rsidR="00817104" w:rsidRDefault="00817104" w:rsidP="00817104">
      <w:pPr>
        <w:pStyle w:val="Body"/>
      </w:pPr>
      <w:r w:rsidRPr="00E40280">
        <w:t>The department’s Environmental Data Management System (EDMS) has been configured to meet FRD 24 quantitative reporting requirements with routine updates made to the platform to ensure reporting fields correspond to reporting requisites. FRD</w:t>
      </w:r>
      <w:r>
        <w:t xml:space="preserve"> </w:t>
      </w:r>
      <w:r w:rsidRPr="00E40280">
        <w:t>24 provides flexibility for the reporting period</w:t>
      </w:r>
      <w:r>
        <w:t>,</w:t>
      </w:r>
      <w:r w:rsidRPr="00E40280">
        <w:t xml:space="preserve"> with the </w:t>
      </w:r>
      <w:r>
        <w:t>d</w:t>
      </w:r>
      <w:r w:rsidRPr="00E40280">
        <w:t xml:space="preserve">epartment moving to an annual reporting period of 1 April to 31 March from </w:t>
      </w:r>
      <w:r>
        <w:t xml:space="preserve">the </w:t>
      </w:r>
      <w:r w:rsidRPr="00E40280">
        <w:t xml:space="preserve">2023–24 reporting year onwards. </w:t>
      </w:r>
    </w:p>
    <w:p w14:paraId="0E014346" w14:textId="77777777" w:rsidR="00817104" w:rsidRDefault="00817104" w:rsidP="00817104">
      <w:pPr>
        <w:pStyle w:val="Body"/>
      </w:pPr>
      <w:r>
        <w:t>For r</w:t>
      </w:r>
      <w:r w:rsidRPr="00E40280">
        <w:t>eporting guidance for hospitals and health services</w:t>
      </w:r>
      <w:r>
        <w:t>, visit:</w:t>
      </w:r>
    </w:p>
    <w:p w14:paraId="617E94A4" w14:textId="77777777" w:rsidR="00817104" w:rsidRDefault="00817104" w:rsidP="00817104">
      <w:pPr>
        <w:pStyle w:val="Bullet1"/>
        <w:numPr>
          <w:ilvl w:val="0"/>
          <w:numId w:val="2"/>
        </w:numPr>
      </w:pPr>
      <w:hyperlink r:id="rId513" w:history="1">
        <w:r>
          <w:rPr>
            <w:rStyle w:val="Hyperlink"/>
          </w:rPr>
          <w:t>Public</w:t>
        </w:r>
        <w:r w:rsidRPr="00454C39">
          <w:rPr>
            <w:rStyle w:val="Hyperlink"/>
          </w:rPr>
          <w:t xml:space="preserve"> environmental </w:t>
        </w:r>
        <w:r>
          <w:rPr>
            <w:rStyle w:val="Hyperlink"/>
          </w:rPr>
          <w:t>reporting guidelines</w:t>
        </w:r>
      </w:hyperlink>
      <w:r w:rsidRPr="00E40280">
        <w:t xml:space="preserve"> </w:t>
      </w:r>
      <w:r>
        <w:t>&lt;</w:t>
      </w:r>
      <w:r w:rsidRPr="00454C39">
        <w:t>https://www.health.vic.gov.au/publications/public-environmental-reporting-guidelines</w:t>
      </w:r>
      <w:r>
        <w:t>&gt;</w:t>
      </w:r>
    </w:p>
    <w:p w14:paraId="50194AF8" w14:textId="77777777" w:rsidR="00817104" w:rsidRPr="00E40280" w:rsidRDefault="00817104" w:rsidP="00817104">
      <w:pPr>
        <w:pStyle w:val="Bullet1"/>
        <w:numPr>
          <w:ilvl w:val="0"/>
          <w:numId w:val="2"/>
        </w:numPr>
      </w:pPr>
      <w:hyperlink r:id="rId514" w:tgtFrame="_blank" w:history="1">
        <w:r w:rsidRPr="00E40280">
          <w:rPr>
            <w:rStyle w:val="Hyperlink"/>
          </w:rPr>
          <w:t>Government environmental reporting</w:t>
        </w:r>
      </w:hyperlink>
      <w:r w:rsidRPr="00E40280">
        <w:t xml:space="preserve"> &lt;https://www.climatechange.vic.gov.au/victorian-government-action-on-climate-change/government-environmental-reporting&gt;. </w:t>
      </w:r>
    </w:p>
    <w:p w14:paraId="755DDB71" w14:textId="77777777" w:rsidR="00817104" w:rsidRDefault="00817104" w:rsidP="00817104">
      <w:pPr>
        <w:pStyle w:val="Bodyafterbullets"/>
      </w:pPr>
      <w:r w:rsidRPr="00E40280">
        <w:lastRenderedPageBreak/>
        <w:t>Public hospitals and health services are required to upload data on procured services for electricity, natural gas, water, waste, transport services (including air travel) in the EDMS to meet environmental reporting requirements</w:t>
      </w:r>
      <w:r>
        <w:t xml:space="preserve"> </w:t>
      </w:r>
      <w:r w:rsidRPr="00E40280">
        <w:t>(</w:t>
      </w:r>
      <w:r>
        <w:t xml:space="preserve">see </w:t>
      </w:r>
      <w:hyperlink w:anchor="_23.5_Health_service" w:history="1">
        <w:r w:rsidRPr="002D6AE5">
          <w:rPr>
            <w:rStyle w:val="Hyperlink"/>
          </w:rPr>
          <w:t>section 23.5</w:t>
        </w:r>
      </w:hyperlink>
      <w:r w:rsidRPr="00E40280">
        <w:t>). This can include liquefied petroleum gas, small sites on retail energy contracts, non-potable water (where metered) and specialist recycling streams.</w:t>
      </w:r>
    </w:p>
    <w:p w14:paraId="2CB8659A" w14:textId="77777777" w:rsidR="00817104" w:rsidRDefault="00817104" w:rsidP="00817104">
      <w:pPr>
        <w:pStyle w:val="Bodyafterbullets"/>
      </w:pPr>
      <w:r w:rsidRPr="00E40280">
        <w:t>For all operational vehicles, health services will need to provide details for non</w:t>
      </w:r>
      <w:r>
        <w:t>-</w:t>
      </w:r>
      <w:r w:rsidRPr="00E40280">
        <w:t>VicFleet vehicles. Please note the department has access to information on VicFleet vehicles and this does not need to be provided by health services. Public hospitals and health services are to configure any behind-the-meter solar arrays to automatically feed net generation data into the EDMS.</w:t>
      </w:r>
    </w:p>
    <w:p w14:paraId="391E9FFC" w14:textId="77777777" w:rsidR="00817104" w:rsidRPr="00E40280" w:rsidRDefault="00817104" w:rsidP="00817104">
      <w:pPr>
        <w:pStyle w:val="Bodyafterbullets"/>
      </w:pPr>
      <w:r w:rsidRPr="00E40280">
        <w:t xml:space="preserve">For advice on how to configure this, visit </w:t>
      </w:r>
      <w:hyperlink r:id="rId515">
        <w:r w:rsidRPr="00E40280">
          <w:rPr>
            <w:rStyle w:val="Hyperlink"/>
          </w:rPr>
          <w:t>Reporting solar photovoltaic data</w:t>
        </w:r>
      </w:hyperlink>
      <w:r w:rsidRPr="00E40280">
        <w:t xml:space="preserve"> &lt;https://www.vhba.vic.gov.au/reporting-solar-photovoltaic-data&gt;.</w:t>
      </w:r>
    </w:p>
    <w:p w14:paraId="66EC549F" w14:textId="77777777" w:rsidR="00817104" w:rsidRDefault="00817104" w:rsidP="00817104">
      <w:pPr>
        <w:pStyle w:val="Body"/>
      </w:pPr>
      <w:r w:rsidRPr="00E40280">
        <w:t xml:space="preserve">For access to the EDMS, visit </w:t>
      </w:r>
      <w:hyperlink r:id="rId516">
        <w:r w:rsidRPr="00E40280">
          <w:rPr>
            <w:rStyle w:val="Hyperlink"/>
          </w:rPr>
          <w:t>Eden Suite</w:t>
        </w:r>
      </w:hyperlink>
      <w:r w:rsidRPr="00E40280">
        <w:t xml:space="preserve"> </w:t>
      </w:r>
      <w:r>
        <w:t>&lt;</w:t>
      </w:r>
      <w:r w:rsidRPr="002D6AE5">
        <w:t>https://dse.edensuite.com.au</w:t>
      </w:r>
      <w:r>
        <w:t>&gt; (requires login)</w:t>
      </w:r>
      <w:r w:rsidRPr="00E40280">
        <w:t xml:space="preserve">. Eden Suite is the software used to host the department’s </w:t>
      </w:r>
      <w:r>
        <w:t>EDMS.</w:t>
      </w:r>
    </w:p>
    <w:p w14:paraId="13773BF2" w14:textId="77777777" w:rsidR="00817104" w:rsidRPr="00E40280" w:rsidRDefault="00817104" w:rsidP="00817104">
      <w:pPr>
        <w:pStyle w:val="Body"/>
      </w:pPr>
      <w:r>
        <w:t>For more</w:t>
      </w:r>
      <w:r w:rsidRPr="00E40280">
        <w:t xml:space="preserve"> information concerning manual uploading requirements for health services</w:t>
      </w:r>
      <w:r>
        <w:t>, visit</w:t>
      </w:r>
      <w:r w:rsidRPr="00E40280">
        <w:t xml:space="preserve"> </w:t>
      </w:r>
      <w:hyperlink r:id="rId517" w:history="1">
        <w:r w:rsidRPr="009F2770">
          <w:rPr>
            <w:rStyle w:val="Hyperlink"/>
          </w:rPr>
          <w:t>Public environmental reporting guidelines</w:t>
        </w:r>
      </w:hyperlink>
      <w:r>
        <w:t xml:space="preserve"> &lt;</w:t>
      </w:r>
      <w:r w:rsidRPr="00361F89">
        <w:t>https://www.health.vic.gov.au/publications/public-environmental-reporting-guidelines</w:t>
      </w:r>
      <w:r>
        <w:t>&gt;</w:t>
      </w:r>
      <w:r w:rsidRPr="00E40280">
        <w:t xml:space="preserve">. </w:t>
      </w:r>
    </w:p>
    <w:p w14:paraId="604360C5" w14:textId="77777777" w:rsidR="00817104" w:rsidRPr="00B61A4E" w:rsidRDefault="00817104" w:rsidP="00817104">
      <w:pPr>
        <w:pStyle w:val="Body"/>
      </w:pPr>
      <w:r w:rsidRPr="00E40280">
        <w:t>The department will upload electricity, gas and waste data centrally</w:t>
      </w:r>
      <w:r>
        <w:t>,</w:t>
      </w:r>
      <w:r w:rsidRPr="00E40280">
        <w:t xml:space="preserve"> where public hospitals and health services </w:t>
      </w:r>
      <w:r>
        <w:t>use</w:t>
      </w:r>
      <w:r w:rsidRPr="00E40280">
        <w:t xml:space="preserve"> statewide HealthShare Victoria contracts (or State Purchase Contracts)</w:t>
      </w:r>
      <w:r>
        <w:t>,</w:t>
      </w:r>
      <w:r w:rsidRPr="00E40280">
        <w:t xml:space="preserve"> water data sourced direct from water retailers and cogeneration data (under the Energy Services Agreement) centrally.</w:t>
      </w:r>
    </w:p>
    <w:p w14:paraId="13E445B4" w14:textId="77777777" w:rsidR="00817104" w:rsidRPr="00C75579" w:rsidRDefault="00817104" w:rsidP="00817104">
      <w:pPr>
        <w:pStyle w:val="Body"/>
      </w:pPr>
    </w:p>
    <w:p w14:paraId="3752BF97" w14:textId="77777777" w:rsidR="00817104" w:rsidRDefault="00817104" w:rsidP="00817104">
      <w:pPr>
        <w:spacing w:after="0" w:line="240" w:lineRule="auto"/>
        <w:rPr>
          <w:rFonts w:ascii="Times New Roman" w:hAnsi="Times New Roman"/>
          <w:sz w:val="20"/>
          <w:lang w:eastAsia="en-AU"/>
        </w:rPr>
      </w:pPr>
      <w:r>
        <w:rPr>
          <w:rFonts w:ascii="Times New Roman" w:hAnsi="Times New Roman"/>
          <w:sz w:val="20"/>
          <w:lang w:eastAsia="en-AU"/>
        </w:rPr>
        <w:br w:type="page"/>
      </w:r>
    </w:p>
    <w:p w14:paraId="7C8CDC58" w14:textId="77777777" w:rsidR="00817104" w:rsidRDefault="00817104" w:rsidP="008D45A5">
      <w:pPr>
        <w:pStyle w:val="Heading1"/>
      </w:pPr>
      <w:bookmarkStart w:id="2841" w:name="_Toc224127355"/>
      <w:bookmarkStart w:id="2842" w:name="_Toc231982402"/>
      <w:r>
        <w:lastRenderedPageBreak/>
        <w:t xml:space="preserve">Performance targets </w:t>
      </w:r>
      <w:r w:rsidRPr="006A0ADC">
        <w:t>and</w:t>
      </w:r>
      <w:r>
        <w:t xml:space="preserve"> monitoring</w:t>
      </w:r>
      <w:bookmarkEnd w:id="2841"/>
      <w:bookmarkEnd w:id="2842"/>
    </w:p>
    <w:p w14:paraId="42EE09AA" w14:textId="4B220BF3" w:rsidR="00817104" w:rsidRDefault="00817104" w:rsidP="00817104">
      <w:pPr>
        <w:pStyle w:val="Heading2"/>
      </w:pPr>
      <w:bookmarkStart w:id="2843" w:name="_Toc165964789"/>
      <w:bookmarkStart w:id="2844" w:name="_Toc167174649"/>
      <w:bookmarkStart w:id="2845" w:name="_Toc224127356"/>
      <w:bookmarkStart w:id="2846" w:name="_Toc231982403"/>
      <w:r>
        <w:t>Health services covered under the Health S</w:t>
      </w:r>
      <w:r w:rsidRPr="006A0ADC">
        <w:t>ervices</w:t>
      </w:r>
      <w:r>
        <w:t xml:space="preserve"> Act</w:t>
      </w:r>
      <w:bookmarkEnd w:id="2843"/>
      <w:bookmarkEnd w:id="2844"/>
      <w:bookmarkEnd w:id="2845"/>
      <w:bookmarkEnd w:id="2846"/>
    </w:p>
    <w:p w14:paraId="40F5959A" w14:textId="77777777" w:rsidR="00817104" w:rsidRDefault="00817104" w:rsidP="008D45A5">
      <w:pPr>
        <w:pStyle w:val="Body"/>
      </w:pPr>
      <w:r w:rsidRPr="00092E64">
        <w:t xml:space="preserve">The </w:t>
      </w:r>
      <w:r w:rsidRPr="002D6AE5">
        <w:rPr>
          <w:i/>
          <w:iCs/>
        </w:rPr>
        <w:t>Health Services Act 1988</w:t>
      </w:r>
      <w:r w:rsidRPr="00092E64">
        <w:t xml:space="preserve"> state</w:t>
      </w:r>
      <w:r>
        <w:t>s</w:t>
      </w:r>
      <w:r w:rsidRPr="00092E64">
        <w:t xml:space="preserve"> annual </w:t>
      </w:r>
      <w:r>
        <w:t>SoP</w:t>
      </w:r>
      <w:r w:rsidRPr="00092E64">
        <w:t xml:space="preserve"> as the primary service agreement between health services and the </w:t>
      </w:r>
      <w:r>
        <w:t>g</w:t>
      </w:r>
      <w:r w:rsidRPr="00092E64">
        <w:t>overnment. The SoP sets out the key performance expectations, targets and funding for the year</w:t>
      </w:r>
      <w:r>
        <w:t>,</w:t>
      </w:r>
      <w:r w:rsidRPr="00092E64">
        <w:t xml:space="preserve"> as well as government service priorities. </w:t>
      </w:r>
      <w:r w:rsidRPr="00444FB4">
        <w:t xml:space="preserve">Where a SoP is not required, a health service agreement with similar requirements would be in place instead. </w:t>
      </w:r>
    </w:p>
    <w:p w14:paraId="2878FC6E" w14:textId="77777777" w:rsidR="00817104" w:rsidRPr="00092E64" w:rsidRDefault="00817104" w:rsidP="008D45A5">
      <w:pPr>
        <w:pStyle w:val="Body"/>
      </w:pPr>
      <w:r w:rsidRPr="00444FB4">
        <w:t>These obligations apply once funding has been provided and regardless of whether a SoP or agreement is finalised</w:t>
      </w:r>
      <w:r w:rsidRPr="00092E64">
        <w:rPr>
          <w:color w:val="000000"/>
        </w:rPr>
        <w:t xml:space="preserve"> or signed, unless the health service and the </w:t>
      </w:r>
      <w:r>
        <w:rPr>
          <w:color w:val="000000"/>
        </w:rPr>
        <w:t>d</w:t>
      </w:r>
      <w:r w:rsidRPr="00092E64">
        <w:rPr>
          <w:color w:val="000000"/>
        </w:rPr>
        <w:t>epartment formally agree to an exemption.</w:t>
      </w:r>
    </w:p>
    <w:p w14:paraId="4478C660" w14:textId="77777777" w:rsidR="00817104" w:rsidRPr="00092E64" w:rsidRDefault="00817104" w:rsidP="008D45A5">
      <w:pPr>
        <w:pStyle w:val="Body"/>
        <w:rPr>
          <w:lang w:eastAsia="en-AU"/>
        </w:rPr>
      </w:pPr>
      <w:r w:rsidRPr="00092E64">
        <w:t>Monitoring of the health service’s obligations is described in the PMF</w:t>
      </w:r>
      <w:r>
        <w:t>, which</w:t>
      </w:r>
      <w:r w:rsidRPr="00092E64">
        <w:t xml:space="preserve"> sets out the </w:t>
      </w:r>
      <w:r>
        <w:t>d</w:t>
      </w:r>
      <w:r w:rsidRPr="00092E64">
        <w:t>epartment’s approach to monitoring and supporting improvement in health service performance. It covers core areas of performance, including clinical quality and safety, timely access to care, financial sustainability and patient experience.</w:t>
      </w:r>
    </w:p>
    <w:p w14:paraId="685F367A" w14:textId="77777777" w:rsidR="00817104" w:rsidRPr="00275D99" w:rsidRDefault="00817104" w:rsidP="008D45A5">
      <w:pPr>
        <w:pStyle w:val="Body"/>
      </w:pPr>
      <w:r w:rsidRPr="00092E64">
        <w:t>F</w:t>
      </w:r>
      <w:r>
        <w:t xml:space="preserve">or more </w:t>
      </w:r>
      <w:r w:rsidRPr="00092E64">
        <w:t>information</w:t>
      </w:r>
      <w:r>
        <w:t>, visit</w:t>
      </w:r>
      <w:r w:rsidRPr="00092E64">
        <w:t xml:space="preserve"> the </w:t>
      </w:r>
      <w:hyperlink r:id="rId518" w:history="1">
        <w:r w:rsidRPr="00F74301">
          <w:rPr>
            <w:rStyle w:val="Hyperlink"/>
            <w:rFonts w:cs="Arial"/>
            <w:szCs w:val="21"/>
          </w:rPr>
          <w:t>PMF</w:t>
        </w:r>
      </w:hyperlink>
      <w:r>
        <w:rPr>
          <w:rFonts w:ascii="Segoe UI" w:hAnsi="Segoe UI" w:cs="Segoe UI"/>
        </w:rPr>
        <w:t xml:space="preserve"> &lt;</w:t>
      </w:r>
      <w:r w:rsidRPr="002D6AE5">
        <w:t>https://www.health.vic.gov.au/funding-performance-accountability/performance-monitoring-framework</w:t>
      </w:r>
      <w:r>
        <w:t>&gt;.</w:t>
      </w:r>
    </w:p>
    <w:p w14:paraId="27B9CBDA" w14:textId="74314822" w:rsidR="00817104" w:rsidRDefault="00817104" w:rsidP="00817104">
      <w:pPr>
        <w:pStyle w:val="Heading2"/>
      </w:pPr>
      <w:bookmarkStart w:id="2847" w:name="_Toc165964790"/>
      <w:bookmarkStart w:id="2848" w:name="_Toc231982404"/>
      <w:r w:rsidRPr="00803547">
        <w:t>Services</w:t>
      </w:r>
      <w:r>
        <w:t xml:space="preserve"> provided </w:t>
      </w:r>
      <w:r w:rsidRPr="00894E53">
        <w:t>under</w:t>
      </w:r>
      <w:r>
        <w:t xml:space="preserve"> a service agreement</w:t>
      </w:r>
      <w:bookmarkEnd w:id="2847"/>
      <w:bookmarkEnd w:id="2848"/>
    </w:p>
    <w:p w14:paraId="1DCE2265" w14:textId="77777777" w:rsidR="00817104" w:rsidRPr="009A7D27" w:rsidRDefault="00817104" w:rsidP="00817104">
      <w:pPr>
        <w:pStyle w:val="Body"/>
      </w:pPr>
      <w:r>
        <w:t xml:space="preserve">Service agreements are contractual arrangements between organisations funded to deliver services in the community and the department, which provides funding for this. Should your organisation be funded through a service agreement, for funding information and activity tables that underpin service agreements, visit </w:t>
      </w:r>
      <w:hyperlink r:id="rId519">
        <w:r w:rsidRPr="0670E279">
          <w:rPr>
            <w:rStyle w:val="Hyperlink"/>
          </w:rPr>
          <w:t>Service agreement</w:t>
        </w:r>
      </w:hyperlink>
      <w:r>
        <w:t xml:space="preserve"> &lt;https://fac.dffh.vic.gov.au/service-agreement&gt;.</w:t>
      </w:r>
    </w:p>
    <w:p w14:paraId="080A3903" w14:textId="77777777" w:rsidR="00817104" w:rsidRDefault="00817104" w:rsidP="00817104">
      <w:pPr>
        <w:pStyle w:val="Body"/>
      </w:pPr>
      <w:r>
        <w:t xml:space="preserve">For those organisations funded through service agreements, to search for activity descriptions, visit </w:t>
      </w:r>
      <w:hyperlink r:id="rId520" w:history="1">
        <w:r w:rsidRPr="005B40DA">
          <w:rPr>
            <w:rStyle w:val="Hyperlink"/>
          </w:rPr>
          <w:t>Department of Families, Fairness and Housing and Department of Health activity search</w:t>
        </w:r>
      </w:hyperlink>
      <w:r>
        <w:t xml:space="preserve"> &lt;</w:t>
      </w:r>
      <w:r w:rsidRPr="005B40DA">
        <w:t>https://providers.dffh.vic.gov.au/families-fairness-housing-health-activity-search</w:t>
      </w:r>
      <w:r>
        <w:t>&gt;.</w:t>
      </w:r>
    </w:p>
    <w:p w14:paraId="0B39E409" w14:textId="6A52E5BA" w:rsidR="00817104" w:rsidRDefault="00817104" w:rsidP="00817104">
      <w:pPr>
        <w:pStyle w:val="Heading3"/>
      </w:pPr>
      <w:bookmarkStart w:id="2849" w:name="_Performance_tables"/>
      <w:bookmarkStart w:id="2850" w:name="_Toc165964791"/>
      <w:bookmarkEnd w:id="2849"/>
      <w:r>
        <w:t xml:space="preserve">Performance </w:t>
      </w:r>
      <w:bookmarkEnd w:id="2850"/>
      <w:r w:rsidRPr="00803547">
        <w:t>tables</w:t>
      </w:r>
    </w:p>
    <w:p w14:paraId="46EDECBC" w14:textId="6DC9E37D" w:rsidR="00817104" w:rsidRDefault="00817104" w:rsidP="00817104">
      <w:pPr>
        <w:pStyle w:val="Tablecaption"/>
      </w:pPr>
      <w:bookmarkStart w:id="2851" w:name="_Toc230537138"/>
      <w:r>
        <w:t xml:space="preserve">Table </w:t>
      </w:r>
      <w:r w:rsidR="00C972D3">
        <w:t>18</w:t>
      </w:r>
      <w:r>
        <w:t>. HACC PYP – performance targets and monitoring</w:t>
      </w:r>
      <w:bookmarkEnd w:id="2851"/>
    </w:p>
    <w:tbl>
      <w:tblPr>
        <w:tblStyle w:val="GridTable4-Accent1"/>
        <w:tblW w:w="0" w:type="auto"/>
        <w:tblLook w:val="04A0" w:firstRow="1" w:lastRow="0" w:firstColumn="1" w:lastColumn="0" w:noHBand="0" w:noVBand="1"/>
      </w:tblPr>
      <w:tblGrid>
        <w:gridCol w:w="896"/>
        <w:gridCol w:w="1660"/>
        <w:gridCol w:w="1661"/>
        <w:gridCol w:w="1371"/>
        <w:gridCol w:w="1127"/>
        <w:gridCol w:w="1102"/>
        <w:gridCol w:w="1471"/>
      </w:tblGrid>
      <w:tr w:rsidR="00817104" w:rsidRPr="006450CC" w14:paraId="3CBCE433" w14:textId="77777777" w:rsidTr="00C972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309FBC5E" w14:textId="77777777" w:rsidR="00817104" w:rsidRPr="00C972D3" w:rsidRDefault="00817104" w:rsidP="00785A21">
            <w:pPr>
              <w:pStyle w:val="Tablecolhead"/>
              <w:rPr>
                <w:b/>
                <w:bCs w:val="0"/>
                <w:color w:val="FFFFFF" w:themeColor="background1"/>
                <w:sz w:val="18"/>
                <w:szCs w:val="18"/>
              </w:rPr>
            </w:pPr>
            <w:r w:rsidRPr="00C972D3">
              <w:rPr>
                <w:b/>
                <w:bCs w:val="0"/>
                <w:color w:val="FFFFFF" w:themeColor="background1"/>
                <w:sz w:val="18"/>
                <w:szCs w:val="18"/>
              </w:rPr>
              <w:t>Activity no.</w:t>
            </w:r>
          </w:p>
        </w:tc>
        <w:tc>
          <w:tcPr>
            <w:tcW w:w="0" w:type="auto"/>
          </w:tcPr>
          <w:p w14:paraId="7B0A3457" w14:textId="77777777" w:rsidR="00817104" w:rsidRPr="00C972D3"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972D3">
              <w:rPr>
                <w:b/>
                <w:bCs w:val="0"/>
                <w:color w:val="FFFFFF" w:themeColor="background1"/>
                <w:sz w:val="18"/>
                <w:szCs w:val="18"/>
              </w:rPr>
              <w:t>Activity name</w:t>
            </w:r>
          </w:p>
        </w:tc>
        <w:tc>
          <w:tcPr>
            <w:tcW w:w="0" w:type="auto"/>
          </w:tcPr>
          <w:p w14:paraId="5186F7C6" w14:textId="77777777" w:rsidR="00817104" w:rsidRPr="00C972D3"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972D3">
              <w:rPr>
                <w:b/>
                <w:bCs w:val="0"/>
                <w:color w:val="FFFFFF" w:themeColor="background1"/>
                <w:sz w:val="18"/>
                <w:szCs w:val="18"/>
              </w:rPr>
              <w:t xml:space="preserve">Measure description </w:t>
            </w:r>
          </w:p>
        </w:tc>
        <w:tc>
          <w:tcPr>
            <w:tcW w:w="0" w:type="auto"/>
          </w:tcPr>
          <w:p w14:paraId="41DC3EAC" w14:textId="77777777" w:rsidR="00817104" w:rsidRPr="00C972D3"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972D3">
              <w:rPr>
                <w:b/>
                <w:bCs w:val="0"/>
                <w:color w:val="FFFFFF" w:themeColor="background1"/>
                <w:sz w:val="18"/>
                <w:szCs w:val="18"/>
              </w:rPr>
              <w:t>Unit of measure</w:t>
            </w:r>
          </w:p>
        </w:tc>
        <w:tc>
          <w:tcPr>
            <w:tcW w:w="0" w:type="auto"/>
          </w:tcPr>
          <w:p w14:paraId="395D1ADC" w14:textId="77777777" w:rsidR="00817104" w:rsidRPr="00C972D3"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972D3">
              <w:rPr>
                <w:b/>
                <w:bCs w:val="0"/>
                <w:color w:val="FFFFFF" w:themeColor="background1"/>
                <w:sz w:val="18"/>
                <w:szCs w:val="18"/>
              </w:rPr>
              <w:t>Frequency</w:t>
            </w:r>
          </w:p>
        </w:tc>
        <w:tc>
          <w:tcPr>
            <w:tcW w:w="0" w:type="auto"/>
          </w:tcPr>
          <w:p w14:paraId="43DC439C" w14:textId="77777777" w:rsidR="00817104" w:rsidRPr="00C972D3"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972D3">
              <w:rPr>
                <w:b/>
                <w:bCs w:val="0"/>
                <w:color w:val="FFFFFF" w:themeColor="background1"/>
                <w:sz w:val="18"/>
                <w:szCs w:val="18"/>
              </w:rPr>
              <w:t>Status</w:t>
            </w:r>
          </w:p>
        </w:tc>
        <w:tc>
          <w:tcPr>
            <w:tcW w:w="0" w:type="auto"/>
          </w:tcPr>
          <w:p w14:paraId="741AA1C4" w14:textId="77777777" w:rsidR="00817104" w:rsidRPr="00C972D3"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C972D3">
              <w:rPr>
                <w:b/>
                <w:bCs w:val="0"/>
                <w:color w:val="FFFFFF" w:themeColor="background1"/>
                <w:sz w:val="18"/>
                <w:szCs w:val="18"/>
              </w:rPr>
              <w:t>Output type</w:t>
            </w:r>
          </w:p>
        </w:tc>
      </w:tr>
      <w:tr w:rsidR="00817104" w:rsidRPr="00862842" w14:paraId="63C3E978"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8B4614" w14:textId="77777777" w:rsidR="00817104" w:rsidRPr="00926A20" w:rsidRDefault="00817104">
            <w:pPr>
              <w:pStyle w:val="Tabletext"/>
              <w:rPr>
                <w:szCs w:val="18"/>
              </w:rPr>
            </w:pPr>
            <w:r w:rsidRPr="00926A20">
              <w:rPr>
                <w:szCs w:val="18"/>
              </w:rPr>
              <w:t>13015</w:t>
            </w:r>
          </w:p>
        </w:tc>
        <w:tc>
          <w:tcPr>
            <w:tcW w:w="0" w:type="auto"/>
          </w:tcPr>
          <w:p w14:paraId="3B0C470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HACC PYP Linkages – Case Management</w:t>
            </w:r>
          </w:p>
        </w:tc>
        <w:tc>
          <w:tcPr>
            <w:tcW w:w="0" w:type="auto"/>
          </w:tcPr>
          <w:p w14:paraId="610DC89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hours of service</w:t>
            </w:r>
          </w:p>
        </w:tc>
        <w:tc>
          <w:tcPr>
            <w:tcW w:w="0" w:type="auto"/>
          </w:tcPr>
          <w:p w14:paraId="68D5E62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 of case management</w:t>
            </w:r>
          </w:p>
        </w:tc>
        <w:tc>
          <w:tcPr>
            <w:tcW w:w="0" w:type="auto"/>
          </w:tcPr>
          <w:p w14:paraId="70EC66E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3835615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72E55A3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 xml:space="preserve">Key output measure </w:t>
            </w:r>
          </w:p>
        </w:tc>
      </w:tr>
      <w:tr w:rsidR="00817104" w:rsidRPr="00862842" w14:paraId="2475736D"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6DE07EA0" w14:textId="77777777" w:rsidR="00817104" w:rsidRPr="00926A20" w:rsidRDefault="00817104">
            <w:pPr>
              <w:pStyle w:val="Tabletext"/>
              <w:rPr>
                <w:szCs w:val="18"/>
              </w:rPr>
            </w:pPr>
            <w:r w:rsidRPr="00926A20">
              <w:rPr>
                <w:szCs w:val="18"/>
              </w:rPr>
              <w:t>13015</w:t>
            </w:r>
          </w:p>
        </w:tc>
        <w:tc>
          <w:tcPr>
            <w:tcW w:w="0" w:type="auto"/>
          </w:tcPr>
          <w:p w14:paraId="5866BEC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w:t>
            </w:r>
            <w:r w:rsidRPr="00926A20" w:rsidDel="00824D36">
              <w:rPr>
                <w:szCs w:val="18"/>
              </w:rPr>
              <w:t xml:space="preserve"> </w:t>
            </w:r>
            <w:r w:rsidRPr="00926A20">
              <w:rPr>
                <w:szCs w:val="18"/>
              </w:rPr>
              <w:t>Linkages – Case Management (Purchase of equipment)</w:t>
            </w:r>
          </w:p>
        </w:tc>
        <w:tc>
          <w:tcPr>
            <w:tcW w:w="0" w:type="auto"/>
          </w:tcPr>
          <w:p w14:paraId="78B0CB0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Expenditure</w:t>
            </w:r>
            <w:r w:rsidRPr="00926A20">
              <w:rPr>
                <w:rFonts w:eastAsia="MS Gothic"/>
                <w:szCs w:val="18"/>
              </w:rPr>
              <w:t xml:space="preserve"> on brokerage and items purchased</w:t>
            </w:r>
          </w:p>
        </w:tc>
        <w:tc>
          <w:tcPr>
            <w:tcW w:w="0" w:type="auto"/>
          </w:tcPr>
          <w:p w14:paraId="316AA2D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Report </w:t>
            </w:r>
          </w:p>
        </w:tc>
        <w:tc>
          <w:tcPr>
            <w:tcW w:w="0" w:type="auto"/>
          </w:tcPr>
          <w:p w14:paraId="62F6DCE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Annual</w:t>
            </w:r>
          </w:p>
        </w:tc>
        <w:tc>
          <w:tcPr>
            <w:tcW w:w="0" w:type="auto"/>
          </w:tcPr>
          <w:p w14:paraId="3385D4A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On request</w:t>
            </w:r>
          </w:p>
        </w:tc>
        <w:tc>
          <w:tcPr>
            <w:tcW w:w="0" w:type="auto"/>
          </w:tcPr>
          <w:p w14:paraId="303CB84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Non-key performance output measure (KPOM)</w:t>
            </w:r>
          </w:p>
        </w:tc>
      </w:tr>
      <w:tr w:rsidR="00817104" w:rsidRPr="00D45BCC" w14:paraId="487F4FBD"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D9DFF5" w14:textId="77777777" w:rsidR="00817104" w:rsidRPr="00926A20" w:rsidRDefault="00817104">
            <w:pPr>
              <w:pStyle w:val="Tabletext"/>
              <w:rPr>
                <w:szCs w:val="18"/>
              </w:rPr>
            </w:pPr>
            <w:r w:rsidRPr="00926A20">
              <w:rPr>
                <w:szCs w:val="18"/>
              </w:rPr>
              <w:t>13024</w:t>
            </w:r>
          </w:p>
        </w:tc>
        <w:tc>
          <w:tcPr>
            <w:tcW w:w="0" w:type="auto"/>
          </w:tcPr>
          <w:p w14:paraId="69719F2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HACC PYP Assessment and Care Management</w:t>
            </w:r>
          </w:p>
        </w:tc>
        <w:tc>
          <w:tcPr>
            <w:tcW w:w="0" w:type="auto"/>
          </w:tcPr>
          <w:p w14:paraId="46F3A39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hours of service</w:t>
            </w:r>
          </w:p>
        </w:tc>
        <w:tc>
          <w:tcPr>
            <w:tcW w:w="0" w:type="auto"/>
          </w:tcPr>
          <w:p w14:paraId="0BD88EF6"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w:t>
            </w:r>
          </w:p>
        </w:tc>
        <w:tc>
          <w:tcPr>
            <w:tcW w:w="0" w:type="auto"/>
          </w:tcPr>
          <w:p w14:paraId="0DF12D7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7868F2C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6D35EAD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D45BCC" w14:paraId="3F315694"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5722D575" w14:textId="77777777" w:rsidR="00817104" w:rsidRPr="00926A20" w:rsidRDefault="00817104">
            <w:pPr>
              <w:pStyle w:val="Tabletext"/>
              <w:rPr>
                <w:szCs w:val="18"/>
              </w:rPr>
            </w:pPr>
            <w:r w:rsidRPr="00926A20">
              <w:rPr>
                <w:szCs w:val="18"/>
              </w:rPr>
              <w:t>13026</w:t>
            </w:r>
          </w:p>
        </w:tc>
        <w:tc>
          <w:tcPr>
            <w:tcW w:w="0" w:type="auto"/>
          </w:tcPr>
          <w:p w14:paraId="6E63D480"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HACC PYP Community Care </w:t>
            </w:r>
          </w:p>
        </w:tc>
        <w:tc>
          <w:tcPr>
            <w:tcW w:w="0" w:type="auto"/>
          </w:tcPr>
          <w:p w14:paraId="06DC1B0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hours of service</w:t>
            </w:r>
          </w:p>
        </w:tc>
        <w:tc>
          <w:tcPr>
            <w:tcW w:w="0" w:type="auto"/>
          </w:tcPr>
          <w:p w14:paraId="45059E0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Hours</w:t>
            </w:r>
          </w:p>
        </w:tc>
        <w:tc>
          <w:tcPr>
            <w:tcW w:w="0" w:type="auto"/>
          </w:tcPr>
          <w:p w14:paraId="038B6AA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168642E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37C29740"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D45BCC" w14:paraId="540BB296"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D34DEB" w14:textId="77777777" w:rsidR="00817104" w:rsidRPr="00926A20" w:rsidRDefault="00817104">
            <w:pPr>
              <w:pStyle w:val="Tabletext"/>
              <w:rPr>
                <w:szCs w:val="18"/>
              </w:rPr>
            </w:pPr>
            <w:r w:rsidRPr="00926A20">
              <w:rPr>
                <w:szCs w:val="18"/>
              </w:rPr>
              <w:lastRenderedPageBreak/>
              <w:t>13038</w:t>
            </w:r>
          </w:p>
        </w:tc>
        <w:tc>
          <w:tcPr>
            <w:tcW w:w="0" w:type="auto"/>
          </w:tcPr>
          <w:p w14:paraId="5F612EA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HACC PYP Service System Resourcing</w:t>
            </w:r>
          </w:p>
        </w:tc>
        <w:tc>
          <w:tcPr>
            <w:tcW w:w="0" w:type="auto"/>
          </w:tcPr>
          <w:p w14:paraId="2E468C7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Expenditure and activities undertaken</w:t>
            </w:r>
          </w:p>
        </w:tc>
        <w:tc>
          <w:tcPr>
            <w:tcW w:w="0" w:type="auto"/>
          </w:tcPr>
          <w:p w14:paraId="6386762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w:t>
            </w:r>
          </w:p>
        </w:tc>
        <w:tc>
          <w:tcPr>
            <w:tcW w:w="0" w:type="auto"/>
          </w:tcPr>
          <w:p w14:paraId="386EE13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10C23C1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On request</w:t>
            </w:r>
          </w:p>
        </w:tc>
        <w:tc>
          <w:tcPr>
            <w:tcW w:w="0" w:type="auto"/>
          </w:tcPr>
          <w:p w14:paraId="0689158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Non-KPOM</w:t>
            </w:r>
          </w:p>
        </w:tc>
      </w:tr>
      <w:tr w:rsidR="00817104" w:rsidRPr="00D45BCC" w14:paraId="14795875"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5FCEF676" w14:textId="77777777" w:rsidR="00817104" w:rsidRPr="00926A20" w:rsidRDefault="00817104">
            <w:pPr>
              <w:pStyle w:val="Tabletext"/>
              <w:rPr>
                <w:szCs w:val="18"/>
              </w:rPr>
            </w:pPr>
            <w:r w:rsidRPr="00926A20">
              <w:rPr>
                <w:szCs w:val="18"/>
              </w:rPr>
              <w:t>13043</w:t>
            </w:r>
          </w:p>
        </w:tc>
        <w:tc>
          <w:tcPr>
            <w:tcW w:w="0" w:type="auto"/>
          </w:tcPr>
          <w:p w14:paraId="21D2022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Flexible Service Response</w:t>
            </w:r>
          </w:p>
        </w:tc>
        <w:tc>
          <w:tcPr>
            <w:tcW w:w="0" w:type="auto"/>
          </w:tcPr>
          <w:p w14:paraId="10A8901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Expenditure and activities undertaken. Outlining activities undertaken</w:t>
            </w:r>
          </w:p>
        </w:tc>
        <w:tc>
          <w:tcPr>
            <w:tcW w:w="0" w:type="auto"/>
          </w:tcPr>
          <w:p w14:paraId="2DACB5F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w:t>
            </w:r>
          </w:p>
        </w:tc>
        <w:tc>
          <w:tcPr>
            <w:tcW w:w="0" w:type="auto"/>
          </w:tcPr>
          <w:p w14:paraId="55CDCF5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5398648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On request</w:t>
            </w:r>
          </w:p>
        </w:tc>
        <w:tc>
          <w:tcPr>
            <w:tcW w:w="0" w:type="auto"/>
          </w:tcPr>
          <w:p w14:paraId="18551E5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14:paraId="6402FDFE"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432F1D" w14:textId="77777777" w:rsidR="00817104" w:rsidRPr="00926A20" w:rsidRDefault="00817104">
            <w:pPr>
              <w:pStyle w:val="Tabletext"/>
              <w:rPr>
                <w:szCs w:val="18"/>
              </w:rPr>
            </w:pPr>
            <w:r w:rsidRPr="00926A20">
              <w:rPr>
                <w:szCs w:val="18"/>
              </w:rPr>
              <w:t>13043</w:t>
            </w:r>
          </w:p>
        </w:tc>
        <w:tc>
          <w:tcPr>
            <w:tcW w:w="0" w:type="auto"/>
          </w:tcPr>
          <w:p w14:paraId="42731E4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HACC PYP Flexible Service Response</w:t>
            </w:r>
          </w:p>
        </w:tc>
        <w:tc>
          <w:tcPr>
            <w:tcW w:w="0" w:type="auto"/>
          </w:tcPr>
          <w:p w14:paraId="555CC90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 xml:space="preserve">Number of hours of service or meals </w:t>
            </w:r>
          </w:p>
        </w:tc>
        <w:tc>
          <w:tcPr>
            <w:tcW w:w="0" w:type="auto"/>
          </w:tcPr>
          <w:p w14:paraId="6399FA5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w:t>
            </w:r>
          </w:p>
        </w:tc>
        <w:tc>
          <w:tcPr>
            <w:tcW w:w="0" w:type="auto"/>
          </w:tcPr>
          <w:p w14:paraId="25250CA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19626B76"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Non-mandatory</w:t>
            </w:r>
          </w:p>
        </w:tc>
        <w:tc>
          <w:tcPr>
            <w:tcW w:w="0" w:type="auto"/>
          </w:tcPr>
          <w:p w14:paraId="6FC141B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Non-KPOM</w:t>
            </w:r>
          </w:p>
        </w:tc>
      </w:tr>
      <w:tr w:rsidR="00817104" w:rsidRPr="00D45BCC" w14:paraId="53B091D6"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61D6E47E" w14:textId="77777777" w:rsidR="00817104" w:rsidRPr="00926A20" w:rsidRDefault="00817104">
            <w:pPr>
              <w:pStyle w:val="Tabletext"/>
              <w:rPr>
                <w:szCs w:val="18"/>
              </w:rPr>
            </w:pPr>
            <w:r w:rsidRPr="00926A20">
              <w:rPr>
                <w:szCs w:val="18"/>
              </w:rPr>
              <w:t>13056</w:t>
            </w:r>
          </w:p>
        </w:tc>
        <w:tc>
          <w:tcPr>
            <w:tcW w:w="0" w:type="auto"/>
          </w:tcPr>
          <w:p w14:paraId="0C08B33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Planned Activity Group</w:t>
            </w:r>
          </w:p>
        </w:tc>
        <w:tc>
          <w:tcPr>
            <w:tcW w:w="0" w:type="auto"/>
          </w:tcPr>
          <w:p w14:paraId="44CFAE4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hours of service (provided to clients)</w:t>
            </w:r>
          </w:p>
        </w:tc>
        <w:tc>
          <w:tcPr>
            <w:tcW w:w="0" w:type="auto"/>
          </w:tcPr>
          <w:p w14:paraId="6E5DB23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Hours</w:t>
            </w:r>
          </w:p>
        </w:tc>
        <w:tc>
          <w:tcPr>
            <w:tcW w:w="0" w:type="auto"/>
          </w:tcPr>
          <w:p w14:paraId="1B8A81F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2BA9553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1A3739C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D45BCC" w14:paraId="209E0366"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D792F6" w14:textId="77777777" w:rsidR="00817104" w:rsidRPr="00926A20" w:rsidRDefault="00817104">
            <w:pPr>
              <w:pStyle w:val="Tabletext"/>
              <w:rPr>
                <w:szCs w:val="18"/>
              </w:rPr>
            </w:pPr>
            <w:r w:rsidRPr="00926A20">
              <w:rPr>
                <w:szCs w:val="18"/>
              </w:rPr>
              <w:t>13063</w:t>
            </w:r>
          </w:p>
        </w:tc>
        <w:tc>
          <w:tcPr>
            <w:tcW w:w="0" w:type="auto"/>
          </w:tcPr>
          <w:p w14:paraId="642DC78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HACC PYP Volunteer Co-ordination</w:t>
            </w:r>
          </w:p>
        </w:tc>
        <w:tc>
          <w:tcPr>
            <w:tcW w:w="0" w:type="auto"/>
          </w:tcPr>
          <w:p w14:paraId="4B4B551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hours of coordinator time</w:t>
            </w:r>
          </w:p>
        </w:tc>
        <w:tc>
          <w:tcPr>
            <w:tcW w:w="0" w:type="auto"/>
          </w:tcPr>
          <w:p w14:paraId="240B1F4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w:t>
            </w:r>
          </w:p>
        </w:tc>
        <w:tc>
          <w:tcPr>
            <w:tcW w:w="0" w:type="auto"/>
          </w:tcPr>
          <w:p w14:paraId="59BCBAA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385208F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3E2EB336"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D45BCC" w14:paraId="2BB1AC5D"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68F51F4B" w14:textId="77777777" w:rsidR="00817104" w:rsidRPr="00926A20" w:rsidRDefault="00817104">
            <w:pPr>
              <w:pStyle w:val="Tabletext"/>
              <w:rPr>
                <w:szCs w:val="18"/>
              </w:rPr>
            </w:pPr>
            <w:r w:rsidRPr="00926A20">
              <w:rPr>
                <w:szCs w:val="18"/>
              </w:rPr>
              <w:t>13097</w:t>
            </w:r>
          </w:p>
        </w:tc>
        <w:tc>
          <w:tcPr>
            <w:tcW w:w="0" w:type="auto"/>
          </w:tcPr>
          <w:p w14:paraId="1EBE65C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Delivered Meals</w:t>
            </w:r>
          </w:p>
        </w:tc>
        <w:tc>
          <w:tcPr>
            <w:tcW w:w="0" w:type="auto"/>
          </w:tcPr>
          <w:p w14:paraId="09533B7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meals (funding is a subsidy for meal delivery only)</w:t>
            </w:r>
          </w:p>
        </w:tc>
        <w:tc>
          <w:tcPr>
            <w:tcW w:w="0" w:type="auto"/>
          </w:tcPr>
          <w:p w14:paraId="591E0D1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Meals</w:t>
            </w:r>
          </w:p>
        </w:tc>
        <w:tc>
          <w:tcPr>
            <w:tcW w:w="0" w:type="auto"/>
          </w:tcPr>
          <w:p w14:paraId="70E90DA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37BDF23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0D0248D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D45BCC" w14:paraId="3D3DBB4F"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2E251B" w14:textId="77777777" w:rsidR="00817104" w:rsidRPr="00926A20" w:rsidRDefault="00817104">
            <w:pPr>
              <w:pStyle w:val="Tabletext"/>
              <w:rPr>
                <w:szCs w:val="18"/>
              </w:rPr>
            </w:pPr>
            <w:r w:rsidRPr="00926A20">
              <w:rPr>
                <w:szCs w:val="18"/>
              </w:rPr>
              <w:t>13099</w:t>
            </w:r>
          </w:p>
        </w:tc>
        <w:tc>
          <w:tcPr>
            <w:tcW w:w="0" w:type="auto"/>
          </w:tcPr>
          <w:p w14:paraId="375254E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HACC PYP Property Maintenance</w:t>
            </w:r>
          </w:p>
        </w:tc>
        <w:tc>
          <w:tcPr>
            <w:tcW w:w="0" w:type="auto"/>
          </w:tcPr>
          <w:p w14:paraId="6C90D2F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hours of service</w:t>
            </w:r>
          </w:p>
        </w:tc>
        <w:tc>
          <w:tcPr>
            <w:tcW w:w="0" w:type="auto"/>
          </w:tcPr>
          <w:p w14:paraId="0AF99FB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w:t>
            </w:r>
          </w:p>
        </w:tc>
        <w:tc>
          <w:tcPr>
            <w:tcW w:w="0" w:type="auto"/>
          </w:tcPr>
          <w:p w14:paraId="2571685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0ABC3C7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7268E59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14:paraId="5C64E87F"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0447A889" w14:textId="77777777" w:rsidR="00817104" w:rsidRPr="00926A20" w:rsidRDefault="00817104">
            <w:pPr>
              <w:pStyle w:val="Tabletext"/>
              <w:rPr>
                <w:szCs w:val="18"/>
              </w:rPr>
            </w:pPr>
            <w:r w:rsidRPr="00926A20">
              <w:rPr>
                <w:szCs w:val="18"/>
              </w:rPr>
              <w:t>13130</w:t>
            </w:r>
          </w:p>
        </w:tc>
        <w:tc>
          <w:tcPr>
            <w:tcW w:w="0" w:type="auto"/>
          </w:tcPr>
          <w:p w14:paraId="4C19334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Volunteer Co-ordination Other</w:t>
            </w:r>
          </w:p>
        </w:tc>
        <w:tc>
          <w:tcPr>
            <w:tcW w:w="0" w:type="auto"/>
          </w:tcPr>
          <w:p w14:paraId="7DD1551A"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Expenditure on volunteer supports (for example, Working with Children Check) </w:t>
            </w:r>
          </w:p>
        </w:tc>
        <w:tc>
          <w:tcPr>
            <w:tcW w:w="0" w:type="auto"/>
          </w:tcPr>
          <w:p w14:paraId="62BAC1A0"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Report </w:t>
            </w:r>
          </w:p>
        </w:tc>
        <w:tc>
          <w:tcPr>
            <w:tcW w:w="0" w:type="auto"/>
          </w:tcPr>
          <w:p w14:paraId="31A308A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Yearly </w:t>
            </w:r>
          </w:p>
        </w:tc>
        <w:tc>
          <w:tcPr>
            <w:tcW w:w="0" w:type="auto"/>
          </w:tcPr>
          <w:p w14:paraId="568F5C8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On request </w:t>
            </w:r>
          </w:p>
        </w:tc>
        <w:tc>
          <w:tcPr>
            <w:tcW w:w="0" w:type="auto"/>
          </w:tcPr>
          <w:p w14:paraId="54DDCF4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Non-KPOM</w:t>
            </w:r>
          </w:p>
        </w:tc>
      </w:tr>
      <w:tr w:rsidR="00817104" w:rsidRPr="00D45BCC" w14:paraId="2C17EC62"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3841F4" w14:textId="77777777" w:rsidR="00817104" w:rsidRPr="00926A20" w:rsidRDefault="00817104">
            <w:pPr>
              <w:pStyle w:val="Tabletext"/>
              <w:rPr>
                <w:szCs w:val="18"/>
              </w:rPr>
            </w:pPr>
            <w:r w:rsidRPr="00926A20">
              <w:rPr>
                <w:szCs w:val="18"/>
              </w:rPr>
              <w:t>13223</w:t>
            </w:r>
          </w:p>
        </w:tc>
        <w:tc>
          <w:tcPr>
            <w:tcW w:w="0" w:type="auto"/>
          </w:tcPr>
          <w:p w14:paraId="5747041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 xml:space="preserve">HACC PYP Health Supports </w:t>
            </w:r>
          </w:p>
        </w:tc>
        <w:tc>
          <w:tcPr>
            <w:tcW w:w="0" w:type="auto"/>
          </w:tcPr>
          <w:p w14:paraId="5A75712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hours of service</w:t>
            </w:r>
          </w:p>
        </w:tc>
        <w:tc>
          <w:tcPr>
            <w:tcW w:w="0" w:type="auto"/>
          </w:tcPr>
          <w:p w14:paraId="66839E5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w:t>
            </w:r>
          </w:p>
        </w:tc>
        <w:tc>
          <w:tcPr>
            <w:tcW w:w="0" w:type="auto"/>
          </w:tcPr>
          <w:p w14:paraId="625F5FE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7FEE0B8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6A3C731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BE4CCD" w14:paraId="6B165BCB"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2CD439D4" w14:textId="77777777" w:rsidR="00817104" w:rsidRPr="00926A20" w:rsidRDefault="00817104">
            <w:pPr>
              <w:pStyle w:val="Tabletext"/>
              <w:rPr>
                <w:szCs w:val="18"/>
              </w:rPr>
            </w:pPr>
            <w:r w:rsidRPr="00926A20">
              <w:rPr>
                <w:szCs w:val="18"/>
              </w:rPr>
              <w:t>13227</w:t>
            </w:r>
          </w:p>
        </w:tc>
        <w:tc>
          <w:tcPr>
            <w:tcW w:w="0" w:type="auto"/>
          </w:tcPr>
          <w:p w14:paraId="64BB45C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ACCO Services – HACC PYP</w:t>
            </w:r>
          </w:p>
        </w:tc>
        <w:tc>
          <w:tcPr>
            <w:tcW w:w="0" w:type="auto"/>
          </w:tcPr>
          <w:p w14:paraId="7F70628A"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hours of service, meals as relevant</w:t>
            </w:r>
          </w:p>
        </w:tc>
        <w:tc>
          <w:tcPr>
            <w:tcW w:w="0" w:type="auto"/>
          </w:tcPr>
          <w:p w14:paraId="15814F6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Hours</w:t>
            </w:r>
          </w:p>
        </w:tc>
        <w:tc>
          <w:tcPr>
            <w:tcW w:w="0" w:type="auto"/>
          </w:tcPr>
          <w:p w14:paraId="1CCF10D6"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4EC597F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0D64B23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Non-KPOM</w:t>
            </w:r>
          </w:p>
        </w:tc>
      </w:tr>
      <w:tr w:rsidR="00817104" w14:paraId="025E9465"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CC7D32" w14:textId="77777777" w:rsidR="00817104" w:rsidRPr="00926A20" w:rsidRDefault="00817104">
            <w:pPr>
              <w:pStyle w:val="Tabletext"/>
              <w:rPr>
                <w:szCs w:val="18"/>
              </w:rPr>
            </w:pPr>
            <w:r w:rsidRPr="00926A20">
              <w:rPr>
                <w:szCs w:val="18"/>
              </w:rPr>
              <w:t>13227</w:t>
            </w:r>
          </w:p>
        </w:tc>
        <w:tc>
          <w:tcPr>
            <w:tcW w:w="0" w:type="auto"/>
          </w:tcPr>
          <w:p w14:paraId="66EBCA2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ACCO Services – HACC PYP</w:t>
            </w:r>
          </w:p>
        </w:tc>
        <w:tc>
          <w:tcPr>
            <w:tcW w:w="0" w:type="auto"/>
          </w:tcPr>
          <w:p w14:paraId="7EB6C54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HACC PYP Annual Service Activity Report as relevant</w:t>
            </w:r>
          </w:p>
        </w:tc>
        <w:tc>
          <w:tcPr>
            <w:tcW w:w="0" w:type="auto"/>
          </w:tcPr>
          <w:p w14:paraId="44BA4A5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w:t>
            </w:r>
          </w:p>
        </w:tc>
        <w:tc>
          <w:tcPr>
            <w:tcW w:w="0" w:type="auto"/>
          </w:tcPr>
          <w:p w14:paraId="39C2016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62BDCA6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 xml:space="preserve">On request </w:t>
            </w:r>
          </w:p>
        </w:tc>
        <w:tc>
          <w:tcPr>
            <w:tcW w:w="0" w:type="auto"/>
          </w:tcPr>
          <w:p w14:paraId="260AAB6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D45BCC" w14:paraId="0FD72154"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016F917B" w14:textId="77777777" w:rsidR="00817104" w:rsidRPr="00926A20" w:rsidRDefault="00817104">
            <w:pPr>
              <w:pStyle w:val="Tabletext"/>
              <w:rPr>
                <w:szCs w:val="18"/>
              </w:rPr>
            </w:pPr>
            <w:r w:rsidRPr="00926A20">
              <w:rPr>
                <w:szCs w:val="18"/>
              </w:rPr>
              <w:t>13229</w:t>
            </w:r>
          </w:p>
        </w:tc>
        <w:tc>
          <w:tcPr>
            <w:tcW w:w="0" w:type="auto"/>
          </w:tcPr>
          <w:p w14:paraId="302CC44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Access and Support</w:t>
            </w:r>
          </w:p>
        </w:tc>
        <w:tc>
          <w:tcPr>
            <w:tcW w:w="0" w:type="auto"/>
          </w:tcPr>
          <w:p w14:paraId="4073735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hours of service</w:t>
            </w:r>
          </w:p>
        </w:tc>
        <w:tc>
          <w:tcPr>
            <w:tcW w:w="0" w:type="auto"/>
          </w:tcPr>
          <w:p w14:paraId="281BBDB6"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Hours</w:t>
            </w:r>
          </w:p>
        </w:tc>
        <w:tc>
          <w:tcPr>
            <w:tcW w:w="0" w:type="auto"/>
          </w:tcPr>
          <w:p w14:paraId="4B49B1A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653138E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2C60923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14:paraId="45B113F6" w14:textId="77777777" w:rsidTr="00C97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264DF6" w14:textId="77777777" w:rsidR="00817104" w:rsidRPr="00926A20" w:rsidRDefault="00817104">
            <w:pPr>
              <w:pStyle w:val="Tabletext"/>
              <w:rPr>
                <w:szCs w:val="18"/>
              </w:rPr>
            </w:pPr>
            <w:r w:rsidRPr="00926A20">
              <w:rPr>
                <w:szCs w:val="18"/>
              </w:rPr>
              <w:t>35030</w:t>
            </w:r>
          </w:p>
        </w:tc>
        <w:tc>
          <w:tcPr>
            <w:tcW w:w="0" w:type="auto"/>
          </w:tcPr>
          <w:p w14:paraId="1789A3E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Small Rural HACC PYP Health Care and Support</w:t>
            </w:r>
          </w:p>
        </w:tc>
        <w:tc>
          <w:tcPr>
            <w:tcW w:w="0" w:type="auto"/>
          </w:tcPr>
          <w:p w14:paraId="1662482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hours of service</w:t>
            </w:r>
          </w:p>
        </w:tc>
        <w:tc>
          <w:tcPr>
            <w:tcW w:w="0" w:type="auto"/>
          </w:tcPr>
          <w:p w14:paraId="5376316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 xml:space="preserve">Hours </w:t>
            </w:r>
          </w:p>
        </w:tc>
        <w:tc>
          <w:tcPr>
            <w:tcW w:w="0" w:type="auto"/>
          </w:tcPr>
          <w:p w14:paraId="7852B36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17B8847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1CBE257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14:paraId="3B5FCB8E" w14:textId="77777777" w:rsidTr="00C972D3">
        <w:tc>
          <w:tcPr>
            <w:cnfStyle w:val="001000000000" w:firstRow="0" w:lastRow="0" w:firstColumn="1" w:lastColumn="0" w:oddVBand="0" w:evenVBand="0" w:oddHBand="0" w:evenHBand="0" w:firstRowFirstColumn="0" w:firstRowLastColumn="0" w:lastRowFirstColumn="0" w:lastRowLastColumn="0"/>
            <w:tcW w:w="0" w:type="auto"/>
          </w:tcPr>
          <w:p w14:paraId="35579F42" w14:textId="77777777" w:rsidR="00817104" w:rsidRPr="00926A20" w:rsidRDefault="00817104">
            <w:pPr>
              <w:pStyle w:val="Tabletext"/>
              <w:rPr>
                <w:szCs w:val="18"/>
              </w:rPr>
            </w:pPr>
            <w:r w:rsidRPr="00926A20">
              <w:rPr>
                <w:szCs w:val="18"/>
              </w:rPr>
              <w:t>35030</w:t>
            </w:r>
          </w:p>
        </w:tc>
        <w:tc>
          <w:tcPr>
            <w:tcW w:w="0" w:type="auto"/>
          </w:tcPr>
          <w:p w14:paraId="7D85671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Small Rural HACC PYP Health Care and Support</w:t>
            </w:r>
          </w:p>
        </w:tc>
        <w:tc>
          <w:tcPr>
            <w:tcW w:w="0" w:type="auto"/>
          </w:tcPr>
          <w:p w14:paraId="01D1AFF6"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Annual Service Activity Report as relevant</w:t>
            </w:r>
          </w:p>
        </w:tc>
        <w:tc>
          <w:tcPr>
            <w:tcW w:w="0" w:type="auto"/>
          </w:tcPr>
          <w:p w14:paraId="64581D8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w:t>
            </w:r>
          </w:p>
        </w:tc>
        <w:tc>
          <w:tcPr>
            <w:tcW w:w="0" w:type="auto"/>
          </w:tcPr>
          <w:p w14:paraId="2372720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788C81A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On request</w:t>
            </w:r>
          </w:p>
        </w:tc>
        <w:tc>
          <w:tcPr>
            <w:tcW w:w="0" w:type="auto"/>
          </w:tcPr>
          <w:p w14:paraId="4156D61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 Non-KPOM</w:t>
            </w:r>
          </w:p>
        </w:tc>
      </w:tr>
    </w:tbl>
    <w:p w14:paraId="6510DDF3" w14:textId="77777777" w:rsidR="00817104" w:rsidRDefault="00817104" w:rsidP="00817104">
      <w:pPr>
        <w:pStyle w:val="Body"/>
      </w:pPr>
    </w:p>
    <w:p w14:paraId="531FAB89" w14:textId="16DC7618" w:rsidR="00817104" w:rsidRDefault="00817104" w:rsidP="00817104">
      <w:pPr>
        <w:pStyle w:val="Tablecaption"/>
      </w:pPr>
      <w:bookmarkStart w:id="2852" w:name="_Toc230537139"/>
      <w:r>
        <w:lastRenderedPageBreak/>
        <w:t>Table</w:t>
      </w:r>
      <w:r w:rsidR="005A2725">
        <w:t xml:space="preserve"> 19</w:t>
      </w:r>
      <w:r>
        <w:t xml:space="preserve">. </w:t>
      </w:r>
      <w:r w:rsidRPr="00E4667F">
        <w:t>Ageing, aged and home care – performance targets and monitoring</w:t>
      </w:r>
      <w:bookmarkEnd w:id="2852"/>
    </w:p>
    <w:tbl>
      <w:tblPr>
        <w:tblStyle w:val="GridTable4-Accent1"/>
        <w:tblW w:w="0" w:type="auto"/>
        <w:tblLook w:val="04A0" w:firstRow="1" w:lastRow="0" w:firstColumn="1" w:lastColumn="0" w:noHBand="0" w:noVBand="1"/>
      </w:tblPr>
      <w:tblGrid>
        <w:gridCol w:w="917"/>
        <w:gridCol w:w="1707"/>
        <w:gridCol w:w="2116"/>
        <w:gridCol w:w="1184"/>
        <w:gridCol w:w="1127"/>
        <w:gridCol w:w="1127"/>
        <w:gridCol w:w="1110"/>
      </w:tblGrid>
      <w:tr w:rsidR="00817104" w:rsidRPr="00926A20" w14:paraId="2228D970" w14:textId="77777777" w:rsidTr="005A2725">
        <w:trPr>
          <w:cnfStyle w:val="100000000000" w:firstRow="1" w:lastRow="0" w:firstColumn="0" w:lastColumn="0" w:oddVBand="0" w:evenVBand="0" w:oddHBand="0" w:evenHBand="0" w:firstRowFirstColumn="0" w:firstRowLastColumn="0" w:lastRowFirstColumn="0" w:lastRowLastColumn="0"/>
          <w:trHeight w:val="602"/>
          <w:tblHeader/>
        </w:trPr>
        <w:tc>
          <w:tcPr>
            <w:cnfStyle w:val="001000000000" w:firstRow="0" w:lastRow="0" w:firstColumn="1" w:lastColumn="0" w:oddVBand="0" w:evenVBand="0" w:oddHBand="0" w:evenHBand="0" w:firstRowFirstColumn="0" w:firstRowLastColumn="0" w:lastRowFirstColumn="0" w:lastRowLastColumn="0"/>
            <w:tcW w:w="0" w:type="auto"/>
          </w:tcPr>
          <w:p w14:paraId="01049511" w14:textId="77777777" w:rsidR="00817104" w:rsidRPr="005A2725" w:rsidRDefault="00817104" w:rsidP="00785A21">
            <w:pPr>
              <w:pStyle w:val="Tablecolhead"/>
              <w:rPr>
                <w:b/>
                <w:color w:val="FFFFFF" w:themeColor="background1"/>
                <w:sz w:val="18"/>
                <w:szCs w:val="18"/>
              </w:rPr>
            </w:pPr>
            <w:r w:rsidRPr="005A2725">
              <w:rPr>
                <w:b/>
                <w:color w:val="FFFFFF" w:themeColor="background1"/>
                <w:sz w:val="18"/>
                <w:szCs w:val="18"/>
              </w:rPr>
              <w:t>Activity no.</w:t>
            </w:r>
          </w:p>
        </w:tc>
        <w:tc>
          <w:tcPr>
            <w:tcW w:w="0" w:type="auto"/>
          </w:tcPr>
          <w:p w14:paraId="27D76F0A" w14:textId="77777777" w:rsidR="00817104" w:rsidRPr="005A2725"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A2725">
              <w:rPr>
                <w:b/>
                <w:color w:val="FFFFFF" w:themeColor="background1"/>
                <w:sz w:val="18"/>
                <w:szCs w:val="18"/>
              </w:rPr>
              <w:t>Activity name</w:t>
            </w:r>
          </w:p>
        </w:tc>
        <w:tc>
          <w:tcPr>
            <w:tcW w:w="0" w:type="auto"/>
          </w:tcPr>
          <w:p w14:paraId="0ECB9F84" w14:textId="77777777" w:rsidR="00817104" w:rsidRPr="005A2725"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A2725">
              <w:rPr>
                <w:b/>
                <w:color w:val="FFFFFF" w:themeColor="background1"/>
                <w:sz w:val="18"/>
                <w:szCs w:val="18"/>
              </w:rPr>
              <w:t>Measure description</w:t>
            </w:r>
          </w:p>
        </w:tc>
        <w:tc>
          <w:tcPr>
            <w:tcW w:w="0" w:type="auto"/>
          </w:tcPr>
          <w:p w14:paraId="34B33181" w14:textId="77777777" w:rsidR="00817104" w:rsidRPr="005A2725"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A2725">
              <w:rPr>
                <w:b/>
                <w:color w:val="FFFFFF" w:themeColor="background1"/>
                <w:sz w:val="18"/>
                <w:szCs w:val="18"/>
              </w:rPr>
              <w:t>Unit of measure</w:t>
            </w:r>
          </w:p>
        </w:tc>
        <w:tc>
          <w:tcPr>
            <w:tcW w:w="0" w:type="auto"/>
          </w:tcPr>
          <w:p w14:paraId="597EF9F1" w14:textId="77777777" w:rsidR="00817104" w:rsidRPr="005A2725"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A2725">
              <w:rPr>
                <w:b/>
                <w:color w:val="FFFFFF" w:themeColor="background1"/>
                <w:sz w:val="18"/>
                <w:szCs w:val="18"/>
              </w:rPr>
              <w:t>Frequency</w:t>
            </w:r>
          </w:p>
        </w:tc>
        <w:tc>
          <w:tcPr>
            <w:tcW w:w="0" w:type="auto"/>
          </w:tcPr>
          <w:p w14:paraId="77476D19" w14:textId="77777777" w:rsidR="00817104" w:rsidRPr="005A2725"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A2725">
              <w:rPr>
                <w:b/>
                <w:color w:val="FFFFFF" w:themeColor="background1"/>
                <w:sz w:val="18"/>
                <w:szCs w:val="18"/>
              </w:rPr>
              <w:t>Status</w:t>
            </w:r>
          </w:p>
        </w:tc>
        <w:tc>
          <w:tcPr>
            <w:tcW w:w="0" w:type="auto"/>
          </w:tcPr>
          <w:p w14:paraId="0A3158D0" w14:textId="77777777" w:rsidR="00817104" w:rsidRPr="005A2725"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A2725">
              <w:rPr>
                <w:b/>
                <w:color w:val="FFFFFF" w:themeColor="background1"/>
                <w:sz w:val="18"/>
                <w:szCs w:val="18"/>
              </w:rPr>
              <w:t>Output type</w:t>
            </w:r>
          </w:p>
        </w:tc>
      </w:tr>
      <w:tr w:rsidR="00817104" w:rsidRPr="00926A20" w14:paraId="63412B3E" w14:textId="77777777" w:rsidTr="005A272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0" w:type="auto"/>
          </w:tcPr>
          <w:p w14:paraId="142A682B" w14:textId="77777777" w:rsidR="00817104" w:rsidRPr="00926A20" w:rsidRDefault="00817104">
            <w:pPr>
              <w:pStyle w:val="Tabletext"/>
              <w:rPr>
                <w:szCs w:val="18"/>
              </w:rPr>
            </w:pPr>
            <w:r w:rsidRPr="00926A20">
              <w:rPr>
                <w:szCs w:val="18"/>
              </w:rPr>
              <w:t>13005</w:t>
            </w:r>
          </w:p>
        </w:tc>
        <w:tc>
          <w:tcPr>
            <w:tcW w:w="0" w:type="auto"/>
          </w:tcPr>
          <w:p w14:paraId="39EB023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ACA</w:t>
            </w:r>
          </w:p>
        </w:tc>
        <w:tc>
          <w:tcPr>
            <w:tcW w:w="0" w:type="auto"/>
          </w:tcPr>
          <w:p w14:paraId="07C1454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assessments</w:t>
            </w:r>
          </w:p>
        </w:tc>
        <w:tc>
          <w:tcPr>
            <w:tcW w:w="0" w:type="auto"/>
          </w:tcPr>
          <w:p w14:paraId="1C8BCFA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w:t>
            </w:r>
          </w:p>
        </w:tc>
        <w:tc>
          <w:tcPr>
            <w:tcW w:w="0" w:type="auto"/>
          </w:tcPr>
          <w:p w14:paraId="3AAABE4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 xml:space="preserve">Monthly </w:t>
            </w:r>
          </w:p>
        </w:tc>
        <w:tc>
          <w:tcPr>
            <w:tcW w:w="0" w:type="auto"/>
          </w:tcPr>
          <w:p w14:paraId="43522D2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429B84C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69B3A920" w14:textId="77777777" w:rsidTr="005A2725">
        <w:trPr>
          <w:trHeight w:val="556"/>
        </w:trPr>
        <w:tc>
          <w:tcPr>
            <w:cnfStyle w:val="001000000000" w:firstRow="0" w:lastRow="0" w:firstColumn="1" w:lastColumn="0" w:oddVBand="0" w:evenVBand="0" w:oddHBand="0" w:evenHBand="0" w:firstRowFirstColumn="0" w:firstRowLastColumn="0" w:lastRowFirstColumn="0" w:lastRowLastColumn="0"/>
            <w:tcW w:w="0" w:type="auto"/>
          </w:tcPr>
          <w:p w14:paraId="5624D3C5" w14:textId="77777777" w:rsidR="00817104" w:rsidRPr="00926A20" w:rsidRDefault="00817104">
            <w:pPr>
              <w:pStyle w:val="Tabletext"/>
              <w:rPr>
                <w:szCs w:val="18"/>
              </w:rPr>
            </w:pPr>
            <w:r w:rsidRPr="00926A20">
              <w:rPr>
                <w:szCs w:val="18"/>
              </w:rPr>
              <w:t>13019</w:t>
            </w:r>
          </w:p>
        </w:tc>
        <w:tc>
          <w:tcPr>
            <w:tcW w:w="0" w:type="auto"/>
          </w:tcPr>
          <w:p w14:paraId="5DDD1C2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Personal Alert Victoria</w:t>
            </w:r>
          </w:p>
        </w:tc>
        <w:tc>
          <w:tcPr>
            <w:tcW w:w="0" w:type="auto"/>
          </w:tcPr>
          <w:p w14:paraId="068D2FF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units allocated</w:t>
            </w:r>
          </w:p>
        </w:tc>
        <w:tc>
          <w:tcPr>
            <w:tcW w:w="0" w:type="auto"/>
          </w:tcPr>
          <w:p w14:paraId="717550D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units</w:t>
            </w:r>
          </w:p>
        </w:tc>
        <w:tc>
          <w:tcPr>
            <w:tcW w:w="0" w:type="auto"/>
          </w:tcPr>
          <w:p w14:paraId="3CAA766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Quarterly </w:t>
            </w:r>
          </w:p>
        </w:tc>
        <w:tc>
          <w:tcPr>
            <w:tcW w:w="0" w:type="auto"/>
          </w:tcPr>
          <w:p w14:paraId="728E5AC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5A3CCDE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71E0B7B5" w14:textId="77777777" w:rsidTr="005A2725">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0" w:type="auto"/>
          </w:tcPr>
          <w:p w14:paraId="2C6C0FC9" w14:textId="77777777" w:rsidR="00817104" w:rsidRPr="00926A20" w:rsidRDefault="00817104">
            <w:pPr>
              <w:pStyle w:val="Tabletext"/>
              <w:rPr>
                <w:szCs w:val="18"/>
              </w:rPr>
            </w:pPr>
            <w:r w:rsidRPr="00926A20">
              <w:rPr>
                <w:szCs w:val="18"/>
              </w:rPr>
              <w:t>13053</w:t>
            </w:r>
          </w:p>
        </w:tc>
        <w:tc>
          <w:tcPr>
            <w:tcW w:w="0" w:type="auto"/>
          </w:tcPr>
          <w:p w14:paraId="48A65FB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Victorian Eyecare Service</w:t>
            </w:r>
          </w:p>
        </w:tc>
        <w:tc>
          <w:tcPr>
            <w:tcW w:w="0" w:type="auto"/>
          </w:tcPr>
          <w:p w14:paraId="31B2FD8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clients</w:t>
            </w:r>
          </w:p>
        </w:tc>
        <w:tc>
          <w:tcPr>
            <w:tcW w:w="0" w:type="auto"/>
          </w:tcPr>
          <w:p w14:paraId="3AB5A65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Clients</w:t>
            </w:r>
          </w:p>
        </w:tc>
        <w:tc>
          <w:tcPr>
            <w:tcW w:w="0" w:type="auto"/>
          </w:tcPr>
          <w:p w14:paraId="65BA760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3D4F978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317508D6"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Other standard measure</w:t>
            </w:r>
          </w:p>
        </w:tc>
      </w:tr>
      <w:tr w:rsidR="00817104" w:rsidRPr="00926A20" w14:paraId="67EE20A5" w14:textId="77777777" w:rsidTr="005A2725">
        <w:trPr>
          <w:trHeight w:val="764"/>
        </w:trPr>
        <w:tc>
          <w:tcPr>
            <w:cnfStyle w:val="001000000000" w:firstRow="0" w:lastRow="0" w:firstColumn="1" w:lastColumn="0" w:oddVBand="0" w:evenVBand="0" w:oddHBand="0" w:evenHBand="0" w:firstRowFirstColumn="0" w:firstRowLastColumn="0" w:lastRowFirstColumn="0" w:lastRowLastColumn="0"/>
            <w:tcW w:w="0" w:type="auto"/>
          </w:tcPr>
          <w:p w14:paraId="54F47CE9" w14:textId="77777777" w:rsidR="00817104" w:rsidRPr="00926A20" w:rsidRDefault="00817104">
            <w:pPr>
              <w:pStyle w:val="Tabletext"/>
              <w:rPr>
                <w:szCs w:val="18"/>
              </w:rPr>
            </w:pPr>
            <w:r w:rsidRPr="00926A20">
              <w:rPr>
                <w:szCs w:val="18"/>
              </w:rPr>
              <w:t>13053</w:t>
            </w:r>
          </w:p>
        </w:tc>
        <w:tc>
          <w:tcPr>
            <w:tcW w:w="0" w:type="auto"/>
          </w:tcPr>
          <w:p w14:paraId="4268CEA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Victorian Eyecare Service</w:t>
            </w:r>
          </w:p>
        </w:tc>
        <w:tc>
          <w:tcPr>
            <w:tcW w:w="0" w:type="auto"/>
          </w:tcPr>
          <w:p w14:paraId="49CDF9D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Aids prescribed</w:t>
            </w:r>
          </w:p>
        </w:tc>
        <w:tc>
          <w:tcPr>
            <w:tcW w:w="0" w:type="auto"/>
          </w:tcPr>
          <w:p w14:paraId="7DF5DCD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Visual aids</w:t>
            </w:r>
          </w:p>
        </w:tc>
        <w:tc>
          <w:tcPr>
            <w:tcW w:w="0" w:type="auto"/>
          </w:tcPr>
          <w:p w14:paraId="5C26A92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5234371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3831C20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Other standard measure</w:t>
            </w:r>
          </w:p>
        </w:tc>
      </w:tr>
      <w:tr w:rsidR="00817104" w:rsidRPr="00926A20" w14:paraId="26E34F28" w14:textId="77777777" w:rsidTr="005A2725">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0" w:type="auto"/>
          </w:tcPr>
          <w:p w14:paraId="3567556D" w14:textId="77777777" w:rsidR="00817104" w:rsidRPr="00926A20" w:rsidRDefault="00817104">
            <w:pPr>
              <w:pStyle w:val="Tabletext"/>
              <w:rPr>
                <w:szCs w:val="18"/>
              </w:rPr>
            </w:pPr>
            <w:r w:rsidRPr="00926A20">
              <w:rPr>
                <w:szCs w:val="18"/>
              </w:rPr>
              <w:t>13067</w:t>
            </w:r>
          </w:p>
        </w:tc>
        <w:tc>
          <w:tcPr>
            <w:tcW w:w="0" w:type="auto"/>
          </w:tcPr>
          <w:p w14:paraId="5844F74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VA&amp;EP</w:t>
            </w:r>
          </w:p>
        </w:tc>
        <w:tc>
          <w:tcPr>
            <w:tcW w:w="0" w:type="auto"/>
          </w:tcPr>
          <w:p w14:paraId="68CE95D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clients receiving aids and equipment</w:t>
            </w:r>
          </w:p>
        </w:tc>
        <w:tc>
          <w:tcPr>
            <w:tcW w:w="0" w:type="auto"/>
          </w:tcPr>
          <w:p w14:paraId="5856298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Clients</w:t>
            </w:r>
          </w:p>
        </w:tc>
        <w:tc>
          <w:tcPr>
            <w:tcW w:w="0" w:type="auto"/>
          </w:tcPr>
          <w:p w14:paraId="7C84C9A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0D391E2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63469C3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65827846" w14:textId="77777777" w:rsidTr="005A2725">
        <w:trPr>
          <w:trHeight w:val="1170"/>
        </w:trPr>
        <w:tc>
          <w:tcPr>
            <w:cnfStyle w:val="001000000000" w:firstRow="0" w:lastRow="0" w:firstColumn="1" w:lastColumn="0" w:oddVBand="0" w:evenVBand="0" w:oddHBand="0" w:evenHBand="0" w:firstRowFirstColumn="0" w:firstRowLastColumn="0" w:lastRowFirstColumn="0" w:lastRowLastColumn="0"/>
            <w:tcW w:w="0" w:type="auto"/>
          </w:tcPr>
          <w:p w14:paraId="79608A51" w14:textId="77777777" w:rsidR="00817104" w:rsidRPr="00926A20" w:rsidRDefault="00817104">
            <w:pPr>
              <w:pStyle w:val="Tabletext"/>
              <w:rPr>
                <w:szCs w:val="18"/>
              </w:rPr>
            </w:pPr>
            <w:r w:rsidRPr="00926A20">
              <w:rPr>
                <w:szCs w:val="18"/>
              </w:rPr>
              <w:t>13067</w:t>
            </w:r>
          </w:p>
        </w:tc>
        <w:tc>
          <w:tcPr>
            <w:tcW w:w="0" w:type="auto"/>
          </w:tcPr>
          <w:p w14:paraId="07A74EF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VA&amp;EP</w:t>
            </w:r>
          </w:p>
        </w:tc>
        <w:tc>
          <w:tcPr>
            <w:tcW w:w="0" w:type="auto"/>
          </w:tcPr>
          <w:p w14:paraId="388E52F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Applications acknowledged in writing within 10 working days of applications</w:t>
            </w:r>
          </w:p>
        </w:tc>
        <w:tc>
          <w:tcPr>
            <w:tcW w:w="0" w:type="auto"/>
          </w:tcPr>
          <w:p w14:paraId="4712C99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Per cent</w:t>
            </w:r>
          </w:p>
        </w:tc>
        <w:tc>
          <w:tcPr>
            <w:tcW w:w="0" w:type="auto"/>
          </w:tcPr>
          <w:p w14:paraId="36CD891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0611174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58B6525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6E88AF14" w14:textId="77777777" w:rsidTr="005A2725">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0" w:type="auto"/>
          </w:tcPr>
          <w:p w14:paraId="594D0200" w14:textId="77777777" w:rsidR="00817104" w:rsidRPr="00926A20" w:rsidRDefault="00817104">
            <w:pPr>
              <w:pStyle w:val="Tabletext"/>
              <w:rPr>
                <w:szCs w:val="18"/>
              </w:rPr>
            </w:pPr>
            <w:r w:rsidRPr="00926A20">
              <w:rPr>
                <w:szCs w:val="18"/>
              </w:rPr>
              <w:t>13067</w:t>
            </w:r>
          </w:p>
        </w:tc>
        <w:tc>
          <w:tcPr>
            <w:tcW w:w="0" w:type="auto"/>
          </w:tcPr>
          <w:p w14:paraId="7A529B6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VA&amp;EP</w:t>
            </w:r>
          </w:p>
        </w:tc>
        <w:tc>
          <w:tcPr>
            <w:tcW w:w="0" w:type="auto"/>
          </w:tcPr>
          <w:p w14:paraId="4E20C3B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Clients satisfied with the aids and equipment system</w:t>
            </w:r>
          </w:p>
        </w:tc>
        <w:tc>
          <w:tcPr>
            <w:tcW w:w="0" w:type="auto"/>
          </w:tcPr>
          <w:p w14:paraId="5A0122B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Per cent</w:t>
            </w:r>
          </w:p>
        </w:tc>
        <w:tc>
          <w:tcPr>
            <w:tcW w:w="0" w:type="auto"/>
          </w:tcPr>
          <w:p w14:paraId="789D9B2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Annual</w:t>
            </w:r>
          </w:p>
        </w:tc>
        <w:tc>
          <w:tcPr>
            <w:tcW w:w="0" w:type="auto"/>
          </w:tcPr>
          <w:p w14:paraId="5155E46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67276CE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41D15360" w14:textId="77777777" w:rsidTr="005A2725">
        <w:trPr>
          <w:trHeight w:val="764"/>
        </w:trPr>
        <w:tc>
          <w:tcPr>
            <w:cnfStyle w:val="001000000000" w:firstRow="0" w:lastRow="0" w:firstColumn="1" w:lastColumn="0" w:oddVBand="0" w:evenVBand="0" w:oddHBand="0" w:evenHBand="0" w:firstRowFirstColumn="0" w:firstRowLastColumn="0" w:lastRowFirstColumn="0" w:lastRowLastColumn="0"/>
            <w:tcW w:w="0" w:type="auto"/>
          </w:tcPr>
          <w:p w14:paraId="0CB18D14" w14:textId="77777777" w:rsidR="00817104" w:rsidRPr="00926A20" w:rsidRDefault="00817104">
            <w:pPr>
              <w:pStyle w:val="Tabletext"/>
              <w:rPr>
                <w:szCs w:val="18"/>
              </w:rPr>
            </w:pPr>
            <w:r w:rsidRPr="00926A20">
              <w:rPr>
                <w:szCs w:val="18"/>
              </w:rPr>
              <w:t>13082</w:t>
            </w:r>
          </w:p>
        </w:tc>
        <w:tc>
          <w:tcPr>
            <w:tcW w:w="0" w:type="auto"/>
          </w:tcPr>
          <w:p w14:paraId="127DE0A8" w14:textId="64B1E591"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Low-cost accommodation support</w:t>
            </w:r>
          </w:p>
        </w:tc>
        <w:tc>
          <w:tcPr>
            <w:tcW w:w="0" w:type="auto"/>
          </w:tcPr>
          <w:p w14:paraId="02203CD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clients assisted</w:t>
            </w:r>
          </w:p>
        </w:tc>
        <w:tc>
          <w:tcPr>
            <w:tcW w:w="0" w:type="auto"/>
          </w:tcPr>
          <w:p w14:paraId="29CAB33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Clients</w:t>
            </w:r>
          </w:p>
        </w:tc>
        <w:tc>
          <w:tcPr>
            <w:tcW w:w="0" w:type="auto"/>
          </w:tcPr>
          <w:p w14:paraId="604AE84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34BECB3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1686860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5878E0B9" w14:textId="77777777" w:rsidTr="005A2725">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0" w:type="auto"/>
          </w:tcPr>
          <w:p w14:paraId="16785BA0" w14:textId="77777777" w:rsidR="00817104" w:rsidRPr="00926A20" w:rsidRDefault="00817104">
            <w:pPr>
              <w:pStyle w:val="Tabletext"/>
              <w:rPr>
                <w:szCs w:val="18"/>
              </w:rPr>
            </w:pPr>
            <w:r w:rsidRPr="00926A20">
              <w:rPr>
                <w:szCs w:val="18"/>
              </w:rPr>
              <w:t>13083</w:t>
            </w:r>
          </w:p>
        </w:tc>
        <w:tc>
          <w:tcPr>
            <w:tcW w:w="0" w:type="auto"/>
          </w:tcPr>
          <w:p w14:paraId="225FC31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Aged training and development</w:t>
            </w:r>
          </w:p>
        </w:tc>
        <w:tc>
          <w:tcPr>
            <w:tcW w:w="0" w:type="auto"/>
          </w:tcPr>
          <w:p w14:paraId="4ECD465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filled positions (academic)</w:t>
            </w:r>
          </w:p>
        </w:tc>
        <w:tc>
          <w:tcPr>
            <w:tcW w:w="0" w:type="auto"/>
          </w:tcPr>
          <w:p w14:paraId="3411504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Positions</w:t>
            </w:r>
          </w:p>
        </w:tc>
        <w:tc>
          <w:tcPr>
            <w:tcW w:w="0" w:type="auto"/>
          </w:tcPr>
          <w:p w14:paraId="17417C4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46486F8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63EB646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7E758028" w14:textId="77777777" w:rsidTr="005A2725">
        <w:trPr>
          <w:trHeight w:val="764"/>
        </w:trPr>
        <w:tc>
          <w:tcPr>
            <w:cnfStyle w:val="001000000000" w:firstRow="0" w:lastRow="0" w:firstColumn="1" w:lastColumn="0" w:oddVBand="0" w:evenVBand="0" w:oddHBand="0" w:evenHBand="0" w:firstRowFirstColumn="0" w:firstRowLastColumn="0" w:lastRowFirstColumn="0" w:lastRowLastColumn="0"/>
            <w:tcW w:w="0" w:type="auto"/>
          </w:tcPr>
          <w:p w14:paraId="3051F05A" w14:textId="77777777" w:rsidR="00817104" w:rsidRPr="00926A20" w:rsidRDefault="00817104">
            <w:pPr>
              <w:pStyle w:val="Tabletext"/>
              <w:rPr>
                <w:szCs w:val="18"/>
              </w:rPr>
            </w:pPr>
            <w:r w:rsidRPr="00926A20">
              <w:rPr>
                <w:szCs w:val="18"/>
              </w:rPr>
              <w:t>13083</w:t>
            </w:r>
          </w:p>
        </w:tc>
        <w:tc>
          <w:tcPr>
            <w:tcW w:w="0" w:type="auto"/>
          </w:tcPr>
          <w:p w14:paraId="527E69B0"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Aged training and development</w:t>
            </w:r>
          </w:p>
        </w:tc>
        <w:tc>
          <w:tcPr>
            <w:tcW w:w="0" w:type="auto"/>
          </w:tcPr>
          <w:p w14:paraId="56A9593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filled positions (training)</w:t>
            </w:r>
          </w:p>
        </w:tc>
        <w:tc>
          <w:tcPr>
            <w:tcW w:w="0" w:type="auto"/>
          </w:tcPr>
          <w:p w14:paraId="39D1138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Positions</w:t>
            </w:r>
          </w:p>
        </w:tc>
        <w:tc>
          <w:tcPr>
            <w:tcW w:w="0" w:type="auto"/>
          </w:tcPr>
          <w:p w14:paraId="24E74636"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577D5E7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Non-mandatory</w:t>
            </w:r>
          </w:p>
        </w:tc>
        <w:tc>
          <w:tcPr>
            <w:tcW w:w="0" w:type="auto"/>
          </w:tcPr>
          <w:p w14:paraId="7F9E7EDA"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Other standard measure</w:t>
            </w:r>
          </w:p>
        </w:tc>
      </w:tr>
      <w:tr w:rsidR="00817104" w:rsidRPr="00926A20" w14:paraId="5702FECE" w14:textId="77777777" w:rsidTr="005A272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0" w:type="auto"/>
          </w:tcPr>
          <w:p w14:paraId="7CC26E3F" w14:textId="77777777" w:rsidR="00817104" w:rsidRPr="00926A20" w:rsidRDefault="00817104">
            <w:pPr>
              <w:pStyle w:val="Tabletext"/>
              <w:rPr>
                <w:szCs w:val="18"/>
              </w:rPr>
            </w:pPr>
            <w:r w:rsidRPr="00926A20">
              <w:rPr>
                <w:szCs w:val="18"/>
              </w:rPr>
              <w:t>13100</w:t>
            </w:r>
          </w:p>
        </w:tc>
        <w:tc>
          <w:tcPr>
            <w:tcW w:w="0" w:type="auto"/>
          </w:tcPr>
          <w:p w14:paraId="4A0C607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Aged research and evaluation</w:t>
            </w:r>
          </w:p>
        </w:tc>
        <w:tc>
          <w:tcPr>
            <w:tcW w:w="0" w:type="auto"/>
          </w:tcPr>
          <w:p w14:paraId="57DEBA7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agreed objectives</w:t>
            </w:r>
          </w:p>
        </w:tc>
        <w:tc>
          <w:tcPr>
            <w:tcW w:w="0" w:type="auto"/>
          </w:tcPr>
          <w:p w14:paraId="16A4F26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50F50F1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6451013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12A820E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472A88E0" w14:textId="77777777" w:rsidTr="005A2725">
        <w:trPr>
          <w:trHeight w:val="764"/>
        </w:trPr>
        <w:tc>
          <w:tcPr>
            <w:cnfStyle w:val="001000000000" w:firstRow="0" w:lastRow="0" w:firstColumn="1" w:lastColumn="0" w:oddVBand="0" w:evenVBand="0" w:oddHBand="0" w:evenHBand="0" w:firstRowFirstColumn="0" w:firstRowLastColumn="0" w:lastRowFirstColumn="0" w:lastRowLastColumn="0"/>
            <w:tcW w:w="0" w:type="auto"/>
          </w:tcPr>
          <w:p w14:paraId="28F60A37" w14:textId="77777777" w:rsidR="00817104" w:rsidRPr="00926A20" w:rsidRDefault="00817104">
            <w:pPr>
              <w:pStyle w:val="Tabletext"/>
              <w:rPr>
                <w:szCs w:val="18"/>
              </w:rPr>
            </w:pPr>
            <w:r w:rsidRPr="00926A20">
              <w:rPr>
                <w:szCs w:val="18"/>
              </w:rPr>
              <w:t>13103</w:t>
            </w:r>
          </w:p>
        </w:tc>
        <w:tc>
          <w:tcPr>
            <w:tcW w:w="0" w:type="auto"/>
          </w:tcPr>
          <w:p w14:paraId="01F2B09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Language services</w:t>
            </w:r>
          </w:p>
        </w:tc>
        <w:tc>
          <w:tcPr>
            <w:tcW w:w="0" w:type="auto"/>
          </w:tcPr>
          <w:p w14:paraId="566DEED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occasions of service</w:t>
            </w:r>
          </w:p>
        </w:tc>
        <w:tc>
          <w:tcPr>
            <w:tcW w:w="0" w:type="auto"/>
          </w:tcPr>
          <w:p w14:paraId="52719C3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Occasions of service</w:t>
            </w:r>
          </w:p>
        </w:tc>
        <w:tc>
          <w:tcPr>
            <w:tcW w:w="0" w:type="auto"/>
          </w:tcPr>
          <w:p w14:paraId="6B827AC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Monthly</w:t>
            </w:r>
          </w:p>
        </w:tc>
        <w:tc>
          <w:tcPr>
            <w:tcW w:w="0" w:type="auto"/>
          </w:tcPr>
          <w:p w14:paraId="07AC7F0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7F930B6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5E15B294" w14:textId="77777777" w:rsidTr="005A2725">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0" w:type="auto"/>
          </w:tcPr>
          <w:p w14:paraId="45D1D46A" w14:textId="77777777" w:rsidR="00817104" w:rsidRPr="00926A20" w:rsidRDefault="00817104">
            <w:pPr>
              <w:pStyle w:val="Tabletext"/>
              <w:rPr>
                <w:szCs w:val="18"/>
              </w:rPr>
            </w:pPr>
            <w:r w:rsidRPr="00926A20">
              <w:rPr>
                <w:szCs w:val="18"/>
              </w:rPr>
              <w:t>13210</w:t>
            </w:r>
          </w:p>
        </w:tc>
        <w:tc>
          <w:tcPr>
            <w:tcW w:w="0" w:type="auto"/>
          </w:tcPr>
          <w:p w14:paraId="1DCEB496"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ACA training and development</w:t>
            </w:r>
          </w:p>
        </w:tc>
        <w:tc>
          <w:tcPr>
            <w:tcW w:w="0" w:type="auto"/>
          </w:tcPr>
          <w:p w14:paraId="1DF29C4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Funds expended on training needs of staff</w:t>
            </w:r>
          </w:p>
        </w:tc>
        <w:tc>
          <w:tcPr>
            <w:tcW w:w="0" w:type="auto"/>
          </w:tcPr>
          <w:p w14:paraId="7F6356E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Dollars</w:t>
            </w:r>
          </w:p>
        </w:tc>
        <w:tc>
          <w:tcPr>
            <w:tcW w:w="0" w:type="auto"/>
          </w:tcPr>
          <w:p w14:paraId="210A558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247F118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39CF3AF6"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bl>
    <w:p w14:paraId="0170AEFC" w14:textId="40C9680B" w:rsidR="00817104" w:rsidRDefault="00817104" w:rsidP="00817104">
      <w:pPr>
        <w:pStyle w:val="Tablecaption"/>
      </w:pPr>
      <w:bookmarkStart w:id="2853" w:name="_Toc230537140"/>
      <w:r>
        <w:t xml:space="preserve">Table </w:t>
      </w:r>
      <w:r w:rsidR="005A2725">
        <w:t>20</w:t>
      </w:r>
      <w:r>
        <w:t>. Ambulance Victoria – performance targets and monitoring</w:t>
      </w:r>
      <w:bookmarkEnd w:id="2853"/>
    </w:p>
    <w:tbl>
      <w:tblPr>
        <w:tblStyle w:val="GridTable4-Accent1"/>
        <w:tblW w:w="9283" w:type="dxa"/>
        <w:tblLook w:val="04A0" w:firstRow="1" w:lastRow="0" w:firstColumn="1" w:lastColumn="0" w:noHBand="0" w:noVBand="1"/>
      </w:tblPr>
      <w:tblGrid>
        <w:gridCol w:w="1307"/>
        <w:gridCol w:w="2324"/>
        <w:gridCol w:w="2551"/>
        <w:gridCol w:w="957"/>
        <w:gridCol w:w="1077"/>
        <w:gridCol w:w="1067"/>
      </w:tblGrid>
      <w:tr w:rsidR="00817104" w:rsidRPr="00926A20" w14:paraId="1279A746" w14:textId="77777777" w:rsidTr="005B3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07" w:type="dxa"/>
          </w:tcPr>
          <w:p w14:paraId="5AF5BD81" w14:textId="77777777" w:rsidR="00817104" w:rsidRPr="005A2725" w:rsidRDefault="00817104" w:rsidP="005A2725">
            <w:pPr>
              <w:pStyle w:val="Tablecolhead"/>
              <w:rPr>
                <w:b/>
                <w:color w:val="FFFFFF" w:themeColor="background1"/>
                <w:sz w:val="18"/>
                <w:szCs w:val="18"/>
              </w:rPr>
            </w:pPr>
            <w:r w:rsidRPr="005A2725">
              <w:rPr>
                <w:b/>
                <w:color w:val="FFFFFF" w:themeColor="background1"/>
                <w:sz w:val="18"/>
                <w:szCs w:val="18"/>
              </w:rPr>
              <w:t>Service plan</w:t>
            </w:r>
          </w:p>
        </w:tc>
        <w:tc>
          <w:tcPr>
            <w:tcW w:w="2324" w:type="dxa"/>
          </w:tcPr>
          <w:p w14:paraId="2073F467" w14:textId="77777777" w:rsidR="00817104" w:rsidRPr="005A2725" w:rsidRDefault="00817104" w:rsidP="005A2725">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A2725">
              <w:rPr>
                <w:b/>
                <w:color w:val="FFFFFF" w:themeColor="background1"/>
                <w:sz w:val="18"/>
                <w:szCs w:val="18"/>
              </w:rPr>
              <w:t>Activity</w:t>
            </w:r>
          </w:p>
        </w:tc>
        <w:tc>
          <w:tcPr>
            <w:tcW w:w="2551" w:type="dxa"/>
          </w:tcPr>
          <w:p w14:paraId="1B73DFFF" w14:textId="77777777" w:rsidR="00817104" w:rsidRPr="005A2725" w:rsidRDefault="00817104" w:rsidP="005A2725">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A2725">
              <w:rPr>
                <w:b/>
                <w:color w:val="FFFFFF" w:themeColor="background1"/>
                <w:sz w:val="18"/>
                <w:szCs w:val="18"/>
              </w:rPr>
              <w:t xml:space="preserve">Measure description </w:t>
            </w:r>
          </w:p>
        </w:tc>
        <w:tc>
          <w:tcPr>
            <w:tcW w:w="957" w:type="dxa"/>
          </w:tcPr>
          <w:p w14:paraId="4765058A" w14:textId="77777777" w:rsidR="00817104" w:rsidRPr="005A2725" w:rsidRDefault="00817104" w:rsidP="005A2725">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A2725">
              <w:rPr>
                <w:b/>
                <w:color w:val="FFFFFF" w:themeColor="background1"/>
                <w:sz w:val="18"/>
                <w:szCs w:val="18"/>
              </w:rPr>
              <w:t>Unit of measure</w:t>
            </w:r>
          </w:p>
        </w:tc>
        <w:tc>
          <w:tcPr>
            <w:tcW w:w="1077" w:type="dxa"/>
          </w:tcPr>
          <w:p w14:paraId="0992590D" w14:textId="77777777" w:rsidR="00817104" w:rsidRPr="005A2725" w:rsidRDefault="00817104" w:rsidP="005A2725">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A2725">
              <w:rPr>
                <w:b/>
                <w:color w:val="FFFFFF" w:themeColor="background1"/>
                <w:sz w:val="18"/>
                <w:szCs w:val="18"/>
              </w:rPr>
              <w:t>Reporting frequency</w:t>
            </w:r>
          </w:p>
        </w:tc>
        <w:tc>
          <w:tcPr>
            <w:tcW w:w="1067" w:type="dxa"/>
          </w:tcPr>
          <w:p w14:paraId="4E6EFA00" w14:textId="77777777" w:rsidR="00817104" w:rsidRPr="005A2725" w:rsidRDefault="00817104" w:rsidP="005A2725">
            <w:pPr>
              <w:pStyle w:val="Tablecolhead"/>
              <w:cnfStyle w:val="100000000000" w:firstRow="1" w:lastRow="0" w:firstColumn="0" w:lastColumn="0" w:oddVBand="0" w:evenVBand="0" w:oddHBand="0" w:evenHBand="0" w:firstRowFirstColumn="0" w:firstRowLastColumn="0" w:lastRowFirstColumn="0" w:lastRowLastColumn="0"/>
              <w:rPr>
                <w:b/>
                <w:color w:val="FFFFFF" w:themeColor="background1"/>
                <w:sz w:val="18"/>
                <w:szCs w:val="18"/>
              </w:rPr>
            </w:pPr>
            <w:r w:rsidRPr="005A2725">
              <w:rPr>
                <w:b/>
                <w:color w:val="FFFFFF" w:themeColor="background1"/>
                <w:sz w:val="18"/>
                <w:szCs w:val="18"/>
              </w:rPr>
              <w:t xml:space="preserve">Status </w:t>
            </w:r>
          </w:p>
        </w:tc>
      </w:tr>
      <w:tr w:rsidR="00817104" w:rsidRPr="00926A20" w14:paraId="64202A8F"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7" w:type="dxa"/>
          </w:tcPr>
          <w:p w14:paraId="6012D0AA" w14:textId="77777777" w:rsidR="00817104" w:rsidRPr="00926A20" w:rsidRDefault="00817104" w:rsidP="005A2725">
            <w:pPr>
              <w:pStyle w:val="Tabletext"/>
              <w:rPr>
                <w:szCs w:val="18"/>
              </w:rPr>
            </w:pPr>
            <w:r w:rsidRPr="00926A20">
              <w:rPr>
                <w:szCs w:val="18"/>
              </w:rPr>
              <w:t>Quantity – transports</w:t>
            </w:r>
          </w:p>
        </w:tc>
        <w:tc>
          <w:tcPr>
            <w:tcW w:w="2324" w:type="dxa"/>
          </w:tcPr>
          <w:p w14:paraId="4CDBF85A"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Emergency road: all</w:t>
            </w:r>
          </w:p>
          <w:p w14:paraId="2DD3726F"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Emergency road: metro</w:t>
            </w:r>
          </w:p>
          <w:p w14:paraId="23D9C8B8"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Emergency road: rural and regional</w:t>
            </w:r>
          </w:p>
          <w:p w14:paraId="74F5FDC0"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Non-emergency stretcher: all</w:t>
            </w:r>
          </w:p>
          <w:p w14:paraId="1C14B6D3"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lastRenderedPageBreak/>
              <w:t>Non-emergency stretcher: metro</w:t>
            </w:r>
          </w:p>
          <w:p w14:paraId="61B66ABB"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Non-emergency stretcher: rural and regional</w:t>
            </w:r>
          </w:p>
          <w:p w14:paraId="2E297CF9"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Non-emergency clinic car</w:t>
            </w:r>
          </w:p>
          <w:p w14:paraId="08AC2BA9"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Fixed-wing emergency</w:t>
            </w:r>
          </w:p>
          <w:p w14:paraId="5013A5A5"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Fixed wing non-emergency</w:t>
            </w:r>
          </w:p>
          <w:p w14:paraId="1CC68E13"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Rotary wing</w:t>
            </w:r>
          </w:p>
        </w:tc>
        <w:tc>
          <w:tcPr>
            <w:tcW w:w="2551" w:type="dxa"/>
          </w:tcPr>
          <w:p w14:paraId="08452E4C"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lastRenderedPageBreak/>
              <w:t>Number of transports provided</w:t>
            </w:r>
          </w:p>
        </w:tc>
        <w:tc>
          <w:tcPr>
            <w:tcW w:w="957" w:type="dxa"/>
          </w:tcPr>
          <w:p w14:paraId="610DC058"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w:t>
            </w:r>
          </w:p>
        </w:tc>
        <w:tc>
          <w:tcPr>
            <w:tcW w:w="1077" w:type="dxa"/>
          </w:tcPr>
          <w:p w14:paraId="6798ECA6"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Monthly</w:t>
            </w:r>
          </w:p>
        </w:tc>
        <w:tc>
          <w:tcPr>
            <w:tcW w:w="1067" w:type="dxa"/>
          </w:tcPr>
          <w:p w14:paraId="70BB7FBB"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r>
      <w:tr w:rsidR="00817104" w:rsidRPr="00926A20" w14:paraId="6371FABE" w14:textId="77777777" w:rsidTr="005B3517">
        <w:tc>
          <w:tcPr>
            <w:cnfStyle w:val="001000000000" w:firstRow="0" w:lastRow="0" w:firstColumn="1" w:lastColumn="0" w:oddVBand="0" w:evenVBand="0" w:oddHBand="0" w:evenHBand="0" w:firstRowFirstColumn="0" w:firstRowLastColumn="0" w:lastRowFirstColumn="0" w:lastRowLastColumn="0"/>
            <w:tcW w:w="1307" w:type="dxa"/>
          </w:tcPr>
          <w:p w14:paraId="410D9314" w14:textId="77777777" w:rsidR="00817104" w:rsidRPr="00926A20" w:rsidRDefault="00817104" w:rsidP="005A2725">
            <w:pPr>
              <w:pStyle w:val="Tabletext"/>
              <w:rPr>
                <w:szCs w:val="18"/>
              </w:rPr>
            </w:pPr>
            <w:r w:rsidRPr="00926A20">
              <w:rPr>
                <w:szCs w:val="18"/>
              </w:rPr>
              <w:t>Quantity – incidents</w:t>
            </w:r>
          </w:p>
        </w:tc>
        <w:tc>
          <w:tcPr>
            <w:tcW w:w="2324" w:type="dxa"/>
          </w:tcPr>
          <w:p w14:paraId="40D04C05"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Emergency road: all</w:t>
            </w:r>
          </w:p>
          <w:p w14:paraId="120128EC"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Emergency road: metro</w:t>
            </w:r>
          </w:p>
          <w:p w14:paraId="518B95B0"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Emergency road: rural and regional</w:t>
            </w:r>
          </w:p>
          <w:p w14:paraId="72FA645D"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Treatment without transport</w:t>
            </w:r>
          </w:p>
          <w:p w14:paraId="0AE9456A"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Non-emergency stretcher: all</w:t>
            </w:r>
          </w:p>
          <w:p w14:paraId="3218B047"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Non-emergency stretcher: metro</w:t>
            </w:r>
          </w:p>
          <w:p w14:paraId="782F532E"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Non-emergency stretcher: rural and regional</w:t>
            </w:r>
          </w:p>
          <w:p w14:paraId="4A96FF2D"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Non-emergency clinic car</w:t>
            </w:r>
          </w:p>
          <w:p w14:paraId="1DC837BE"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Fixed-wing emergency</w:t>
            </w:r>
          </w:p>
        </w:tc>
        <w:tc>
          <w:tcPr>
            <w:tcW w:w="2551" w:type="dxa"/>
          </w:tcPr>
          <w:p w14:paraId="250F380F"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Triple Zero (000) calls or planned events to which one or more ambulance resources are dispatched</w:t>
            </w:r>
          </w:p>
        </w:tc>
        <w:tc>
          <w:tcPr>
            <w:tcW w:w="957" w:type="dxa"/>
          </w:tcPr>
          <w:p w14:paraId="53E66E97"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w:t>
            </w:r>
          </w:p>
        </w:tc>
        <w:tc>
          <w:tcPr>
            <w:tcW w:w="1077" w:type="dxa"/>
          </w:tcPr>
          <w:p w14:paraId="4A2D7A36"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Monthly</w:t>
            </w:r>
          </w:p>
        </w:tc>
        <w:tc>
          <w:tcPr>
            <w:tcW w:w="1067" w:type="dxa"/>
          </w:tcPr>
          <w:p w14:paraId="4DB63DE9"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r>
      <w:tr w:rsidR="00817104" w:rsidRPr="00926A20" w14:paraId="0568A1A1" w14:textId="77777777" w:rsidTr="005B351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07" w:type="dxa"/>
          </w:tcPr>
          <w:p w14:paraId="26AD48D4" w14:textId="77777777" w:rsidR="00817104" w:rsidRPr="00926A20" w:rsidRDefault="00817104" w:rsidP="005A2725">
            <w:pPr>
              <w:pStyle w:val="Tabletext"/>
              <w:rPr>
                <w:szCs w:val="18"/>
              </w:rPr>
            </w:pPr>
            <w:r w:rsidRPr="00926A20">
              <w:rPr>
                <w:szCs w:val="18"/>
              </w:rPr>
              <w:t>Patient experience</w:t>
            </w:r>
          </w:p>
        </w:tc>
        <w:tc>
          <w:tcPr>
            <w:tcW w:w="2324" w:type="dxa"/>
          </w:tcPr>
          <w:p w14:paraId="60CFC5E1"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Patient experience</w:t>
            </w:r>
          </w:p>
        </w:tc>
        <w:tc>
          <w:tcPr>
            <w:tcW w:w="2551" w:type="dxa"/>
          </w:tcPr>
          <w:p w14:paraId="1DE732EA"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 xml:space="preserve">Percentage of respondents who rated their satisfaction with care, treatment, advice and/or transport received from the ambulance service as ‘satisfied’ or ‘very satisfied’ </w:t>
            </w:r>
          </w:p>
          <w:p w14:paraId="4998FD3F"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Percentage of respondents who rated care and treatment received from paramedics as ‘good’ or ‘very good’</w:t>
            </w:r>
          </w:p>
        </w:tc>
        <w:tc>
          <w:tcPr>
            <w:tcW w:w="957" w:type="dxa"/>
          </w:tcPr>
          <w:p w14:paraId="0D38233F"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Per cent</w:t>
            </w:r>
          </w:p>
        </w:tc>
        <w:tc>
          <w:tcPr>
            <w:tcW w:w="1077" w:type="dxa"/>
          </w:tcPr>
          <w:p w14:paraId="3DACD4B2"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Annual</w:t>
            </w:r>
          </w:p>
        </w:tc>
        <w:tc>
          <w:tcPr>
            <w:tcW w:w="1067" w:type="dxa"/>
          </w:tcPr>
          <w:p w14:paraId="2A687BF8"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r>
      <w:tr w:rsidR="00817104" w:rsidRPr="00926A20" w14:paraId="1E1C72A6" w14:textId="77777777" w:rsidTr="005B3517">
        <w:trPr>
          <w:trHeight w:val="251"/>
        </w:trPr>
        <w:tc>
          <w:tcPr>
            <w:cnfStyle w:val="001000000000" w:firstRow="0" w:lastRow="0" w:firstColumn="1" w:lastColumn="0" w:oddVBand="0" w:evenVBand="0" w:oddHBand="0" w:evenHBand="0" w:firstRowFirstColumn="0" w:firstRowLastColumn="0" w:lastRowFirstColumn="0" w:lastRowLastColumn="0"/>
            <w:tcW w:w="1307" w:type="dxa"/>
          </w:tcPr>
          <w:p w14:paraId="1A0D4A5F" w14:textId="38F5F956" w:rsidR="00817104" w:rsidRPr="00926A20" w:rsidRDefault="00817104" w:rsidP="005A2725">
            <w:pPr>
              <w:pStyle w:val="Tabletext"/>
              <w:rPr>
                <w:szCs w:val="18"/>
              </w:rPr>
            </w:pPr>
            <w:r w:rsidRPr="00926A20">
              <w:rPr>
                <w:szCs w:val="18"/>
              </w:rPr>
              <w:t>Governance, leadership and culture</w:t>
            </w:r>
          </w:p>
        </w:tc>
        <w:tc>
          <w:tcPr>
            <w:tcW w:w="2324" w:type="dxa"/>
          </w:tcPr>
          <w:p w14:paraId="0AEAF0C9"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Safety culture</w:t>
            </w:r>
          </w:p>
        </w:tc>
        <w:tc>
          <w:tcPr>
            <w:tcW w:w="2551" w:type="dxa"/>
          </w:tcPr>
          <w:p w14:paraId="7224136D"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Composite of safety culture score, based on eight safety culture items in the People Matter Survey</w:t>
            </w:r>
          </w:p>
        </w:tc>
        <w:tc>
          <w:tcPr>
            <w:tcW w:w="957" w:type="dxa"/>
          </w:tcPr>
          <w:p w14:paraId="6D0A3694"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Per cent</w:t>
            </w:r>
          </w:p>
        </w:tc>
        <w:tc>
          <w:tcPr>
            <w:tcW w:w="1077" w:type="dxa"/>
          </w:tcPr>
          <w:p w14:paraId="3BDCC0E1"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Annual</w:t>
            </w:r>
          </w:p>
        </w:tc>
        <w:tc>
          <w:tcPr>
            <w:tcW w:w="1067" w:type="dxa"/>
          </w:tcPr>
          <w:p w14:paraId="1EE04DFC"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r>
      <w:tr w:rsidR="00817104" w:rsidRPr="00926A20" w14:paraId="54FBDC35" w14:textId="77777777" w:rsidTr="005B351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07" w:type="dxa"/>
          </w:tcPr>
          <w:p w14:paraId="44670353" w14:textId="77777777" w:rsidR="00817104" w:rsidRPr="00926A20" w:rsidRDefault="00817104" w:rsidP="005A2725">
            <w:pPr>
              <w:pStyle w:val="Tabletext"/>
              <w:rPr>
                <w:szCs w:val="18"/>
              </w:rPr>
            </w:pPr>
            <w:r w:rsidRPr="00926A20">
              <w:rPr>
                <w:szCs w:val="18"/>
              </w:rPr>
              <w:t>Safety and quality</w:t>
            </w:r>
          </w:p>
        </w:tc>
        <w:tc>
          <w:tcPr>
            <w:tcW w:w="2324" w:type="dxa"/>
          </w:tcPr>
          <w:p w14:paraId="3EF769C2"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Healthcare worker immunisation – influenza</w:t>
            </w:r>
          </w:p>
        </w:tc>
        <w:tc>
          <w:tcPr>
            <w:tcW w:w="2551" w:type="dxa"/>
          </w:tcPr>
          <w:p w14:paraId="34A112D1"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Healthcare worker immunisation – influenza</w:t>
            </w:r>
          </w:p>
        </w:tc>
        <w:tc>
          <w:tcPr>
            <w:tcW w:w="957" w:type="dxa"/>
          </w:tcPr>
          <w:p w14:paraId="225B9F83"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Per cent</w:t>
            </w:r>
          </w:p>
        </w:tc>
        <w:tc>
          <w:tcPr>
            <w:tcW w:w="1077" w:type="dxa"/>
          </w:tcPr>
          <w:p w14:paraId="30033849"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Annual</w:t>
            </w:r>
          </w:p>
        </w:tc>
        <w:tc>
          <w:tcPr>
            <w:tcW w:w="1067" w:type="dxa"/>
          </w:tcPr>
          <w:p w14:paraId="06931E3E"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r>
      <w:tr w:rsidR="00817104" w:rsidRPr="00926A20" w14:paraId="0F97A168" w14:textId="77777777" w:rsidTr="005B3517">
        <w:trPr>
          <w:trHeight w:val="251"/>
        </w:trPr>
        <w:tc>
          <w:tcPr>
            <w:cnfStyle w:val="001000000000" w:firstRow="0" w:lastRow="0" w:firstColumn="1" w:lastColumn="0" w:oddVBand="0" w:evenVBand="0" w:oddHBand="0" w:evenHBand="0" w:firstRowFirstColumn="0" w:firstRowLastColumn="0" w:lastRowFirstColumn="0" w:lastRowLastColumn="0"/>
            <w:tcW w:w="1307" w:type="dxa"/>
          </w:tcPr>
          <w:p w14:paraId="5D3BB31F" w14:textId="77777777" w:rsidR="00817104" w:rsidRPr="00926A20" w:rsidRDefault="00817104" w:rsidP="005A2725">
            <w:pPr>
              <w:pStyle w:val="Tabletext"/>
              <w:rPr>
                <w:szCs w:val="18"/>
              </w:rPr>
            </w:pPr>
            <w:r w:rsidRPr="00926A20">
              <w:rPr>
                <w:szCs w:val="18"/>
              </w:rPr>
              <w:t>Safety and quality</w:t>
            </w:r>
          </w:p>
        </w:tc>
        <w:tc>
          <w:tcPr>
            <w:tcW w:w="2324" w:type="dxa"/>
          </w:tcPr>
          <w:p w14:paraId="56538C3E"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Pain reduction</w:t>
            </w:r>
          </w:p>
        </w:tc>
        <w:tc>
          <w:tcPr>
            <w:tcW w:w="2551" w:type="dxa"/>
          </w:tcPr>
          <w:p w14:paraId="5E381A83"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Adult patients who achieved a meaningful reduction in pain</w:t>
            </w:r>
          </w:p>
        </w:tc>
        <w:tc>
          <w:tcPr>
            <w:tcW w:w="957" w:type="dxa"/>
          </w:tcPr>
          <w:p w14:paraId="295DF453"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Per cent</w:t>
            </w:r>
          </w:p>
        </w:tc>
        <w:tc>
          <w:tcPr>
            <w:tcW w:w="1077" w:type="dxa"/>
          </w:tcPr>
          <w:p w14:paraId="1472DABD"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1067" w:type="dxa"/>
          </w:tcPr>
          <w:p w14:paraId="153E3C2F"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r>
      <w:tr w:rsidR="00817104" w:rsidRPr="00926A20" w14:paraId="319963B9" w14:textId="77777777" w:rsidTr="005B351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07" w:type="dxa"/>
          </w:tcPr>
          <w:p w14:paraId="4717CD73" w14:textId="77777777" w:rsidR="00817104" w:rsidRPr="00926A20" w:rsidRDefault="00817104" w:rsidP="005A2725">
            <w:pPr>
              <w:pStyle w:val="Tabletext"/>
              <w:rPr>
                <w:szCs w:val="18"/>
              </w:rPr>
            </w:pPr>
            <w:r w:rsidRPr="00926A20">
              <w:rPr>
                <w:szCs w:val="18"/>
              </w:rPr>
              <w:t>Safety and quality</w:t>
            </w:r>
          </w:p>
        </w:tc>
        <w:tc>
          <w:tcPr>
            <w:tcW w:w="2324" w:type="dxa"/>
          </w:tcPr>
          <w:p w14:paraId="7731973B"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Stroke patients transported</w:t>
            </w:r>
          </w:p>
        </w:tc>
        <w:tc>
          <w:tcPr>
            <w:tcW w:w="2551" w:type="dxa"/>
          </w:tcPr>
          <w:p w14:paraId="4483A633"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Adult patients suspected of having a stroke, who were transported within 60 minutes to a health service with the capability to deliver intravenous thrombolysis</w:t>
            </w:r>
          </w:p>
        </w:tc>
        <w:tc>
          <w:tcPr>
            <w:tcW w:w="957" w:type="dxa"/>
          </w:tcPr>
          <w:p w14:paraId="098BBE6F"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Per cent</w:t>
            </w:r>
          </w:p>
        </w:tc>
        <w:tc>
          <w:tcPr>
            <w:tcW w:w="1077" w:type="dxa"/>
          </w:tcPr>
          <w:p w14:paraId="51155BE0"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1067" w:type="dxa"/>
          </w:tcPr>
          <w:p w14:paraId="3B727904"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r>
      <w:tr w:rsidR="00817104" w:rsidRPr="00926A20" w14:paraId="087B8C20" w14:textId="77777777" w:rsidTr="005B3517">
        <w:trPr>
          <w:trHeight w:val="251"/>
        </w:trPr>
        <w:tc>
          <w:tcPr>
            <w:cnfStyle w:val="001000000000" w:firstRow="0" w:lastRow="0" w:firstColumn="1" w:lastColumn="0" w:oddVBand="0" w:evenVBand="0" w:oddHBand="0" w:evenHBand="0" w:firstRowFirstColumn="0" w:firstRowLastColumn="0" w:lastRowFirstColumn="0" w:lastRowLastColumn="0"/>
            <w:tcW w:w="1307" w:type="dxa"/>
          </w:tcPr>
          <w:p w14:paraId="64937ECE" w14:textId="77777777" w:rsidR="00817104" w:rsidRPr="00926A20" w:rsidRDefault="00817104" w:rsidP="005A2725">
            <w:pPr>
              <w:pStyle w:val="Tabletext"/>
              <w:rPr>
                <w:szCs w:val="18"/>
              </w:rPr>
            </w:pPr>
            <w:r w:rsidRPr="00926A20">
              <w:rPr>
                <w:szCs w:val="18"/>
              </w:rPr>
              <w:t>Safety and quality</w:t>
            </w:r>
          </w:p>
        </w:tc>
        <w:tc>
          <w:tcPr>
            <w:tcW w:w="2324" w:type="dxa"/>
          </w:tcPr>
          <w:p w14:paraId="0974936F"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Cardiac arrest survived event rate</w:t>
            </w:r>
          </w:p>
        </w:tc>
        <w:tc>
          <w:tcPr>
            <w:tcW w:w="2551" w:type="dxa"/>
          </w:tcPr>
          <w:p w14:paraId="5848C0B2"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Adult VF/VT patients with vital signs at hospital</w:t>
            </w:r>
          </w:p>
        </w:tc>
        <w:tc>
          <w:tcPr>
            <w:tcW w:w="957" w:type="dxa"/>
          </w:tcPr>
          <w:p w14:paraId="7A154F6B"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Per cent</w:t>
            </w:r>
          </w:p>
        </w:tc>
        <w:tc>
          <w:tcPr>
            <w:tcW w:w="1077" w:type="dxa"/>
          </w:tcPr>
          <w:p w14:paraId="1E94A526"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1067" w:type="dxa"/>
          </w:tcPr>
          <w:p w14:paraId="47905E39"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r>
      <w:tr w:rsidR="00817104" w:rsidRPr="00926A20" w14:paraId="061CEE47" w14:textId="77777777" w:rsidTr="005B351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07" w:type="dxa"/>
          </w:tcPr>
          <w:p w14:paraId="06BB4BD2" w14:textId="77777777" w:rsidR="00817104" w:rsidRPr="00926A20" w:rsidRDefault="00817104" w:rsidP="005A2725">
            <w:pPr>
              <w:pStyle w:val="Tabletext"/>
              <w:rPr>
                <w:szCs w:val="18"/>
              </w:rPr>
            </w:pPr>
            <w:r w:rsidRPr="00926A20">
              <w:rPr>
                <w:szCs w:val="18"/>
              </w:rPr>
              <w:lastRenderedPageBreak/>
              <w:t>Safety and quality</w:t>
            </w:r>
          </w:p>
        </w:tc>
        <w:tc>
          <w:tcPr>
            <w:tcW w:w="2324" w:type="dxa"/>
          </w:tcPr>
          <w:p w14:paraId="5A586080"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Cardiac arrest survived event rate</w:t>
            </w:r>
          </w:p>
        </w:tc>
        <w:tc>
          <w:tcPr>
            <w:tcW w:w="2551" w:type="dxa"/>
          </w:tcPr>
          <w:p w14:paraId="0B7AE499"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Adult VF/VT patients surviving to hospital discharge</w:t>
            </w:r>
          </w:p>
        </w:tc>
        <w:tc>
          <w:tcPr>
            <w:tcW w:w="957" w:type="dxa"/>
          </w:tcPr>
          <w:p w14:paraId="04A069BF"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Per cent</w:t>
            </w:r>
          </w:p>
        </w:tc>
        <w:tc>
          <w:tcPr>
            <w:tcW w:w="1077" w:type="dxa"/>
          </w:tcPr>
          <w:p w14:paraId="190585A7"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1067" w:type="dxa"/>
          </w:tcPr>
          <w:p w14:paraId="03E5132A"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r>
      <w:tr w:rsidR="00817104" w:rsidRPr="00926A20" w14:paraId="2C2F0B10" w14:textId="77777777" w:rsidTr="005B3517">
        <w:trPr>
          <w:trHeight w:val="251"/>
        </w:trPr>
        <w:tc>
          <w:tcPr>
            <w:cnfStyle w:val="001000000000" w:firstRow="0" w:lastRow="0" w:firstColumn="1" w:lastColumn="0" w:oddVBand="0" w:evenVBand="0" w:oddHBand="0" w:evenHBand="0" w:firstRowFirstColumn="0" w:firstRowLastColumn="0" w:lastRowFirstColumn="0" w:lastRowLastColumn="0"/>
            <w:tcW w:w="1307" w:type="dxa"/>
          </w:tcPr>
          <w:p w14:paraId="1EEDE03A" w14:textId="77777777" w:rsidR="00817104" w:rsidRPr="00926A20" w:rsidRDefault="00817104" w:rsidP="005A2725">
            <w:pPr>
              <w:pStyle w:val="Tabletext"/>
              <w:rPr>
                <w:szCs w:val="18"/>
              </w:rPr>
            </w:pPr>
            <w:r w:rsidRPr="00926A20">
              <w:rPr>
                <w:szCs w:val="18"/>
              </w:rPr>
              <w:t>Access</w:t>
            </w:r>
          </w:p>
        </w:tc>
        <w:tc>
          <w:tcPr>
            <w:tcW w:w="2324" w:type="dxa"/>
          </w:tcPr>
          <w:p w14:paraId="26BFE105"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Response time statewide</w:t>
            </w:r>
          </w:p>
        </w:tc>
        <w:tc>
          <w:tcPr>
            <w:tcW w:w="2551" w:type="dxa"/>
          </w:tcPr>
          <w:p w14:paraId="2A284F64"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Emergency Code 1 incidents responded to within 15 minutes</w:t>
            </w:r>
          </w:p>
        </w:tc>
        <w:tc>
          <w:tcPr>
            <w:tcW w:w="957" w:type="dxa"/>
          </w:tcPr>
          <w:p w14:paraId="677A693F"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Per cent</w:t>
            </w:r>
          </w:p>
        </w:tc>
        <w:tc>
          <w:tcPr>
            <w:tcW w:w="1077" w:type="dxa"/>
          </w:tcPr>
          <w:p w14:paraId="5E247F62"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Monthly</w:t>
            </w:r>
          </w:p>
        </w:tc>
        <w:tc>
          <w:tcPr>
            <w:tcW w:w="1067" w:type="dxa"/>
          </w:tcPr>
          <w:p w14:paraId="3937C937"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r>
      <w:tr w:rsidR="00817104" w:rsidRPr="00926A20" w14:paraId="112F41DC" w14:textId="77777777" w:rsidTr="005B351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07" w:type="dxa"/>
          </w:tcPr>
          <w:p w14:paraId="23C8349D" w14:textId="77777777" w:rsidR="00817104" w:rsidRPr="00926A20" w:rsidRDefault="00817104" w:rsidP="005A2725">
            <w:pPr>
              <w:pStyle w:val="Tabletext"/>
              <w:rPr>
                <w:szCs w:val="18"/>
              </w:rPr>
            </w:pPr>
            <w:r w:rsidRPr="00926A20">
              <w:rPr>
                <w:szCs w:val="18"/>
              </w:rPr>
              <w:t>Access</w:t>
            </w:r>
          </w:p>
        </w:tc>
        <w:tc>
          <w:tcPr>
            <w:tcW w:w="2324" w:type="dxa"/>
          </w:tcPr>
          <w:p w14:paraId="52972FAB"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Response time statewide</w:t>
            </w:r>
          </w:p>
        </w:tc>
        <w:tc>
          <w:tcPr>
            <w:tcW w:w="2551" w:type="dxa"/>
          </w:tcPr>
          <w:p w14:paraId="0D0C9BA6"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Emergency Code 1 incidents responded to within 15 minutes (modified Secondary Triage call start time)</w:t>
            </w:r>
          </w:p>
        </w:tc>
        <w:tc>
          <w:tcPr>
            <w:tcW w:w="957" w:type="dxa"/>
          </w:tcPr>
          <w:p w14:paraId="37BBF1B1"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Per cent</w:t>
            </w:r>
          </w:p>
        </w:tc>
        <w:tc>
          <w:tcPr>
            <w:tcW w:w="1077" w:type="dxa"/>
          </w:tcPr>
          <w:p w14:paraId="4033EA98"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Monthly</w:t>
            </w:r>
          </w:p>
        </w:tc>
        <w:tc>
          <w:tcPr>
            <w:tcW w:w="1067" w:type="dxa"/>
          </w:tcPr>
          <w:p w14:paraId="22BB9426"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r>
      <w:tr w:rsidR="00817104" w:rsidRPr="00926A20" w14:paraId="28A15718" w14:textId="77777777" w:rsidTr="005B3517">
        <w:trPr>
          <w:trHeight w:val="436"/>
        </w:trPr>
        <w:tc>
          <w:tcPr>
            <w:cnfStyle w:val="001000000000" w:firstRow="0" w:lastRow="0" w:firstColumn="1" w:lastColumn="0" w:oddVBand="0" w:evenVBand="0" w:oddHBand="0" w:evenHBand="0" w:firstRowFirstColumn="0" w:firstRowLastColumn="0" w:lastRowFirstColumn="0" w:lastRowLastColumn="0"/>
            <w:tcW w:w="1307" w:type="dxa"/>
          </w:tcPr>
          <w:p w14:paraId="5CFE5668" w14:textId="77777777" w:rsidR="00817104" w:rsidRPr="00926A20" w:rsidRDefault="00817104" w:rsidP="005A2725">
            <w:pPr>
              <w:pStyle w:val="Tabletext"/>
              <w:rPr>
                <w:szCs w:val="18"/>
              </w:rPr>
            </w:pPr>
            <w:r w:rsidRPr="00926A20">
              <w:rPr>
                <w:szCs w:val="18"/>
              </w:rPr>
              <w:t>Access</w:t>
            </w:r>
          </w:p>
        </w:tc>
        <w:tc>
          <w:tcPr>
            <w:tcW w:w="2324" w:type="dxa"/>
          </w:tcPr>
          <w:p w14:paraId="2445CA8B"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Response time statewide</w:t>
            </w:r>
          </w:p>
        </w:tc>
        <w:tc>
          <w:tcPr>
            <w:tcW w:w="2551" w:type="dxa"/>
          </w:tcPr>
          <w:p w14:paraId="24780C84"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Emergency Priority 0 incidents responded to within 13 minutes</w:t>
            </w:r>
          </w:p>
        </w:tc>
        <w:tc>
          <w:tcPr>
            <w:tcW w:w="957" w:type="dxa"/>
          </w:tcPr>
          <w:p w14:paraId="2C84EB83"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Per cent</w:t>
            </w:r>
          </w:p>
        </w:tc>
        <w:tc>
          <w:tcPr>
            <w:tcW w:w="1077" w:type="dxa"/>
          </w:tcPr>
          <w:p w14:paraId="024BC5FA"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Monthly</w:t>
            </w:r>
          </w:p>
        </w:tc>
        <w:tc>
          <w:tcPr>
            <w:tcW w:w="1067" w:type="dxa"/>
          </w:tcPr>
          <w:p w14:paraId="2FF6C2F1"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r>
      <w:tr w:rsidR="00817104" w:rsidRPr="00926A20" w14:paraId="6690AE04" w14:textId="77777777" w:rsidTr="005B351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07" w:type="dxa"/>
          </w:tcPr>
          <w:p w14:paraId="5096FF65" w14:textId="77777777" w:rsidR="00817104" w:rsidRPr="00926A20" w:rsidRDefault="00817104" w:rsidP="005A2725">
            <w:pPr>
              <w:pStyle w:val="Tabletext"/>
              <w:rPr>
                <w:szCs w:val="18"/>
              </w:rPr>
            </w:pPr>
            <w:r w:rsidRPr="00926A20">
              <w:rPr>
                <w:szCs w:val="18"/>
              </w:rPr>
              <w:t>Access</w:t>
            </w:r>
          </w:p>
        </w:tc>
        <w:tc>
          <w:tcPr>
            <w:tcW w:w="2324" w:type="dxa"/>
          </w:tcPr>
          <w:p w14:paraId="4BD0B110"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Response time urban</w:t>
            </w:r>
          </w:p>
        </w:tc>
        <w:tc>
          <w:tcPr>
            <w:tcW w:w="2551" w:type="dxa"/>
          </w:tcPr>
          <w:p w14:paraId="202597D1"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Emergency Code 1 incidents responded to within 15 minutes, in centres with a population &gt;7,500</w:t>
            </w:r>
          </w:p>
        </w:tc>
        <w:tc>
          <w:tcPr>
            <w:tcW w:w="957" w:type="dxa"/>
          </w:tcPr>
          <w:p w14:paraId="5D3E0112"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Per cent</w:t>
            </w:r>
          </w:p>
        </w:tc>
        <w:tc>
          <w:tcPr>
            <w:tcW w:w="1077" w:type="dxa"/>
          </w:tcPr>
          <w:p w14:paraId="2EBBE8B5"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Monthly</w:t>
            </w:r>
          </w:p>
        </w:tc>
        <w:tc>
          <w:tcPr>
            <w:tcW w:w="1067" w:type="dxa"/>
          </w:tcPr>
          <w:p w14:paraId="79DB2112"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r>
      <w:tr w:rsidR="00817104" w:rsidRPr="00926A20" w14:paraId="78A1B0C2" w14:textId="77777777" w:rsidTr="005B3517">
        <w:trPr>
          <w:trHeight w:val="251"/>
        </w:trPr>
        <w:tc>
          <w:tcPr>
            <w:cnfStyle w:val="001000000000" w:firstRow="0" w:lastRow="0" w:firstColumn="1" w:lastColumn="0" w:oddVBand="0" w:evenVBand="0" w:oddHBand="0" w:evenHBand="0" w:firstRowFirstColumn="0" w:firstRowLastColumn="0" w:lastRowFirstColumn="0" w:lastRowLastColumn="0"/>
            <w:tcW w:w="1307" w:type="dxa"/>
          </w:tcPr>
          <w:p w14:paraId="5770C0AB" w14:textId="77777777" w:rsidR="00817104" w:rsidRPr="00926A20" w:rsidRDefault="00817104" w:rsidP="005A2725">
            <w:pPr>
              <w:pStyle w:val="Tabletext"/>
              <w:rPr>
                <w:szCs w:val="18"/>
              </w:rPr>
            </w:pPr>
            <w:r w:rsidRPr="00926A20">
              <w:rPr>
                <w:szCs w:val="18"/>
              </w:rPr>
              <w:t>Access</w:t>
            </w:r>
          </w:p>
        </w:tc>
        <w:tc>
          <w:tcPr>
            <w:tcW w:w="2324" w:type="dxa"/>
          </w:tcPr>
          <w:p w14:paraId="1B9C4B92"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Average response time</w:t>
            </w:r>
          </w:p>
        </w:tc>
        <w:tc>
          <w:tcPr>
            <w:tcW w:w="2551" w:type="dxa"/>
          </w:tcPr>
          <w:p w14:paraId="560BE5A5"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Average time to respond to Emergency Code 1 incidents</w:t>
            </w:r>
          </w:p>
        </w:tc>
        <w:tc>
          <w:tcPr>
            <w:tcW w:w="957" w:type="dxa"/>
          </w:tcPr>
          <w:p w14:paraId="2175E155"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Minutes</w:t>
            </w:r>
          </w:p>
        </w:tc>
        <w:tc>
          <w:tcPr>
            <w:tcW w:w="1077" w:type="dxa"/>
          </w:tcPr>
          <w:p w14:paraId="42522D0E"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Monthly</w:t>
            </w:r>
          </w:p>
        </w:tc>
        <w:tc>
          <w:tcPr>
            <w:tcW w:w="1067" w:type="dxa"/>
          </w:tcPr>
          <w:p w14:paraId="65974E3F"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r>
      <w:tr w:rsidR="00817104" w:rsidRPr="00926A20" w14:paraId="0C872795" w14:textId="77777777" w:rsidTr="005B351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07" w:type="dxa"/>
          </w:tcPr>
          <w:p w14:paraId="6E06F590" w14:textId="77777777" w:rsidR="00817104" w:rsidRPr="00926A20" w:rsidRDefault="00817104" w:rsidP="005A2725">
            <w:pPr>
              <w:pStyle w:val="Tabletext"/>
              <w:rPr>
                <w:szCs w:val="18"/>
              </w:rPr>
            </w:pPr>
            <w:r w:rsidRPr="00926A20">
              <w:rPr>
                <w:szCs w:val="18"/>
              </w:rPr>
              <w:t>Access</w:t>
            </w:r>
          </w:p>
        </w:tc>
        <w:tc>
          <w:tcPr>
            <w:tcW w:w="2324" w:type="dxa"/>
          </w:tcPr>
          <w:p w14:paraId="1C079584"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Clearing time at hospital</w:t>
            </w:r>
          </w:p>
        </w:tc>
        <w:tc>
          <w:tcPr>
            <w:tcW w:w="2551" w:type="dxa"/>
          </w:tcPr>
          <w:p w14:paraId="69FFBAB3"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Average ambulance-hospital clearing time</w:t>
            </w:r>
          </w:p>
        </w:tc>
        <w:tc>
          <w:tcPr>
            <w:tcW w:w="957" w:type="dxa"/>
          </w:tcPr>
          <w:p w14:paraId="12AA4563"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Minutes</w:t>
            </w:r>
          </w:p>
        </w:tc>
        <w:tc>
          <w:tcPr>
            <w:tcW w:w="1077" w:type="dxa"/>
          </w:tcPr>
          <w:p w14:paraId="2934B112"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Monthly</w:t>
            </w:r>
          </w:p>
        </w:tc>
        <w:tc>
          <w:tcPr>
            <w:tcW w:w="1067" w:type="dxa"/>
          </w:tcPr>
          <w:p w14:paraId="6579CBAA"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r>
      <w:tr w:rsidR="00817104" w:rsidRPr="00926A20" w14:paraId="76670D6C" w14:textId="77777777" w:rsidTr="005B3517">
        <w:trPr>
          <w:trHeight w:val="251"/>
        </w:trPr>
        <w:tc>
          <w:tcPr>
            <w:cnfStyle w:val="001000000000" w:firstRow="0" w:lastRow="0" w:firstColumn="1" w:lastColumn="0" w:oddVBand="0" w:evenVBand="0" w:oddHBand="0" w:evenHBand="0" w:firstRowFirstColumn="0" w:firstRowLastColumn="0" w:lastRowFirstColumn="0" w:lastRowLastColumn="0"/>
            <w:tcW w:w="1307" w:type="dxa"/>
          </w:tcPr>
          <w:p w14:paraId="3806250B" w14:textId="77777777" w:rsidR="00817104" w:rsidRPr="00926A20" w:rsidRDefault="00817104" w:rsidP="005A2725">
            <w:pPr>
              <w:pStyle w:val="Tabletext"/>
              <w:rPr>
                <w:szCs w:val="18"/>
              </w:rPr>
            </w:pPr>
            <w:r w:rsidRPr="00926A20">
              <w:rPr>
                <w:szCs w:val="18"/>
              </w:rPr>
              <w:t>Access</w:t>
            </w:r>
          </w:p>
        </w:tc>
        <w:tc>
          <w:tcPr>
            <w:tcW w:w="2324" w:type="dxa"/>
          </w:tcPr>
          <w:p w14:paraId="5EC7ED63"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Call referral</w:t>
            </w:r>
          </w:p>
        </w:tc>
        <w:tc>
          <w:tcPr>
            <w:tcW w:w="2551" w:type="dxa"/>
          </w:tcPr>
          <w:p w14:paraId="36EAD95D"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Events where a Triple Zero (000) caller receives advice or service from another health service provider, as an alternative to emergency ambulance response</w:t>
            </w:r>
          </w:p>
        </w:tc>
        <w:tc>
          <w:tcPr>
            <w:tcW w:w="957" w:type="dxa"/>
          </w:tcPr>
          <w:p w14:paraId="6AA19BED"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Per cent</w:t>
            </w:r>
          </w:p>
        </w:tc>
        <w:tc>
          <w:tcPr>
            <w:tcW w:w="1077" w:type="dxa"/>
          </w:tcPr>
          <w:p w14:paraId="54E7B674"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Monthly</w:t>
            </w:r>
          </w:p>
        </w:tc>
        <w:tc>
          <w:tcPr>
            <w:tcW w:w="1067" w:type="dxa"/>
          </w:tcPr>
          <w:p w14:paraId="584F546F" w14:textId="77777777" w:rsidR="00817104" w:rsidRPr="00926A20" w:rsidRDefault="00817104" w:rsidP="005A2725">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r>
      <w:tr w:rsidR="00817104" w:rsidRPr="00926A20" w14:paraId="5864C55C" w14:textId="77777777" w:rsidTr="005B3517">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307" w:type="dxa"/>
          </w:tcPr>
          <w:p w14:paraId="6A7AE609" w14:textId="77777777" w:rsidR="00817104" w:rsidRPr="00926A20" w:rsidRDefault="00817104" w:rsidP="005A2725">
            <w:pPr>
              <w:pStyle w:val="Tabletext"/>
              <w:rPr>
                <w:szCs w:val="18"/>
              </w:rPr>
            </w:pPr>
            <w:r w:rsidRPr="00926A20">
              <w:rPr>
                <w:szCs w:val="18"/>
              </w:rPr>
              <w:t>Access</w:t>
            </w:r>
          </w:p>
        </w:tc>
        <w:tc>
          <w:tcPr>
            <w:tcW w:w="2324" w:type="dxa"/>
          </w:tcPr>
          <w:p w14:paraId="07D7E694"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40-minute transfer</w:t>
            </w:r>
          </w:p>
        </w:tc>
        <w:tc>
          <w:tcPr>
            <w:tcW w:w="2551" w:type="dxa"/>
          </w:tcPr>
          <w:p w14:paraId="00B5602F"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Proportion of patients transferred from paramedic care to hospital emergency care, within 40 minutes of ambulance arrival</w:t>
            </w:r>
          </w:p>
        </w:tc>
        <w:tc>
          <w:tcPr>
            <w:tcW w:w="957" w:type="dxa"/>
          </w:tcPr>
          <w:p w14:paraId="4937A931"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Per cent</w:t>
            </w:r>
          </w:p>
        </w:tc>
        <w:tc>
          <w:tcPr>
            <w:tcW w:w="1077" w:type="dxa"/>
          </w:tcPr>
          <w:p w14:paraId="77628687"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Weekly</w:t>
            </w:r>
          </w:p>
        </w:tc>
        <w:tc>
          <w:tcPr>
            <w:tcW w:w="1067" w:type="dxa"/>
          </w:tcPr>
          <w:p w14:paraId="19CFEA86" w14:textId="77777777" w:rsidR="00817104" w:rsidRPr="00926A20" w:rsidRDefault="00817104" w:rsidP="005A2725">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r>
    </w:tbl>
    <w:p w14:paraId="2CF43A7B" w14:textId="77777777" w:rsidR="00817104" w:rsidRPr="009D189F" w:rsidRDefault="00817104" w:rsidP="00817104">
      <w:pPr>
        <w:pStyle w:val="Tablefigurenote"/>
        <w:rPr>
          <w:rFonts w:eastAsia="Calibri"/>
        </w:rPr>
      </w:pPr>
      <w:r w:rsidRPr="0670E279">
        <w:rPr>
          <w:rFonts w:eastAsia="Calibri"/>
          <w:b/>
          <w:bCs/>
        </w:rPr>
        <w:t>Note</w:t>
      </w:r>
      <w:r w:rsidRPr="0670E279">
        <w:rPr>
          <w:rFonts w:eastAsia="Calibri"/>
        </w:rPr>
        <w:t xml:space="preserve">: Additional measures </w:t>
      </w:r>
      <w:r w:rsidRPr="0099708F">
        <w:rPr>
          <w:rFonts w:eastAsia="Calibri"/>
        </w:rPr>
        <w:t>will</w:t>
      </w:r>
      <w:r w:rsidRPr="0670E279">
        <w:rPr>
          <w:rFonts w:eastAsia="Calibri"/>
        </w:rPr>
        <w:t xml:space="preserve"> be developed and included in the data submissions.</w:t>
      </w:r>
    </w:p>
    <w:p w14:paraId="30745547" w14:textId="44AD6EE2" w:rsidR="00817104" w:rsidRDefault="00817104" w:rsidP="00817104">
      <w:pPr>
        <w:pStyle w:val="Tablecaption"/>
      </w:pPr>
      <w:bookmarkStart w:id="2854" w:name="_Toc230537141"/>
      <w:r>
        <w:t xml:space="preserve">Table </w:t>
      </w:r>
      <w:r w:rsidR="009E492F">
        <w:t>2</w:t>
      </w:r>
      <w:r w:rsidR="005B3517">
        <w:t>1</w:t>
      </w:r>
      <w:r>
        <w:t xml:space="preserve">. </w:t>
      </w:r>
      <w:r w:rsidRPr="0055081B">
        <w:t>Primary, community and dental health – performance targets and monitoring</w:t>
      </w:r>
      <w:bookmarkEnd w:id="2854"/>
    </w:p>
    <w:tbl>
      <w:tblPr>
        <w:tblStyle w:val="GridTable4-Accent1"/>
        <w:tblW w:w="0" w:type="auto"/>
        <w:tblLook w:val="04A0" w:firstRow="1" w:lastRow="0" w:firstColumn="1" w:lastColumn="0" w:noHBand="0" w:noVBand="1"/>
      </w:tblPr>
      <w:tblGrid>
        <w:gridCol w:w="867"/>
        <w:gridCol w:w="2230"/>
        <w:gridCol w:w="1616"/>
        <w:gridCol w:w="1217"/>
        <w:gridCol w:w="1127"/>
        <w:gridCol w:w="1126"/>
        <w:gridCol w:w="1105"/>
      </w:tblGrid>
      <w:tr w:rsidR="00817104" w:rsidRPr="005B3517" w14:paraId="652E2FC1" w14:textId="77777777" w:rsidTr="005B3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6" w:type="dxa"/>
          </w:tcPr>
          <w:p w14:paraId="79F86167" w14:textId="77777777" w:rsidR="00817104" w:rsidRPr="005B3517" w:rsidRDefault="00817104" w:rsidP="00785A21">
            <w:pPr>
              <w:pStyle w:val="Tablecolhead"/>
              <w:rPr>
                <w:b/>
                <w:bCs w:val="0"/>
                <w:color w:val="FFFFFF" w:themeColor="background1"/>
                <w:sz w:val="18"/>
                <w:szCs w:val="18"/>
              </w:rPr>
            </w:pPr>
            <w:r w:rsidRPr="005B3517">
              <w:rPr>
                <w:b/>
                <w:bCs w:val="0"/>
                <w:color w:val="FFFFFF" w:themeColor="background1"/>
                <w:sz w:val="18"/>
                <w:szCs w:val="18"/>
              </w:rPr>
              <w:t>Activity no.</w:t>
            </w:r>
          </w:p>
        </w:tc>
        <w:tc>
          <w:tcPr>
            <w:tcW w:w="2230" w:type="dxa"/>
          </w:tcPr>
          <w:p w14:paraId="48BD99BD" w14:textId="77777777" w:rsidR="00817104" w:rsidRPr="005B3517"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5B3517">
              <w:rPr>
                <w:b/>
                <w:bCs w:val="0"/>
                <w:color w:val="FFFFFF" w:themeColor="background1"/>
                <w:sz w:val="18"/>
                <w:szCs w:val="18"/>
              </w:rPr>
              <w:t>Activity name</w:t>
            </w:r>
          </w:p>
        </w:tc>
        <w:tc>
          <w:tcPr>
            <w:tcW w:w="0" w:type="auto"/>
          </w:tcPr>
          <w:p w14:paraId="2CBFC21A" w14:textId="77777777" w:rsidR="00817104" w:rsidRPr="005B3517"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5B3517">
              <w:rPr>
                <w:b/>
                <w:bCs w:val="0"/>
                <w:color w:val="FFFFFF" w:themeColor="background1"/>
                <w:sz w:val="18"/>
                <w:szCs w:val="18"/>
              </w:rPr>
              <w:t>Measure description</w:t>
            </w:r>
          </w:p>
        </w:tc>
        <w:tc>
          <w:tcPr>
            <w:tcW w:w="0" w:type="auto"/>
          </w:tcPr>
          <w:p w14:paraId="53861C23" w14:textId="77777777" w:rsidR="00817104" w:rsidRPr="005B3517"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5B3517">
              <w:rPr>
                <w:b/>
                <w:bCs w:val="0"/>
                <w:color w:val="FFFFFF" w:themeColor="background1"/>
                <w:sz w:val="18"/>
                <w:szCs w:val="18"/>
              </w:rPr>
              <w:t>Unit of measure</w:t>
            </w:r>
          </w:p>
        </w:tc>
        <w:tc>
          <w:tcPr>
            <w:tcW w:w="0" w:type="auto"/>
          </w:tcPr>
          <w:p w14:paraId="5AF2497F" w14:textId="77777777" w:rsidR="00817104" w:rsidRPr="005B3517"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5B3517">
              <w:rPr>
                <w:b/>
                <w:bCs w:val="0"/>
                <w:color w:val="FFFFFF" w:themeColor="background1"/>
                <w:sz w:val="18"/>
                <w:szCs w:val="18"/>
              </w:rPr>
              <w:t>Frequency</w:t>
            </w:r>
          </w:p>
        </w:tc>
        <w:tc>
          <w:tcPr>
            <w:tcW w:w="0" w:type="auto"/>
          </w:tcPr>
          <w:p w14:paraId="1BFA84BA" w14:textId="77777777" w:rsidR="00817104" w:rsidRPr="005B3517"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5B3517">
              <w:rPr>
                <w:b/>
                <w:bCs w:val="0"/>
                <w:color w:val="FFFFFF" w:themeColor="background1"/>
                <w:sz w:val="18"/>
                <w:szCs w:val="18"/>
              </w:rPr>
              <w:t>Status</w:t>
            </w:r>
          </w:p>
        </w:tc>
        <w:tc>
          <w:tcPr>
            <w:tcW w:w="0" w:type="auto"/>
          </w:tcPr>
          <w:p w14:paraId="74C28326" w14:textId="77777777" w:rsidR="00817104" w:rsidRPr="005B3517"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5B3517">
              <w:rPr>
                <w:b/>
                <w:bCs w:val="0"/>
                <w:color w:val="FFFFFF" w:themeColor="background1"/>
                <w:sz w:val="18"/>
                <w:szCs w:val="18"/>
              </w:rPr>
              <w:t>Output type</w:t>
            </w:r>
          </w:p>
        </w:tc>
      </w:tr>
      <w:tr w:rsidR="00817104" w14:paraId="2F8DA08D"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37EAEF22" w14:textId="77777777" w:rsidR="00817104" w:rsidRPr="00926A20" w:rsidRDefault="00817104">
            <w:pPr>
              <w:pStyle w:val="Tabletext"/>
              <w:rPr>
                <w:szCs w:val="18"/>
              </w:rPr>
            </w:pPr>
            <w:r w:rsidRPr="00926A20">
              <w:rPr>
                <w:szCs w:val="18"/>
              </w:rPr>
              <w:t>27003</w:t>
            </w:r>
          </w:p>
        </w:tc>
        <w:tc>
          <w:tcPr>
            <w:tcW w:w="2230" w:type="dxa"/>
          </w:tcPr>
          <w:p w14:paraId="4AE4B40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Community Health Seniors Program</w:t>
            </w:r>
          </w:p>
        </w:tc>
        <w:tc>
          <w:tcPr>
            <w:tcW w:w="0" w:type="auto"/>
          </w:tcPr>
          <w:p w14:paraId="42DB781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hours of service</w:t>
            </w:r>
          </w:p>
        </w:tc>
        <w:tc>
          <w:tcPr>
            <w:tcW w:w="0" w:type="auto"/>
          </w:tcPr>
          <w:p w14:paraId="789AD46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w:t>
            </w:r>
          </w:p>
        </w:tc>
        <w:tc>
          <w:tcPr>
            <w:tcW w:w="0" w:type="auto"/>
          </w:tcPr>
          <w:p w14:paraId="66D29F1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392F5B4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68CD85A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14:paraId="7598E790"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67551A3C" w14:textId="77777777" w:rsidR="00817104" w:rsidRPr="00926A20" w:rsidRDefault="00817104">
            <w:pPr>
              <w:pStyle w:val="Tabletext"/>
              <w:rPr>
                <w:szCs w:val="18"/>
              </w:rPr>
            </w:pPr>
            <w:r w:rsidRPr="00926A20">
              <w:rPr>
                <w:szCs w:val="18"/>
              </w:rPr>
              <w:t>27019</w:t>
            </w:r>
          </w:p>
        </w:tc>
        <w:tc>
          <w:tcPr>
            <w:tcW w:w="2230" w:type="dxa"/>
          </w:tcPr>
          <w:p w14:paraId="46DC67E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The Royal Dental Hospital of Melbourne</w:t>
            </w:r>
            <w:r w:rsidRPr="00926A20" w:rsidDel="00DD6404">
              <w:rPr>
                <w:szCs w:val="18"/>
              </w:rPr>
              <w:t xml:space="preserve"> </w:t>
            </w:r>
            <w:r w:rsidRPr="00926A20">
              <w:rPr>
                <w:szCs w:val="18"/>
              </w:rPr>
              <w:t>Dental Care</w:t>
            </w:r>
          </w:p>
        </w:tc>
        <w:tc>
          <w:tcPr>
            <w:tcW w:w="0" w:type="auto"/>
          </w:tcPr>
          <w:p w14:paraId="108B0FA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clients</w:t>
            </w:r>
          </w:p>
        </w:tc>
        <w:tc>
          <w:tcPr>
            <w:tcW w:w="0" w:type="auto"/>
          </w:tcPr>
          <w:p w14:paraId="41E3D0A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Clients</w:t>
            </w:r>
          </w:p>
        </w:tc>
        <w:tc>
          <w:tcPr>
            <w:tcW w:w="0" w:type="auto"/>
          </w:tcPr>
          <w:p w14:paraId="5BC995B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5F80E2D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6E8B6B1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14:paraId="5FFF3BB0"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05F869CA" w14:textId="77777777" w:rsidR="00817104" w:rsidRPr="00926A20" w:rsidRDefault="00817104">
            <w:pPr>
              <w:pStyle w:val="Tabletext"/>
              <w:rPr>
                <w:szCs w:val="18"/>
              </w:rPr>
            </w:pPr>
            <w:r w:rsidRPr="00926A20">
              <w:rPr>
                <w:szCs w:val="18"/>
              </w:rPr>
              <w:t>27023</w:t>
            </w:r>
          </w:p>
        </w:tc>
        <w:tc>
          <w:tcPr>
            <w:tcW w:w="2230" w:type="dxa"/>
          </w:tcPr>
          <w:p w14:paraId="25FF223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Community Dental Care</w:t>
            </w:r>
          </w:p>
        </w:tc>
        <w:tc>
          <w:tcPr>
            <w:tcW w:w="0" w:type="auto"/>
          </w:tcPr>
          <w:p w14:paraId="47D00B1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clients</w:t>
            </w:r>
          </w:p>
        </w:tc>
        <w:tc>
          <w:tcPr>
            <w:tcW w:w="0" w:type="auto"/>
          </w:tcPr>
          <w:p w14:paraId="1346684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Clients</w:t>
            </w:r>
          </w:p>
        </w:tc>
        <w:tc>
          <w:tcPr>
            <w:tcW w:w="0" w:type="auto"/>
          </w:tcPr>
          <w:p w14:paraId="0F1ADCA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148FFEB6"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732B523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14:paraId="77A97AF4"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5DA1B211" w14:textId="77777777" w:rsidR="00817104" w:rsidRPr="00926A20" w:rsidRDefault="00817104">
            <w:pPr>
              <w:pStyle w:val="Tabletext"/>
              <w:rPr>
                <w:szCs w:val="18"/>
              </w:rPr>
            </w:pPr>
            <w:r w:rsidRPr="00926A20">
              <w:rPr>
                <w:szCs w:val="18"/>
              </w:rPr>
              <w:t>28015</w:t>
            </w:r>
          </w:p>
        </w:tc>
        <w:tc>
          <w:tcPr>
            <w:tcW w:w="2230" w:type="dxa"/>
          </w:tcPr>
          <w:p w14:paraId="1F391BE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lang w:eastAsia="en-AU"/>
              </w:rPr>
              <w:t>Family and Reproductive Rights Education Program</w:t>
            </w:r>
          </w:p>
        </w:tc>
        <w:tc>
          <w:tcPr>
            <w:tcW w:w="0" w:type="auto"/>
          </w:tcPr>
          <w:p w14:paraId="6CF1468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hours of service</w:t>
            </w:r>
          </w:p>
        </w:tc>
        <w:tc>
          <w:tcPr>
            <w:tcW w:w="0" w:type="auto"/>
          </w:tcPr>
          <w:p w14:paraId="7F2CD8A0"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Hours</w:t>
            </w:r>
          </w:p>
        </w:tc>
        <w:tc>
          <w:tcPr>
            <w:tcW w:w="0" w:type="auto"/>
          </w:tcPr>
          <w:p w14:paraId="767F7BEA"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13C1C1B6"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0B3126C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14:paraId="4CDE3404"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3BDEDA9A" w14:textId="77777777" w:rsidR="00817104" w:rsidRPr="00926A20" w:rsidRDefault="00817104">
            <w:pPr>
              <w:pStyle w:val="Tabletext"/>
              <w:rPr>
                <w:szCs w:val="18"/>
              </w:rPr>
            </w:pPr>
            <w:r w:rsidRPr="00926A20">
              <w:rPr>
                <w:szCs w:val="18"/>
              </w:rPr>
              <w:t>28016</w:t>
            </w:r>
          </w:p>
        </w:tc>
        <w:tc>
          <w:tcPr>
            <w:tcW w:w="2230" w:type="dxa"/>
          </w:tcPr>
          <w:p w14:paraId="6F75187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lang w:eastAsia="en-AU"/>
              </w:rPr>
              <w:t>Family and Reproductive Rights Education Program</w:t>
            </w:r>
            <w:r w:rsidRPr="00926A20">
              <w:rPr>
                <w:szCs w:val="18"/>
              </w:rPr>
              <w:t xml:space="preserve"> – Health Promotion</w:t>
            </w:r>
          </w:p>
        </w:tc>
        <w:tc>
          <w:tcPr>
            <w:tcW w:w="0" w:type="auto"/>
          </w:tcPr>
          <w:p w14:paraId="7A37805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health promotion plan</w:t>
            </w:r>
          </w:p>
        </w:tc>
        <w:tc>
          <w:tcPr>
            <w:tcW w:w="0" w:type="auto"/>
          </w:tcPr>
          <w:p w14:paraId="3E445D6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5FC02EB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6ACD8E8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Non-mandatory</w:t>
            </w:r>
          </w:p>
        </w:tc>
        <w:tc>
          <w:tcPr>
            <w:tcW w:w="0" w:type="auto"/>
          </w:tcPr>
          <w:p w14:paraId="6AE0CB2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Other standard measure</w:t>
            </w:r>
          </w:p>
        </w:tc>
      </w:tr>
      <w:tr w:rsidR="00817104" w14:paraId="50A8842C"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037E54C0" w14:textId="77777777" w:rsidR="00817104" w:rsidRPr="00926A20" w:rsidRDefault="00817104">
            <w:pPr>
              <w:pStyle w:val="Tabletext"/>
              <w:rPr>
                <w:szCs w:val="18"/>
              </w:rPr>
            </w:pPr>
            <w:r w:rsidRPr="00926A20">
              <w:rPr>
                <w:szCs w:val="18"/>
              </w:rPr>
              <w:lastRenderedPageBreak/>
              <w:t>28018</w:t>
            </w:r>
          </w:p>
        </w:tc>
        <w:tc>
          <w:tcPr>
            <w:tcW w:w="2230" w:type="dxa"/>
          </w:tcPr>
          <w:p w14:paraId="2085EE5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Family Planning – Health Promotion</w:t>
            </w:r>
          </w:p>
        </w:tc>
        <w:tc>
          <w:tcPr>
            <w:tcW w:w="0" w:type="auto"/>
          </w:tcPr>
          <w:p w14:paraId="4D14657A"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health promotion plan</w:t>
            </w:r>
          </w:p>
        </w:tc>
        <w:tc>
          <w:tcPr>
            <w:tcW w:w="0" w:type="auto"/>
          </w:tcPr>
          <w:p w14:paraId="2285E12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051C256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23D2F69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Non-mandatory</w:t>
            </w:r>
          </w:p>
        </w:tc>
        <w:tc>
          <w:tcPr>
            <w:tcW w:w="0" w:type="auto"/>
          </w:tcPr>
          <w:p w14:paraId="6F4BF95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Other standard measure</w:t>
            </w:r>
          </w:p>
        </w:tc>
      </w:tr>
      <w:tr w:rsidR="00817104" w14:paraId="23AE6A9B"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6BE36D9D" w14:textId="77777777" w:rsidR="00817104" w:rsidRPr="00926A20" w:rsidRDefault="00817104">
            <w:pPr>
              <w:pStyle w:val="Tabletext"/>
              <w:rPr>
                <w:szCs w:val="18"/>
              </w:rPr>
            </w:pPr>
            <w:r w:rsidRPr="00926A20">
              <w:rPr>
                <w:szCs w:val="18"/>
              </w:rPr>
              <w:t>28048</w:t>
            </w:r>
          </w:p>
        </w:tc>
        <w:tc>
          <w:tcPr>
            <w:tcW w:w="2230" w:type="dxa"/>
          </w:tcPr>
          <w:p w14:paraId="0EF113E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Community Health Language Services</w:t>
            </w:r>
          </w:p>
        </w:tc>
        <w:tc>
          <w:tcPr>
            <w:tcW w:w="0" w:type="auto"/>
          </w:tcPr>
          <w:p w14:paraId="51944B5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Submission of reports</w:t>
            </w:r>
          </w:p>
        </w:tc>
        <w:tc>
          <w:tcPr>
            <w:tcW w:w="0" w:type="auto"/>
          </w:tcPr>
          <w:p w14:paraId="411A658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2CB6A71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7635FC0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101228A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14:paraId="0CA9936E"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753C9146" w14:textId="77777777" w:rsidR="00817104" w:rsidRPr="00926A20" w:rsidRDefault="00817104">
            <w:pPr>
              <w:pStyle w:val="Tabletext"/>
              <w:rPr>
                <w:szCs w:val="18"/>
              </w:rPr>
            </w:pPr>
            <w:r w:rsidRPr="00926A20">
              <w:rPr>
                <w:szCs w:val="18"/>
              </w:rPr>
              <w:t>28050</w:t>
            </w:r>
          </w:p>
        </w:tc>
        <w:tc>
          <w:tcPr>
            <w:tcW w:w="2230" w:type="dxa"/>
          </w:tcPr>
          <w:p w14:paraId="2F9E29E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Women’s Health – Health Promotion</w:t>
            </w:r>
          </w:p>
        </w:tc>
        <w:tc>
          <w:tcPr>
            <w:tcW w:w="0" w:type="auto"/>
          </w:tcPr>
          <w:p w14:paraId="61B99BE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health promotion plan</w:t>
            </w:r>
          </w:p>
        </w:tc>
        <w:tc>
          <w:tcPr>
            <w:tcW w:w="0" w:type="auto"/>
          </w:tcPr>
          <w:p w14:paraId="289E5D0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5E63E8A0"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39E0317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68D69F4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Other standard measure</w:t>
            </w:r>
          </w:p>
        </w:tc>
      </w:tr>
      <w:tr w:rsidR="00817104" w14:paraId="7258C0A5"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6089A99E" w14:textId="77777777" w:rsidR="00817104" w:rsidRPr="00926A20" w:rsidRDefault="00817104">
            <w:pPr>
              <w:pStyle w:val="Tabletext"/>
              <w:rPr>
                <w:szCs w:val="18"/>
              </w:rPr>
            </w:pPr>
            <w:r w:rsidRPr="00926A20">
              <w:rPr>
                <w:szCs w:val="18"/>
              </w:rPr>
              <w:t>28055</w:t>
            </w:r>
          </w:p>
        </w:tc>
        <w:tc>
          <w:tcPr>
            <w:tcW w:w="2230" w:type="dxa"/>
          </w:tcPr>
          <w:p w14:paraId="1C3CF74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Health Support for Children in Care</w:t>
            </w:r>
          </w:p>
        </w:tc>
        <w:tc>
          <w:tcPr>
            <w:tcW w:w="0" w:type="auto"/>
          </w:tcPr>
          <w:p w14:paraId="69E63ED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hours of service</w:t>
            </w:r>
          </w:p>
        </w:tc>
        <w:tc>
          <w:tcPr>
            <w:tcW w:w="0" w:type="auto"/>
          </w:tcPr>
          <w:p w14:paraId="4104DFB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w:t>
            </w:r>
          </w:p>
        </w:tc>
        <w:tc>
          <w:tcPr>
            <w:tcW w:w="0" w:type="auto"/>
          </w:tcPr>
          <w:p w14:paraId="73068E9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5D9962B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606DE0D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14:paraId="226228AD"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51E380E3" w14:textId="77777777" w:rsidR="00817104" w:rsidRPr="00926A20" w:rsidRDefault="00817104">
            <w:pPr>
              <w:pStyle w:val="Tabletext"/>
              <w:rPr>
                <w:szCs w:val="18"/>
              </w:rPr>
            </w:pPr>
            <w:r w:rsidRPr="00926A20">
              <w:rPr>
                <w:szCs w:val="18"/>
              </w:rPr>
              <w:t>28063</w:t>
            </w:r>
          </w:p>
        </w:tc>
        <w:tc>
          <w:tcPr>
            <w:tcW w:w="2230" w:type="dxa"/>
          </w:tcPr>
          <w:p w14:paraId="1FD4638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Family Planning – Education and Training</w:t>
            </w:r>
          </w:p>
        </w:tc>
        <w:tc>
          <w:tcPr>
            <w:tcW w:w="0" w:type="auto"/>
          </w:tcPr>
          <w:p w14:paraId="31FBDEF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hours of service</w:t>
            </w:r>
          </w:p>
        </w:tc>
        <w:tc>
          <w:tcPr>
            <w:tcW w:w="0" w:type="auto"/>
          </w:tcPr>
          <w:p w14:paraId="26A5227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Hours</w:t>
            </w:r>
          </w:p>
        </w:tc>
        <w:tc>
          <w:tcPr>
            <w:tcW w:w="0" w:type="auto"/>
          </w:tcPr>
          <w:p w14:paraId="2827F15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1F619236"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7D32D6AA"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14:paraId="7ADC7E30"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2ABF4480" w14:textId="77777777" w:rsidR="00817104" w:rsidRPr="00926A20" w:rsidRDefault="00817104">
            <w:pPr>
              <w:pStyle w:val="Tabletext"/>
              <w:rPr>
                <w:szCs w:val="18"/>
              </w:rPr>
            </w:pPr>
            <w:r w:rsidRPr="00926A20">
              <w:rPr>
                <w:szCs w:val="18"/>
              </w:rPr>
              <w:t>28064</w:t>
            </w:r>
          </w:p>
        </w:tc>
        <w:tc>
          <w:tcPr>
            <w:tcW w:w="2230" w:type="dxa"/>
          </w:tcPr>
          <w:p w14:paraId="06B3993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Family Planning – Clinical Services and Training</w:t>
            </w:r>
          </w:p>
        </w:tc>
        <w:tc>
          <w:tcPr>
            <w:tcW w:w="0" w:type="auto"/>
          </w:tcPr>
          <w:p w14:paraId="330903E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hours of service</w:t>
            </w:r>
          </w:p>
        </w:tc>
        <w:tc>
          <w:tcPr>
            <w:tcW w:w="0" w:type="auto"/>
          </w:tcPr>
          <w:p w14:paraId="7BE8A97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w:t>
            </w:r>
          </w:p>
        </w:tc>
        <w:tc>
          <w:tcPr>
            <w:tcW w:w="0" w:type="auto"/>
          </w:tcPr>
          <w:p w14:paraId="27B9F23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238D82B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06DD824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14:paraId="0B1D98DE"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77E1FCCF" w14:textId="77777777" w:rsidR="00817104" w:rsidRPr="00926A20" w:rsidRDefault="00817104">
            <w:pPr>
              <w:pStyle w:val="Tabletext"/>
              <w:rPr>
                <w:szCs w:val="18"/>
              </w:rPr>
            </w:pPr>
            <w:r w:rsidRPr="00926A20">
              <w:rPr>
                <w:szCs w:val="18"/>
              </w:rPr>
              <w:t>28066</w:t>
            </w:r>
          </w:p>
        </w:tc>
        <w:tc>
          <w:tcPr>
            <w:tcW w:w="2230" w:type="dxa"/>
          </w:tcPr>
          <w:p w14:paraId="33AC775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lang w:eastAsia="en-AU"/>
              </w:rPr>
              <w:t>Innovative Health Services for Homeless Youth</w:t>
            </w:r>
          </w:p>
        </w:tc>
        <w:tc>
          <w:tcPr>
            <w:tcW w:w="0" w:type="auto"/>
          </w:tcPr>
          <w:p w14:paraId="7A6A9B2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hours of service</w:t>
            </w:r>
          </w:p>
        </w:tc>
        <w:tc>
          <w:tcPr>
            <w:tcW w:w="0" w:type="auto"/>
          </w:tcPr>
          <w:p w14:paraId="66CFAFAA"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Hours</w:t>
            </w:r>
          </w:p>
        </w:tc>
        <w:tc>
          <w:tcPr>
            <w:tcW w:w="0" w:type="auto"/>
          </w:tcPr>
          <w:p w14:paraId="4892EE1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47C4C05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6212ED1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14:paraId="4858B631"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097E4183" w14:textId="77777777" w:rsidR="00817104" w:rsidRPr="00926A20" w:rsidRDefault="00817104">
            <w:pPr>
              <w:pStyle w:val="Tabletext"/>
              <w:rPr>
                <w:szCs w:val="18"/>
              </w:rPr>
            </w:pPr>
            <w:r w:rsidRPr="00926A20">
              <w:rPr>
                <w:szCs w:val="18"/>
              </w:rPr>
              <w:t>28067</w:t>
            </w:r>
          </w:p>
        </w:tc>
        <w:tc>
          <w:tcPr>
            <w:tcW w:w="2230" w:type="dxa"/>
          </w:tcPr>
          <w:p w14:paraId="4BA3EF4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Women’s Health</w:t>
            </w:r>
          </w:p>
        </w:tc>
        <w:tc>
          <w:tcPr>
            <w:tcW w:w="0" w:type="auto"/>
          </w:tcPr>
          <w:p w14:paraId="6B1FECA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 xml:space="preserve">Number of clients </w:t>
            </w:r>
          </w:p>
        </w:tc>
        <w:tc>
          <w:tcPr>
            <w:tcW w:w="0" w:type="auto"/>
          </w:tcPr>
          <w:p w14:paraId="42C5DB4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Clients</w:t>
            </w:r>
          </w:p>
        </w:tc>
        <w:tc>
          <w:tcPr>
            <w:tcW w:w="0" w:type="auto"/>
          </w:tcPr>
          <w:p w14:paraId="3B79A66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44F2A4E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2BADDF3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14:paraId="4CCF4472"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0E5249A6" w14:textId="77777777" w:rsidR="00817104" w:rsidRPr="00926A20" w:rsidRDefault="00817104">
            <w:pPr>
              <w:pStyle w:val="Tabletext"/>
              <w:rPr>
                <w:szCs w:val="18"/>
              </w:rPr>
            </w:pPr>
            <w:r w:rsidRPr="00926A20">
              <w:rPr>
                <w:szCs w:val="18"/>
              </w:rPr>
              <w:t>28068</w:t>
            </w:r>
          </w:p>
        </w:tc>
        <w:tc>
          <w:tcPr>
            <w:tcW w:w="2230" w:type="dxa"/>
          </w:tcPr>
          <w:p w14:paraId="05E0229A"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Family Planning</w:t>
            </w:r>
          </w:p>
        </w:tc>
        <w:tc>
          <w:tcPr>
            <w:tcW w:w="0" w:type="auto"/>
          </w:tcPr>
          <w:p w14:paraId="029C116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hours of service</w:t>
            </w:r>
          </w:p>
        </w:tc>
        <w:tc>
          <w:tcPr>
            <w:tcW w:w="0" w:type="auto"/>
          </w:tcPr>
          <w:p w14:paraId="3853D99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Hours</w:t>
            </w:r>
          </w:p>
        </w:tc>
        <w:tc>
          <w:tcPr>
            <w:tcW w:w="0" w:type="auto"/>
          </w:tcPr>
          <w:p w14:paraId="03CF021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378F4E5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0FBC7B3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14:paraId="05622639"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468198FD" w14:textId="77777777" w:rsidR="00817104" w:rsidRPr="00926A20" w:rsidRDefault="00817104">
            <w:pPr>
              <w:pStyle w:val="Tabletext"/>
              <w:rPr>
                <w:szCs w:val="18"/>
              </w:rPr>
            </w:pPr>
            <w:r w:rsidRPr="00926A20">
              <w:rPr>
                <w:szCs w:val="18"/>
              </w:rPr>
              <w:t>28071</w:t>
            </w:r>
          </w:p>
        </w:tc>
        <w:tc>
          <w:tcPr>
            <w:tcW w:w="2230" w:type="dxa"/>
          </w:tcPr>
          <w:p w14:paraId="74D6F80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Aboriginal Services and Support</w:t>
            </w:r>
          </w:p>
        </w:tc>
        <w:tc>
          <w:tcPr>
            <w:tcW w:w="0" w:type="auto"/>
          </w:tcPr>
          <w:p w14:paraId="75F50CE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hours of service</w:t>
            </w:r>
          </w:p>
        </w:tc>
        <w:tc>
          <w:tcPr>
            <w:tcW w:w="0" w:type="auto"/>
          </w:tcPr>
          <w:p w14:paraId="54FC481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w:t>
            </w:r>
          </w:p>
        </w:tc>
        <w:tc>
          <w:tcPr>
            <w:tcW w:w="0" w:type="auto"/>
          </w:tcPr>
          <w:p w14:paraId="6D667C4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0FBAE5D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10115E7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Other standard measure</w:t>
            </w:r>
          </w:p>
        </w:tc>
      </w:tr>
      <w:tr w:rsidR="00817104" w14:paraId="2E9B1BCB"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2160F927" w14:textId="77777777" w:rsidR="00817104" w:rsidRPr="00926A20" w:rsidRDefault="00817104">
            <w:pPr>
              <w:pStyle w:val="Tabletext"/>
              <w:rPr>
                <w:szCs w:val="18"/>
              </w:rPr>
            </w:pPr>
            <w:r w:rsidRPr="00926A20">
              <w:rPr>
                <w:szCs w:val="18"/>
              </w:rPr>
              <w:t>28071</w:t>
            </w:r>
          </w:p>
        </w:tc>
        <w:tc>
          <w:tcPr>
            <w:tcW w:w="2230" w:type="dxa"/>
          </w:tcPr>
          <w:p w14:paraId="2043199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Aboriginal Services and Support</w:t>
            </w:r>
          </w:p>
        </w:tc>
        <w:tc>
          <w:tcPr>
            <w:tcW w:w="0" w:type="auto"/>
          </w:tcPr>
          <w:p w14:paraId="4939C08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agreed objectives</w:t>
            </w:r>
          </w:p>
        </w:tc>
        <w:tc>
          <w:tcPr>
            <w:tcW w:w="0" w:type="auto"/>
          </w:tcPr>
          <w:p w14:paraId="479C9D0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5E407A5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6AA25E4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7207C19A"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14:paraId="560C0287"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0F86157D" w14:textId="77777777" w:rsidR="00817104" w:rsidRPr="00926A20" w:rsidRDefault="00817104">
            <w:pPr>
              <w:pStyle w:val="Tabletext"/>
              <w:rPr>
                <w:szCs w:val="18"/>
              </w:rPr>
            </w:pPr>
            <w:r w:rsidRPr="00926A20">
              <w:rPr>
                <w:szCs w:val="18"/>
              </w:rPr>
              <w:t>28072</w:t>
            </w:r>
          </w:p>
        </w:tc>
        <w:tc>
          <w:tcPr>
            <w:tcW w:w="2230" w:type="dxa"/>
          </w:tcPr>
          <w:p w14:paraId="25F30E9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Integrated Chronic Disease Management</w:t>
            </w:r>
          </w:p>
        </w:tc>
        <w:tc>
          <w:tcPr>
            <w:tcW w:w="0" w:type="auto"/>
          </w:tcPr>
          <w:p w14:paraId="78846B5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hours of service</w:t>
            </w:r>
          </w:p>
        </w:tc>
        <w:tc>
          <w:tcPr>
            <w:tcW w:w="0" w:type="auto"/>
          </w:tcPr>
          <w:p w14:paraId="0B1694F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w:t>
            </w:r>
          </w:p>
        </w:tc>
        <w:tc>
          <w:tcPr>
            <w:tcW w:w="0" w:type="auto"/>
          </w:tcPr>
          <w:p w14:paraId="7C5D8F9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2C5A4EC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1F8BECE6"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14:paraId="4D6B4042"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25C9E01E" w14:textId="77777777" w:rsidR="00817104" w:rsidRPr="00926A20" w:rsidRDefault="00817104">
            <w:pPr>
              <w:pStyle w:val="Tabletext"/>
              <w:rPr>
                <w:szCs w:val="18"/>
              </w:rPr>
            </w:pPr>
            <w:r w:rsidRPr="00926A20">
              <w:rPr>
                <w:szCs w:val="18"/>
              </w:rPr>
              <w:t>28076</w:t>
            </w:r>
          </w:p>
        </w:tc>
        <w:tc>
          <w:tcPr>
            <w:tcW w:w="2230" w:type="dxa"/>
          </w:tcPr>
          <w:p w14:paraId="4CA7A80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Refugee and Asylum Seeker Health Services</w:t>
            </w:r>
          </w:p>
        </w:tc>
        <w:tc>
          <w:tcPr>
            <w:tcW w:w="0" w:type="auto"/>
          </w:tcPr>
          <w:p w14:paraId="56E5F92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hours of service</w:t>
            </w:r>
          </w:p>
        </w:tc>
        <w:tc>
          <w:tcPr>
            <w:tcW w:w="0" w:type="auto"/>
          </w:tcPr>
          <w:p w14:paraId="4F94E4A6"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Hours</w:t>
            </w:r>
          </w:p>
        </w:tc>
        <w:tc>
          <w:tcPr>
            <w:tcW w:w="0" w:type="auto"/>
          </w:tcPr>
          <w:p w14:paraId="1E14A21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189A90B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7CAE7FD6"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14:paraId="3E35E5AE"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268D0636" w14:textId="77777777" w:rsidR="00817104" w:rsidRPr="00926A20" w:rsidRDefault="00817104">
            <w:pPr>
              <w:pStyle w:val="Tabletext"/>
              <w:rPr>
                <w:szCs w:val="18"/>
              </w:rPr>
            </w:pPr>
            <w:r w:rsidRPr="00926A20">
              <w:rPr>
                <w:szCs w:val="18"/>
              </w:rPr>
              <w:t>28080</w:t>
            </w:r>
          </w:p>
        </w:tc>
        <w:tc>
          <w:tcPr>
            <w:tcW w:w="2230" w:type="dxa"/>
          </w:tcPr>
          <w:p w14:paraId="0B33FE1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Healthy Mothers Healthy Babies</w:t>
            </w:r>
          </w:p>
        </w:tc>
        <w:tc>
          <w:tcPr>
            <w:tcW w:w="0" w:type="auto"/>
          </w:tcPr>
          <w:p w14:paraId="64A876B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Numbers of hours of service</w:t>
            </w:r>
          </w:p>
        </w:tc>
        <w:tc>
          <w:tcPr>
            <w:tcW w:w="0" w:type="auto"/>
          </w:tcPr>
          <w:p w14:paraId="2DDF8F6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w:t>
            </w:r>
          </w:p>
        </w:tc>
        <w:tc>
          <w:tcPr>
            <w:tcW w:w="0" w:type="auto"/>
          </w:tcPr>
          <w:p w14:paraId="748CD6A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5A13B10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407AB31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14:paraId="13972DA1"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34B91A01" w14:textId="77777777" w:rsidR="00817104" w:rsidRPr="00926A20" w:rsidRDefault="00817104">
            <w:pPr>
              <w:pStyle w:val="Tabletext"/>
              <w:rPr>
                <w:szCs w:val="18"/>
              </w:rPr>
            </w:pPr>
            <w:r w:rsidRPr="00926A20">
              <w:rPr>
                <w:szCs w:val="18"/>
              </w:rPr>
              <w:t>28081</w:t>
            </w:r>
          </w:p>
        </w:tc>
        <w:tc>
          <w:tcPr>
            <w:tcW w:w="2230" w:type="dxa"/>
          </w:tcPr>
          <w:p w14:paraId="3C27716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National Diabetes Services Scheme</w:t>
            </w:r>
          </w:p>
        </w:tc>
        <w:tc>
          <w:tcPr>
            <w:tcW w:w="0" w:type="auto"/>
          </w:tcPr>
          <w:p w14:paraId="503567F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Number of packs of needles and syringes </w:t>
            </w:r>
          </w:p>
        </w:tc>
        <w:tc>
          <w:tcPr>
            <w:tcW w:w="0" w:type="auto"/>
          </w:tcPr>
          <w:p w14:paraId="2BE30EE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Needles and syringes</w:t>
            </w:r>
          </w:p>
        </w:tc>
        <w:tc>
          <w:tcPr>
            <w:tcW w:w="0" w:type="auto"/>
          </w:tcPr>
          <w:p w14:paraId="40BFA46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Monthly </w:t>
            </w:r>
          </w:p>
        </w:tc>
        <w:tc>
          <w:tcPr>
            <w:tcW w:w="0" w:type="auto"/>
          </w:tcPr>
          <w:p w14:paraId="1312361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3CB1FF2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14:paraId="0AB9DB94"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29BE2985" w14:textId="77777777" w:rsidR="00817104" w:rsidRPr="00926A20" w:rsidRDefault="00817104">
            <w:pPr>
              <w:pStyle w:val="Tabletext"/>
              <w:rPr>
                <w:szCs w:val="18"/>
              </w:rPr>
            </w:pPr>
            <w:r w:rsidRPr="00926A20">
              <w:rPr>
                <w:szCs w:val="18"/>
              </w:rPr>
              <w:t>28085</w:t>
            </w:r>
          </w:p>
        </w:tc>
        <w:tc>
          <w:tcPr>
            <w:tcW w:w="2230" w:type="dxa"/>
          </w:tcPr>
          <w:p w14:paraId="7F4B975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Community Health – Health Promotion</w:t>
            </w:r>
          </w:p>
        </w:tc>
        <w:tc>
          <w:tcPr>
            <w:tcW w:w="0" w:type="auto"/>
          </w:tcPr>
          <w:p w14:paraId="11FA2ED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health promotion plan</w:t>
            </w:r>
          </w:p>
        </w:tc>
        <w:tc>
          <w:tcPr>
            <w:tcW w:w="0" w:type="auto"/>
          </w:tcPr>
          <w:p w14:paraId="45E3AB2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4A2A923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5E395DD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59D2E57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Other standard measure</w:t>
            </w:r>
          </w:p>
        </w:tc>
      </w:tr>
      <w:tr w:rsidR="00817104" w14:paraId="607C03E0"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17296BF9" w14:textId="77777777" w:rsidR="00817104" w:rsidRPr="00926A20" w:rsidRDefault="00817104">
            <w:pPr>
              <w:pStyle w:val="Tabletext"/>
              <w:rPr>
                <w:szCs w:val="18"/>
              </w:rPr>
            </w:pPr>
            <w:r w:rsidRPr="00926A20">
              <w:rPr>
                <w:szCs w:val="18"/>
              </w:rPr>
              <w:t>28086</w:t>
            </w:r>
          </w:p>
        </w:tc>
        <w:tc>
          <w:tcPr>
            <w:tcW w:w="2230" w:type="dxa"/>
          </w:tcPr>
          <w:p w14:paraId="2B1FF39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Community Health</w:t>
            </w:r>
          </w:p>
        </w:tc>
        <w:tc>
          <w:tcPr>
            <w:tcW w:w="0" w:type="auto"/>
          </w:tcPr>
          <w:p w14:paraId="03CFDFCA"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hours of service</w:t>
            </w:r>
          </w:p>
        </w:tc>
        <w:tc>
          <w:tcPr>
            <w:tcW w:w="0" w:type="auto"/>
          </w:tcPr>
          <w:p w14:paraId="58C9014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Hours</w:t>
            </w:r>
          </w:p>
        </w:tc>
        <w:tc>
          <w:tcPr>
            <w:tcW w:w="0" w:type="auto"/>
          </w:tcPr>
          <w:p w14:paraId="3241EF4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268580B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6AA8957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14:paraId="351CA96E"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10AD80F2" w14:textId="77777777" w:rsidR="00817104" w:rsidRPr="00926A20" w:rsidRDefault="00817104">
            <w:pPr>
              <w:pStyle w:val="Tabletext"/>
              <w:rPr>
                <w:szCs w:val="18"/>
              </w:rPr>
            </w:pPr>
            <w:r w:rsidRPr="00926A20">
              <w:rPr>
                <w:szCs w:val="18"/>
              </w:rPr>
              <w:t>28088</w:t>
            </w:r>
          </w:p>
        </w:tc>
        <w:tc>
          <w:tcPr>
            <w:tcW w:w="2230" w:type="dxa"/>
          </w:tcPr>
          <w:p w14:paraId="6B386BD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ACCO services – Primary Health</w:t>
            </w:r>
          </w:p>
        </w:tc>
        <w:tc>
          <w:tcPr>
            <w:tcW w:w="0" w:type="auto"/>
          </w:tcPr>
          <w:p w14:paraId="6E8E5CE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Development of service profile</w:t>
            </w:r>
          </w:p>
        </w:tc>
        <w:tc>
          <w:tcPr>
            <w:tcW w:w="0" w:type="auto"/>
          </w:tcPr>
          <w:p w14:paraId="668F6B3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 xml:space="preserve">Completed service </w:t>
            </w:r>
          </w:p>
        </w:tc>
        <w:tc>
          <w:tcPr>
            <w:tcW w:w="0" w:type="auto"/>
          </w:tcPr>
          <w:p w14:paraId="2711716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6338546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030A16E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93142" w14:paraId="36FA6060"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279CA5D3" w14:textId="77777777" w:rsidR="00817104" w:rsidRPr="00926A20" w:rsidRDefault="00817104">
            <w:pPr>
              <w:pStyle w:val="Tabletext"/>
              <w:rPr>
                <w:szCs w:val="18"/>
              </w:rPr>
            </w:pPr>
            <w:r w:rsidRPr="00926A20">
              <w:rPr>
                <w:szCs w:val="18"/>
              </w:rPr>
              <w:t>28090</w:t>
            </w:r>
          </w:p>
        </w:tc>
        <w:tc>
          <w:tcPr>
            <w:tcW w:w="2230" w:type="dxa"/>
          </w:tcPr>
          <w:p w14:paraId="3F92575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lang w:eastAsia="en-AU"/>
              </w:rPr>
              <w:t>Multidisciplinary Centre</w:t>
            </w:r>
            <w:r w:rsidRPr="00926A20">
              <w:rPr>
                <w:szCs w:val="18"/>
              </w:rPr>
              <w:t xml:space="preserve"> – Community Health Nurse</w:t>
            </w:r>
          </w:p>
        </w:tc>
        <w:tc>
          <w:tcPr>
            <w:tcW w:w="0" w:type="auto"/>
          </w:tcPr>
          <w:p w14:paraId="6C2E37B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hours of service</w:t>
            </w:r>
          </w:p>
        </w:tc>
        <w:tc>
          <w:tcPr>
            <w:tcW w:w="0" w:type="auto"/>
          </w:tcPr>
          <w:p w14:paraId="441D4D4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Hours</w:t>
            </w:r>
          </w:p>
        </w:tc>
        <w:tc>
          <w:tcPr>
            <w:tcW w:w="0" w:type="auto"/>
          </w:tcPr>
          <w:p w14:paraId="3329EA1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6A05692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6C9F512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93142" w14:paraId="64F8F791" w14:textId="77777777" w:rsidTr="005B3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3E5016B8" w14:textId="77777777" w:rsidR="00817104" w:rsidRPr="00926A20" w:rsidRDefault="00817104">
            <w:pPr>
              <w:pStyle w:val="Tabletext"/>
              <w:rPr>
                <w:szCs w:val="18"/>
              </w:rPr>
            </w:pPr>
            <w:r w:rsidRPr="00926A20">
              <w:rPr>
                <w:szCs w:val="18"/>
              </w:rPr>
              <w:t>28091</w:t>
            </w:r>
          </w:p>
        </w:tc>
        <w:tc>
          <w:tcPr>
            <w:tcW w:w="2230" w:type="dxa"/>
          </w:tcPr>
          <w:p w14:paraId="2184748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Community Asthma Program</w:t>
            </w:r>
          </w:p>
        </w:tc>
        <w:tc>
          <w:tcPr>
            <w:tcW w:w="0" w:type="auto"/>
          </w:tcPr>
          <w:p w14:paraId="71761C4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hours of service</w:t>
            </w:r>
          </w:p>
        </w:tc>
        <w:tc>
          <w:tcPr>
            <w:tcW w:w="0" w:type="auto"/>
          </w:tcPr>
          <w:p w14:paraId="5B28B2F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Hours</w:t>
            </w:r>
          </w:p>
        </w:tc>
        <w:tc>
          <w:tcPr>
            <w:tcW w:w="0" w:type="auto"/>
          </w:tcPr>
          <w:p w14:paraId="4366139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3E0A05E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219179C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93142" w14:paraId="5B3D41B0" w14:textId="77777777" w:rsidTr="005B3517">
        <w:tc>
          <w:tcPr>
            <w:cnfStyle w:val="001000000000" w:firstRow="0" w:lastRow="0" w:firstColumn="1" w:lastColumn="0" w:oddVBand="0" w:evenVBand="0" w:oddHBand="0" w:evenHBand="0" w:firstRowFirstColumn="0" w:firstRowLastColumn="0" w:lastRowFirstColumn="0" w:lastRowLastColumn="0"/>
            <w:tcW w:w="856" w:type="dxa"/>
          </w:tcPr>
          <w:p w14:paraId="3E3E6BB0" w14:textId="77777777" w:rsidR="00817104" w:rsidRPr="00926A20" w:rsidRDefault="00817104">
            <w:pPr>
              <w:pStyle w:val="Tabletext"/>
              <w:rPr>
                <w:szCs w:val="18"/>
              </w:rPr>
            </w:pPr>
            <w:r w:rsidRPr="00926A20">
              <w:rPr>
                <w:szCs w:val="18"/>
              </w:rPr>
              <w:lastRenderedPageBreak/>
              <w:t>28092</w:t>
            </w:r>
          </w:p>
        </w:tc>
        <w:tc>
          <w:tcPr>
            <w:tcW w:w="2230" w:type="dxa"/>
          </w:tcPr>
          <w:p w14:paraId="7BB61BF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Infant Child and Family Health and Wellbeing Hubs</w:t>
            </w:r>
          </w:p>
        </w:tc>
        <w:tc>
          <w:tcPr>
            <w:tcW w:w="0" w:type="auto"/>
          </w:tcPr>
          <w:p w14:paraId="145CF66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hours of service</w:t>
            </w:r>
          </w:p>
        </w:tc>
        <w:tc>
          <w:tcPr>
            <w:tcW w:w="0" w:type="auto"/>
          </w:tcPr>
          <w:p w14:paraId="4D65B57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Hours</w:t>
            </w:r>
          </w:p>
        </w:tc>
        <w:tc>
          <w:tcPr>
            <w:tcW w:w="0" w:type="auto"/>
          </w:tcPr>
          <w:p w14:paraId="51F0881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13A130E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29DE966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bl>
    <w:p w14:paraId="580DED54" w14:textId="77777777" w:rsidR="00817104" w:rsidRDefault="00817104" w:rsidP="00817104">
      <w:pPr>
        <w:pStyle w:val="Body"/>
      </w:pPr>
    </w:p>
    <w:p w14:paraId="29569B0A" w14:textId="380B6DD9" w:rsidR="00817104" w:rsidRDefault="00817104" w:rsidP="00817104">
      <w:pPr>
        <w:pStyle w:val="Tablecaption"/>
      </w:pPr>
      <w:bookmarkStart w:id="2855" w:name="_Toc230537142"/>
      <w:r>
        <w:t xml:space="preserve">Table </w:t>
      </w:r>
      <w:r w:rsidR="009E492F">
        <w:t>22</w:t>
      </w:r>
      <w:r>
        <w:t xml:space="preserve">. </w:t>
      </w:r>
      <w:r w:rsidRPr="004065E5">
        <w:t>Public health – performance targets and monitoring</w:t>
      </w:r>
      <w:bookmarkEnd w:id="2855"/>
    </w:p>
    <w:tbl>
      <w:tblPr>
        <w:tblStyle w:val="GridTable4-Accent1"/>
        <w:tblW w:w="0" w:type="auto"/>
        <w:tblLook w:val="04A0" w:firstRow="1" w:lastRow="0" w:firstColumn="1" w:lastColumn="0" w:noHBand="0" w:noVBand="1"/>
      </w:tblPr>
      <w:tblGrid>
        <w:gridCol w:w="887"/>
        <w:gridCol w:w="1917"/>
        <w:gridCol w:w="1618"/>
        <w:gridCol w:w="1677"/>
        <w:gridCol w:w="1127"/>
        <w:gridCol w:w="1067"/>
        <w:gridCol w:w="995"/>
      </w:tblGrid>
      <w:tr w:rsidR="00817104" w:rsidRPr="00926A20" w14:paraId="750909D9" w14:textId="77777777" w:rsidTr="009E49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7A869B35" w14:textId="77777777" w:rsidR="00817104" w:rsidRPr="009E492F" w:rsidRDefault="00817104" w:rsidP="00785A21">
            <w:pPr>
              <w:pStyle w:val="Tablecolhead"/>
              <w:rPr>
                <w:b/>
                <w:bCs w:val="0"/>
                <w:color w:val="FFFFFF" w:themeColor="background1"/>
                <w:sz w:val="18"/>
                <w:szCs w:val="18"/>
              </w:rPr>
            </w:pPr>
            <w:r w:rsidRPr="009E492F">
              <w:rPr>
                <w:b/>
                <w:bCs w:val="0"/>
                <w:color w:val="FFFFFF" w:themeColor="background1"/>
                <w:sz w:val="18"/>
                <w:szCs w:val="18"/>
              </w:rPr>
              <w:t>Activity no.</w:t>
            </w:r>
          </w:p>
        </w:tc>
        <w:tc>
          <w:tcPr>
            <w:tcW w:w="0" w:type="auto"/>
          </w:tcPr>
          <w:p w14:paraId="18FD3286"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Activity name</w:t>
            </w:r>
          </w:p>
        </w:tc>
        <w:tc>
          <w:tcPr>
            <w:tcW w:w="0" w:type="auto"/>
          </w:tcPr>
          <w:p w14:paraId="4487F24E"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Measure description</w:t>
            </w:r>
          </w:p>
        </w:tc>
        <w:tc>
          <w:tcPr>
            <w:tcW w:w="0" w:type="auto"/>
          </w:tcPr>
          <w:p w14:paraId="2E6779F2"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Unit of measure</w:t>
            </w:r>
          </w:p>
        </w:tc>
        <w:tc>
          <w:tcPr>
            <w:tcW w:w="0" w:type="auto"/>
          </w:tcPr>
          <w:p w14:paraId="52BE0A10"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Frequency</w:t>
            </w:r>
          </w:p>
        </w:tc>
        <w:tc>
          <w:tcPr>
            <w:tcW w:w="0" w:type="auto"/>
          </w:tcPr>
          <w:p w14:paraId="5F94D6C9"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Status</w:t>
            </w:r>
          </w:p>
        </w:tc>
        <w:tc>
          <w:tcPr>
            <w:tcW w:w="0" w:type="auto"/>
          </w:tcPr>
          <w:p w14:paraId="6C00C817"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Output type</w:t>
            </w:r>
          </w:p>
        </w:tc>
      </w:tr>
      <w:tr w:rsidR="00817104" w:rsidRPr="00926A20" w14:paraId="5A710647"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CBAE75" w14:textId="77777777" w:rsidR="00817104" w:rsidRPr="00926A20" w:rsidRDefault="00817104">
            <w:pPr>
              <w:pStyle w:val="Tabletext"/>
              <w:rPr>
                <w:szCs w:val="18"/>
              </w:rPr>
            </w:pPr>
            <w:r w:rsidRPr="00926A20">
              <w:rPr>
                <w:szCs w:val="18"/>
              </w:rPr>
              <w:t>16038</w:t>
            </w:r>
          </w:p>
        </w:tc>
        <w:tc>
          <w:tcPr>
            <w:tcW w:w="0" w:type="auto"/>
          </w:tcPr>
          <w:p w14:paraId="7EF0BC9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Tuberculosis Screening-Management</w:t>
            </w:r>
          </w:p>
        </w:tc>
        <w:tc>
          <w:tcPr>
            <w:tcW w:w="0" w:type="auto"/>
          </w:tcPr>
          <w:p w14:paraId="74807B1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To provide for services and activities related to tuberculosis management in Victoria</w:t>
            </w:r>
          </w:p>
        </w:tc>
        <w:tc>
          <w:tcPr>
            <w:tcW w:w="0" w:type="auto"/>
          </w:tcPr>
          <w:p w14:paraId="0000350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Persons screened for prevention and early detection of health conditions – pulmonary tuberculosis screening</w:t>
            </w:r>
          </w:p>
        </w:tc>
        <w:tc>
          <w:tcPr>
            <w:tcW w:w="0" w:type="auto"/>
          </w:tcPr>
          <w:p w14:paraId="22FDE14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Quarterly</w:t>
            </w:r>
          </w:p>
        </w:tc>
        <w:tc>
          <w:tcPr>
            <w:tcW w:w="0" w:type="auto"/>
          </w:tcPr>
          <w:p w14:paraId="00B8DF1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4F53BC7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65A8969F"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3D0AC52F" w14:textId="77777777" w:rsidR="00817104" w:rsidRPr="00926A20" w:rsidRDefault="00817104">
            <w:pPr>
              <w:pStyle w:val="Tabletext"/>
              <w:rPr>
                <w:szCs w:val="18"/>
              </w:rPr>
            </w:pPr>
            <w:r w:rsidRPr="00926A20">
              <w:rPr>
                <w:szCs w:val="18"/>
              </w:rPr>
              <w:t>16119</w:t>
            </w:r>
          </w:p>
        </w:tc>
        <w:tc>
          <w:tcPr>
            <w:tcW w:w="0" w:type="auto"/>
          </w:tcPr>
          <w:p w14:paraId="613B6B6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School and adult immunisation services</w:t>
            </w:r>
          </w:p>
        </w:tc>
        <w:tc>
          <w:tcPr>
            <w:tcW w:w="0" w:type="auto"/>
          </w:tcPr>
          <w:p w14:paraId="3F94F5C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Number of people immunised</w:t>
            </w:r>
          </w:p>
        </w:tc>
        <w:tc>
          <w:tcPr>
            <w:tcW w:w="0" w:type="auto"/>
          </w:tcPr>
          <w:p w14:paraId="50A5FAE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People</w:t>
            </w:r>
          </w:p>
        </w:tc>
        <w:tc>
          <w:tcPr>
            <w:tcW w:w="0" w:type="auto"/>
          </w:tcPr>
          <w:p w14:paraId="0A977CC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709AF11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031F5FB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3CB62EDF"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A73E1D" w14:textId="77777777" w:rsidR="00817104" w:rsidRPr="00926A20" w:rsidRDefault="00817104">
            <w:pPr>
              <w:pStyle w:val="Tabletext"/>
              <w:rPr>
                <w:szCs w:val="18"/>
              </w:rPr>
            </w:pPr>
            <w:r w:rsidRPr="00926A20">
              <w:rPr>
                <w:szCs w:val="18"/>
              </w:rPr>
              <w:t>16203</w:t>
            </w:r>
          </w:p>
        </w:tc>
        <w:tc>
          <w:tcPr>
            <w:tcW w:w="0" w:type="auto"/>
          </w:tcPr>
          <w:p w14:paraId="1E069BA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Regulation of ART</w:t>
            </w:r>
            <w:r w:rsidRPr="00926A20">
              <w:rPr>
                <w:szCs w:val="18"/>
                <w:vertAlign w:val="superscript"/>
              </w:rPr>
              <w:footnoteReference w:id="20"/>
            </w:r>
            <w:r w:rsidRPr="00926A20">
              <w:rPr>
                <w:szCs w:val="18"/>
              </w:rPr>
              <w:t xml:space="preserve"> and associated legislation</w:t>
            </w:r>
          </w:p>
        </w:tc>
        <w:tc>
          <w:tcPr>
            <w:tcW w:w="0" w:type="auto"/>
          </w:tcPr>
          <w:p w14:paraId="7E8F1E1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agreed objectives</w:t>
            </w:r>
          </w:p>
        </w:tc>
        <w:tc>
          <w:tcPr>
            <w:tcW w:w="0" w:type="auto"/>
          </w:tcPr>
          <w:p w14:paraId="5381C42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344DD7F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2962FE7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55C9E07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55B64C34"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3430E679" w14:textId="77777777" w:rsidR="00817104" w:rsidRPr="00926A20" w:rsidRDefault="00817104">
            <w:pPr>
              <w:pStyle w:val="Tabletext"/>
              <w:rPr>
                <w:szCs w:val="18"/>
              </w:rPr>
            </w:pPr>
            <w:r w:rsidRPr="00926A20">
              <w:rPr>
                <w:szCs w:val="18"/>
              </w:rPr>
              <w:t>16206</w:t>
            </w:r>
          </w:p>
        </w:tc>
        <w:tc>
          <w:tcPr>
            <w:tcW w:w="0" w:type="auto"/>
          </w:tcPr>
          <w:p w14:paraId="5306720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Laboratory testing</w:t>
            </w:r>
          </w:p>
        </w:tc>
        <w:tc>
          <w:tcPr>
            <w:tcW w:w="0" w:type="auto"/>
          </w:tcPr>
          <w:p w14:paraId="3951F1C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Provision of a public health reference/ testing service</w:t>
            </w:r>
          </w:p>
        </w:tc>
        <w:tc>
          <w:tcPr>
            <w:tcW w:w="0" w:type="auto"/>
          </w:tcPr>
          <w:p w14:paraId="17B53AB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Services</w:t>
            </w:r>
          </w:p>
        </w:tc>
        <w:tc>
          <w:tcPr>
            <w:tcW w:w="0" w:type="auto"/>
          </w:tcPr>
          <w:p w14:paraId="1E99FC4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1471324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55A27D8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59017B98"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964E84" w14:textId="77777777" w:rsidR="00817104" w:rsidRPr="00926A20" w:rsidRDefault="00817104">
            <w:pPr>
              <w:pStyle w:val="Tabletext"/>
              <w:rPr>
                <w:szCs w:val="18"/>
              </w:rPr>
            </w:pPr>
            <w:r w:rsidRPr="00926A20">
              <w:rPr>
                <w:szCs w:val="18"/>
              </w:rPr>
              <w:t>16206</w:t>
            </w:r>
          </w:p>
        </w:tc>
        <w:tc>
          <w:tcPr>
            <w:tcW w:w="0" w:type="auto"/>
          </w:tcPr>
          <w:p w14:paraId="1A4EFFD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Laboratory testing</w:t>
            </w:r>
          </w:p>
        </w:tc>
        <w:tc>
          <w:tcPr>
            <w:tcW w:w="0" w:type="auto"/>
          </w:tcPr>
          <w:p w14:paraId="63B88A9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Percentage of notifications within specified timelines</w:t>
            </w:r>
          </w:p>
        </w:tc>
        <w:tc>
          <w:tcPr>
            <w:tcW w:w="0" w:type="auto"/>
          </w:tcPr>
          <w:p w14:paraId="39A93C9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Notifications</w:t>
            </w:r>
          </w:p>
        </w:tc>
        <w:tc>
          <w:tcPr>
            <w:tcW w:w="0" w:type="auto"/>
          </w:tcPr>
          <w:p w14:paraId="2C85304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0C994CE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702866E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Other standard measure</w:t>
            </w:r>
          </w:p>
        </w:tc>
      </w:tr>
      <w:tr w:rsidR="00817104" w:rsidRPr="00926A20" w14:paraId="1549C21C"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28EF6CD5" w14:textId="77777777" w:rsidR="00817104" w:rsidRPr="00926A20" w:rsidRDefault="00817104">
            <w:pPr>
              <w:pStyle w:val="Tabletext"/>
              <w:rPr>
                <w:szCs w:val="18"/>
              </w:rPr>
            </w:pPr>
            <w:r w:rsidRPr="00926A20">
              <w:rPr>
                <w:szCs w:val="18"/>
              </w:rPr>
              <w:t>16206</w:t>
            </w:r>
          </w:p>
        </w:tc>
        <w:tc>
          <w:tcPr>
            <w:tcW w:w="0" w:type="auto"/>
          </w:tcPr>
          <w:p w14:paraId="042EEF7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Laboratory testing</w:t>
            </w:r>
          </w:p>
        </w:tc>
        <w:tc>
          <w:tcPr>
            <w:tcW w:w="0" w:type="auto"/>
          </w:tcPr>
          <w:p w14:paraId="17A551A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Provision of required testing, in accordance with accredited standards</w:t>
            </w:r>
          </w:p>
        </w:tc>
        <w:tc>
          <w:tcPr>
            <w:tcW w:w="0" w:type="auto"/>
          </w:tcPr>
          <w:p w14:paraId="3C3AD1C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Testing</w:t>
            </w:r>
          </w:p>
        </w:tc>
        <w:tc>
          <w:tcPr>
            <w:tcW w:w="0" w:type="auto"/>
          </w:tcPr>
          <w:p w14:paraId="378DC1A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544A72F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47294506"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Other standard measure</w:t>
            </w:r>
          </w:p>
        </w:tc>
      </w:tr>
      <w:tr w:rsidR="00817104" w:rsidRPr="00926A20" w14:paraId="6F59CECC"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A87839" w14:textId="77777777" w:rsidR="00817104" w:rsidRPr="00926A20" w:rsidRDefault="00817104">
            <w:pPr>
              <w:pStyle w:val="Tabletext"/>
              <w:rPr>
                <w:szCs w:val="18"/>
              </w:rPr>
            </w:pPr>
            <w:r w:rsidRPr="00926A20">
              <w:rPr>
                <w:szCs w:val="18"/>
              </w:rPr>
              <w:t>16207</w:t>
            </w:r>
          </w:p>
        </w:tc>
        <w:tc>
          <w:tcPr>
            <w:tcW w:w="0" w:type="auto"/>
          </w:tcPr>
          <w:p w14:paraId="5F190A8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Microbial Genomic Services (Whole Genome Sequencing)</w:t>
            </w:r>
          </w:p>
        </w:tc>
        <w:tc>
          <w:tcPr>
            <w:tcW w:w="0" w:type="auto"/>
          </w:tcPr>
          <w:p w14:paraId="5EB6E05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tests – isolates</w:t>
            </w:r>
          </w:p>
        </w:tc>
        <w:tc>
          <w:tcPr>
            <w:tcW w:w="0" w:type="auto"/>
          </w:tcPr>
          <w:p w14:paraId="28C98C5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Testing</w:t>
            </w:r>
          </w:p>
        </w:tc>
        <w:tc>
          <w:tcPr>
            <w:tcW w:w="0" w:type="auto"/>
          </w:tcPr>
          <w:p w14:paraId="571A204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2054230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56CF721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1603FAE5"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635F6982" w14:textId="77777777" w:rsidR="00817104" w:rsidRPr="00926A20" w:rsidRDefault="00817104">
            <w:pPr>
              <w:pStyle w:val="Tabletext"/>
              <w:rPr>
                <w:szCs w:val="18"/>
              </w:rPr>
            </w:pPr>
            <w:r w:rsidRPr="00926A20">
              <w:rPr>
                <w:szCs w:val="18"/>
              </w:rPr>
              <w:t>16234</w:t>
            </w:r>
          </w:p>
        </w:tc>
        <w:tc>
          <w:tcPr>
            <w:tcW w:w="0" w:type="auto"/>
          </w:tcPr>
          <w:p w14:paraId="5E5F94B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Public Health Legislative Review</w:t>
            </w:r>
          </w:p>
        </w:tc>
        <w:tc>
          <w:tcPr>
            <w:tcW w:w="0" w:type="auto"/>
          </w:tcPr>
          <w:p w14:paraId="13DA01D0"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agreed objectives</w:t>
            </w:r>
          </w:p>
        </w:tc>
        <w:tc>
          <w:tcPr>
            <w:tcW w:w="0" w:type="auto"/>
          </w:tcPr>
          <w:p w14:paraId="2D84324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438A6E1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30AF4CF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50277D6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6AAFA55B"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BCE86D" w14:textId="77777777" w:rsidR="00817104" w:rsidRPr="00926A20" w:rsidRDefault="00817104">
            <w:pPr>
              <w:pStyle w:val="Tabletext"/>
              <w:rPr>
                <w:szCs w:val="18"/>
              </w:rPr>
            </w:pPr>
            <w:r w:rsidRPr="00926A20">
              <w:rPr>
                <w:szCs w:val="18"/>
              </w:rPr>
              <w:t>16308</w:t>
            </w:r>
          </w:p>
        </w:tc>
        <w:tc>
          <w:tcPr>
            <w:tcW w:w="0" w:type="auto"/>
          </w:tcPr>
          <w:p w14:paraId="372D712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Injury prevention</w:t>
            </w:r>
          </w:p>
        </w:tc>
        <w:tc>
          <w:tcPr>
            <w:tcW w:w="0" w:type="auto"/>
          </w:tcPr>
          <w:p w14:paraId="655A603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agreed objectives</w:t>
            </w:r>
          </w:p>
        </w:tc>
        <w:tc>
          <w:tcPr>
            <w:tcW w:w="0" w:type="auto"/>
          </w:tcPr>
          <w:p w14:paraId="572A44F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0BA5BFC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70BA362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32BBD38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7DCBC9DD"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6F678BCB" w14:textId="77777777" w:rsidR="00817104" w:rsidRPr="00926A20" w:rsidRDefault="00817104">
            <w:pPr>
              <w:pStyle w:val="Tabletext"/>
              <w:rPr>
                <w:szCs w:val="18"/>
              </w:rPr>
            </w:pPr>
            <w:r w:rsidRPr="00926A20">
              <w:rPr>
                <w:szCs w:val="18"/>
              </w:rPr>
              <w:t>16348</w:t>
            </w:r>
          </w:p>
        </w:tc>
        <w:tc>
          <w:tcPr>
            <w:tcW w:w="0" w:type="auto"/>
          </w:tcPr>
          <w:p w14:paraId="726ACE9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Children’s obesity</w:t>
            </w:r>
          </w:p>
        </w:tc>
        <w:tc>
          <w:tcPr>
            <w:tcW w:w="0" w:type="auto"/>
          </w:tcPr>
          <w:p w14:paraId="0685AEEA"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agreed objectives</w:t>
            </w:r>
          </w:p>
        </w:tc>
        <w:tc>
          <w:tcPr>
            <w:tcW w:w="0" w:type="auto"/>
          </w:tcPr>
          <w:p w14:paraId="5193F1F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33B5877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Half-yearly</w:t>
            </w:r>
          </w:p>
        </w:tc>
        <w:tc>
          <w:tcPr>
            <w:tcW w:w="0" w:type="auto"/>
          </w:tcPr>
          <w:p w14:paraId="561A9CB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55FA48E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52CC960F"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0C1E78" w14:textId="77777777" w:rsidR="00817104" w:rsidRPr="00926A20" w:rsidRDefault="00817104">
            <w:pPr>
              <w:pStyle w:val="Tabletext"/>
              <w:rPr>
                <w:szCs w:val="18"/>
              </w:rPr>
            </w:pPr>
            <w:r w:rsidRPr="00926A20">
              <w:rPr>
                <w:szCs w:val="18"/>
              </w:rPr>
              <w:t>16349</w:t>
            </w:r>
          </w:p>
        </w:tc>
        <w:tc>
          <w:tcPr>
            <w:tcW w:w="0" w:type="auto"/>
          </w:tcPr>
          <w:p w14:paraId="01F9ACC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Obesity – community projects</w:t>
            </w:r>
          </w:p>
        </w:tc>
        <w:tc>
          <w:tcPr>
            <w:tcW w:w="0" w:type="auto"/>
          </w:tcPr>
          <w:p w14:paraId="6264FC5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agreed objectives</w:t>
            </w:r>
          </w:p>
        </w:tc>
        <w:tc>
          <w:tcPr>
            <w:tcW w:w="0" w:type="auto"/>
          </w:tcPr>
          <w:p w14:paraId="5731977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248C4C0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354D914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7BCBC18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3D4AFB54"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0DA5AFDE" w14:textId="77777777" w:rsidR="00817104" w:rsidRPr="00926A20" w:rsidRDefault="00817104">
            <w:pPr>
              <w:pStyle w:val="Tabletext"/>
              <w:rPr>
                <w:szCs w:val="18"/>
              </w:rPr>
            </w:pPr>
            <w:r w:rsidRPr="00926A20">
              <w:rPr>
                <w:szCs w:val="18"/>
              </w:rPr>
              <w:lastRenderedPageBreak/>
              <w:t>16373</w:t>
            </w:r>
          </w:p>
        </w:tc>
        <w:tc>
          <w:tcPr>
            <w:tcW w:w="0" w:type="auto"/>
          </w:tcPr>
          <w:p w14:paraId="2858992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BBV and STI – clinical services</w:t>
            </w:r>
          </w:p>
        </w:tc>
        <w:tc>
          <w:tcPr>
            <w:tcW w:w="0" w:type="auto"/>
          </w:tcPr>
          <w:p w14:paraId="69F7A41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agreed objectives</w:t>
            </w:r>
          </w:p>
        </w:tc>
        <w:tc>
          <w:tcPr>
            <w:tcW w:w="0" w:type="auto"/>
          </w:tcPr>
          <w:p w14:paraId="5C5FC28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w:t>
            </w:r>
          </w:p>
        </w:tc>
        <w:tc>
          <w:tcPr>
            <w:tcW w:w="0" w:type="auto"/>
          </w:tcPr>
          <w:p w14:paraId="60B7892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7C1515D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4FF3212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32936430"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098A787" w14:textId="77777777" w:rsidR="00817104" w:rsidRPr="00926A20" w:rsidRDefault="00817104">
            <w:pPr>
              <w:pStyle w:val="Tabletext"/>
              <w:rPr>
                <w:szCs w:val="18"/>
              </w:rPr>
            </w:pPr>
            <w:r w:rsidRPr="00926A20">
              <w:rPr>
                <w:szCs w:val="18"/>
              </w:rPr>
              <w:t>16449</w:t>
            </w:r>
          </w:p>
        </w:tc>
        <w:tc>
          <w:tcPr>
            <w:tcW w:w="0" w:type="auto"/>
          </w:tcPr>
          <w:p w14:paraId="7B5F89A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Smoking information – advice and interventions by Quit Victoria</w:t>
            </w:r>
          </w:p>
        </w:tc>
        <w:tc>
          <w:tcPr>
            <w:tcW w:w="0" w:type="auto"/>
          </w:tcPr>
          <w:p w14:paraId="1B2FF06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Research reports</w:t>
            </w:r>
          </w:p>
        </w:tc>
        <w:tc>
          <w:tcPr>
            <w:tcW w:w="0" w:type="auto"/>
          </w:tcPr>
          <w:p w14:paraId="1926A20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7A22644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146E803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6E39984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2F0EF125"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5B774619" w14:textId="77777777" w:rsidR="00817104" w:rsidRPr="00926A20" w:rsidRDefault="00817104">
            <w:pPr>
              <w:pStyle w:val="Tabletext"/>
              <w:rPr>
                <w:szCs w:val="18"/>
              </w:rPr>
            </w:pPr>
            <w:r w:rsidRPr="00926A20">
              <w:rPr>
                <w:szCs w:val="18"/>
              </w:rPr>
              <w:t>16450</w:t>
            </w:r>
          </w:p>
        </w:tc>
        <w:tc>
          <w:tcPr>
            <w:tcW w:w="0" w:type="auto"/>
          </w:tcPr>
          <w:p w14:paraId="09C923E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Diabetes prevention</w:t>
            </w:r>
          </w:p>
        </w:tc>
        <w:tc>
          <w:tcPr>
            <w:tcW w:w="0" w:type="auto"/>
          </w:tcPr>
          <w:p w14:paraId="0473CB5C"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agreed objectives</w:t>
            </w:r>
          </w:p>
        </w:tc>
        <w:tc>
          <w:tcPr>
            <w:tcW w:w="0" w:type="auto"/>
          </w:tcPr>
          <w:p w14:paraId="694D4BD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5563FCA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Quarterly</w:t>
            </w:r>
          </w:p>
        </w:tc>
        <w:tc>
          <w:tcPr>
            <w:tcW w:w="0" w:type="auto"/>
          </w:tcPr>
          <w:p w14:paraId="77E17D2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208BD24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0C296795"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45DBE0" w14:textId="77777777" w:rsidR="00817104" w:rsidRPr="00926A20" w:rsidRDefault="00817104">
            <w:pPr>
              <w:pStyle w:val="Tabletext"/>
              <w:rPr>
                <w:szCs w:val="18"/>
              </w:rPr>
            </w:pPr>
            <w:r w:rsidRPr="00926A20">
              <w:rPr>
                <w:szCs w:val="18"/>
              </w:rPr>
              <w:t>16452</w:t>
            </w:r>
          </w:p>
        </w:tc>
        <w:tc>
          <w:tcPr>
            <w:tcW w:w="0" w:type="auto"/>
          </w:tcPr>
          <w:p w14:paraId="72110C7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Aboriginal health advancement by VACCHO</w:t>
            </w:r>
          </w:p>
        </w:tc>
        <w:tc>
          <w:tcPr>
            <w:tcW w:w="0" w:type="auto"/>
          </w:tcPr>
          <w:p w14:paraId="1319422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agreed objectives</w:t>
            </w:r>
          </w:p>
        </w:tc>
        <w:tc>
          <w:tcPr>
            <w:tcW w:w="0" w:type="auto"/>
          </w:tcPr>
          <w:p w14:paraId="4B0C6A5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3657D1E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621CB6B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029AEAA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3F3AF5D5"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2B778138" w14:textId="77777777" w:rsidR="00817104" w:rsidRPr="00926A20" w:rsidRDefault="00817104">
            <w:pPr>
              <w:pStyle w:val="Tabletext"/>
              <w:rPr>
                <w:szCs w:val="18"/>
              </w:rPr>
            </w:pPr>
            <w:r w:rsidRPr="00926A20">
              <w:rPr>
                <w:szCs w:val="18"/>
              </w:rPr>
              <w:t>16453</w:t>
            </w:r>
          </w:p>
        </w:tc>
        <w:tc>
          <w:tcPr>
            <w:tcW w:w="0" w:type="auto"/>
          </w:tcPr>
          <w:p w14:paraId="22A513C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Aboriginal health worker support ACCHOs</w:t>
            </w:r>
          </w:p>
        </w:tc>
        <w:tc>
          <w:tcPr>
            <w:tcW w:w="0" w:type="auto"/>
          </w:tcPr>
          <w:p w14:paraId="31F3BC9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agreed objectives</w:t>
            </w:r>
          </w:p>
        </w:tc>
        <w:tc>
          <w:tcPr>
            <w:tcW w:w="0" w:type="auto"/>
          </w:tcPr>
          <w:p w14:paraId="6E96335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133CBAA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1BD18EA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515B864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13D7629E"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F5D461" w14:textId="77777777" w:rsidR="00817104" w:rsidRPr="00926A20" w:rsidRDefault="00817104">
            <w:pPr>
              <w:pStyle w:val="Tabletext"/>
              <w:rPr>
                <w:szCs w:val="18"/>
              </w:rPr>
            </w:pPr>
            <w:r w:rsidRPr="00926A20">
              <w:rPr>
                <w:szCs w:val="18"/>
              </w:rPr>
              <w:t>16454</w:t>
            </w:r>
          </w:p>
        </w:tc>
        <w:tc>
          <w:tcPr>
            <w:tcW w:w="0" w:type="auto"/>
          </w:tcPr>
          <w:p w14:paraId="18E16B9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Health promotion initiatives inclusive of public health unit catchment planning, eye health, healthy kid advisers, Working together for health</w:t>
            </w:r>
          </w:p>
        </w:tc>
        <w:tc>
          <w:tcPr>
            <w:tcW w:w="0" w:type="auto"/>
          </w:tcPr>
          <w:p w14:paraId="1AE8B42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agreed objectives</w:t>
            </w:r>
          </w:p>
        </w:tc>
        <w:tc>
          <w:tcPr>
            <w:tcW w:w="0" w:type="auto"/>
          </w:tcPr>
          <w:p w14:paraId="6C55110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167AAB2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7B04FC2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094AC0E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4F73F9CA"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48EF152C" w14:textId="77777777" w:rsidR="00817104" w:rsidRPr="00926A20" w:rsidRDefault="00817104">
            <w:pPr>
              <w:pStyle w:val="Tabletext"/>
              <w:rPr>
                <w:szCs w:val="18"/>
              </w:rPr>
            </w:pPr>
            <w:r w:rsidRPr="00926A20">
              <w:rPr>
                <w:szCs w:val="18"/>
              </w:rPr>
              <w:t>16460</w:t>
            </w:r>
          </w:p>
        </w:tc>
        <w:tc>
          <w:tcPr>
            <w:tcW w:w="0" w:type="auto"/>
          </w:tcPr>
          <w:p w14:paraId="170C27A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Targeted recruitment for screening programs</w:t>
            </w:r>
          </w:p>
        </w:tc>
        <w:tc>
          <w:tcPr>
            <w:tcW w:w="0" w:type="auto"/>
          </w:tcPr>
          <w:p w14:paraId="485A165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agreed deliverables</w:t>
            </w:r>
          </w:p>
        </w:tc>
        <w:tc>
          <w:tcPr>
            <w:tcW w:w="0" w:type="auto"/>
          </w:tcPr>
          <w:p w14:paraId="4319192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34E68A1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0B4C728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0ED2FE5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1C3A2DA6"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429E57" w14:textId="77777777" w:rsidR="00817104" w:rsidRPr="00926A20" w:rsidRDefault="00817104">
            <w:pPr>
              <w:pStyle w:val="Tabletext"/>
              <w:rPr>
                <w:szCs w:val="18"/>
              </w:rPr>
            </w:pPr>
            <w:r w:rsidRPr="00926A20">
              <w:rPr>
                <w:szCs w:val="18"/>
              </w:rPr>
              <w:t>16505</w:t>
            </w:r>
          </w:p>
        </w:tc>
        <w:tc>
          <w:tcPr>
            <w:tcW w:w="0" w:type="auto"/>
          </w:tcPr>
          <w:p w14:paraId="29C12EE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BBV and STI – training and development</w:t>
            </w:r>
          </w:p>
        </w:tc>
        <w:tc>
          <w:tcPr>
            <w:tcW w:w="0" w:type="auto"/>
          </w:tcPr>
          <w:p w14:paraId="7331D9D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agreed deliverables</w:t>
            </w:r>
          </w:p>
        </w:tc>
        <w:tc>
          <w:tcPr>
            <w:tcW w:w="0" w:type="auto"/>
          </w:tcPr>
          <w:p w14:paraId="5A7FF416"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79C3D31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6887320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259690B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5B487A6D"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7EF5EE20" w14:textId="77777777" w:rsidR="00817104" w:rsidRPr="00926A20" w:rsidRDefault="00817104">
            <w:pPr>
              <w:pStyle w:val="Tabletext"/>
              <w:rPr>
                <w:szCs w:val="18"/>
              </w:rPr>
            </w:pPr>
            <w:r w:rsidRPr="00926A20">
              <w:rPr>
                <w:szCs w:val="18"/>
              </w:rPr>
              <w:t>16506</w:t>
            </w:r>
          </w:p>
        </w:tc>
        <w:tc>
          <w:tcPr>
            <w:tcW w:w="0" w:type="auto"/>
          </w:tcPr>
          <w:p w14:paraId="3BBD4400"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BBV and STI – research</w:t>
            </w:r>
          </w:p>
        </w:tc>
        <w:tc>
          <w:tcPr>
            <w:tcW w:w="0" w:type="auto"/>
          </w:tcPr>
          <w:p w14:paraId="66E68FE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agreed deliverables</w:t>
            </w:r>
          </w:p>
        </w:tc>
        <w:tc>
          <w:tcPr>
            <w:tcW w:w="0" w:type="auto"/>
          </w:tcPr>
          <w:p w14:paraId="362CBF28"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6DAE3A9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500BBE7A"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6D972A8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362348E1"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8D96B8" w14:textId="77777777" w:rsidR="00817104" w:rsidRPr="00926A20" w:rsidRDefault="00817104">
            <w:pPr>
              <w:pStyle w:val="Tabletext"/>
              <w:rPr>
                <w:szCs w:val="18"/>
              </w:rPr>
            </w:pPr>
            <w:r w:rsidRPr="00926A20">
              <w:rPr>
                <w:szCs w:val="18"/>
              </w:rPr>
              <w:t>16507</w:t>
            </w:r>
          </w:p>
        </w:tc>
        <w:tc>
          <w:tcPr>
            <w:tcW w:w="0" w:type="auto"/>
          </w:tcPr>
          <w:p w14:paraId="00DBD2A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BBV and STI – laboratory services</w:t>
            </w:r>
          </w:p>
        </w:tc>
        <w:tc>
          <w:tcPr>
            <w:tcW w:w="0" w:type="auto"/>
          </w:tcPr>
          <w:p w14:paraId="0C2C56C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agreed deliverables</w:t>
            </w:r>
          </w:p>
        </w:tc>
        <w:tc>
          <w:tcPr>
            <w:tcW w:w="0" w:type="auto"/>
          </w:tcPr>
          <w:p w14:paraId="1C093C6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295E036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16B67F46"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723D564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12CFD2AE"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02AFBDA1" w14:textId="77777777" w:rsidR="00817104" w:rsidRPr="00926A20" w:rsidRDefault="00817104">
            <w:pPr>
              <w:pStyle w:val="Tabletext"/>
              <w:rPr>
                <w:szCs w:val="18"/>
              </w:rPr>
            </w:pPr>
            <w:r w:rsidRPr="00926A20">
              <w:rPr>
                <w:szCs w:val="18"/>
              </w:rPr>
              <w:t>16508</w:t>
            </w:r>
          </w:p>
        </w:tc>
        <w:tc>
          <w:tcPr>
            <w:tcW w:w="0" w:type="auto"/>
          </w:tcPr>
          <w:p w14:paraId="2B0A6D75"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BBV and STI – health promotion and prevention</w:t>
            </w:r>
          </w:p>
        </w:tc>
        <w:tc>
          <w:tcPr>
            <w:tcW w:w="0" w:type="auto"/>
          </w:tcPr>
          <w:p w14:paraId="4A15DC2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health promotion plan</w:t>
            </w:r>
          </w:p>
        </w:tc>
        <w:tc>
          <w:tcPr>
            <w:tcW w:w="0" w:type="auto"/>
          </w:tcPr>
          <w:p w14:paraId="43AC7D7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4B5542C0"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20EE8C6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7A8D1E4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5B4DBB04"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D20FF0" w14:textId="77777777" w:rsidR="00817104" w:rsidRPr="00926A20" w:rsidRDefault="00817104">
            <w:pPr>
              <w:pStyle w:val="Tabletext"/>
              <w:rPr>
                <w:szCs w:val="18"/>
              </w:rPr>
            </w:pPr>
            <w:r w:rsidRPr="00926A20">
              <w:rPr>
                <w:szCs w:val="18"/>
              </w:rPr>
              <w:t>16509</w:t>
            </w:r>
          </w:p>
        </w:tc>
        <w:tc>
          <w:tcPr>
            <w:tcW w:w="0" w:type="auto"/>
          </w:tcPr>
          <w:p w14:paraId="1ABA42E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BBV and STI – community-based care and support</w:t>
            </w:r>
          </w:p>
        </w:tc>
        <w:tc>
          <w:tcPr>
            <w:tcW w:w="0" w:type="auto"/>
          </w:tcPr>
          <w:p w14:paraId="76A57427"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agreed deliverables</w:t>
            </w:r>
          </w:p>
        </w:tc>
        <w:tc>
          <w:tcPr>
            <w:tcW w:w="0" w:type="auto"/>
          </w:tcPr>
          <w:p w14:paraId="4465ED0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154254D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2CBDCA9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0812FBA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576BEC69"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500C77DF" w14:textId="77777777" w:rsidR="00817104" w:rsidRPr="00926A20" w:rsidRDefault="00817104">
            <w:pPr>
              <w:pStyle w:val="Tabletext"/>
              <w:rPr>
                <w:szCs w:val="18"/>
              </w:rPr>
            </w:pPr>
            <w:r w:rsidRPr="00926A20">
              <w:rPr>
                <w:szCs w:val="18"/>
              </w:rPr>
              <w:t>16513</w:t>
            </w:r>
          </w:p>
        </w:tc>
        <w:tc>
          <w:tcPr>
            <w:tcW w:w="0" w:type="auto"/>
          </w:tcPr>
          <w:p w14:paraId="095F83A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Screening and preventive messages</w:t>
            </w:r>
          </w:p>
        </w:tc>
        <w:tc>
          <w:tcPr>
            <w:tcW w:w="0" w:type="auto"/>
          </w:tcPr>
          <w:p w14:paraId="304B3946"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agreed deliverables</w:t>
            </w:r>
          </w:p>
        </w:tc>
        <w:tc>
          <w:tcPr>
            <w:tcW w:w="0" w:type="auto"/>
          </w:tcPr>
          <w:p w14:paraId="50E0F976"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61CF053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5E074D7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5934BE0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5BC5613C"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59635D" w14:textId="77777777" w:rsidR="00817104" w:rsidRPr="00926A20" w:rsidRDefault="00817104">
            <w:pPr>
              <w:pStyle w:val="Tabletext"/>
              <w:rPr>
                <w:szCs w:val="18"/>
              </w:rPr>
            </w:pPr>
            <w:r w:rsidRPr="00926A20">
              <w:rPr>
                <w:szCs w:val="18"/>
              </w:rPr>
              <w:t>16514</w:t>
            </w:r>
          </w:p>
        </w:tc>
        <w:tc>
          <w:tcPr>
            <w:tcW w:w="0" w:type="auto"/>
          </w:tcPr>
          <w:p w14:paraId="1A45E43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Screening service development</w:t>
            </w:r>
          </w:p>
        </w:tc>
        <w:tc>
          <w:tcPr>
            <w:tcW w:w="0" w:type="auto"/>
          </w:tcPr>
          <w:p w14:paraId="0650EE5F"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agreed deliverables</w:t>
            </w:r>
          </w:p>
        </w:tc>
        <w:tc>
          <w:tcPr>
            <w:tcW w:w="0" w:type="auto"/>
          </w:tcPr>
          <w:p w14:paraId="69D5649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3A7FCF0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54368D9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4BE2EDB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6133FA8E"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3E303501" w14:textId="77777777" w:rsidR="00817104" w:rsidRPr="00926A20" w:rsidRDefault="00817104">
            <w:pPr>
              <w:pStyle w:val="Tabletext"/>
              <w:rPr>
                <w:szCs w:val="18"/>
              </w:rPr>
            </w:pPr>
            <w:r w:rsidRPr="00926A20">
              <w:rPr>
                <w:szCs w:val="18"/>
              </w:rPr>
              <w:t>16515</w:t>
            </w:r>
          </w:p>
        </w:tc>
        <w:tc>
          <w:tcPr>
            <w:tcW w:w="0" w:type="auto"/>
          </w:tcPr>
          <w:p w14:paraId="5A6E4B0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Education and training in screening programs</w:t>
            </w:r>
          </w:p>
        </w:tc>
        <w:tc>
          <w:tcPr>
            <w:tcW w:w="0" w:type="auto"/>
          </w:tcPr>
          <w:p w14:paraId="5440C89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agreed deliverables</w:t>
            </w:r>
          </w:p>
        </w:tc>
        <w:tc>
          <w:tcPr>
            <w:tcW w:w="0" w:type="auto"/>
          </w:tcPr>
          <w:p w14:paraId="545D526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1B2E2C2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5561AB7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1EFCBEE4"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6D39832C"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200F9A" w14:textId="77777777" w:rsidR="00817104" w:rsidRPr="00926A20" w:rsidRDefault="00817104">
            <w:pPr>
              <w:pStyle w:val="Tabletext"/>
              <w:rPr>
                <w:szCs w:val="18"/>
              </w:rPr>
            </w:pPr>
            <w:r w:rsidRPr="00926A20">
              <w:rPr>
                <w:szCs w:val="18"/>
              </w:rPr>
              <w:lastRenderedPageBreak/>
              <w:t>16516</w:t>
            </w:r>
          </w:p>
        </w:tc>
        <w:tc>
          <w:tcPr>
            <w:tcW w:w="0" w:type="auto"/>
          </w:tcPr>
          <w:p w14:paraId="43033DA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Screening counselling and support</w:t>
            </w:r>
          </w:p>
        </w:tc>
        <w:tc>
          <w:tcPr>
            <w:tcW w:w="0" w:type="auto"/>
          </w:tcPr>
          <w:p w14:paraId="6E60AD5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occasions of service</w:t>
            </w:r>
          </w:p>
        </w:tc>
        <w:tc>
          <w:tcPr>
            <w:tcW w:w="0" w:type="auto"/>
          </w:tcPr>
          <w:p w14:paraId="0DE6F0F9"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Occasions of service</w:t>
            </w:r>
          </w:p>
        </w:tc>
        <w:tc>
          <w:tcPr>
            <w:tcW w:w="0" w:type="auto"/>
          </w:tcPr>
          <w:p w14:paraId="6FB7386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62FCA1B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10D5981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277C69FC"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526A2BBD" w14:textId="77777777" w:rsidR="00817104" w:rsidRPr="00926A20" w:rsidRDefault="00817104">
            <w:pPr>
              <w:pStyle w:val="Tabletext"/>
              <w:rPr>
                <w:szCs w:val="18"/>
              </w:rPr>
            </w:pPr>
            <w:r w:rsidRPr="00926A20">
              <w:rPr>
                <w:szCs w:val="18"/>
              </w:rPr>
              <w:t>16517</w:t>
            </w:r>
          </w:p>
        </w:tc>
        <w:tc>
          <w:tcPr>
            <w:tcW w:w="0" w:type="auto"/>
          </w:tcPr>
          <w:p w14:paraId="4E1CDC2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Cancer and screening registers</w:t>
            </w:r>
          </w:p>
        </w:tc>
        <w:tc>
          <w:tcPr>
            <w:tcW w:w="0" w:type="auto"/>
          </w:tcPr>
          <w:p w14:paraId="4435E276"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Statistical report within an agreed timeline and publicly available</w:t>
            </w:r>
          </w:p>
        </w:tc>
        <w:tc>
          <w:tcPr>
            <w:tcW w:w="0" w:type="auto"/>
          </w:tcPr>
          <w:p w14:paraId="623DA819"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Reports</w:t>
            </w:r>
          </w:p>
        </w:tc>
        <w:tc>
          <w:tcPr>
            <w:tcW w:w="0" w:type="auto"/>
          </w:tcPr>
          <w:p w14:paraId="7266C21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6B31B61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6D245FCF"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Key output measure</w:t>
            </w:r>
          </w:p>
        </w:tc>
      </w:tr>
      <w:tr w:rsidR="00817104" w:rsidRPr="00926A20" w14:paraId="62FDB034"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FA9DAB" w14:textId="77777777" w:rsidR="00817104" w:rsidRPr="00926A20" w:rsidRDefault="00817104">
            <w:pPr>
              <w:pStyle w:val="Tabletext"/>
              <w:rPr>
                <w:szCs w:val="18"/>
              </w:rPr>
            </w:pPr>
            <w:r w:rsidRPr="00926A20">
              <w:rPr>
                <w:szCs w:val="18"/>
              </w:rPr>
              <w:t>16518</w:t>
            </w:r>
          </w:p>
        </w:tc>
        <w:tc>
          <w:tcPr>
            <w:tcW w:w="0" w:type="auto"/>
          </w:tcPr>
          <w:p w14:paraId="2B7FA10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Cancer and screening intelligence</w:t>
            </w:r>
          </w:p>
        </w:tc>
        <w:tc>
          <w:tcPr>
            <w:tcW w:w="0" w:type="auto"/>
          </w:tcPr>
          <w:p w14:paraId="5A50952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 against agreed objectives</w:t>
            </w:r>
          </w:p>
        </w:tc>
        <w:tc>
          <w:tcPr>
            <w:tcW w:w="0" w:type="auto"/>
          </w:tcPr>
          <w:p w14:paraId="6077DC2D"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Reports</w:t>
            </w:r>
          </w:p>
        </w:tc>
        <w:tc>
          <w:tcPr>
            <w:tcW w:w="0" w:type="auto"/>
          </w:tcPr>
          <w:p w14:paraId="71469BB6"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3CD08E8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27F7A83B"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r w:rsidR="00817104" w:rsidRPr="00926A20" w14:paraId="29F55C51" w14:textId="77777777" w:rsidTr="009E492F">
        <w:tc>
          <w:tcPr>
            <w:cnfStyle w:val="001000000000" w:firstRow="0" w:lastRow="0" w:firstColumn="1" w:lastColumn="0" w:oddVBand="0" w:evenVBand="0" w:oddHBand="0" w:evenHBand="0" w:firstRowFirstColumn="0" w:firstRowLastColumn="0" w:lastRowFirstColumn="0" w:lastRowLastColumn="0"/>
            <w:tcW w:w="0" w:type="auto"/>
          </w:tcPr>
          <w:p w14:paraId="395DB3C0" w14:textId="77777777" w:rsidR="00817104" w:rsidRPr="00926A20" w:rsidRDefault="00817104">
            <w:pPr>
              <w:pStyle w:val="Tabletext"/>
              <w:rPr>
                <w:szCs w:val="18"/>
              </w:rPr>
            </w:pPr>
            <w:r w:rsidRPr="00926A20">
              <w:rPr>
                <w:szCs w:val="18"/>
              </w:rPr>
              <w:t>16519</w:t>
            </w:r>
          </w:p>
        </w:tc>
        <w:tc>
          <w:tcPr>
            <w:tcW w:w="0" w:type="auto"/>
          </w:tcPr>
          <w:p w14:paraId="5AC5A610"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Screening tests and assessments</w:t>
            </w:r>
          </w:p>
        </w:tc>
        <w:tc>
          <w:tcPr>
            <w:tcW w:w="0" w:type="auto"/>
          </w:tcPr>
          <w:p w14:paraId="6B80A16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Percentage of target population screened over an agreed period</w:t>
            </w:r>
          </w:p>
        </w:tc>
        <w:tc>
          <w:tcPr>
            <w:tcW w:w="0" w:type="auto"/>
          </w:tcPr>
          <w:p w14:paraId="40BDEF33"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Percentage</w:t>
            </w:r>
          </w:p>
        </w:tc>
        <w:tc>
          <w:tcPr>
            <w:tcW w:w="0" w:type="auto"/>
          </w:tcPr>
          <w:p w14:paraId="518E4347"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Yearly</w:t>
            </w:r>
          </w:p>
        </w:tc>
        <w:tc>
          <w:tcPr>
            <w:tcW w:w="0" w:type="auto"/>
          </w:tcPr>
          <w:p w14:paraId="59B7ED22"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c>
          <w:tcPr>
            <w:tcW w:w="0" w:type="auto"/>
          </w:tcPr>
          <w:p w14:paraId="0011123D"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Other standard measure</w:t>
            </w:r>
          </w:p>
        </w:tc>
      </w:tr>
      <w:tr w:rsidR="00817104" w:rsidRPr="00926A20" w14:paraId="37AFDE2A" w14:textId="77777777" w:rsidTr="009E4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E36512" w14:textId="77777777" w:rsidR="00817104" w:rsidRPr="00926A20" w:rsidRDefault="00817104">
            <w:pPr>
              <w:pStyle w:val="Tabletext"/>
              <w:rPr>
                <w:szCs w:val="18"/>
              </w:rPr>
            </w:pPr>
            <w:r w:rsidRPr="00926A20">
              <w:rPr>
                <w:szCs w:val="18"/>
              </w:rPr>
              <w:t>16519</w:t>
            </w:r>
          </w:p>
        </w:tc>
        <w:tc>
          <w:tcPr>
            <w:tcW w:w="0" w:type="auto"/>
          </w:tcPr>
          <w:p w14:paraId="62A93C4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Screening tests and assessments</w:t>
            </w:r>
          </w:p>
        </w:tc>
        <w:tc>
          <w:tcPr>
            <w:tcW w:w="0" w:type="auto"/>
          </w:tcPr>
          <w:p w14:paraId="117965D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Number of clients screened</w:t>
            </w:r>
          </w:p>
        </w:tc>
        <w:tc>
          <w:tcPr>
            <w:tcW w:w="0" w:type="auto"/>
          </w:tcPr>
          <w:p w14:paraId="794526A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Clients</w:t>
            </w:r>
          </w:p>
        </w:tc>
        <w:tc>
          <w:tcPr>
            <w:tcW w:w="0" w:type="auto"/>
          </w:tcPr>
          <w:p w14:paraId="6CE9837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Yearly</w:t>
            </w:r>
          </w:p>
        </w:tc>
        <w:tc>
          <w:tcPr>
            <w:tcW w:w="0" w:type="auto"/>
          </w:tcPr>
          <w:p w14:paraId="5564D36E"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c>
          <w:tcPr>
            <w:tcW w:w="0" w:type="auto"/>
          </w:tcPr>
          <w:p w14:paraId="180FF828"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Key output measure</w:t>
            </w:r>
          </w:p>
        </w:tc>
      </w:tr>
    </w:tbl>
    <w:p w14:paraId="70EABD9B" w14:textId="7DF49896" w:rsidR="00817104" w:rsidRDefault="00817104" w:rsidP="00817104">
      <w:pPr>
        <w:pStyle w:val="Tablecaption"/>
      </w:pPr>
      <w:bookmarkStart w:id="2856" w:name="_Toc230537143"/>
      <w:r w:rsidRPr="009E492F">
        <w:t xml:space="preserve">Table </w:t>
      </w:r>
      <w:r w:rsidR="009E492F" w:rsidRPr="009E492F">
        <w:t>23</w:t>
      </w:r>
      <w:r w:rsidRPr="009E492F">
        <w:t>.</w:t>
      </w:r>
      <w:r>
        <w:t xml:space="preserve"> </w:t>
      </w:r>
      <w:r w:rsidRPr="006D38AC">
        <w:t>L</w:t>
      </w:r>
      <w:r>
        <w:t>PHUs</w:t>
      </w:r>
      <w:r w:rsidRPr="006D38AC">
        <w:t xml:space="preserve"> – performance targets and monitoring</w:t>
      </w:r>
      <w:bookmarkEnd w:id="2856"/>
    </w:p>
    <w:p w14:paraId="7878E708" w14:textId="77777777" w:rsidR="00817104" w:rsidRPr="002249C1" w:rsidRDefault="00817104" w:rsidP="00817104">
      <w:pPr>
        <w:pStyle w:val="Body"/>
      </w:pPr>
      <w:r w:rsidRPr="00A07629">
        <w:t xml:space="preserve">Some health protection performance targets and monitoring are exclusively applicable to lead health services that operate an LPHU. </w:t>
      </w:r>
      <w:r>
        <w:t xml:space="preserve">Those details are published in supplemental policy guidance available at </w:t>
      </w:r>
      <w:hyperlink r:id="rId521" w:history="1">
        <w:r w:rsidRPr="00390990">
          <w:rPr>
            <w:rStyle w:val="Hyperlink"/>
          </w:rPr>
          <w:t>LPHUs</w:t>
        </w:r>
      </w:hyperlink>
      <w:r w:rsidRPr="00A07629">
        <w:t xml:space="preserve"> &lt;https://www.health.vic.gov.au/local-public-health-units&gt;.</w:t>
      </w:r>
    </w:p>
    <w:tbl>
      <w:tblPr>
        <w:tblStyle w:val="GridTable4-Accent1"/>
        <w:tblW w:w="9351" w:type="dxa"/>
        <w:tblLayout w:type="fixed"/>
        <w:tblLook w:val="04A0" w:firstRow="1" w:lastRow="0" w:firstColumn="1" w:lastColumn="0" w:noHBand="0" w:noVBand="1"/>
      </w:tblPr>
      <w:tblGrid>
        <w:gridCol w:w="1413"/>
        <w:gridCol w:w="1520"/>
        <w:gridCol w:w="2165"/>
        <w:gridCol w:w="1985"/>
        <w:gridCol w:w="1134"/>
        <w:gridCol w:w="1134"/>
      </w:tblGrid>
      <w:tr w:rsidR="00817104" w:rsidRPr="00926A20" w14:paraId="4D00C6D4" w14:textId="77777777" w:rsidTr="009E492F">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3" w:type="dxa"/>
          </w:tcPr>
          <w:p w14:paraId="51440455" w14:textId="77777777" w:rsidR="00817104" w:rsidRPr="009E492F" w:rsidRDefault="00817104" w:rsidP="00785A21">
            <w:pPr>
              <w:pStyle w:val="Tablecolhead"/>
              <w:rPr>
                <w:b/>
                <w:bCs w:val="0"/>
                <w:color w:val="FFFFFF" w:themeColor="background1"/>
                <w:sz w:val="18"/>
                <w:szCs w:val="18"/>
              </w:rPr>
            </w:pPr>
            <w:r w:rsidRPr="009E492F">
              <w:rPr>
                <w:b/>
                <w:bCs w:val="0"/>
                <w:color w:val="FFFFFF" w:themeColor="background1"/>
                <w:sz w:val="18"/>
                <w:szCs w:val="18"/>
              </w:rPr>
              <w:t>Domain</w:t>
            </w:r>
          </w:p>
        </w:tc>
        <w:tc>
          <w:tcPr>
            <w:tcW w:w="1520" w:type="dxa"/>
          </w:tcPr>
          <w:p w14:paraId="39671668"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Function</w:t>
            </w:r>
          </w:p>
        </w:tc>
        <w:tc>
          <w:tcPr>
            <w:tcW w:w="2165" w:type="dxa"/>
          </w:tcPr>
          <w:p w14:paraId="42D37257"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 xml:space="preserve">Measure description </w:t>
            </w:r>
          </w:p>
        </w:tc>
        <w:tc>
          <w:tcPr>
            <w:tcW w:w="1985" w:type="dxa"/>
          </w:tcPr>
          <w:p w14:paraId="44D65649"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Assessment method</w:t>
            </w:r>
          </w:p>
        </w:tc>
        <w:tc>
          <w:tcPr>
            <w:tcW w:w="1134" w:type="dxa"/>
          </w:tcPr>
          <w:p w14:paraId="6DB910D3"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Reporting frequency</w:t>
            </w:r>
          </w:p>
        </w:tc>
        <w:tc>
          <w:tcPr>
            <w:tcW w:w="1134" w:type="dxa"/>
          </w:tcPr>
          <w:p w14:paraId="6FC7547A"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Status</w:t>
            </w:r>
          </w:p>
        </w:tc>
      </w:tr>
      <w:tr w:rsidR="00817104" w:rsidRPr="00926A20" w14:paraId="6C2DE8FC" w14:textId="77777777" w:rsidTr="009E492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3" w:type="dxa"/>
          </w:tcPr>
          <w:p w14:paraId="31D88C42" w14:textId="77777777" w:rsidR="00817104" w:rsidRPr="00926A20" w:rsidRDefault="00817104">
            <w:pPr>
              <w:pStyle w:val="Tabletext"/>
              <w:rPr>
                <w:szCs w:val="18"/>
              </w:rPr>
            </w:pPr>
            <w:r w:rsidRPr="00926A20">
              <w:rPr>
                <w:szCs w:val="18"/>
              </w:rPr>
              <w:t>Population Health</w:t>
            </w:r>
          </w:p>
        </w:tc>
        <w:tc>
          <w:tcPr>
            <w:tcW w:w="1520" w:type="dxa"/>
          </w:tcPr>
          <w:p w14:paraId="5B89804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Align to the priorities of the Victorian Public Health and Wellbeing Plan 2023–2027</w:t>
            </w:r>
          </w:p>
        </w:tc>
        <w:tc>
          <w:tcPr>
            <w:tcW w:w="2165" w:type="dxa"/>
          </w:tcPr>
          <w:p w14:paraId="450A84B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LPHU Population Health Catchment Plan developed that reflects priorities of the Victorian Public Health and Wellbeing Plan and local Municipal Public Health and Wellbeing Plans</w:t>
            </w:r>
          </w:p>
        </w:tc>
        <w:tc>
          <w:tcPr>
            <w:tcW w:w="1985" w:type="dxa"/>
          </w:tcPr>
          <w:p w14:paraId="3F91924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Catchment Plan (target 100%)</w:t>
            </w:r>
          </w:p>
        </w:tc>
        <w:tc>
          <w:tcPr>
            <w:tcW w:w="1134" w:type="dxa"/>
          </w:tcPr>
          <w:p w14:paraId="4EA4AF8A"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Six-year plan from 2023</w:t>
            </w:r>
          </w:p>
          <w:p w14:paraId="1EEF188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 xml:space="preserve">Two-year review 2025 </w:t>
            </w:r>
          </w:p>
        </w:tc>
        <w:tc>
          <w:tcPr>
            <w:tcW w:w="1134" w:type="dxa"/>
          </w:tcPr>
          <w:p w14:paraId="558BB865"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r>
      <w:tr w:rsidR="00817104" w:rsidRPr="00926A20" w14:paraId="45049F9F" w14:textId="77777777" w:rsidTr="009E492F">
        <w:trPr>
          <w:trHeight w:val="170"/>
        </w:trPr>
        <w:tc>
          <w:tcPr>
            <w:cnfStyle w:val="001000000000" w:firstRow="0" w:lastRow="0" w:firstColumn="1" w:lastColumn="0" w:oddVBand="0" w:evenVBand="0" w:oddHBand="0" w:evenHBand="0" w:firstRowFirstColumn="0" w:firstRowLastColumn="0" w:lastRowFirstColumn="0" w:lastRowLastColumn="0"/>
            <w:tcW w:w="1413" w:type="dxa"/>
          </w:tcPr>
          <w:p w14:paraId="384FF3C6" w14:textId="77777777" w:rsidR="00817104" w:rsidRPr="00926A20" w:rsidRDefault="00817104">
            <w:pPr>
              <w:pStyle w:val="Tabletext"/>
              <w:rPr>
                <w:szCs w:val="18"/>
              </w:rPr>
            </w:pPr>
            <w:r w:rsidRPr="00926A20">
              <w:rPr>
                <w:szCs w:val="18"/>
              </w:rPr>
              <w:t>Population Health</w:t>
            </w:r>
          </w:p>
        </w:tc>
        <w:tc>
          <w:tcPr>
            <w:tcW w:w="1520" w:type="dxa"/>
          </w:tcPr>
          <w:p w14:paraId="6E47BFE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Align to the priorities of the Victorian Public Health and Wellbeing Plan 2023–2027</w:t>
            </w:r>
          </w:p>
        </w:tc>
        <w:tc>
          <w:tcPr>
            <w:tcW w:w="2165" w:type="dxa"/>
          </w:tcPr>
          <w:p w14:paraId="5199097B"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Report against LPHU Population Health Catchment Plan, describing achievements, in accordance with the </w:t>
            </w:r>
            <w:r w:rsidRPr="00926A20">
              <w:rPr>
                <w:rFonts w:eastAsia="MS Gothic"/>
                <w:szCs w:val="18"/>
              </w:rPr>
              <w:t xml:space="preserve">LPHU </w:t>
            </w:r>
            <w:r w:rsidRPr="00926A20">
              <w:rPr>
                <w:rFonts w:eastAsia="MS Gothic"/>
                <w:i/>
                <w:iCs/>
                <w:szCs w:val="18"/>
              </w:rPr>
              <w:t>Population Health Catchment Planning Framework</w:t>
            </w:r>
          </w:p>
        </w:tc>
        <w:tc>
          <w:tcPr>
            <w:tcW w:w="1985" w:type="dxa"/>
          </w:tcPr>
          <w:p w14:paraId="770D9F81"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Report against Population health catchment plan</w:t>
            </w:r>
          </w:p>
        </w:tc>
        <w:tc>
          <w:tcPr>
            <w:tcW w:w="1134" w:type="dxa"/>
          </w:tcPr>
          <w:p w14:paraId="60AD0050"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Annual</w:t>
            </w:r>
          </w:p>
        </w:tc>
        <w:tc>
          <w:tcPr>
            <w:tcW w:w="1134" w:type="dxa"/>
          </w:tcPr>
          <w:p w14:paraId="67F1DEFE" w14:textId="77777777" w:rsidR="00817104" w:rsidRPr="00926A20"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Mandatory</w:t>
            </w:r>
          </w:p>
        </w:tc>
      </w:tr>
      <w:tr w:rsidR="00817104" w:rsidRPr="00926A20" w14:paraId="4335FB57" w14:textId="77777777" w:rsidTr="009E492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3" w:type="dxa"/>
          </w:tcPr>
          <w:p w14:paraId="5D6C7F6F" w14:textId="77777777" w:rsidR="00817104" w:rsidRPr="00926A20" w:rsidRDefault="00817104">
            <w:pPr>
              <w:pStyle w:val="Tabletext"/>
              <w:rPr>
                <w:szCs w:val="18"/>
              </w:rPr>
            </w:pPr>
            <w:r w:rsidRPr="00926A20">
              <w:rPr>
                <w:szCs w:val="18"/>
              </w:rPr>
              <w:t>Emergency Management</w:t>
            </w:r>
          </w:p>
        </w:tc>
        <w:tc>
          <w:tcPr>
            <w:tcW w:w="1520" w:type="dxa"/>
          </w:tcPr>
          <w:p w14:paraId="2661BC03"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Provide support and public health expertise for public health risks</w:t>
            </w:r>
          </w:p>
        </w:tc>
        <w:tc>
          <w:tcPr>
            <w:tcW w:w="2165" w:type="dxa"/>
          </w:tcPr>
          <w:p w14:paraId="0E768E24"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rFonts w:eastAsia="Calibri"/>
                <w:szCs w:val="18"/>
              </w:rPr>
              <w:t xml:space="preserve">Report against activities undertaken for emergencies, in accordance with the </w:t>
            </w:r>
            <w:hyperlink r:id="rId522">
              <w:r w:rsidRPr="00926A20">
                <w:rPr>
                  <w:rStyle w:val="Hyperlink"/>
                  <w:rFonts w:eastAsia="Calibri"/>
                  <w:szCs w:val="18"/>
                </w:rPr>
                <w:t>SEMP Health Emergencies Sub-Plan</w:t>
              </w:r>
            </w:hyperlink>
            <w:r w:rsidRPr="00926A20">
              <w:rPr>
                <w:rFonts w:eastAsia="Calibri"/>
                <w:szCs w:val="18"/>
              </w:rPr>
              <w:t xml:space="preserve"> &lt;</w:t>
            </w:r>
            <w:r w:rsidRPr="00926A20">
              <w:rPr>
                <w:szCs w:val="18"/>
              </w:rPr>
              <w:t xml:space="preserve">https://www.emv.vic.gov.au/responsibilities/state-emergency-management-plan-sub-plans/semp-health-emergencies-sub-plan&gt; </w:t>
            </w:r>
            <w:r w:rsidRPr="00926A20">
              <w:rPr>
                <w:rFonts w:eastAsia="Calibri"/>
                <w:szCs w:val="18"/>
              </w:rPr>
              <w:t xml:space="preserve">and the </w:t>
            </w:r>
            <w:hyperlink r:id="rId523">
              <w:r w:rsidRPr="00926A20">
                <w:rPr>
                  <w:rStyle w:val="Hyperlink"/>
                  <w:rFonts w:eastAsia="Calibri"/>
                  <w:szCs w:val="18"/>
                </w:rPr>
                <w:t xml:space="preserve">SEMP Viral (Respiratory) Pandemic </w:t>
              </w:r>
              <w:r w:rsidRPr="00926A20">
                <w:rPr>
                  <w:rStyle w:val="Hyperlink"/>
                  <w:rFonts w:eastAsia="Calibri"/>
                  <w:szCs w:val="18"/>
                </w:rPr>
                <w:lastRenderedPageBreak/>
                <w:t>Sub-Plan</w:t>
              </w:r>
            </w:hyperlink>
            <w:r w:rsidRPr="00926A20">
              <w:rPr>
                <w:rFonts w:eastAsia="Calibri"/>
                <w:szCs w:val="18"/>
              </w:rPr>
              <w:t xml:space="preserve"> &lt;</w:t>
            </w:r>
            <w:r w:rsidRPr="00926A20">
              <w:rPr>
                <w:szCs w:val="18"/>
              </w:rPr>
              <w:t>https://www.emv.vic.gov.au/responsibilities/semp-sub-plans/semp-viral-respiratory-pandemic-sub-plan&gt;</w:t>
            </w:r>
          </w:p>
        </w:tc>
        <w:tc>
          <w:tcPr>
            <w:tcW w:w="1985" w:type="dxa"/>
          </w:tcPr>
          <w:p w14:paraId="7537C6C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lastRenderedPageBreak/>
              <w:t>Distribute Public Health Communication before and during an event</w:t>
            </w:r>
          </w:p>
          <w:p w14:paraId="77D0C57C"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Public health surveillance and monitoring</w:t>
            </w:r>
          </w:p>
          <w:p w14:paraId="1F350B21"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Participate and contribute to After-Action Reviews in the LPHU catchment</w:t>
            </w:r>
          </w:p>
        </w:tc>
        <w:tc>
          <w:tcPr>
            <w:tcW w:w="1134" w:type="dxa"/>
          </w:tcPr>
          <w:p w14:paraId="50F8A5D0"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 xml:space="preserve">Quarterly, where an emergency response exists </w:t>
            </w:r>
          </w:p>
        </w:tc>
        <w:tc>
          <w:tcPr>
            <w:tcW w:w="1134" w:type="dxa"/>
          </w:tcPr>
          <w:p w14:paraId="6DFDF892" w14:textId="77777777" w:rsidR="00817104" w:rsidRPr="00926A20"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Mandatory</w:t>
            </w:r>
          </w:p>
        </w:tc>
      </w:tr>
    </w:tbl>
    <w:p w14:paraId="08F80DA7" w14:textId="77777777" w:rsidR="00817104" w:rsidRDefault="00817104" w:rsidP="00817104">
      <w:pPr>
        <w:pStyle w:val="Tablefigurenote"/>
        <w:rPr>
          <w:rFonts w:eastAsia="Arial"/>
        </w:rPr>
      </w:pPr>
      <w:r w:rsidRPr="00B12FB9">
        <w:rPr>
          <w:rFonts w:eastAsia="Arial"/>
        </w:rPr>
        <w:t xml:space="preserve">Note: The performance targets and monitoring described in this table are exclusively applicable to lead health services that maintain a </w:t>
      </w:r>
      <w:r>
        <w:rPr>
          <w:rFonts w:eastAsia="Arial"/>
        </w:rPr>
        <w:t>LPHU</w:t>
      </w:r>
      <w:r w:rsidRPr="00B12FB9">
        <w:rPr>
          <w:rFonts w:eastAsia="Arial"/>
        </w:rPr>
        <w:t>.</w:t>
      </w:r>
    </w:p>
    <w:p w14:paraId="2F30795D" w14:textId="77777777" w:rsidR="00817104" w:rsidRDefault="00817104" w:rsidP="00817104">
      <w:pPr>
        <w:spacing w:after="0" w:line="240" w:lineRule="auto"/>
        <w:rPr>
          <w:rFonts w:eastAsia="Arial"/>
          <w:sz w:val="20"/>
        </w:rPr>
      </w:pPr>
      <w:r>
        <w:rPr>
          <w:rFonts w:eastAsia="Arial"/>
        </w:rPr>
        <w:br w:type="page"/>
      </w:r>
    </w:p>
    <w:p w14:paraId="71ACB960" w14:textId="77777777" w:rsidR="00817104" w:rsidRDefault="00817104" w:rsidP="008D45A5">
      <w:pPr>
        <w:pStyle w:val="Heading1"/>
      </w:pPr>
      <w:bookmarkStart w:id="2857" w:name="_Service_standards_and"/>
      <w:bookmarkStart w:id="2858" w:name="_Toc165964792"/>
      <w:bookmarkStart w:id="2859" w:name="_Toc167174650"/>
      <w:bookmarkStart w:id="2860" w:name="_Toc224127357"/>
      <w:bookmarkStart w:id="2861" w:name="_Toc231982405"/>
      <w:bookmarkEnd w:id="2857"/>
      <w:r>
        <w:lastRenderedPageBreak/>
        <w:t xml:space="preserve">Service standards </w:t>
      </w:r>
      <w:r w:rsidRPr="00BE25F1">
        <w:t>and</w:t>
      </w:r>
      <w:r>
        <w:t xml:space="preserve"> guidelines</w:t>
      </w:r>
      <w:bookmarkEnd w:id="2858"/>
      <w:bookmarkEnd w:id="2859"/>
      <w:bookmarkEnd w:id="2860"/>
      <w:bookmarkEnd w:id="2861"/>
    </w:p>
    <w:p w14:paraId="0A509ADA" w14:textId="6CAD6C79" w:rsidR="00817104" w:rsidRDefault="00817104" w:rsidP="00817104">
      <w:pPr>
        <w:pStyle w:val="Tablecaption"/>
      </w:pPr>
      <w:bookmarkStart w:id="2862" w:name="_Toc230537144"/>
      <w:r>
        <w:t xml:space="preserve">Table </w:t>
      </w:r>
      <w:r>
        <w:fldChar w:fldCharType="begin"/>
      </w:r>
      <w:r>
        <w:instrText>SEQ Table \* ARABIC</w:instrText>
      </w:r>
      <w:r>
        <w:fldChar w:fldCharType="separate"/>
      </w:r>
      <w:r w:rsidR="009E492F">
        <w:rPr>
          <w:noProof/>
        </w:rPr>
        <w:t>24</w:t>
      </w:r>
      <w:r>
        <w:fldChar w:fldCharType="end"/>
      </w:r>
      <w:r>
        <w:t xml:space="preserve">. </w:t>
      </w:r>
      <w:r w:rsidRPr="00D9410C">
        <w:t>SRHS – service standards and guidelines</w:t>
      </w:r>
      <w:bookmarkEnd w:id="2862"/>
    </w:p>
    <w:tbl>
      <w:tblPr>
        <w:tblStyle w:val="GridTable4-Accent1"/>
        <w:tblW w:w="5000" w:type="pct"/>
        <w:tblLook w:val="04A0" w:firstRow="1" w:lastRow="0" w:firstColumn="1" w:lastColumn="0" w:noHBand="0" w:noVBand="1"/>
      </w:tblPr>
      <w:tblGrid>
        <w:gridCol w:w="867"/>
        <w:gridCol w:w="4041"/>
        <w:gridCol w:w="4380"/>
      </w:tblGrid>
      <w:tr w:rsidR="00817104" w:rsidRPr="00F66C3B" w14:paraId="5B0FA3AD" w14:textId="77777777" w:rsidTr="00236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tcPr>
          <w:p w14:paraId="51516427" w14:textId="77777777" w:rsidR="00817104" w:rsidRPr="009E492F" w:rsidRDefault="00817104" w:rsidP="00785A21">
            <w:pPr>
              <w:pStyle w:val="Tablecolhead"/>
              <w:rPr>
                <w:b/>
                <w:bCs w:val="0"/>
                <w:color w:val="FFFFFF" w:themeColor="background1"/>
                <w:sz w:val="18"/>
                <w:szCs w:val="18"/>
              </w:rPr>
            </w:pPr>
            <w:r w:rsidRPr="009E492F">
              <w:rPr>
                <w:b/>
                <w:bCs w:val="0"/>
                <w:color w:val="FFFFFF" w:themeColor="background1"/>
                <w:sz w:val="18"/>
                <w:szCs w:val="18"/>
              </w:rPr>
              <w:t>Activity no.</w:t>
            </w:r>
          </w:p>
        </w:tc>
        <w:tc>
          <w:tcPr>
            <w:tcW w:w="2181" w:type="pct"/>
          </w:tcPr>
          <w:p w14:paraId="3A7C0688"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Service standards and guidelines description</w:t>
            </w:r>
          </w:p>
        </w:tc>
        <w:tc>
          <w:tcPr>
            <w:tcW w:w="2363" w:type="pct"/>
          </w:tcPr>
          <w:p w14:paraId="43136B7E" w14:textId="77777777" w:rsidR="00817104" w:rsidRPr="009E492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9E492F">
              <w:rPr>
                <w:b/>
                <w:bCs w:val="0"/>
                <w:color w:val="FFFFFF" w:themeColor="background1"/>
                <w:sz w:val="18"/>
                <w:szCs w:val="18"/>
              </w:rPr>
              <w:t>Service standards and guidelines</w:t>
            </w:r>
          </w:p>
        </w:tc>
      </w:tr>
      <w:tr w:rsidR="00817104" w:rsidRPr="00A52C21" w14:paraId="2F2C3D65" w14:textId="77777777" w:rsidTr="00236CBF">
        <w:trPr>
          <w:cnfStyle w:val="000000100000" w:firstRow="0" w:lastRow="0" w:firstColumn="0" w:lastColumn="0" w:oddVBand="0" w:evenVBand="0" w:oddHBand="1" w:evenHBand="0" w:firstRowFirstColumn="0" w:firstRowLastColumn="0" w:lastRowFirstColumn="0" w:lastRowLastColumn="0"/>
          <w:trHeight w:val="1702"/>
        </w:trPr>
        <w:tc>
          <w:tcPr>
            <w:cnfStyle w:val="001000000000" w:firstRow="0" w:lastRow="0" w:firstColumn="1" w:lastColumn="0" w:oddVBand="0" w:evenVBand="0" w:oddHBand="0" w:evenHBand="0" w:firstRowFirstColumn="0" w:firstRowLastColumn="0" w:lastRowFirstColumn="0" w:lastRowLastColumn="0"/>
            <w:tcW w:w="455" w:type="pct"/>
          </w:tcPr>
          <w:p w14:paraId="02071B10" w14:textId="77777777" w:rsidR="00817104" w:rsidRPr="00926A20" w:rsidRDefault="00817104" w:rsidP="00361C8A">
            <w:pPr>
              <w:pStyle w:val="Tablebullet1"/>
              <w:numPr>
                <w:ilvl w:val="0"/>
                <w:numId w:val="3"/>
              </w:numPr>
              <w:ind w:left="0"/>
              <w:rPr>
                <w:szCs w:val="18"/>
              </w:rPr>
            </w:pPr>
            <w:r w:rsidRPr="00926A20">
              <w:rPr>
                <w:szCs w:val="18"/>
              </w:rPr>
              <w:t>13031</w:t>
            </w:r>
          </w:p>
          <w:p w14:paraId="65A5E7E9" w14:textId="77777777" w:rsidR="00817104" w:rsidRPr="00926A20" w:rsidRDefault="00817104" w:rsidP="00361C8A">
            <w:pPr>
              <w:pStyle w:val="Tablebullet1"/>
              <w:numPr>
                <w:ilvl w:val="0"/>
                <w:numId w:val="3"/>
              </w:numPr>
              <w:ind w:left="0"/>
              <w:rPr>
                <w:szCs w:val="18"/>
              </w:rPr>
            </w:pPr>
            <w:r w:rsidRPr="00926A20">
              <w:rPr>
                <w:szCs w:val="18"/>
              </w:rPr>
              <w:t>35010</w:t>
            </w:r>
          </w:p>
        </w:tc>
        <w:tc>
          <w:tcPr>
            <w:tcW w:w="2181" w:type="pct"/>
          </w:tcPr>
          <w:p w14:paraId="28BED135" w14:textId="77777777" w:rsidR="00817104" w:rsidRPr="00926A20" w:rsidRDefault="00817104" w:rsidP="00361C8A">
            <w:pPr>
              <w:pStyle w:val="Tablebullet1"/>
              <w:numPr>
                <w:ilvl w:val="0"/>
                <w:numId w:val="3"/>
              </w:numPr>
              <w:ind w:left="0"/>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Aged Care Act as amended (residential only)</w:t>
            </w:r>
          </w:p>
          <w:p w14:paraId="3B6C9687" w14:textId="77777777" w:rsidR="00817104" w:rsidRPr="00926A20" w:rsidRDefault="00817104" w:rsidP="00361C8A">
            <w:pPr>
              <w:pStyle w:val="Tablebullet1"/>
              <w:numPr>
                <w:ilvl w:val="0"/>
                <w:numId w:val="3"/>
              </w:numPr>
              <w:ind w:left="0"/>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Aged Care Act as amended: support services</w:t>
            </w:r>
          </w:p>
        </w:tc>
        <w:tc>
          <w:tcPr>
            <w:tcW w:w="2363" w:type="pct"/>
          </w:tcPr>
          <w:p w14:paraId="4FD77C54" w14:textId="77777777" w:rsidR="00817104" w:rsidRPr="00926A20" w:rsidRDefault="00817104" w:rsidP="00361C8A">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rStyle w:val="Emphasis"/>
                <w:rFonts w:eastAsia="MS Gothic"/>
                <w:i w:val="0"/>
                <w:iCs w:val="0"/>
                <w:szCs w:val="18"/>
              </w:rPr>
              <w:t xml:space="preserve">Aged Care Act </w:t>
            </w:r>
            <w:r w:rsidRPr="00926A20">
              <w:rPr>
                <w:i/>
                <w:szCs w:val="18"/>
              </w:rPr>
              <w:t>as</w:t>
            </w:r>
            <w:r w:rsidRPr="00926A20">
              <w:rPr>
                <w:szCs w:val="18"/>
              </w:rPr>
              <w:t xml:space="preserve"> amended</w:t>
            </w:r>
          </w:p>
          <w:p w14:paraId="18C980B4" w14:textId="487DA489" w:rsidR="00817104" w:rsidRPr="00926A20" w:rsidRDefault="008949C2" w:rsidP="00361C8A">
            <w:pPr>
              <w:pStyle w:val="Tabletext"/>
              <w:cnfStyle w:val="000000100000" w:firstRow="0" w:lastRow="0" w:firstColumn="0" w:lastColumn="0" w:oddVBand="0" w:evenVBand="0" w:oddHBand="1" w:evenHBand="0" w:firstRowFirstColumn="0" w:firstRowLastColumn="0" w:lastRowFirstColumn="0" w:lastRowLastColumn="0"/>
              <w:rPr>
                <w:szCs w:val="18"/>
              </w:rPr>
            </w:pPr>
            <w:r>
              <w:rPr>
                <w:szCs w:val="18"/>
              </w:rPr>
              <w:t xml:space="preserve">Australian </w:t>
            </w:r>
            <w:r w:rsidR="00817104" w:rsidRPr="00926A20">
              <w:rPr>
                <w:szCs w:val="18"/>
              </w:rPr>
              <w:t>Department of Health and Aged Care resources:</w:t>
            </w:r>
          </w:p>
          <w:p w14:paraId="055B393C" w14:textId="77777777" w:rsidR="00817104" w:rsidRPr="00926A20" w:rsidRDefault="00817104" w:rsidP="00361C8A">
            <w:pPr>
              <w:pStyle w:val="Tablebullet1"/>
              <w:numPr>
                <w:ilvl w:val="0"/>
                <w:numId w:val="3"/>
              </w:numPr>
              <w:ind w:left="0"/>
              <w:cnfStyle w:val="000000100000" w:firstRow="0" w:lastRow="0" w:firstColumn="0" w:lastColumn="0" w:oddVBand="0" w:evenVBand="0" w:oddHBand="1" w:evenHBand="0" w:firstRowFirstColumn="0" w:firstRowLastColumn="0" w:lastRowFirstColumn="0" w:lastRowLastColumn="0"/>
              <w:rPr>
                <w:szCs w:val="18"/>
              </w:rPr>
            </w:pPr>
            <w:hyperlink r:id="rId524" w:history="1">
              <w:r w:rsidRPr="00926A20">
                <w:rPr>
                  <w:rStyle w:val="Hyperlink"/>
                  <w:szCs w:val="18"/>
                </w:rPr>
                <w:t>My Aged Care</w:t>
              </w:r>
            </w:hyperlink>
            <w:r w:rsidRPr="00926A20">
              <w:rPr>
                <w:szCs w:val="18"/>
              </w:rPr>
              <w:t xml:space="preserve"> &lt;https://www.myagedcare.gov.au&gt;</w:t>
            </w:r>
          </w:p>
          <w:p w14:paraId="17AF5CFC" w14:textId="77777777" w:rsidR="00817104" w:rsidRPr="00926A20" w:rsidRDefault="00817104" w:rsidP="00361C8A">
            <w:pPr>
              <w:pStyle w:val="Tablebullet1"/>
              <w:numPr>
                <w:ilvl w:val="0"/>
                <w:numId w:val="3"/>
              </w:numPr>
              <w:ind w:left="0"/>
              <w:cnfStyle w:val="000000100000" w:firstRow="0" w:lastRow="0" w:firstColumn="0" w:lastColumn="0" w:oddVBand="0" w:evenVBand="0" w:oddHBand="1" w:evenHBand="0" w:firstRowFirstColumn="0" w:firstRowLastColumn="0" w:lastRowFirstColumn="0" w:lastRowLastColumn="0"/>
              <w:rPr>
                <w:szCs w:val="18"/>
              </w:rPr>
            </w:pPr>
            <w:hyperlink r:id="rId525">
              <w:r w:rsidRPr="00926A20">
                <w:rPr>
                  <w:rStyle w:val="Hyperlink"/>
                  <w:szCs w:val="18"/>
                </w:rPr>
                <w:t>Aged care resources</w:t>
              </w:r>
            </w:hyperlink>
            <w:r w:rsidRPr="00926A20">
              <w:rPr>
                <w:szCs w:val="18"/>
              </w:rPr>
              <w:t xml:space="preserve"> &lt;https://www.health.gov.au/health-topics/aged-care/aged-care-resources&gt;</w:t>
            </w:r>
          </w:p>
          <w:p w14:paraId="3D8EED23" w14:textId="77777777" w:rsidR="00817104" w:rsidRPr="00926A20" w:rsidRDefault="00817104" w:rsidP="00361C8A">
            <w:pPr>
              <w:pStyle w:val="Tablebullet1"/>
              <w:numPr>
                <w:ilvl w:val="0"/>
                <w:numId w:val="3"/>
              </w:numPr>
              <w:ind w:left="0"/>
              <w:cnfStyle w:val="000000100000" w:firstRow="0" w:lastRow="0" w:firstColumn="0" w:lastColumn="0" w:oddVBand="0" w:evenVBand="0" w:oddHBand="1" w:evenHBand="0" w:firstRowFirstColumn="0" w:firstRowLastColumn="0" w:lastRowFirstColumn="0" w:lastRowLastColumn="0"/>
              <w:rPr>
                <w:szCs w:val="18"/>
              </w:rPr>
            </w:pPr>
            <w:hyperlink r:id="rId526" w:history="1">
              <w:r w:rsidRPr="00926A20">
                <w:rPr>
                  <w:rStyle w:val="Hyperlink"/>
                  <w:rFonts w:eastAsia="MS Gothic"/>
                  <w:szCs w:val="18"/>
                </w:rPr>
                <w:t>Rural Health</w:t>
              </w:r>
            </w:hyperlink>
            <w:r w:rsidRPr="00926A20">
              <w:rPr>
                <w:rStyle w:val="Emphasis"/>
                <w:rFonts w:eastAsia="MS Gothic"/>
                <w:i w:val="0"/>
                <w:iCs w:val="0"/>
                <w:szCs w:val="18"/>
              </w:rPr>
              <w:t xml:space="preserve"> &lt;</w:t>
            </w:r>
            <w:r w:rsidRPr="00926A20">
              <w:rPr>
                <w:szCs w:val="18"/>
              </w:rPr>
              <w:t>https://www.health.vic.gov.au/hospitals-and-health-services/rural-health</w:t>
            </w:r>
            <w:r w:rsidRPr="00926A20">
              <w:rPr>
                <w:rStyle w:val="Emphasis"/>
                <w:rFonts w:eastAsia="MS Gothic"/>
                <w:i w:val="0"/>
                <w:iCs w:val="0"/>
                <w:szCs w:val="18"/>
              </w:rPr>
              <w:t>&gt;</w:t>
            </w:r>
          </w:p>
        </w:tc>
      </w:tr>
      <w:tr w:rsidR="00817104" w:rsidRPr="00A52C21" w14:paraId="4B5DD1EE" w14:textId="77777777" w:rsidTr="00236CBF">
        <w:tc>
          <w:tcPr>
            <w:cnfStyle w:val="001000000000" w:firstRow="0" w:lastRow="0" w:firstColumn="1" w:lastColumn="0" w:oddVBand="0" w:evenVBand="0" w:oddHBand="0" w:evenHBand="0" w:firstRowFirstColumn="0" w:firstRowLastColumn="0" w:lastRowFirstColumn="0" w:lastRowLastColumn="0"/>
            <w:tcW w:w="455" w:type="pct"/>
          </w:tcPr>
          <w:p w14:paraId="4F3C11D3" w14:textId="77777777" w:rsidR="00817104" w:rsidRPr="00926A20" w:rsidRDefault="00817104">
            <w:pPr>
              <w:pStyle w:val="Tabletext"/>
              <w:numPr>
                <w:ilvl w:val="0"/>
                <w:numId w:val="17"/>
              </w:numPr>
              <w:ind w:left="0" w:hanging="227"/>
              <w:rPr>
                <w:szCs w:val="18"/>
              </w:rPr>
            </w:pPr>
            <w:r w:rsidRPr="00926A20">
              <w:rPr>
                <w:szCs w:val="18"/>
              </w:rPr>
              <w:t>35024</w:t>
            </w:r>
          </w:p>
        </w:tc>
        <w:tc>
          <w:tcPr>
            <w:tcW w:w="2181" w:type="pct"/>
          </w:tcPr>
          <w:p w14:paraId="4E84A617" w14:textId="77777777" w:rsidR="00817104" w:rsidRPr="00926A20" w:rsidRDefault="00817104">
            <w:pPr>
              <w:pStyle w:val="Tabletext"/>
              <w:numPr>
                <w:ilvl w:val="0"/>
                <w:numId w:val="17"/>
              </w:numPr>
              <w:ind w:left="0"/>
              <w:cnfStyle w:val="000000000000" w:firstRow="0" w:lastRow="0" w:firstColumn="0" w:lastColumn="0" w:oddVBand="0" w:evenVBand="0" w:oddHBand="0" w:evenHBand="0" w:firstRowFirstColumn="0" w:firstRowLastColumn="0" w:lastRowFirstColumn="0" w:lastRowLastColumn="0"/>
              <w:rPr>
                <w:szCs w:val="18"/>
              </w:rPr>
            </w:pPr>
            <w:r w:rsidRPr="00926A20">
              <w:rPr>
                <w:szCs w:val="18"/>
              </w:rPr>
              <w:t>Small Rural Health Services Guide 2003–04 and updates: rural – flexible health service delivery</w:t>
            </w:r>
          </w:p>
        </w:tc>
        <w:tc>
          <w:tcPr>
            <w:tcW w:w="2363" w:type="pct"/>
          </w:tcPr>
          <w:p w14:paraId="51E4A369" w14:textId="77777777" w:rsidR="00817104" w:rsidRPr="00926A20" w:rsidRDefault="00817104" w:rsidP="00361C8A">
            <w:pPr>
              <w:pStyle w:val="Tabletext"/>
              <w:cnfStyle w:val="000000000000" w:firstRow="0" w:lastRow="0" w:firstColumn="0" w:lastColumn="0" w:oddVBand="0" w:evenVBand="0" w:oddHBand="0" w:evenHBand="0" w:firstRowFirstColumn="0" w:firstRowLastColumn="0" w:lastRowFirstColumn="0" w:lastRowLastColumn="0"/>
              <w:rPr>
                <w:szCs w:val="18"/>
              </w:rPr>
            </w:pPr>
            <w:hyperlink r:id="rId527" w:history="1">
              <w:r w:rsidRPr="00926A20">
                <w:rPr>
                  <w:rStyle w:val="Hyperlink"/>
                  <w:rFonts w:eastAsia="MS Gothic"/>
                  <w:szCs w:val="18"/>
                </w:rPr>
                <w:t>Rural Health</w:t>
              </w:r>
            </w:hyperlink>
            <w:r w:rsidRPr="00926A20">
              <w:rPr>
                <w:rStyle w:val="Emphasis"/>
                <w:rFonts w:eastAsia="MS Gothic"/>
                <w:i w:val="0"/>
                <w:iCs w:val="0"/>
                <w:szCs w:val="18"/>
              </w:rPr>
              <w:t xml:space="preserve"> &lt;https://www.health.vic.gov.au/hospitals-and-health-services/rural-health&gt;</w:t>
            </w:r>
          </w:p>
        </w:tc>
      </w:tr>
      <w:tr w:rsidR="00817104" w:rsidRPr="00A52C21" w14:paraId="47D8D4CE" w14:textId="77777777" w:rsidTr="00236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tcPr>
          <w:p w14:paraId="0D3BD8F4" w14:textId="77777777" w:rsidR="009E492F" w:rsidRPr="009E492F" w:rsidRDefault="00817104" w:rsidP="00361C8A">
            <w:pPr>
              <w:pStyle w:val="Tablebullet1"/>
              <w:numPr>
                <w:ilvl w:val="0"/>
                <w:numId w:val="3"/>
              </w:numPr>
              <w:ind w:left="0"/>
              <w:rPr>
                <w:szCs w:val="18"/>
              </w:rPr>
            </w:pPr>
            <w:r w:rsidRPr="00926A20">
              <w:rPr>
                <w:szCs w:val="18"/>
              </w:rPr>
              <w:t>35025</w:t>
            </w:r>
          </w:p>
          <w:p w14:paraId="4199A897" w14:textId="77777777" w:rsidR="009E492F" w:rsidRPr="009E492F" w:rsidRDefault="00817104" w:rsidP="00361C8A">
            <w:pPr>
              <w:pStyle w:val="Tablebullet1"/>
              <w:numPr>
                <w:ilvl w:val="0"/>
                <w:numId w:val="3"/>
              </w:numPr>
              <w:ind w:left="0"/>
              <w:rPr>
                <w:szCs w:val="18"/>
              </w:rPr>
            </w:pPr>
            <w:r w:rsidRPr="009E492F">
              <w:rPr>
                <w:szCs w:val="18"/>
              </w:rPr>
              <w:t>35026</w:t>
            </w:r>
          </w:p>
          <w:p w14:paraId="6609539C" w14:textId="77777777" w:rsidR="009E492F" w:rsidRPr="009E492F" w:rsidRDefault="00817104" w:rsidP="00361C8A">
            <w:pPr>
              <w:pStyle w:val="Tablebullet1"/>
              <w:numPr>
                <w:ilvl w:val="0"/>
                <w:numId w:val="3"/>
              </w:numPr>
              <w:ind w:left="0"/>
              <w:rPr>
                <w:szCs w:val="18"/>
              </w:rPr>
            </w:pPr>
            <w:r w:rsidRPr="009E492F">
              <w:rPr>
                <w:szCs w:val="18"/>
              </w:rPr>
              <w:t>35028</w:t>
            </w:r>
          </w:p>
          <w:p w14:paraId="585992C9" w14:textId="681AC520" w:rsidR="00817104" w:rsidRPr="009E492F" w:rsidRDefault="00817104" w:rsidP="00361C8A">
            <w:pPr>
              <w:pStyle w:val="Tablebullet1"/>
              <w:numPr>
                <w:ilvl w:val="0"/>
                <w:numId w:val="3"/>
              </w:numPr>
              <w:ind w:left="0"/>
              <w:rPr>
                <w:szCs w:val="18"/>
              </w:rPr>
            </w:pPr>
            <w:r w:rsidRPr="009E492F">
              <w:rPr>
                <w:szCs w:val="18"/>
              </w:rPr>
              <w:t>35052</w:t>
            </w:r>
          </w:p>
        </w:tc>
        <w:tc>
          <w:tcPr>
            <w:tcW w:w="2181" w:type="pct"/>
          </w:tcPr>
          <w:p w14:paraId="7F610A20"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Small Rural Health Services Guide 2003–04 and updates: rural – Transport Accident Commission – acute health</w:t>
            </w:r>
          </w:p>
          <w:p w14:paraId="48CE570D"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Small Rural Health Services Guide 2003–04 and updates: rural – Department of Veterans’ Affairs – acute health</w:t>
            </w:r>
          </w:p>
          <w:p w14:paraId="2EEE5714"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Small Rural Health Services Guide 2003–04 and updates: rural – acute health service system development and resourcing</w:t>
            </w:r>
          </w:p>
          <w:p w14:paraId="088F6D71"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Small Rural Health Services Guide 2003–04 and updates: specified services</w:t>
            </w:r>
          </w:p>
        </w:tc>
        <w:tc>
          <w:tcPr>
            <w:tcW w:w="2363" w:type="pct"/>
          </w:tcPr>
          <w:p w14:paraId="01662CFF" w14:textId="77777777" w:rsidR="00817104" w:rsidRPr="00926A20" w:rsidRDefault="00817104" w:rsidP="00361C8A">
            <w:pPr>
              <w:pStyle w:val="Tabletext"/>
              <w:cnfStyle w:val="000000100000" w:firstRow="0" w:lastRow="0" w:firstColumn="0" w:lastColumn="0" w:oddVBand="0" w:evenVBand="0" w:oddHBand="1" w:evenHBand="0" w:firstRowFirstColumn="0" w:firstRowLastColumn="0" w:lastRowFirstColumn="0" w:lastRowLastColumn="0"/>
              <w:rPr>
                <w:szCs w:val="18"/>
              </w:rPr>
            </w:pPr>
            <w:hyperlink r:id="rId528" w:history="1">
              <w:r w:rsidRPr="00926A20">
                <w:rPr>
                  <w:rStyle w:val="Hyperlink"/>
                  <w:rFonts w:eastAsia="MS Gothic"/>
                  <w:szCs w:val="18"/>
                </w:rPr>
                <w:t>Rural Health</w:t>
              </w:r>
            </w:hyperlink>
            <w:r w:rsidRPr="00926A20">
              <w:rPr>
                <w:rStyle w:val="Emphasis"/>
                <w:rFonts w:eastAsia="MS Gothic"/>
                <w:i w:val="0"/>
                <w:iCs w:val="0"/>
                <w:szCs w:val="18"/>
              </w:rPr>
              <w:t xml:space="preserve"> &lt;https://www.health.vic.gov.au/hospitals-and-health-services/rural-health&gt;</w:t>
            </w:r>
          </w:p>
        </w:tc>
      </w:tr>
      <w:tr w:rsidR="00817104" w:rsidRPr="00A52C21" w14:paraId="1331D97E" w14:textId="77777777" w:rsidTr="00236CBF">
        <w:tc>
          <w:tcPr>
            <w:cnfStyle w:val="001000000000" w:firstRow="0" w:lastRow="0" w:firstColumn="1" w:lastColumn="0" w:oddVBand="0" w:evenVBand="0" w:oddHBand="0" w:evenHBand="0" w:firstRowFirstColumn="0" w:firstRowLastColumn="0" w:lastRowFirstColumn="0" w:lastRowLastColumn="0"/>
            <w:tcW w:w="455" w:type="pct"/>
          </w:tcPr>
          <w:p w14:paraId="6468B615" w14:textId="77777777" w:rsidR="00817104" w:rsidRPr="00926A20" w:rsidRDefault="00817104">
            <w:pPr>
              <w:pStyle w:val="Tabletext"/>
              <w:numPr>
                <w:ilvl w:val="0"/>
                <w:numId w:val="18"/>
              </w:numPr>
              <w:ind w:left="0" w:hanging="227"/>
              <w:rPr>
                <w:szCs w:val="18"/>
              </w:rPr>
            </w:pPr>
            <w:r w:rsidRPr="00926A20">
              <w:rPr>
                <w:szCs w:val="18"/>
              </w:rPr>
              <w:t>35030</w:t>
            </w:r>
          </w:p>
        </w:tc>
        <w:tc>
          <w:tcPr>
            <w:tcW w:w="2181" w:type="pct"/>
          </w:tcPr>
          <w:p w14:paraId="201E215E" w14:textId="77777777" w:rsidR="00817104" w:rsidRPr="00926A20" w:rsidRDefault="00817104" w:rsidP="00361C8A">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guidelines</w:t>
            </w:r>
          </w:p>
        </w:tc>
        <w:tc>
          <w:tcPr>
            <w:tcW w:w="2363" w:type="pct"/>
          </w:tcPr>
          <w:p w14:paraId="3EF2CF8B" w14:textId="77777777" w:rsidR="00817104" w:rsidRPr="00926A20" w:rsidRDefault="00817104" w:rsidP="00361C8A">
            <w:pPr>
              <w:pStyle w:val="Tabletext"/>
              <w:cnfStyle w:val="000000000000" w:firstRow="0" w:lastRow="0" w:firstColumn="0" w:lastColumn="0" w:oddVBand="0" w:evenVBand="0" w:oddHBand="0" w:evenHBand="0" w:firstRowFirstColumn="0" w:firstRowLastColumn="0" w:lastRowFirstColumn="0" w:lastRowLastColumn="0"/>
              <w:rPr>
                <w:szCs w:val="18"/>
              </w:rPr>
            </w:pPr>
            <w:hyperlink r:id="rId529" w:history="1">
              <w:r w:rsidRPr="00926A20">
                <w:rPr>
                  <w:rStyle w:val="Hyperlink"/>
                  <w:szCs w:val="18"/>
                </w:rPr>
                <w:t>HACC PYP guidelines</w:t>
              </w:r>
            </w:hyperlink>
            <w:r w:rsidRPr="00926A20">
              <w:rPr>
                <w:szCs w:val="18"/>
              </w:rPr>
              <w:t xml:space="preserve"> &lt;https://www.health.vic.gov.au/home-and-community-care/hacc-program-for-younger-people&gt;</w:t>
            </w:r>
          </w:p>
          <w:p w14:paraId="0410CA69" w14:textId="77777777" w:rsidR="00817104" w:rsidRPr="00926A20" w:rsidRDefault="00817104" w:rsidP="00361C8A">
            <w:pPr>
              <w:pStyle w:val="Tabletext"/>
              <w:cnfStyle w:val="000000000000" w:firstRow="0" w:lastRow="0" w:firstColumn="0" w:lastColumn="0" w:oddVBand="0" w:evenVBand="0" w:oddHBand="0" w:evenHBand="0" w:firstRowFirstColumn="0" w:firstRowLastColumn="0" w:lastRowFirstColumn="0" w:lastRowLastColumn="0"/>
              <w:rPr>
                <w:szCs w:val="18"/>
              </w:rPr>
            </w:pPr>
            <w:hyperlink r:id="rId530" w:history="1">
              <w:r w:rsidRPr="00926A20">
                <w:rPr>
                  <w:rStyle w:val="Hyperlink"/>
                  <w:szCs w:val="18"/>
                </w:rPr>
                <w:t>HACC PYP fees policy</w:t>
              </w:r>
            </w:hyperlink>
            <w:r w:rsidRPr="00926A20">
              <w:rPr>
                <w:szCs w:val="18"/>
              </w:rPr>
              <w:t xml:space="preserve"> &lt;https://www.health.vic.gov.au/home-and-community-care/hacc-pyp-fees-policy-and-schedule-of-fees&gt;</w:t>
            </w:r>
          </w:p>
        </w:tc>
      </w:tr>
      <w:tr w:rsidR="00817104" w:rsidRPr="00A52C21" w14:paraId="11FE8B71" w14:textId="77777777" w:rsidTr="00236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tcPr>
          <w:p w14:paraId="7A7164DA" w14:textId="77777777" w:rsidR="00817104" w:rsidRPr="00926A20" w:rsidRDefault="00817104">
            <w:pPr>
              <w:pStyle w:val="Tabletext"/>
              <w:numPr>
                <w:ilvl w:val="0"/>
                <w:numId w:val="18"/>
              </w:numPr>
              <w:ind w:left="0" w:hanging="227"/>
              <w:rPr>
                <w:szCs w:val="18"/>
              </w:rPr>
            </w:pPr>
            <w:r w:rsidRPr="00926A20">
              <w:rPr>
                <w:szCs w:val="18"/>
              </w:rPr>
              <w:t>35048</w:t>
            </w:r>
          </w:p>
        </w:tc>
        <w:tc>
          <w:tcPr>
            <w:tcW w:w="2181" w:type="pct"/>
          </w:tcPr>
          <w:p w14:paraId="6B36F43B" w14:textId="77777777" w:rsidR="00817104" w:rsidRPr="00926A20" w:rsidRDefault="00817104" w:rsidP="00361C8A">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Small Rural Health Services Guide 2003–04 and updates</w:t>
            </w:r>
            <w:r w:rsidRPr="00926A20" w:rsidDel="00C51913">
              <w:rPr>
                <w:szCs w:val="18"/>
              </w:rPr>
              <w:t xml:space="preserve"> </w:t>
            </w:r>
            <w:r w:rsidRPr="00926A20">
              <w:rPr>
                <w:szCs w:val="18"/>
              </w:rPr>
              <w:t>primary health flexible services</w:t>
            </w:r>
          </w:p>
        </w:tc>
        <w:tc>
          <w:tcPr>
            <w:tcW w:w="2363" w:type="pct"/>
          </w:tcPr>
          <w:p w14:paraId="36447126" w14:textId="77777777" w:rsidR="00817104" w:rsidRPr="00926A20" w:rsidRDefault="00817104" w:rsidP="00361C8A">
            <w:pPr>
              <w:pStyle w:val="Tabletext"/>
              <w:cnfStyle w:val="000000100000" w:firstRow="0" w:lastRow="0" w:firstColumn="0" w:lastColumn="0" w:oddVBand="0" w:evenVBand="0" w:oddHBand="1" w:evenHBand="0" w:firstRowFirstColumn="0" w:firstRowLastColumn="0" w:lastRowFirstColumn="0" w:lastRowLastColumn="0"/>
              <w:rPr>
                <w:szCs w:val="18"/>
              </w:rPr>
            </w:pPr>
            <w:hyperlink r:id="rId531" w:history="1">
              <w:r w:rsidRPr="00926A20">
                <w:rPr>
                  <w:rStyle w:val="Hyperlink"/>
                  <w:rFonts w:eastAsia="MS Gothic"/>
                  <w:szCs w:val="18"/>
                </w:rPr>
                <w:t>Rural Health</w:t>
              </w:r>
            </w:hyperlink>
            <w:r w:rsidRPr="00926A20">
              <w:rPr>
                <w:rStyle w:val="Emphasis"/>
                <w:rFonts w:eastAsia="MS Gothic"/>
                <w:i w:val="0"/>
                <w:iCs w:val="0"/>
                <w:szCs w:val="18"/>
              </w:rPr>
              <w:t xml:space="preserve"> &lt;https://www.health.vic.gov.au/hospitals-and-health-services/rural-health&gt;</w:t>
            </w:r>
          </w:p>
          <w:p w14:paraId="7AB58010" w14:textId="77777777" w:rsidR="00817104" w:rsidRPr="00926A20" w:rsidRDefault="00817104" w:rsidP="00361C8A">
            <w:pPr>
              <w:pStyle w:val="Tabletext"/>
              <w:cnfStyle w:val="000000100000" w:firstRow="0" w:lastRow="0" w:firstColumn="0" w:lastColumn="0" w:oddVBand="0" w:evenVBand="0" w:oddHBand="1" w:evenHBand="0" w:firstRowFirstColumn="0" w:firstRowLastColumn="0" w:lastRowFirstColumn="0" w:lastRowLastColumn="0"/>
              <w:rPr>
                <w:szCs w:val="18"/>
              </w:rPr>
            </w:pPr>
            <w:hyperlink r:id="rId532" w:history="1">
              <w:r w:rsidRPr="00926A20">
                <w:rPr>
                  <w:rStyle w:val="Hyperlink"/>
                  <w:szCs w:val="18"/>
                </w:rPr>
                <w:t>Victorian health and wellbeing plan</w:t>
              </w:r>
            </w:hyperlink>
            <w:r w:rsidRPr="00926A20">
              <w:rPr>
                <w:szCs w:val="18"/>
              </w:rPr>
              <w:t xml:space="preserve"> &lt;https://www.health.vic.gov.au/victorian-health-and-wellbeing-plan&gt;</w:t>
            </w:r>
          </w:p>
          <w:p w14:paraId="1FFEEE09" w14:textId="77777777" w:rsidR="00817104" w:rsidRPr="00926A20" w:rsidRDefault="00817104" w:rsidP="00361C8A">
            <w:pPr>
              <w:pStyle w:val="Tabletext"/>
              <w:cnfStyle w:val="000000100000" w:firstRow="0" w:lastRow="0" w:firstColumn="0" w:lastColumn="0" w:oddVBand="0" w:evenVBand="0" w:oddHBand="1" w:evenHBand="0" w:firstRowFirstColumn="0" w:firstRowLastColumn="0" w:lastRowFirstColumn="0" w:lastRowLastColumn="0"/>
              <w:rPr>
                <w:rStyle w:val="Emphasis"/>
                <w:rFonts w:eastAsia="Times"/>
                <w:i w:val="0"/>
                <w:iCs w:val="0"/>
                <w:szCs w:val="18"/>
              </w:rPr>
            </w:pPr>
            <w:hyperlink r:id="rId533" w:history="1">
              <w:r w:rsidRPr="00926A20">
                <w:rPr>
                  <w:rStyle w:val="Hyperlink"/>
                  <w:szCs w:val="18"/>
                </w:rPr>
                <w:t>Community Health Integrated Program guidelines</w:t>
              </w:r>
            </w:hyperlink>
            <w:r w:rsidRPr="00926A20">
              <w:rPr>
                <w:szCs w:val="18"/>
              </w:rPr>
              <w:t xml:space="preserve"> &lt;https://www.health.vic.gov.au/community-health/community-health-integrated-program-chip-guidelines&gt;</w:t>
            </w:r>
          </w:p>
        </w:tc>
      </w:tr>
    </w:tbl>
    <w:p w14:paraId="6D381C0E" w14:textId="77777777" w:rsidR="00817104" w:rsidRDefault="00817104" w:rsidP="00817104">
      <w:pPr>
        <w:spacing w:after="0" w:line="240" w:lineRule="auto"/>
        <w:rPr>
          <w:b/>
        </w:rPr>
      </w:pPr>
    </w:p>
    <w:p w14:paraId="09EEAE10" w14:textId="77777777" w:rsidR="007D7045" w:rsidRDefault="007D7045" w:rsidP="00817104">
      <w:pPr>
        <w:pStyle w:val="Tablecaption"/>
      </w:pPr>
      <w:bookmarkStart w:id="2863" w:name="_Toc230537145"/>
    </w:p>
    <w:p w14:paraId="6834FDD0" w14:textId="77777777" w:rsidR="007D7045" w:rsidRDefault="007D7045">
      <w:pPr>
        <w:spacing w:after="0" w:line="240" w:lineRule="auto"/>
        <w:rPr>
          <w:b/>
        </w:rPr>
      </w:pPr>
      <w:r>
        <w:br w:type="page"/>
      </w:r>
    </w:p>
    <w:p w14:paraId="1C993328" w14:textId="287D410B" w:rsidR="00817104" w:rsidRPr="00FA402D" w:rsidRDefault="00817104" w:rsidP="00817104">
      <w:pPr>
        <w:pStyle w:val="Tablecaption"/>
        <w:rPr>
          <w:bCs/>
        </w:rPr>
      </w:pPr>
      <w:r>
        <w:lastRenderedPageBreak/>
        <w:t xml:space="preserve">Table </w:t>
      </w:r>
      <w:r>
        <w:fldChar w:fldCharType="begin"/>
      </w:r>
      <w:r>
        <w:instrText>SEQ Table \* ARABIC</w:instrText>
      </w:r>
      <w:r>
        <w:fldChar w:fldCharType="separate"/>
      </w:r>
      <w:r>
        <w:rPr>
          <w:noProof/>
        </w:rPr>
        <w:t>2</w:t>
      </w:r>
      <w:r w:rsidR="00361C8A">
        <w:rPr>
          <w:noProof/>
        </w:rPr>
        <w:t>5</w:t>
      </w:r>
      <w:r>
        <w:fldChar w:fldCharType="end"/>
      </w:r>
      <w:r>
        <w:t xml:space="preserve">. </w:t>
      </w:r>
      <w:r w:rsidRPr="003A4631">
        <w:t>Ageing, aged and home care – service standards and guidelines</w:t>
      </w:r>
      <w:bookmarkEnd w:id="2863"/>
    </w:p>
    <w:tbl>
      <w:tblPr>
        <w:tblStyle w:val="GridTable4-Accent1"/>
        <w:tblpPr w:leftFromText="181" w:rightFromText="181" w:bottomFromText="284" w:vertAnchor="text" w:tblpY="1"/>
        <w:tblW w:w="5004" w:type="pct"/>
        <w:tblLook w:val="04A0" w:firstRow="1" w:lastRow="0" w:firstColumn="1" w:lastColumn="0" w:noHBand="0" w:noVBand="1"/>
      </w:tblPr>
      <w:tblGrid>
        <w:gridCol w:w="867"/>
        <w:gridCol w:w="3654"/>
        <w:gridCol w:w="4774"/>
      </w:tblGrid>
      <w:tr w:rsidR="00817104" w:rsidRPr="00926A20" w14:paraId="21D75F05" w14:textId="77777777" w:rsidTr="00236CB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 w:type="pct"/>
          </w:tcPr>
          <w:p w14:paraId="3C4C58ED" w14:textId="77777777" w:rsidR="00817104" w:rsidRPr="00361C8A" w:rsidRDefault="00817104" w:rsidP="00236CBF">
            <w:pPr>
              <w:pStyle w:val="Tablecolhead"/>
              <w:rPr>
                <w:b/>
                <w:bCs w:val="0"/>
                <w:color w:val="FFFFFF" w:themeColor="background1"/>
                <w:sz w:val="18"/>
                <w:szCs w:val="18"/>
              </w:rPr>
            </w:pPr>
            <w:r w:rsidRPr="00361C8A">
              <w:rPr>
                <w:b/>
                <w:bCs w:val="0"/>
                <w:color w:val="FFFFFF" w:themeColor="background1"/>
                <w:sz w:val="18"/>
                <w:szCs w:val="18"/>
              </w:rPr>
              <w:t>Activity no.</w:t>
            </w:r>
          </w:p>
        </w:tc>
        <w:tc>
          <w:tcPr>
            <w:tcW w:w="1972" w:type="pct"/>
          </w:tcPr>
          <w:p w14:paraId="57FC5C4E" w14:textId="77777777" w:rsidR="00817104" w:rsidRPr="00361C8A" w:rsidRDefault="00817104" w:rsidP="00236CBF">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1C8A">
              <w:rPr>
                <w:b/>
                <w:bCs w:val="0"/>
                <w:color w:val="FFFFFF" w:themeColor="background1"/>
                <w:sz w:val="18"/>
                <w:szCs w:val="18"/>
              </w:rPr>
              <w:t>Activity name</w:t>
            </w:r>
          </w:p>
        </w:tc>
        <w:tc>
          <w:tcPr>
            <w:tcW w:w="2561" w:type="pct"/>
          </w:tcPr>
          <w:p w14:paraId="076DFEDF" w14:textId="77777777" w:rsidR="00817104" w:rsidRPr="00361C8A" w:rsidRDefault="00817104" w:rsidP="00236CBF">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61C8A">
              <w:rPr>
                <w:b/>
                <w:bCs w:val="0"/>
                <w:color w:val="FFFFFF" w:themeColor="background1"/>
                <w:sz w:val="18"/>
                <w:szCs w:val="18"/>
              </w:rPr>
              <w:t xml:space="preserve">Service standards and guidelines description </w:t>
            </w:r>
          </w:p>
        </w:tc>
      </w:tr>
      <w:tr w:rsidR="00817104" w:rsidRPr="00926A20" w14:paraId="116591B6" w14:textId="77777777" w:rsidTr="00236C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 w:type="pct"/>
          </w:tcPr>
          <w:p w14:paraId="5E650A85" w14:textId="77777777" w:rsidR="00817104" w:rsidRPr="00926A20" w:rsidRDefault="00817104" w:rsidP="00236CBF">
            <w:pPr>
              <w:pStyle w:val="Tabletext"/>
              <w:rPr>
                <w:szCs w:val="18"/>
              </w:rPr>
            </w:pPr>
            <w:r w:rsidRPr="00926A20">
              <w:rPr>
                <w:szCs w:val="18"/>
              </w:rPr>
              <w:t>13005</w:t>
            </w:r>
          </w:p>
        </w:tc>
        <w:tc>
          <w:tcPr>
            <w:tcW w:w="1972" w:type="pct"/>
          </w:tcPr>
          <w:p w14:paraId="655189FF" w14:textId="77777777" w:rsidR="00817104" w:rsidRPr="00926A20" w:rsidRDefault="00817104" w:rsidP="00236CBF">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ACA</w:t>
            </w:r>
          </w:p>
        </w:tc>
        <w:tc>
          <w:tcPr>
            <w:tcW w:w="2561" w:type="pct"/>
          </w:tcPr>
          <w:p w14:paraId="0427FB3E"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r w:rsidRPr="00926A20">
              <w:rPr>
                <w:rStyle w:val="Hyperlink"/>
                <w:color w:val="auto"/>
                <w:szCs w:val="18"/>
                <w:u w:val="none"/>
              </w:rPr>
              <w:t>Aged Care Act</w:t>
            </w:r>
          </w:p>
          <w:p w14:paraId="0CDE39D1"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hyperlink r:id="rId534" w:history="1">
              <w:r w:rsidRPr="00926A20">
                <w:rPr>
                  <w:rStyle w:val="Hyperlink"/>
                  <w:szCs w:val="18"/>
                </w:rPr>
                <w:t>My Aged Care Assessment Manual</w:t>
              </w:r>
            </w:hyperlink>
            <w:r w:rsidRPr="00926A20">
              <w:rPr>
                <w:szCs w:val="18"/>
              </w:rPr>
              <w:t xml:space="preserve"> &lt;https://www.health.gov.au/resources/publications/my-aged-care-assessment-manual?language=en&gt;</w:t>
            </w:r>
          </w:p>
          <w:p w14:paraId="445CB48F"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szCs w:val="18"/>
              </w:rPr>
            </w:pPr>
            <w:hyperlink r:id="rId535" w:history="1">
              <w:r w:rsidRPr="00926A20">
                <w:rPr>
                  <w:rStyle w:val="Hyperlink"/>
                  <w:szCs w:val="18"/>
                </w:rPr>
                <w:t>My Aged Care – Integrated Assessment Tool (IAT) User Guide</w:t>
              </w:r>
            </w:hyperlink>
            <w:r w:rsidRPr="00926A20">
              <w:rPr>
                <w:szCs w:val="18"/>
              </w:rPr>
              <w:t xml:space="preserve"> &lt;https://www.health.gov.au/resources/publications/my-aged-care-integrated-assessment-tool-iat-user-guide?language=en&gt;</w:t>
            </w:r>
          </w:p>
          <w:p w14:paraId="33879D2E"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hyperlink r:id="rId536" w:history="1">
              <w:r w:rsidRPr="00926A20">
                <w:rPr>
                  <w:rStyle w:val="Hyperlink"/>
                  <w:i/>
                  <w:iCs/>
                  <w:szCs w:val="18"/>
                </w:rPr>
                <w:t>Aged Care Assessment Quality Framework</w:t>
              </w:r>
            </w:hyperlink>
            <w:r w:rsidRPr="00926A20">
              <w:rPr>
                <w:rStyle w:val="Hyperlink"/>
                <w:color w:val="auto"/>
                <w:szCs w:val="18"/>
                <w:u w:val="none"/>
              </w:rPr>
              <w:t xml:space="preserve"> </w:t>
            </w:r>
            <w:r w:rsidRPr="00926A20">
              <w:rPr>
                <w:szCs w:val="18"/>
              </w:rPr>
              <w:t>&lt;https://www.health.gov.au/resources/publications/aged-care-assessment-quality-framework?language=en&gt;</w:t>
            </w:r>
          </w:p>
          <w:p w14:paraId="74A5AF45"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hyperlink r:id="rId537" w:history="1">
              <w:r w:rsidRPr="00926A20">
                <w:rPr>
                  <w:rStyle w:val="Hyperlink"/>
                  <w:szCs w:val="18"/>
                </w:rPr>
                <w:t>My Aged Care Workforce Learning Strategy</w:t>
              </w:r>
            </w:hyperlink>
            <w:r w:rsidRPr="00926A20">
              <w:rPr>
                <w:szCs w:val="18"/>
              </w:rPr>
              <w:t xml:space="preserve"> &lt;https://www.health.gov.au/resources/publications/my-aged-care-workforce-learning-strategy?language=en&gt;</w:t>
            </w:r>
          </w:p>
          <w:p w14:paraId="1341E7CD"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strike/>
                <w:color w:val="auto"/>
                <w:szCs w:val="18"/>
                <w:u w:val="none"/>
              </w:rPr>
            </w:pPr>
            <w:hyperlink r:id="rId538" w:history="1">
              <w:r w:rsidRPr="00926A20">
                <w:rPr>
                  <w:rStyle w:val="Hyperlink"/>
                  <w:szCs w:val="18"/>
                </w:rPr>
                <w:t>Who is eligible for aged care services</w:t>
              </w:r>
            </w:hyperlink>
            <w:r w:rsidRPr="00926A20">
              <w:rPr>
                <w:szCs w:val="18"/>
              </w:rPr>
              <w:t xml:space="preserve"> &lt;https://www.health.gov.au/resources/publications/guide-to-aged-care-law/chapter-2-entry-to-the-commonwealth-aged-care-system/who-is-eligible-for-aged-care-services?language=en&gt;</w:t>
            </w:r>
          </w:p>
          <w:p w14:paraId="62664F27" w14:textId="415177AF"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szCs w:val="18"/>
              </w:rPr>
            </w:pPr>
            <w:hyperlink r:id="rId539" w:history="1">
              <w:r w:rsidRPr="00926A20">
                <w:rPr>
                  <w:rStyle w:val="Hyperlink"/>
                  <w:szCs w:val="18"/>
                </w:rPr>
                <w:t>My Aged Care – Assessor Portal Resources</w:t>
              </w:r>
            </w:hyperlink>
            <w:r w:rsidRPr="00926A20">
              <w:rPr>
                <w:szCs w:val="18"/>
              </w:rPr>
              <w:t xml:space="preserve"> &lt;https://www.health.gov.au/resources/collections/my-aged-care-assessor-portal-resources&gt;</w:t>
            </w:r>
          </w:p>
          <w:p w14:paraId="09F78767"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hyperlink r:id="rId540" w:history="1">
              <w:r w:rsidRPr="00926A20">
                <w:rPr>
                  <w:rStyle w:val="Hyperlink"/>
                  <w:i/>
                  <w:iCs/>
                  <w:szCs w:val="18"/>
                </w:rPr>
                <w:t>Aged Care Diversity Framework</w:t>
              </w:r>
              <w:r w:rsidRPr="00926A20">
                <w:rPr>
                  <w:rStyle w:val="Hyperlink"/>
                  <w:szCs w:val="18"/>
                </w:rPr>
                <w:t xml:space="preserve"> action plans</w:t>
              </w:r>
            </w:hyperlink>
            <w:r w:rsidRPr="00926A20">
              <w:rPr>
                <w:rStyle w:val="Hyperlink"/>
                <w:color w:val="auto"/>
                <w:szCs w:val="18"/>
                <w:u w:val="none"/>
              </w:rPr>
              <w:t xml:space="preserve"> </w:t>
            </w:r>
            <w:r w:rsidRPr="00926A20" w:rsidDel="009C36D7">
              <w:rPr>
                <w:rStyle w:val="Hyperlink"/>
                <w:color w:val="auto"/>
                <w:szCs w:val="18"/>
                <w:u w:val="none"/>
              </w:rPr>
              <w:t>&lt;</w:t>
            </w:r>
            <w:r w:rsidRPr="00926A20">
              <w:rPr>
                <w:rStyle w:val="Hyperlink"/>
                <w:color w:val="auto"/>
                <w:szCs w:val="18"/>
                <w:u w:val="none"/>
              </w:rPr>
              <w:t>https://www.health.gov.au/resources/collections/aged-care-diversity-framework-action-plans&gt;</w:t>
            </w:r>
          </w:p>
          <w:p w14:paraId="78123409"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hyperlink r:id="rId541" w:history="1">
              <w:r w:rsidRPr="00926A20">
                <w:rPr>
                  <w:rStyle w:val="Hyperlink"/>
                  <w:szCs w:val="18"/>
                </w:rPr>
                <w:t>My Aged Care resources</w:t>
              </w:r>
            </w:hyperlink>
            <w:r w:rsidRPr="00926A20">
              <w:rPr>
                <w:szCs w:val="18"/>
              </w:rPr>
              <w:t xml:space="preserve"> &lt;https://www.myagedcare.gov.au/resources&gt;</w:t>
            </w:r>
          </w:p>
          <w:p w14:paraId="6D633142" w14:textId="649A2783" w:rsidR="003A2BE2" w:rsidRPr="00F83956"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Emphasis"/>
                <w:rFonts w:eastAsia="MS Gothic"/>
                <w:i w:val="0"/>
                <w:iCs w:val="0"/>
                <w:szCs w:val="18"/>
              </w:rPr>
            </w:pPr>
            <w:hyperlink r:id="rId542" w:history="1">
              <w:r w:rsidRPr="00926A20">
                <w:rPr>
                  <w:rStyle w:val="Hyperlink"/>
                  <w:szCs w:val="18"/>
                </w:rPr>
                <w:t>Ageing and aged care</w:t>
              </w:r>
            </w:hyperlink>
            <w:r w:rsidRPr="00926A20">
              <w:rPr>
                <w:szCs w:val="18"/>
              </w:rPr>
              <w:t xml:space="preserve"> </w:t>
            </w:r>
            <w:r w:rsidR="00F83956">
              <w:rPr>
                <w:szCs w:val="18"/>
              </w:rPr>
              <w:t>&lt;</w:t>
            </w:r>
            <w:hyperlink r:id="rId543" w:history="1">
              <w:r w:rsidR="00F83956" w:rsidRPr="00D831DA">
                <w:rPr>
                  <w:rStyle w:val="Hyperlink"/>
                  <w:szCs w:val="18"/>
                </w:rPr>
                <w:t>https://www.health.vic.gov.au/ageing-and-aged-care</w:t>
              </w:r>
            </w:hyperlink>
            <w:r w:rsidR="00F83956">
              <w:rPr>
                <w:szCs w:val="18"/>
              </w:rPr>
              <w:t>&gt;</w:t>
            </w:r>
          </w:p>
        </w:tc>
      </w:tr>
      <w:tr w:rsidR="00817104" w:rsidRPr="00926A20" w14:paraId="079E2E79" w14:textId="77777777" w:rsidTr="00236CBF">
        <w:trPr>
          <w:trHeight w:val="300"/>
        </w:trPr>
        <w:tc>
          <w:tcPr>
            <w:cnfStyle w:val="001000000000" w:firstRow="0" w:lastRow="0" w:firstColumn="1" w:lastColumn="0" w:oddVBand="0" w:evenVBand="0" w:oddHBand="0" w:evenHBand="0" w:firstRowFirstColumn="0" w:firstRowLastColumn="0" w:lastRowFirstColumn="0" w:lastRowLastColumn="0"/>
            <w:tcW w:w="466" w:type="pct"/>
          </w:tcPr>
          <w:p w14:paraId="0093B9C7" w14:textId="77777777" w:rsidR="00817104" w:rsidRPr="00926A20" w:rsidRDefault="00817104" w:rsidP="00236CBF">
            <w:pPr>
              <w:pStyle w:val="Tabletext"/>
              <w:rPr>
                <w:b w:val="0"/>
                <w:bCs w:val="0"/>
                <w:szCs w:val="18"/>
              </w:rPr>
            </w:pPr>
            <w:r w:rsidRPr="00926A20">
              <w:rPr>
                <w:szCs w:val="18"/>
              </w:rPr>
              <w:t>13024</w:t>
            </w:r>
          </w:p>
          <w:p w14:paraId="3E4AC5C9" w14:textId="77777777" w:rsidR="00817104" w:rsidRPr="00926A20" w:rsidRDefault="00817104" w:rsidP="00236CBF">
            <w:pPr>
              <w:pStyle w:val="Tabletext"/>
              <w:rPr>
                <w:b w:val="0"/>
                <w:bCs w:val="0"/>
                <w:szCs w:val="18"/>
              </w:rPr>
            </w:pPr>
            <w:r w:rsidRPr="00926A20">
              <w:rPr>
                <w:szCs w:val="18"/>
              </w:rPr>
              <w:t>13229</w:t>
            </w:r>
          </w:p>
          <w:p w14:paraId="5592763A" w14:textId="77777777" w:rsidR="00817104" w:rsidRPr="00926A20" w:rsidRDefault="00817104" w:rsidP="00236CBF">
            <w:pPr>
              <w:pStyle w:val="Tabletext"/>
              <w:rPr>
                <w:b w:val="0"/>
                <w:bCs w:val="0"/>
                <w:szCs w:val="18"/>
              </w:rPr>
            </w:pPr>
            <w:r w:rsidRPr="00926A20">
              <w:rPr>
                <w:szCs w:val="18"/>
              </w:rPr>
              <w:t>13015</w:t>
            </w:r>
          </w:p>
          <w:p w14:paraId="6ECE7BF0" w14:textId="77777777" w:rsidR="00817104" w:rsidRPr="00926A20" w:rsidRDefault="00817104" w:rsidP="00236CBF">
            <w:pPr>
              <w:pStyle w:val="Tabletext"/>
              <w:rPr>
                <w:b w:val="0"/>
                <w:bCs w:val="0"/>
                <w:szCs w:val="18"/>
              </w:rPr>
            </w:pPr>
            <w:r w:rsidRPr="00926A20">
              <w:rPr>
                <w:szCs w:val="18"/>
              </w:rPr>
              <w:t>13026</w:t>
            </w:r>
          </w:p>
          <w:p w14:paraId="0275A379" w14:textId="77777777" w:rsidR="00817104" w:rsidRPr="00926A20" w:rsidRDefault="00817104" w:rsidP="00236CBF">
            <w:pPr>
              <w:pStyle w:val="Tabletext"/>
              <w:rPr>
                <w:b w:val="0"/>
                <w:bCs w:val="0"/>
                <w:szCs w:val="18"/>
              </w:rPr>
            </w:pPr>
            <w:r w:rsidRPr="00926A20">
              <w:rPr>
                <w:szCs w:val="18"/>
              </w:rPr>
              <w:t>13056</w:t>
            </w:r>
          </w:p>
          <w:p w14:paraId="760D010A" w14:textId="77777777" w:rsidR="00817104" w:rsidRPr="00926A20" w:rsidRDefault="00817104" w:rsidP="00236CBF">
            <w:pPr>
              <w:pStyle w:val="Tabletext"/>
              <w:rPr>
                <w:b w:val="0"/>
                <w:bCs w:val="0"/>
                <w:szCs w:val="18"/>
              </w:rPr>
            </w:pPr>
            <w:r w:rsidRPr="00926A20">
              <w:rPr>
                <w:szCs w:val="18"/>
              </w:rPr>
              <w:t>13223</w:t>
            </w:r>
          </w:p>
          <w:p w14:paraId="6BEDE3A7" w14:textId="77777777" w:rsidR="00817104" w:rsidRPr="00926A20" w:rsidRDefault="00817104" w:rsidP="00236CBF">
            <w:pPr>
              <w:pStyle w:val="Tabletext"/>
              <w:rPr>
                <w:b w:val="0"/>
                <w:bCs w:val="0"/>
                <w:szCs w:val="18"/>
              </w:rPr>
            </w:pPr>
            <w:r w:rsidRPr="00926A20">
              <w:rPr>
                <w:szCs w:val="18"/>
              </w:rPr>
              <w:t>13097</w:t>
            </w:r>
          </w:p>
          <w:p w14:paraId="20437ABA" w14:textId="77777777" w:rsidR="00817104" w:rsidRPr="00926A20" w:rsidRDefault="00817104" w:rsidP="00236CBF">
            <w:pPr>
              <w:pStyle w:val="Tabletext"/>
              <w:rPr>
                <w:b w:val="0"/>
                <w:bCs w:val="0"/>
                <w:szCs w:val="18"/>
              </w:rPr>
            </w:pPr>
            <w:r w:rsidRPr="00926A20">
              <w:rPr>
                <w:szCs w:val="18"/>
              </w:rPr>
              <w:t>13099</w:t>
            </w:r>
          </w:p>
          <w:p w14:paraId="57C7EB30" w14:textId="77777777" w:rsidR="00817104" w:rsidRPr="00926A20" w:rsidRDefault="00817104" w:rsidP="00236CBF">
            <w:pPr>
              <w:pStyle w:val="Tabletext"/>
              <w:rPr>
                <w:b w:val="0"/>
                <w:bCs w:val="0"/>
                <w:szCs w:val="18"/>
              </w:rPr>
            </w:pPr>
            <w:r w:rsidRPr="00926A20">
              <w:rPr>
                <w:szCs w:val="18"/>
              </w:rPr>
              <w:t>13130</w:t>
            </w:r>
          </w:p>
          <w:p w14:paraId="2B96846E" w14:textId="77777777" w:rsidR="00817104" w:rsidRPr="00926A20" w:rsidRDefault="00817104" w:rsidP="00236CBF">
            <w:pPr>
              <w:pStyle w:val="Tabletext"/>
              <w:rPr>
                <w:b w:val="0"/>
                <w:bCs w:val="0"/>
                <w:szCs w:val="18"/>
              </w:rPr>
            </w:pPr>
            <w:r w:rsidRPr="00926A20">
              <w:rPr>
                <w:szCs w:val="18"/>
              </w:rPr>
              <w:t>13227</w:t>
            </w:r>
          </w:p>
          <w:p w14:paraId="48632A54" w14:textId="77777777" w:rsidR="00817104" w:rsidRPr="00926A20" w:rsidRDefault="00817104" w:rsidP="00236CBF">
            <w:pPr>
              <w:pStyle w:val="Tabletext"/>
              <w:rPr>
                <w:szCs w:val="18"/>
              </w:rPr>
            </w:pPr>
            <w:r w:rsidRPr="00926A20">
              <w:rPr>
                <w:szCs w:val="18"/>
              </w:rPr>
              <w:t>35030</w:t>
            </w:r>
          </w:p>
        </w:tc>
        <w:tc>
          <w:tcPr>
            <w:tcW w:w="1972" w:type="pct"/>
          </w:tcPr>
          <w:p w14:paraId="1F5BC577" w14:textId="77777777" w:rsidR="00817104" w:rsidRPr="00926A20" w:rsidRDefault="00817104">
            <w:pPr>
              <w:pStyle w:val="Tablebullet1"/>
              <w:numPr>
                <w:ilvl w:val="0"/>
                <w:numId w:val="15"/>
              </w:numPr>
              <w:ind w:left="0" w:hanging="367"/>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HACC </w:t>
            </w:r>
            <w:r w:rsidRPr="00926A20">
              <w:rPr>
                <w:rStyle w:val="Hyperlink"/>
                <w:color w:val="auto"/>
                <w:szCs w:val="18"/>
                <w:u w:val="none"/>
              </w:rPr>
              <w:t>PYP</w:t>
            </w:r>
            <w:r w:rsidRPr="00926A20">
              <w:rPr>
                <w:szCs w:val="18"/>
              </w:rPr>
              <w:t xml:space="preserve"> Assessment and Care Management </w:t>
            </w:r>
          </w:p>
          <w:p w14:paraId="1EB31DC1"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Access and Support</w:t>
            </w:r>
          </w:p>
          <w:p w14:paraId="58893F71"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rStyle w:val="Hyperlink"/>
                <w:color w:val="auto"/>
                <w:szCs w:val="18"/>
                <w:u w:val="none"/>
              </w:rPr>
              <w:t>HACC</w:t>
            </w:r>
            <w:r w:rsidRPr="00926A20">
              <w:rPr>
                <w:szCs w:val="18"/>
              </w:rPr>
              <w:t xml:space="preserve"> PYP Linkages Case Management </w:t>
            </w:r>
          </w:p>
          <w:p w14:paraId="2453B316"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Community Care</w:t>
            </w:r>
          </w:p>
          <w:p w14:paraId="3A0A0F16"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Planned Activity Group</w:t>
            </w:r>
          </w:p>
          <w:p w14:paraId="2EF18C65"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HACC PYP Health Supports </w:t>
            </w:r>
          </w:p>
          <w:p w14:paraId="03A3CA86"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Delivered Meals</w:t>
            </w:r>
          </w:p>
          <w:p w14:paraId="3D9D2343"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Property Maintenance</w:t>
            </w:r>
          </w:p>
          <w:p w14:paraId="505E9E1A"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HACC PYP Volunteer Co-ordination </w:t>
            </w:r>
          </w:p>
          <w:p w14:paraId="58E42056"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Volunteer Co-ordination Other</w:t>
            </w:r>
          </w:p>
          <w:p w14:paraId="42B97BBA"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ACCO Services</w:t>
            </w:r>
          </w:p>
          <w:p w14:paraId="60CC6B68"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szCs w:val="18"/>
              </w:rPr>
              <w:t xml:space="preserve">HACC PYP Small Rural Services </w:t>
            </w:r>
          </w:p>
        </w:tc>
        <w:tc>
          <w:tcPr>
            <w:tcW w:w="2561" w:type="pct"/>
          </w:tcPr>
          <w:p w14:paraId="1D4150A5"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rFonts w:eastAsia="MS Gothic"/>
                <w:szCs w:val="18"/>
              </w:rPr>
            </w:pPr>
            <w:hyperlink r:id="rId544" w:history="1">
              <w:r w:rsidRPr="00926A20">
                <w:rPr>
                  <w:rStyle w:val="Hyperlink"/>
                  <w:szCs w:val="18"/>
                </w:rPr>
                <w:t>HACC PYP</w:t>
              </w:r>
            </w:hyperlink>
            <w:r w:rsidRPr="00926A20">
              <w:rPr>
                <w:szCs w:val="18"/>
              </w:rPr>
              <w:t xml:space="preserve"> &lt;https://www.health.vic.gov.au/home-and-community-care/hacc-program-for-younger-people&gt; </w:t>
            </w:r>
          </w:p>
          <w:p w14:paraId="6DBF97F0"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rFonts w:cs="Arial"/>
                <w:color w:val="000000" w:themeColor="text1"/>
                <w:szCs w:val="18"/>
              </w:rPr>
            </w:pPr>
            <w:hyperlink r:id="rId545" w:tgtFrame="_blank" w:history="1">
              <w:r w:rsidRPr="00926A20">
                <w:rPr>
                  <w:rStyle w:val="Hyperlink"/>
                  <w:rFonts w:cs="Arial"/>
                  <w:szCs w:val="18"/>
                  <w:lang w:val="en-US"/>
                </w:rPr>
                <w:t>Language services policy</w:t>
              </w:r>
            </w:hyperlink>
            <w:r w:rsidRPr="00926A20">
              <w:rPr>
                <w:rStyle w:val="eop"/>
                <w:rFonts w:cs="Arial"/>
                <w:color w:val="000000" w:themeColor="text1"/>
                <w:szCs w:val="18"/>
              </w:rPr>
              <w:t xml:space="preserve"> &lt;https://www.health.vic.gov.au/publications/language-services-policy</w:t>
            </w:r>
            <w:r w:rsidRPr="00926A20">
              <w:rPr>
                <w:rStyle w:val="eop"/>
                <w:color w:val="000000" w:themeColor="text1"/>
                <w:szCs w:val="18"/>
              </w:rPr>
              <w:t xml:space="preserve">&gt; </w:t>
            </w:r>
          </w:p>
          <w:p w14:paraId="6A34D5C2"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hyperlink r:id="rId546" w:history="1">
              <w:r w:rsidRPr="00926A20">
                <w:rPr>
                  <w:rStyle w:val="Hyperlink"/>
                  <w:szCs w:val="18"/>
                </w:rPr>
                <w:t>Aboriginal Health</w:t>
              </w:r>
            </w:hyperlink>
            <w:r w:rsidRPr="00926A20">
              <w:rPr>
                <w:rStyle w:val="eop"/>
                <w:szCs w:val="18"/>
              </w:rPr>
              <w:t xml:space="preserve"> &lt;</w:t>
            </w:r>
            <w:r w:rsidRPr="00926A20">
              <w:rPr>
                <w:szCs w:val="18"/>
              </w:rPr>
              <w:t>https://www.health.vic.gov.au/health-strategies/aboriginal-health</w:t>
            </w:r>
            <w:r w:rsidRPr="00926A20">
              <w:rPr>
                <w:rStyle w:val="eop"/>
                <w:szCs w:val="18"/>
              </w:rPr>
              <w:t>&gt;</w:t>
            </w:r>
          </w:p>
          <w:p w14:paraId="07F9722F" w14:textId="77777777" w:rsidR="00817104" w:rsidRPr="00926A20" w:rsidRDefault="00817104" w:rsidP="00236CBF">
            <w:pPr>
              <w:pStyle w:val="Tablebullet1"/>
              <w:numPr>
                <w:ilvl w:val="0"/>
                <w:numId w:val="3"/>
              </w:numPr>
              <w:ind w:left="0"/>
              <w:cnfStyle w:val="000000000000" w:firstRow="0" w:lastRow="0" w:firstColumn="0" w:lastColumn="0" w:oddVBand="0" w:evenVBand="0" w:oddHBand="0" w:evenHBand="0" w:firstRowFirstColumn="0" w:firstRowLastColumn="0" w:lastRowFirstColumn="0" w:lastRowLastColumn="0"/>
              <w:rPr>
                <w:rStyle w:val="Emphasis"/>
                <w:rFonts w:eastAsia="MS Gothic" w:cs="Arial"/>
                <w:i w:val="0"/>
                <w:szCs w:val="18"/>
              </w:rPr>
            </w:pPr>
            <w:hyperlink r:id="rId547" w:history="1">
              <w:r w:rsidRPr="00926A20">
                <w:rPr>
                  <w:rStyle w:val="Hyperlink"/>
                  <w:szCs w:val="18"/>
                </w:rPr>
                <w:t>Victorian Aboriginal Affairs Framework</w:t>
              </w:r>
            </w:hyperlink>
            <w:r w:rsidRPr="00926A20">
              <w:rPr>
                <w:rStyle w:val="eop"/>
                <w:szCs w:val="18"/>
              </w:rPr>
              <w:t xml:space="preserve"> &lt;https://www.firstpeoplesrelations.vic.gov.au/victorian-aboriginal-affairs-framework&gt;</w:t>
            </w:r>
          </w:p>
        </w:tc>
      </w:tr>
      <w:tr w:rsidR="00817104" w:rsidRPr="00926A20" w14:paraId="44F3B126" w14:textId="77777777" w:rsidTr="00236C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 w:type="pct"/>
          </w:tcPr>
          <w:p w14:paraId="5A6990AD" w14:textId="77777777" w:rsidR="00817104" w:rsidRPr="00926A20" w:rsidRDefault="00817104" w:rsidP="00236CBF">
            <w:pPr>
              <w:pStyle w:val="Tabletext"/>
              <w:rPr>
                <w:szCs w:val="18"/>
              </w:rPr>
            </w:pPr>
            <w:r w:rsidRPr="00926A20">
              <w:rPr>
                <w:szCs w:val="18"/>
              </w:rPr>
              <w:t>13019</w:t>
            </w:r>
          </w:p>
        </w:tc>
        <w:tc>
          <w:tcPr>
            <w:tcW w:w="1972" w:type="pct"/>
          </w:tcPr>
          <w:p w14:paraId="1EE029F2" w14:textId="77777777" w:rsidR="00817104" w:rsidRPr="00926A20" w:rsidRDefault="00817104" w:rsidP="00236CBF">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Personal Alert Victoria</w:t>
            </w:r>
          </w:p>
        </w:tc>
        <w:tc>
          <w:tcPr>
            <w:tcW w:w="2561" w:type="pct"/>
          </w:tcPr>
          <w:p w14:paraId="18B5EE60" w14:textId="77777777" w:rsidR="00817104" w:rsidRDefault="00817104" w:rsidP="00236CBF">
            <w:pPr>
              <w:pStyle w:val="Tabletext"/>
              <w:cnfStyle w:val="000000100000" w:firstRow="0" w:lastRow="0" w:firstColumn="0" w:lastColumn="0" w:oddVBand="0" w:evenVBand="0" w:oddHBand="1" w:evenHBand="0" w:firstRowFirstColumn="0" w:firstRowLastColumn="0" w:lastRowFirstColumn="0" w:lastRowLastColumn="0"/>
              <w:rPr>
                <w:rStyle w:val="Emphasis"/>
                <w:rFonts w:eastAsia="MS Gothic"/>
                <w:i w:val="0"/>
                <w:iCs w:val="0"/>
                <w:szCs w:val="18"/>
              </w:rPr>
            </w:pPr>
            <w:r w:rsidRPr="00926A20">
              <w:rPr>
                <w:rStyle w:val="Emphasis"/>
                <w:rFonts w:eastAsia="MS Gothic"/>
                <w:i w:val="0"/>
                <w:iCs w:val="0"/>
                <w:szCs w:val="18"/>
              </w:rPr>
              <w:t>Personal Alert Victoria program and service guidelines</w:t>
            </w:r>
          </w:p>
          <w:p w14:paraId="16869AF7" w14:textId="77777777" w:rsidR="00817104" w:rsidRPr="00926A20" w:rsidRDefault="00817104" w:rsidP="00236CBF">
            <w:pPr>
              <w:pStyle w:val="Tabletext"/>
              <w:cnfStyle w:val="000000100000" w:firstRow="0" w:lastRow="0" w:firstColumn="0" w:lastColumn="0" w:oddVBand="0" w:evenVBand="0" w:oddHBand="1" w:evenHBand="0" w:firstRowFirstColumn="0" w:firstRowLastColumn="0" w:lastRowFirstColumn="0" w:lastRowLastColumn="0"/>
              <w:rPr>
                <w:rStyle w:val="Emphasis"/>
                <w:rFonts w:eastAsia="MS Gothic"/>
                <w:i w:val="0"/>
                <w:iCs w:val="0"/>
                <w:szCs w:val="18"/>
              </w:rPr>
            </w:pPr>
            <w:r w:rsidRPr="00926A20">
              <w:rPr>
                <w:rStyle w:val="Emphasis"/>
                <w:rFonts w:eastAsia="MS Gothic"/>
                <w:i w:val="0"/>
                <w:iCs w:val="0"/>
                <w:szCs w:val="18"/>
              </w:rPr>
              <w:t>Personal Alert Victoria response service guidelines</w:t>
            </w:r>
          </w:p>
        </w:tc>
      </w:tr>
      <w:tr w:rsidR="00817104" w:rsidRPr="00926A20" w14:paraId="36F10D7A" w14:textId="77777777" w:rsidTr="00236CBF">
        <w:trPr>
          <w:trHeight w:val="300"/>
        </w:trPr>
        <w:tc>
          <w:tcPr>
            <w:cnfStyle w:val="001000000000" w:firstRow="0" w:lastRow="0" w:firstColumn="1" w:lastColumn="0" w:oddVBand="0" w:evenVBand="0" w:oddHBand="0" w:evenHBand="0" w:firstRowFirstColumn="0" w:firstRowLastColumn="0" w:lastRowFirstColumn="0" w:lastRowLastColumn="0"/>
            <w:tcW w:w="466" w:type="pct"/>
          </w:tcPr>
          <w:p w14:paraId="53DFDA37" w14:textId="77777777" w:rsidR="00817104" w:rsidRPr="00926A20" w:rsidRDefault="00817104" w:rsidP="00236CBF">
            <w:pPr>
              <w:pStyle w:val="Tabletext"/>
              <w:rPr>
                <w:szCs w:val="18"/>
              </w:rPr>
            </w:pPr>
            <w:r w:rsidRPr="00926A20">
              <w:rPr>
                <w:szCs w:val="18"/>
              </w:rPr>
              <w:t>13031</w:t>
            </w:r>
          </w:p>
        </w:tc>
        <w:tc>
          <w:tcPr>
            <w:tcW w:w="1972" w:type="pct"/>
          </w:tcPr>
          <w:p w14:paraId="4DC360E6" w14:textId="77777777" w:rsidR="00817104" w:rsidRPr="00926A20" w:rsidRDefault="00817104" w:rsidP="00236CBF">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Public Sector Residential Aged Care Supplement</w:t>
            </w:r>
          </w:p>
        </w:tc>
        <w:tc>
          <w:tcPr>
            <w:tcW w:w="2561" w:type="pct"/>
          </w:tcPr>
          <w:p w14:paraId="5B692721" w14:textId="77777777" w:rsidR="00817104" w:rsidRPr="00926A20" w:rsidRDefault="00817104" w:rsidP="00236CBF">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rStyle w:val="Emphasis"/>
                <w:rFonts w:eastAsia="MS Gothic"/>
                <w:szCs w:val="18"/>
              </w:rPr>
              <w:t>The Aged Care Act 2024</w:t>
            </w:r>
            <w:r w:rsidRPr="00926A20">
              <w:rPr>
                <w:szCs w:val="18"/>
              </w:rPr>
              <w:t>, as amended</w:t>
            </w:r>
          </w:p>
          <w:p w14:paraId="6C0EF314" w14:textId="093BDDDF" w:rsidR="00817104" w:rsidRPr="00926A20" w:rsidRDefault="00E87F77" w:rsidP="00236CBF">
            <w:pPr>
              <w:pStyle w:val="Tabletext"/>
              <w:cnfStyle w:val="000000000000" w:firstRow="0" w:lastRow="0" w:firstColumn="0" w:lastColumn="0" w:oddVBand="0" w:evenVBand="0" w:oddHBand="0" w:evenHBand="0" w:firstRowFirstColumn="0" w:firstRowLastColumn="0" w:lastRowFirstColumn="0" w:lastRowLastColumn="0"/>
              <w:rPr>
                <w:szCs w:val="18"/>
              </w:rPr>
            </w:pPr>
            <w:r>
              <w:rPr>
                <w:szCs w:val="18"/>
              </w:rPr>
              <w:t>Australian Government</w:t>
            </w:r>
            <w:r w:rsidR="00817104" w:rsidRPr="00926A20">
              <w:rPr>
                <w:szCs w:val="18"/>
              </w:rPr>
              <w:t xml:space="preserve"> resources:</w:t>
            </w:r>
          </w:p>
          <w:p w14:paraId="14903B28"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u w:val="dotted"/>
              </w:rPr>
            </w:pPr>
            <w:hyperlink r:id="rId548" w:history="1">
              <w:r w:rsidRPr="00926A20">
                <w:rPr>
                  <w:rStyle w:val="Hyperlink"/>
                  <w:szCs w:val="18"/>
                </w:rPr>
                <w:t>New Aged Care Act</w:t>
              </w:r>
            </w:hyperlink>
            <w:r w:rsidRPr="00926A20">
              <w:rPr>
                <w:szCs w:val="18"/>
              </w:rPr>
              <w:t xml:space="preserve"> &lt;https://www.health.gov.au/our-work/aged-care-act?language=en&gt;</w:t>
            </w:r>
          </w:p>
          <w:p w14:paraId="7C3A2ECA"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hyperlink r:id="rId549">
              <w:r w:rsidRPr="00926A20">
                <w:rPr>
                  <w:rStyle w:val="Hyperlink"/>
                  <w:szCs w:val="18"/>
                </w:rPr>
                <w:t>Aged care guides and policies</w:t>
              </w:r>
            </w:hyperlink>
            <w:r w:rsidRPr="00926A20">
              <w:rPr>
                <w:rStyle w:val="Hyperlink"/>
                <w:color w:val="auto"/>
                <w:szCs w:val="18"/>
              </w:rPr>
              <w:t xml:space="preserve"> </w:t>
            </w:r>
            <w:r w:rsidRPr="00926A20">
              <w:rPr>
                <w:szCs w:val="18"/>
              </w:rPr>
              <w:t>&lt;https://www.health.gov.au/our-work/aged-care-act?language=en&gt;</w:t>
            </w:r>
          </w:p>
          <w:p w14:paraId="5F22039A"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rStyle w:val="Hyperlink"/>
                <w:szCs w:val="18"/>
              </w:rPr>
            </w:pPr>
            <w:hyperlink r:id="rId550" w:history="1">
              <w:r w:rsidRPr="00926A20">
                <w:rPr>
                  <w:rStyle w:val="Hyperlink"/>
                  <w:szCs w:val="18"/>
                </w:rPr>
                <w:t>Aged Care Quality and Safety Commission</w:t>
              </w:r>
            </w:hyperlink>
            <w:r w:rsidRPr="00926A20">
              <w:rPr>
                <w:szCs w:val="18"/>
              </w:rPr>
              <w:t xml:space="preserve"> &lt;https://www.agedcarequality.gov.au/&gt;</w:t>
            </w:r>
          </w:p>
        </w:tc>
      </w:tr>
      <w:tr w:rsidR="00817104" w:rsidRPr="00926A20" w14:paraId="4A87AC99" w14:textId="77777777" w:rsidTr="00236C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 w:type="pct"/>
          </w:tcPr>
          <w:p w14:paraId="589ED5B0" w14:textId="77777777" w:rsidR="00817104" w:rsidRPr="00926A20" w:rsidRDefault="00817104" w:rsidP="00236CBF">
            <w:pPr>
              <w:pStyle w:val="Tabletext"/>
              <w:rPr>
                <w:szCs w:val="18"/>
              </w:rPr>
            </w:pPr>
            <w:r w:rsidRPr="00926A20">
              <w:rPr>
                <w:szCs w:val="18"/>
              </w:rPr>
              <w:lastRenderedPageBreak/>
              <w:t>13038</w:t>
            </w:r>
          </w:p>
        </w:tc>
        <w:tc>
          <w:tcPr>
            <w:tcW w:w="1972" w:type="pct"/>
          </w:tcPr>
          <w:p w14:paraId="6078AF01" w14:textId="77777777" w:rsidR="00817104" w:rsidRPr="00926A20" w:rsidRDefault="00817104" w:rsidP="00236CBF">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HACC PYP Service System Resourcing</w:t>
            </w:r>
          </w:p>
        </w:tc>
        <w:tc>
          <w:tcPr>
            <w:tcW w:w="2561" w:type="pct"/>
          </w:tcPr>
          <w:p w14:paraId="10DEB30D" w14:textId="77777777" w:rsidR="00817104" w:rsidRPr="00926A20" w:rsidRDefault="00817104" w:rsidP="00236CBF">
            <w:pPr>
              <w:pStyle w:val="Tabletext"/>
              <w:cnfStyle w:val="000000100000" w:firstRow="0" w:lastRow="0" w:firstColumn="0" w:lastColumn="0" w:oddVBand="0" w:evenVBand="0" w:oddHBand="1" w:evenHBand="0" w:firstRowFirstColumn="0" w:firstRowLastColumn="0" w:lastRowFirstColumn="0" w:lastRowLastColumn="0"/>
              <w:rPr>
                <w:rStyle w:val="Emphasis"/>
                <w:rFonts w:eastAsia="MS Gothic"/>
                <w:i w:val="0"/>
                <w:iCs w:val="0"/>
                <w:szCs w:val="18"/>
              </w:rPr>
            </w:pPr>
            <w:hyperlink r:id="rId551" w:history="1">
              <w:r w:rsidRPr="00926A20">
                <w:rPr>
                  <w:rStyle w:val="Hyperlink"/>
                  <w:szCs w:val="18"/>
                </w:rPr>
                <w:t>HACC PYP Guidelines</w:t>
              </w:r>
            </w:hyperlink>
            <w:r w:rsidRPr="00926A20">
              <w:rPr>
                <w:szCs w:val="18"/>
              </w:rPr>
              <w:t xml:space="preserve"> &lt;https://www.health.vic.gov.au/home-and-community-care/hacc-program-for-younger-people&gt; </w:t>
            </w:r>
          </w:p>
        </w:tc>
      </w:tr>
      <w:tr w:rsidR="00817104" w:rsidRPr="00926A20" w14:paraId="62A17F61" w14:textId="77777777" w:rsidTr="00236CBF">
        <w:trPr>
          <w:trHeight w:val="300"/>
        </w:trPr>
        <w:tc>
          <w:tcPr>
            <w:cnfStyle w:val="001000000000" w:firstRow="0" w:lastRow="0" w:firstColumn="1" w:lastColumn="0" w:oddVBand="0" w:evenVBand="0" w:oddHBand="0" w:evenHBand="0" w:firstRowFirstColumn="0" w:firstRowLastColumn="0" w:lastRowFirstColumn="0" w:lastRowLastColumn="0"/>
            <w:tcW w:w="466" w:type="pct"/>
          </w:tcPr>
          <w:p w14:paraId="51F5503C" w14:textId="77777777" w:rsidR="00817104" w:rsidRPr="00926A20" w:rsidRDefault="00817104" w:rsidP="00236CBF">
            <w:pPr>
              <w:pStyle w:val="Tabletext"/>
              <w:rPr>
                <w:szCs w:val="18"/>
              </w:rPr>
            </w:pPr>
            <w:r w:rsidRPr="00926A20">
              <w:rPr>
                <w:szCs w:val="18"/>
              </w:rPr>
              <w:t>13043</w:t>
            </w:r>
          </w:p>
        </w:tc>
        <w:tc>
          <w:tcPr>
            <w:tcW w:w="1972" w:type="pct"/>
          </w:tcPr>
          <w:p w14:paraId="4B13E1CB" w14:textId="77777777" w:rsidR="00817104" w:rsidRPr="00926A20" w:rsidRDefault="00817104" w:rsidP="00236CBF">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Flexible Service Response</w:t>
            </w:r>
          </w:p>
        </w:tc>
        <w:tc>
          <w:tcPr>
            <w:tcW w:w="2561" w:type="pct"/>
          </w:tcPr>
          <w:p w14:paraId="54C9F3F9" w14:textId="77777777" w:rsidR="00817104" w:rsidRPr="00926A20" w:rsidRDefault="00817104" w:rsidP="00236CBF">
            <w:pPr>
              <w:pStyle w:val="Tabletext"/>
              <w:cnfStyle w:val="000000000000" w:firstRow="0" w:lastRow="0" w:firstColumn="0" w:lastColumn="0" w:oddVBand="0" w:evenVBand="0" w:oddHBand="0" w:evenHBand="0" w:firstRowFirstColumn="0" w:firstRowLastColumn="0" w:lastRowFirstColumn="0" w:lastRowLastColumn="0"/>
              <w:rPr>
                <w:rStyle w:val="Emphasis"/>
                <w:rFonts w:eastAsia="MS Gothic"/>
                <w:i w:val="0"/>
                <w:iCs w:val="0"/>
                <w:szCs w:val="18"/>
              </w:rPr>
            </w:pPr>
            <w:hyperlink r:id="rId552" w:history="1">
              <w:r w:rsidRPr="00926A20">
                <w:rPr>
                  <w:rStyle w:val="Hyperlink"/>
                  <w:szCs w:val="18"/>
                </w:rPr>
                <w:t>HACC PYP Guidelines</w:t>
              </w:r>
            </w:hyperlink>
            <w:r w:rsidRPr="00926A20">
              <w:rPr>
                <w:szCs w:val="18"/>
              </w:rPr>
              <w:t xml:space="preserve"> &lt;https://www.health.vic.gov.au/home-and-community-care/hacc-program-for-younger-people&gt;</w:t>
            </w:r>
          </w:p>
        </w:tc>
      </w:tr>
      <w:tr w:rsidR="00817104" w:rsidRPr="00926A20" w14:paraId="68558B1D" w14:textId="77777777" w:rsidTr="00236C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 w:type="pct"/>
          </w:tcPr>
          <w:p w14:paraId="68A0A9F7" w14:textId="77777777" w:rsidR="00817104" w:rsidRPr="00926A20" w:rsidRDefault="00817104" w:rsidP="00236CBF">
            <w:pPr>
              <w:pStyle w:val="Tabletext"/>
              <w:rPr>
                <w:szCs w:val="18"/>
              </w:rPr>
            </w:pPr>
            <w:r w:rsidRPr="00926A20">
              <w:rPr>
                <w:szCs w:val="18"/>
              </w:rPr>
              <w:t>13053</w:t>
            </w:r>
          </w:p>
        </w:tc>
        <w:tc>
          <w:tcPr>
            <w:tcW w:w="1972" w:type="pct"/>
          </w:tcPr>
          <w:p w14:paraId="76A560FD" w14:textId="77777777" w:rsidR="00817104" w:rsidRPr="00926A20" w:rsidRDefault="00817104" w:rsidP="00236CBF">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Victorian Eyecare Service</w:t>
            </w:r>
          </w:p>
        </w:tc>
        <w:tc>
          <w:tcPr>
            <w:tcW w:w="2561" w:type="pct"/>
          </w:tcPr>
          <w:p w14:paraId="4186B834" w14:textId="77777777" w:rsidR="00817104" w:rsidRPr="00926A20" w:rsidRDefault="00817104" w:rsidP="00236CBF">
            <w:pPr>
              <w:pStyle w:val="Tabletext"/>
              <w:cnfStyle w:val="000000100000" w:firstRow="0" w:lastRow="0" w:firstColumn="0" w:lastColumn="0" w:oddVBand="0" w:evenVBand="0" w:oddHBand="1" w:evenHBand="0" w:firstRowFirstColumn="0" w:firstRowLastColumn="0" w:lastRowFirstColumn="0" w:lastRowLastColumn="0"/>
              <w:rPr>
                <w:i/>
                <w:iCs/>
                <w:szCs w:val="18"/>
              </w:rPr>
            </w:pPr>
            <w:r w:rsidRPr="00926A20">
              <w:rPr>
                <w:rStyle w:val="Emphasis"/>
                <w:rFonts w:eastAsia="MS Gothic"/>
                <w:i w:val="0"/>
                <w:iCs w:val="0"/>
                <w:szCs w:val="18"/>
              </w:rPr>
              <w:t>Victorian Eyecare Service operational guide</w:t>
            </w:r>
            <w:r w:rsidRPr="00926A20">
              <w:rPr>
                <w:rStyle w:val="Emphasis"/>
                <w:rFonts w:eastAsia="MS Gothic"/>
                <w:szCs w:val="18"/>
              </w:rPr>
              <w:t xml:space="preserve"> </w:t>
            </w:r>
            <w:r w:rsidRPr="00926A20">
              <w:rPr>
                <w:rStyle w:val="Emphasis"/>
                <w:rFonts w:eastAsia="MS Gothic"/>
                <w:i w:val="0"/>
                <w:iCs w:val="0"/>
                <w:szCs w:val="18"/>
              </w:rPr>
              <w:t>available at</w:t>
            </w:r>
            <w:r w:rsidRPr="00926A20">
              <w:rPr>
                <w:szCs w:val="18"/>
              </w:rPr>
              <w:t xml:space="preserve"> </w:t>
            </w:r>
            <w:hyperlink r:id="rId553" w:history="1">
              <w:r w:rsidRPr="00926A20">
                <w:rPr>
                  <w:rStyle w:val="Hyperlink"/>
                  <w:szCs w:val="18"/>
                </w:rPr>
                <w:t>Victorian Eyecare Service</w:t>
              </w:r>
            </w:hyperlink>
            <w:r w:rsidRPr="00926A20">
              <w:rPr>
                <w:szCs w:val="18"/>
              </w:rPr>
              <w:t xml:space="preserve"> &lt;https://www.health.vic.gov.au/primary-care/victorian-eyecare-service&gt;</w:t>
            </w:r>
          </w:p>
        </w:tc>
      </w:tr>
      <w:tr w:rsidR="00817104" w:rsidRPr="00926A20" w14:paraId="28CFE737" w14:textId="77777777" w:rsidTr="00236CBF">
        <w:trPr>
          <w:trHeight w:val="300"/>
        </w:trPr>
        <w:tc>
          <w:tcPr>
            <w:cnfStyle w:val="001000000000" w:firstRow="0" w:lastRow="0" w:firstColumn="1" w:lastColumn="0" w:oddVBand="0" w:evenVBand="0" w:oddHBand="0" w:evenHBand="0" w:firstRowFirstColumn="0" w:firstRowLastColumn="0" w:lastRowFirstColumn="0" w:lastRowLastColumn="0"/>
            <w:tcW w:w="466" w:type="pct"/>
          </w:tcPr>
          <w:p w14:paraId="34C6CAC7" w14:textId="77777777" w:rsidR="00817104" w:rsidRPr="00926A20" w:rsidRDefault="00817104" w:rsidP="00236CBF">
            <w:pPr>
              <w:pStyle w:val="Tabletext"/>
              <w:rPr>
                <w:szCs w:val="18"/>
              </w:rPr>
            </w:pPr>
            <w:r w:rsidRPr="00926A20">
              <w:rPr>
                <w:szCs w:val="18"/>
              </w:rPr>
              <w:t>13063</w:t>
            </w:r>
          </w:p>
        </w:tc>
        <w:tc>
          <w:tcPr>
            <w:tcW w:w="1972" w:type="pct"/>
          </w:tcPr>
          <w:p w14:paraId="495DF5B5" w14:textId="77777777" w:rsidR="00817104" w:rsidRPr="00926A20" w:rsidRDefault="00817104" w:rsidP="00236CBF">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HACC PYP Volunteer Co-ordination</w:t>
            </w:r>
          </w:p>
        </w:tc>
        <w:tc>
          <w:tcPr>
            <w:tcW w:w="2561" w:type="pct"/>
          </w:tcPr>
          <w:p w14:paraId="34A7EA2F" w14:textId="77777777" w:rsidR="00817104" w:rsidRPr="00926A20" w:rsidRDefault="00817104" w:rsidP="00236CBF">
            <w:pPr>
              <w:pStyle w:val="Tabletext"/>
              <w:cnfStyle w:val="000000000000" w:firstRow="0" w:lastRow="0" w:firstColumn="0" w:lastColumn="0" w:oddVBand="0" w:evenVBand="0" w:oddHBand="0" w:evenHBand="0" w:firstRowFirstColumn="0" w:firstRowLastColumn="0" w:lastRowFirstColumn="0" w:lastRowLastColumn="0"/>
              <w:rPr>
                <w:rFonts w:eastAsia="MS Gothic"/>
                <w:szCs w:val="18"/>
              </w:rPr>
            </w:pPr>
            <w:hyperlink r:id="rId554" w:history="1">
              <w:r w:rsidRPr="00926A20">
                <w:rPr>
                  <w:rStyle w:val="Hyperlink"/>
                  <w:szCs w:val="18"/>
                </w:rPr>
                <w:t>HACC PYP Guidelines</w:t>
              </w:r>
            </w:hyperlink>
            <w:r w:rsidRPr="00926A20">
              <w:rPr>
                <w:szCs w:val="18"/>
              </w:rPr>
              <w:t xml:space="preserve"> &lt;https://www.health.vic.gov.au/home-and-community-care/hacc-program-for-younger-people&gt;</w:t>
            </w:r>
          </w:p>
        </w:tc>
      </w:tr>
      <w:tr w:rsidR="00817104" w:rsidRPr="00926A20" w14:paraId="74BB5736" w14:textId="77777777" w:rsidTr="00236C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 w:type="pct"/>
          </w:tcPr>
          <w:p w14:paraId="4AE5F029" w14:textId="77777777" w:rsidR="00817104" w:rsidRPr="00926A20" w:rsidRDefault="00817104" w:rsidP="00236CBF">
            <w:pPr>
              <w:pStyle w:val="Tabletext"/>
              <w:rPr>
                <w:szCs w:val="18"/>
              </w:rPr>
            </w:pPr>
            <w:r w:rsidRPr="00926A20">
              <w:rPr>
                <w:szCs w:val="18"/>
              </w:rPr>
              <w:t>13067</w:t>
            </w:r>
          </w:p>
        </w:tc>
        <w:tc>
          <w:tcPr>
            <w:tcW w:w="1972" w:type="pct"/>
          </w:tcPr>
          <w:p w14:paraId="723B4429" w14:textId="77777777" w:rsidR="00817104" w:rsidRPr="00926A20" w:rsidRDefault="00817104" w:rsidP="00236CBF">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Victorian Aids and Equipment</w:t>
            </w:r>
          </w:p>
        </w:tc>
        <w:tc>
          <w:tcPr>
            <w:tcW w:w="2561" w:type="pct"/>
          </w:tcPr>
          <w:p w14:paraId="66B2CEFB" w14:textId="77777777" w:rsidR="00817104" w:rsidRPr="00926A20" w:rsidRDefault="00817104" w:rsidP="00236CBF">
            <w:pPr>
              <w:pStyle w:val="Tabletext"/>
              <w:cnfStyle w:val="000000100000" w:firstRow="0" w:lastRow="0" w:firstColumn="0" w:lastColumn="0" w:oddVBand="0" w:evenVBand="0" w:oddHBand="1" w:evenHBand="0" w:firstRowFirstColumn="0" w:firstRowLastColumn="0" w:lastRowFirstColumn="0" w:lastRowLastColumn="0"/>
              <w:rPr>
                <w:rStyle w:val="Emphasis"/>
                <w:rFonts w:eastAsia="MS Gothic"/>
                <w:i w:val="0"/>
                <w:iCs w:val="0"/>
                <w:szCs w:val="18"/>
              </w:rPr>
            </w:pPr>
            <w:r w:rsidRPr="00926A20">
              <w:rPr>
                <w:rStyle w:val="Emphasis"/>
                <w:rFonts w:eastAsia="MS Gothic"/>
                <w:i w:val="0"/>
                <w:iCs w:val="0"/>
                <w:szCs w:val="18"/>
              </w:rPr>
              <w:t>VA&amp;EP guidelines</w:t>
            </w:r>
          </w:p>
        </w:tc>
      </w:tr>
      <w:tr w:rsidR="00817104" w:rsidRPr="00926A20" w14:paraId="59FAD8F3" w14:textId="77777777" w:rsidTr="00236CBF">
        <w:trPr>
          <w:trHeight w:val="300"/>
        </w:trPr>
        <w:tc>
          <w:tcPr>
            <w:cnfStyle w:val="001000000000" w:firstRow="0" w:lastRow="0" w:firstColumn="1" w:lastColumn="0" w:oddVBand="0" w:evenVBand="0" w:oddHBand="0" w:evenHBand="0" w:firstRowFirstColumn="0" w:firstRowLastColumn="0" w:lastRowFirstColumn="0" w:lastRowLastColumn="0"/>
            <w:tcW w:w="466" w:type="pct"/>
          </w:tcPr>
          <w:p w14:paraId="520D9F43" w14:textId="77777777" w:rsidR="00817104" w:rsidRPr="00926A20" w:rsidRDefault="00817104" w:rsidP="00236CBF">
            <w:pPr>
              <w:pStyle w:val="Tabletext"/>
              <w:rPr>
                <w:szCs w:val="18"/>
              </w:rPr>
            </w:pPr>
            <w:r w:rsidRPr="00926A20">
              <w:rPr>
                <w:szCs w:val="18"/>
              </w:rPr>
              <w:t>13082</w:t>
            </w:r>
          </w:p>
        </w:tc>
        <w:tc>
          <w:tcPr>
            <w:tcW w:w="1972" w:type="pct"/>
          </w:tcPr>
          <w:p w14:paraId="6FA3B5DD" w14:textId="77777777" w:rsidR="00817104" w:rsidRPr="00926A20" w:rsidRDefault="00817104" w:rsidP="00236CBF">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Low-cost Accommodation Support</w:t>
            </w:r>
          </w:p>
        </w:tc>
        <w:tc>
          <w:tcPr>
            <w:tcW w:w="2561" w:type="pct"/>
          </w:tcPr>
          <w:p w14:paraId="7684C808"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rStyle w:val="Hyperlink"/>
                <w:color w:val="auto"/>
                <w:szCs w:val="18"/>
                <w:u w:val="none"/>
              </w:rPr>
            </w:pPr>
            <w:r w:rsidRPr="00926A20">
              <w:rPr>
                <w:rStyle w:val="Hyperlink"/>
                <w:color w:val="auto"/>
                <w:szCs w:val="18"/>
                <w:u w:val="none"/>
              </w:rPr>
              <w:t>Community Connection Program submission guidelines, 2001</w:t>
            </w:r>
          </w:p>
          <w:p w14:paraId="5EFAD8B6"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rStyle w:val="Hyperlink"/>
                <w:color w:val="auto"/>
                <w:szCs w:val="18"/>
                <w:u w:val="none"/>
              </w:rPr>
            </w:pPr>
            <w:r w:rsidRPr="00926A20">
              <w:rPr>
                <w:rStyle w:val="Hyperlink"/>
                <w:color w:val="auto"/>
                <w:szCs w:val="18"/>
                <w:u w:val="none"/>
              </w:rPr>
              <w:t>Flexible Care Fund guidelines, 2015</w:t>
            </w:r>
          </w:p>
          <w:p w14:paraId="5858970E"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rStyle w:val="Hyperlink"/>
                <w:color w:val="auto"/>
                <w:szCs w:val="18"/>
                <w:u w:val="none"/>
              </w:rPr>
            </w:pPr>
            <w:r w:rsidRPr="00926A20">
              <w:rPr>
                <w:rStyle w:val="Hyperlink"/>
                <w:color w:val="auto"/>
                <w:szCs w:val="18"/>
                <w:u w:val="none"/>
              </w:rPr>
              <w:t>Older persons high rise program submission guidelines, 2001</w:t>
            </w:r>
          </w:p>
          <w:p w14:paraId="59A7E53A"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rStyle w:val="Hyperlink"/>
                <w:color w:val="auto"/>
                <w:szCs w:val="18"/>
                <w:u w:val="none"/>
              </w:rPr>
            </w:pPr>
            <w:r w:rsidRPr="00926A20">
              <w:rPr>
                <w:rStyle w:val="Hyperlink"/>
                <w:color w:val="auto"/>
                <w:szCs w:val="18"/>
                <w:u w:val="none"/>
              </w:rPr>
              <w:t>Housing Support for the Aged program submission Metro guidelines, 2001</w:t>
            </w:r>
          </w:p>
          <w:p w14:paraId="1911C68D"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rStyle w:val="Hyperlink"/>
                <w:color w:val="auto"/>
                <w:szCs w:val="18"/>
                <w:u w:val="none"/>
              </w:rPr>
              <w:t>Housing Support for the Aged program submission Rural guidelines, 2001</w:t>
            </w:r>
          </w:p>
        </w:tc>
      </w:tr>
      <w:tr w:rsidR="00817104" w:rsidRPr="00926A20" w14:paraId="3E7C89BB" w14:textId="77777777" w:rsidTr="00236C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 w:type="pct"/>
          </w:tcPr>
          <w:p w14:paraId="0761D84B" w14:textId="77777777" w:rsidR="00817104" w:rsidRPr="00926A20" w:rsidRDefault="00817104" w:rsidP="00236CBF">
            <w:pPr>
              <w:pStyle w:val="Tabletext"/>
              <w:rPr>
                <w:szCs w:val="18"/>
              </w:rPr>
            </w:pPr>
            <w:r w:rsidRPr="00926A20">
              <w:rPr>
                <w:szCs w:val="18"/>
              </w:rPr>
              <w:t>13109</w:t>
            </w:r>
          </w:p>
        </w:tc>
        <w:tc>
          <w:tcPr>
            <w:tcW w:w="1972" w:type="pct"/>
          </w:tcPr>
          <w:p w14:paraId="4FB36BF1" w14:textId="77777777" w:rsidR="00817104" w:rsidRPr="00926A20" w:rsidRDefault="00817104" w:rsidP="00236CBF">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ACA Evaluation</w:t>
            </w:r>
          </w:p>
        </w:tc>
        <w:tc>
          <w:tcPr>
            <w:tcW w:w="2561" w:type="pct"/>
          </w:tcPr>
          <w:p w14:paraId="3140ED52"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r w:rsidRPr="00926A20">
              <w:rPr>
                <w:rStyle w:val="Hyperlink"/>
                <w:color w:val="auto"/>
                <w:szCs w:val="18"/>
                <w:u w:val="none"/>
              </w:rPr>
              <w:t xml:space="preserve">Aged Care Act </w:t>
            </w:r>
          </w:p>
          <w:p w14:paraId="22DD246E"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hyperlink r:id="rId555" w:history="1">
              <w:r w:rsidRPr="00926A20">
                <w:rPr>
                  <w:rStyle w:val="Hyperlink"/>
                  <w:szCs w:val="18"/>
                </w:rPr>
                <w:t>My Aged Care Assessment Manual</w:t>
              </w:r>
            </w:hyperlink>
            <w:r w:rsidRPr="00926A20">
              <w:rPr>
                <w:szCs w:val="18"/>
              </w:rPr>
              <w:t xml:space="preserve"> &lt;https://www.health.gov.au/resources/publications/my-aged-care-assessment-manual?language=en&gt;</w:t>
            </w:r>
          </w:p>
          <w:p w14:paraId="18CB47EF"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szCs w:val="18"/>
              </w:rPr>
            </w:pPr>
            <w:hyperlink r:id="rId556" w:history="1">
              <w:r w:rsidRPr="00926A20">
                <w:rPr>
                  <w:rStyle w:val="Hyperlink"/>
                  <w:szCs w:val="18"/>
                </w:rPr>
                <w:t>My Aged Care – Integrated Assessment Tool (IAT) User Guide</w:t>
              </w:r>
            </w:hyperlink>
            <w:r w:rsidRPr="00926A20">
              <w:rPr>
                <w:szCs w:val="18"/>
              </w:rPr>
              <w:t xml:space="preserve"> &lt;https://www.health.gov.au/resources/publications/my-aged-care-integrated-assessment-tool-iat-user-guide?language=en&gt;</w:t>
            </w:r>
          </w:p>
          <w:p w14:paraId="49936999"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hyperlink r:id="rId557" w:history="1">
              <w:r w:rsidRPr="00926A20">
                <w:rPr>
                  <w:rStyle w:val="Hyperlink"/>
                  <w:i/>
                  <w:iCs/>
                  <w:szCs w:val="18"/>
                </w:rPr>
                <w:t>Aged Care Assessment Quality Framework</w:t>
              </w:r>
            </w:hyperlink>
            <w:r w:rsidRPr="00926A20">
              <w:rPr>
                <w:rStyle w:val="Hyperlink"/>
                <w:color w:val="auto"/>
                <w:szCs w:val="18"/>
                <w:u w:val="none"/>
              </w:rPr>
              <w:t xml:space="preserve"> </w:t>
            </w:r>
            <w:r w:rsidRPr="00926A20">
              <w:rPr>
                <w:szCs w:val="18"/>
              </w:rPr>
              <w:t>&lt;https://www.health.gov.au/resources/publications/aged-care-assessment-quality-framework?language=en&gt;</w:t>
            </w:r>
          </w:p>
          <w:p w14:paraId="37470141"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strike/>
                <w:color w:val="auto"/>
                <w:szCs w:val="18"/>
                <w:u w:val="none"/>
              </w:rPr>
            </w:pPr>
            <w:hyperlink r:id="rId558" w:history="1">
              <w:r w:rsidRPr="00926A20">
                <w:rPr>
                  <w:rStyle w:val="Hyperlink"/>
                  <w:szCs w:val="18"/>
                </w:rPr>
                <w:t>Who is eligible for aged care services</w:t>
              </w:r>
            </w:hyperlink>
            <w:r w:rsidRPr="00926A20">
              <w:rPr>
                <w:szCs w:val="18"/>
              </w:rPr>
              <w:t xml:space="preserve"> &lt;https://www.health.gov.au/resources/publications/guide-to-aged-care-law/chapter-2-entry-to-the-commonwealth-aged-care-system/who-is-eligible-for-aged-care-services?language=en&gt;</w:t>
            </w:r>
          </w:p>
          <w:p w14:paraId="3A07D8F4"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hyperlink r:id="rId559" w:history="1">
              <w:r w:rsidRPr="00926A20">
                <w:rPr>
                  <w:rStyle w:val="Hyperlink"/>
                  <w:szCs w:val="18"/>
                </w:rPr>
                <w:t>My Aged Care Workforce Learning Strategy</w:t>
              </w:r>
            </w:hyperlink>
            <w:r w:rsidRPr="00926A20">
              <w:rPr>
                <w:szCs w:val="18"/>
              </w:rPr>
              <w:t xml:space="preserve"> &lt;https://www.health.gov.au/resources/publications/my-aged-care-workforce-learning-strategy?language=en&gt;</w:t>
            </w:r>
          </w:p>
          <w:p w14:paraId="5A1AE746"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hyperlink r:id="rId560" w:history="1">
              <w:r w:rsidRPr="00926A20">
                <w:rPr>
                  <w:rStyle w:val="Hyperlink"/>
                  <w:szCs w:val="18"/>
                </w:rPr>
                <w:t>My Aged Care resources</w:t>
              </w:r>
            </w:hyperlink>
            <w:r w:rsidRPr="00926A20">
              <w:rPr>
                <w:szCs w:val="18"/>
              </w:rPr>
              <w:t xml:space="preserve"> &lt;https://www.myagedcare.gov.au/resources&gt;</w:t>
            </w:r>
          </w:p>
          <w:p w14:paraId="55275214" w14:textId="648D6C9E"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szCs w:val="18"/>
              </w:rPr>
            </w:pPr>
            <w:hyperlink r:id="rId561" w:history="1">
              <w:r w:rsidRPr="00926A20">
                <w:rPr>
                  <w:rStyle w:val="Hyperlink"/>
                  <w:szCs w:val="18"/>
                </w:rPr>
                <w:t>My Aged Care – Assessor Portal Resources</w:t>
              </w:r>
            </w:hyperlink>
            <w:r w:rsidRPr="00926A20">
              <w:rPr>
                <w:szCs w:val="18"/>
              </w:rPr>
              <w:t xml:space="preserve"> &lt;https://www.health.gov.au/resources/collections/my-aged-care-assessor-portal-resources&gt;</w:t>
            </w:r>
          </w:p>
          <w:p w14:paraId="6084A773"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hyperlink r:id="rId562" w:history="1">
              <w:r w:rsidRPr="0062326D">
                <w:rPr>
                  <w:rStyle w:val="Hyperlink"/>
                  <w:szCs w:val="18"/>
                </w:rPr>
                <w:t>Aged Care Diversity Framework action plans</w:t>
              </w:r>
            </w:hyperlink>
            <w:r w:rsidRPr="00926A20">
              <w:rPr>
                <w:rStyle w:val="Hyperlink"/>
                <w:color w:val="auto"/>
                <w:szCs w:val="18"/>
                <w:u w:val="none"/>
              </w:rPr>
              <w:t xml:space="preserve"> </w:t>
            </w:r>
            <w:r w:rsidRPr="00926A20" w:rsidDel="009C36D7">
              <w:rPr>
                <w:rStyle w:val="Hyperlink"/>
                <w:color w:val="auto"/>
                <w:szCs w:val="18"/>
                <w:u w:val="none"/>
              </w:rPr>
              <w:t>&lt;</w:t>
            </w:r>
            <w:r w:rsidRPr="00926A20">
              <w:rPr>
                <w:rStyle w:val="Hyperlink"/>
                <w:color w:val="auto"/>
                <w:szCs w:val="18"/>
                <w:u w:val="none"/>
              </w:rPr>
              <w:t>https://www.health.gov.au/resources/collections/aged-care-diversity-framework-action-plans&gt;</w:t>
            </w:r>
          </w:p>
          <w:p w14:paraId="5C18CCFA"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szCs w:val="18"/>
              </w:rPr>
            </w:pPr>
            <w:hyperlink r:id="rId563" w:history="1">
              <w:r w:rsidRPr="00926A20">
                <w:rPr>
                  <w:rStyle w:val="Hyperlink"/>
                  <w:szCs w:val="18"/>
                </w:rPr>
                <w:t>Ageing and aged care</w:t>
              </w:r>
            </w:hyperlink>
            <w:r w:rsidRPr="00926A20">
              <w:rPr>
                <w:szCs w:val="18"/>
              </w:rPr>
              <w:t xml:space="preserve"> &lt;https://www.health.vic.gov.au/ageing-and-aged-care&gt;</w:t>
            </w:r>
          </w:p>
        </w:tc>
      </w:tr>
      <w:tr w:rsidR="00817104" w:rsidRPr="00926A20" w14:paraId="01076ED8" w14:textId="77777777" w:rsidTr="00236CBF">
        <w:trPr>
          <w:trHeight w:val="300"/>
        </w:trPr>
        <w:tc>
          <w:tcPr>
            <w:cnfStyle w:val="001000000000" w:firstRow="0" w:lastRow="0" w:firstColumn="1" w:lastColumn="0" w:oddVBand="0" w:evenVBand="0" w:oddHBand="0" w:evenHBand="0" w:firstRowFirstColumn="0" w:firstRowLastColumn="0" w:lastRowFirstColumn="0" w:lastRowLastColumn="0"/>
            <w:tcW w:w="466" w:type="pct"/>
          </w:tcPr>
          <w:p w14:paraId="4ABCAEE3" w14:textId="77777777" w:rsidR="00817104" w:rsidRPr="00926A20" w:rsidRDefault="00817104" w:rsidP="00236CBF">
            <w:pPr>
              <w:pStyle w:val="Tabletext"/>
              <w:rPr>
                <w:szCs w:val="18"/>
              </w:rPr>
            </w:pPr>
            <w:r w:rsidRPr="00926A20">
              <w:rPr>
                <w:szCs w:val="18"/>
              </w:rPr>
              <w:lastRenderedPageBreak/>
              <w:t>13156</w:t>
            </w:r>
          </w:p>
        </w:tc>
        <w:tc>
          <w:tcPr>
            <w:tcW w:w="1972" w:type="pct"/>
          </w:tcPr>
          <w:p w14:paraId="438E2025" w14:textId="77777777" w:rsidR="00817104" w:rsidRPr="00926A20" w:rsidRDefault="00817104" w:rsidP="00236CBF">
            <w:pPr>
              <w:pStyle w:val="Tabletext"/>
              <w:cnfStyle w:val="000000000000" w:firstRow="0" w:lastRow="0" w:firstColumn="0" w:lastColumn="0" w:oddVBand="0" w:evenVBand="0" w:oddHBand="0" w:evenHBand="0" w:firstRowFirstColumn="0" w:firstRowLastColumn="0" w:lastRowFirstColumn="0" w:lastRowLastColumn="0"/>
              <w:rPr>
                <w:szCs w:val="18"/>
              </w:rPr>
            </w:pPr>
            <w:r w:rsidRPr="00926A20">
              <w:rPr>
                <w:szCs w:val="18"/>
              </w:rPr>
              <w:t>Seniors Health Promotion</w:t>
            </w:r>
          </w:p>
        </w:tc>
        <w:tc>
          <w:tcPr>
            <w:tcW w:w="2561" w:type="pct"/>
          </w:tcPr>
          <w:p w14:paraId="3E73F193" w14:textId="77777777" w:rsidR="00817104" w:rsidRPr="00926A20" w:rsidRDefault="00817104">
            <w:pPr>
              <w:pStyle w:val="Tablebullet1"/>
              <w:numPr>
                <w:ilvl w:val="0"/>
                <w:numId w:val="13"/>
              </w:numPr>
              <w:ind w:left="0"/>
              <w:cnfStyle w:val="000000000000" w:firstRow="0" w:lastRow="0" w:firstColumn="0" w:lastColumn="0" w:oddVBand="0" w:evenVBand="0" w:oddHBand="0" w:evenHBand="0" w:firstRowFirstColumn="0" w:firstRowLastColumn="0" w:lastRowFirstColumn="0" w:lastRowLastColumn="0"/>
              <w:rPr>
                <w:szCs w:val="18"/>
              </w:rPr>
            </w:pPr>
            <w:r w:rsidRPr="00926A20">
              <w:rPr>
                <w:rStyle w:val="Hyperlink"/>
                <w:color w:val="auto"/>
                <w:szCs w:val="18"/>
                <w:u w:val="none"/>
              </w:rPr>
              <w:t>Older persons high-rise program guidelines</w:t>
            </w:r>
          </w:p>
        </w:tc>
      </w:tr>
      <w:tr w:rsidR="00817104" w:rsidRPr="00926A20" w14:paraId="7B876C5B" w14:textId="77777777" w:rsidTr="00236C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 w:type="pct"/>
          </w:tcPr>
          <w:p w14:paraId="1534112A" w14:textId="77777777" w:rsidR="00817104" w:rsidRPr="00926A20" w:rsidRDefault="00817104" w:rsidP="00236CBF">
            <w:pPr>
              <w:pStyle w:val="Tabletext"/>
              <w:rPr>
                <w:szCs w:val="18"/>
              </w:rPr>
            </w:pPr>
            <w:r w:rsidRPr="00926A20">
              <w:rPr>
                <w:szCs w:val="18"/>
              </w:rPr>
              <w:t>13301</w:t>
            </w:r>
          </w:p>
        </w:tc>
        <w:tc>
          <w:tcPr>
            <w:tcW w:w="1972" w:type="pct"/>
          </w:tcPr>
          <w:p w14:paraId="098330AF" w14:textId="77777777" w:rsidR="00817104" w:rsidRPr="00926A20" w:rsidRDefault="00817104" w:rsidP="00236CBF">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szCs w:val="18"/>
              </w:rPr>
              <w:t xml:space="preserve">Aged Quality Improvement </w:t>
            </w:r>
          </w:p>
        </w:tc>
        <w:tc>
          <w:tcPr>
            <w:tcW w:w="2561" w:type="pct"/>
          </w:tcPr>
          <w:p w14:paraId="08EF5FF0" w14:textId="77777777" w:rsidR="00817104" w:rsidRPr="00926A20" w:rsidRDefault="00817104" w:rsidP="00236CBF">
            <w:pPr>
              <w:pStyle w:val="Tabletext"/>
              <w:cnfStyle w:val="000000100000" w:firstRow="0" w:lastRow="0" w:firstColumn="0" w:lastColumn="0" w:oddVBand="0" w:evenVBand="0" w:oddHBand="1" w:evenHBand="0" w:firstRowFirstColumn="0" w:firstRowLastColumn="0" w:lastRowFirstColumn="0" w:lastRowLastColumn="0"/>
              <w:rPr>
                <w:szCs w:val="18"/>
              </w:rPr>
            </w:pPr>
            <w:r w:rsidRPr="00926A20">
              <w:rPr>
                <w:rStyle w:val="Emphasis"/>
                <w:rFonts w:eastAsia="MS Gothic"/>
                <w:szCs w:val="18"/>
              </w:rPr>
              <w:t>Aged Care Act 2024,</w:t>
            </w:r>
            <w:r w:rsidRPr="00926A20">
              <w:rPr>
                <w:szCs w:val="18"/>
              </w:rPr>
              <w:t xml:space="preserve"> as amended</w:t>
            </w:r>
          </w:p>
          <w:p w14:paraId="6240386A" w14:textId="0DCFADDA" w:rsidR="00817104" w:rsidRPr="00926A20" w:rsidRDefault="00E87F77" w:rsidP="00236CBF">
            <w:pPr>
              <w:pStyle w:val="Tabletext"/>
              <w:cnfStyle w:val="000000100000" w:firstRow="0" w:lastRow="0" w:firstColumn="0" w:lastColumn="0" w:oddVBand="0" w:evenVBand="0" w:oddHBand="1" w:evenHBand="0" w:firstRowFirstColumn="0" w:firstRowLastColumn="0" w:lastRowFirstColumn="0" w:lastRowLastColumn="0"/>
              <w:rPr>
                <w:color w:val="004C97"/>
                <w:szCs w:val="18"/>
                <w:u w:val="dotted"/>
              </w:rPr>
            </w:pPr>
            <w:r>
              <w:rPr>
                <w:szCs w:val="18"/>
              </w:rPr>
              <w:t>Australian Government</w:t>
            </w:r>
            <w:r w:rsidR="00817104" w:rsidRPr="00926A20">
              <w:rPr>
                <w:szCs w:val="18"/>
              </w:rPr>
              <w:t xml:space="preserve"> resources:</w:t>
            </w:r>
          </w:p>
          <w:p w14:paraId="54C121DF"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szCs w:val="18"/>
                <w:u w:val="dotted"/>
              </w:rPr>
            </w:pPr>
            <w:hyperlink r:id="rId564" w:history="1">
              <w:r w:rsidRPr="00926A20">
                <w:rPr>
                  <w:rStyle w:val="Hyperlink"/>
                  <w:szCs w:val="18"/>
                </w:rPr>
                <w:t>New Aged Care Act</w:t>
              </w:r>
            </w:hyperlink>
            <w:r w:rsidRPr="00926A20">
              <w:rPr>
                <w:szCs w:val="18"/>
              </w:rPr>
              <w:t xml:space="preserve"> &lt;https://www.health.gov.au/our-work/aged-care-act?language=en&gt;</w:t>
            </w:r>
          </w:p>
          <w:p w14:paraId="103D44A0"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szCs w:val="18"/>
              </w:rPr>
            </w:pPr>
            <w:hyperlink r:id="rId565">
              <w:r w:rsidRPr="00926A20">
                <w:rPr>
                  <w:rStyle w:val="Hyperlink"/>
                  <w:szCs w:val="18"/>
                </w:rPr>
                <w:t>Aged care guides and policies</w:t>
              </w:r>
            </w:hyperlink>
            <w:r w:rsidRPr="00926A20">
              <w:rPr>
                <w:rStyle w:val="Hyperlink"/>
                <w:color w:val="auto"/>
                <w:szCs w:val="18"/>
              </w:rPr>
              <w:t xml:space="preserve"> </w:t>
            </w:r>
            <w:r w:rsidRPr="00926A20">
              <w:rPr>
                <w:szCs w:val="18"/>
              </w:rPr>
              <w:t>&lt;https://www.health.gov.au/our-work/aged-care-act?language=en&gt;</w:t>
            </w:r>
          </w:p>
          <w:p w14:paraId="197E7516"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szCs w:val="18"/>
              </w:rPr>
            </w:pPr>
            <w:hyperlink r:id="rId566" w:history="1">
              <w:r w:rsidRPr="00926A20">
                <w:rPr>
                  <w:rStyle w:val="Hyperlink"/>
                  <w:szCs w:val="18"/>
                </w:rPr>
                <w:t>My Aged Care</w:t>
              </w:r>
            </w:hyperlink>
            <w:r w:rsidRPr="00926A20">
              <w:rPr>
                <w:szCs w:val="18"/>
              </w:rPr>
              <w:t xml:space="preserve"> &lt;https://www.myagedcare.gov.au&gt;</w:t>
            </w:r>
          </w:p>
          <w:p w14:paraId="235E80FF" w14:textId="77777777" w:rsidR="00817104" w:rsidRPr="00926A20" w:rsidRDefault="00817104">
            <w:pPr>
              <w:pStyle w:val="Tablebullet1"/>
              <w:numPr>
                <w:ilvl w:val="0"/>
                <w:numId w:val="13"/>
              </w:numPr>
              <w:ind w:left="0"/>
              <w:cnfStyle w:val="000000100000" w:firstRow="0" w:lastRow="0" w:firstColumn="0" w:lastColumn="0" w:oddVBand="0" w:evenVBand="0" w:oddHBand="1" w:evenHBand="0" w:firstRowFirstColumn="0" w:firstRowLastColumn="0" w:lastRowFirstColumn="0" w:lastRowLastColumn="0"/>
              <w:rPr>
                <w:rStyle w:val="Hyperlink"/>
                <w:rFonts w:ascii="Cambria" w:hAnsi="Cambria"/>
                <w:szCs w:val="18"/>
              </w:rPr>
            </w:pPr>
            <w:hyperlink r:id="rId567" w:history="1">
              <w:r w:rsidRPr="00926A20">
                <w:rPr>
                  <w:rStyle w:val="Hyperlink"/>
                  <w:szCs w:val="18"/>
                </w:rPr>
                <w:t>Aged Care Quality and Safety Commission</w:t>
              </w:r>
            </w:hyperlink>
            <w:r w:rsidRPr="00926A20">
              <w:rPr>
                <w:szCs w:val="18"/>
              </w:rPr>
              <w:t xml:space="preserve"> &lt;https://www.agedcarequality.gov.au/&gt;</w:t>
            </w:r>
          </w:p>
        </w:tc>
      </w:tr>
    </w:tbl>
    <w:p w14:paraId="1554E855" w14:textId="5999CCA0" w:rsidR="00817104" w:rsidRPr="00DB3455" w:rsidRDefault="00817104" w:rsidP="00817104">
      <w:pPr>
        <w:pStyle w:val="Tablecaption"/>
      </w:pPr>
      <w:bookmarkStart w:id="2864" w:name="_Toc230537146"/>
      <w:r>
        <w:t xml:space="preserve">Table </w:t>
      </w:r>
      <w:r w:rsidR="00236CBF">
        <w:t>26</w:t>
      </w:r>
      <w:r>
        <w:t xml:space="preserve">: Primary, community and dental health – service </w:t>
      </w:r>
      <w:r w:rsidRPr="004927D5">
        <w:t>standards</w:t>
      </w:r>
      <w:r>
        <w:t xml:space="preserve"> and guidelines</w:t>
      </w:r>
      <w:bookmarkEnd w:id="2864"/>
    </w:p>
    <w:tbl>
      <w:tblPr>
        <w:tblStyle w:val="GridTable4-Accent1"/>
        <w:tblW w:w="0" w:type="auto"/>
        <w:tblLook w:val="04A0" w:firstRow="1" w:lastRow="0" w:firstColumn="1" w:lastColumn="0" w:noHBand="0" w:noVBand="1"/>
      </w:tblPr>
      <w:tblGrid>
        <w:gridCol w:w="907"/>
        <w:gridCol w:w="1428"/>
        <w:gridCol w:w="6953"/>
      </w:tblGrid>
      <w:tr w:rsidR="00817104" w:rsidRPr="001C41BD" w14:paraId="245E14CA" w14:textId="77777777" w:rsidTr="00236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61AF5C" w14:textId="77777777" w:rsidR="00817104" w:rsidRPr="00236CBF" w:rsidRDefault="00817104" w:rsidP="00785A21">
            <w:pPr>
              <w:pStyle w:val="Tablecolhead"/>
              <w:rPr>
                <w:b/>
                <w:bCs w:val="0"/>
                <w:color w:val="FFFFFF" w:themeColor="background1"/>
                <w:sz w:val="18"/>
                <w:szCs w:val="18"/>
              </w:rPr>
            </w:pPr>
            <w:r w:rsidRPr="00236CBF">
              <w:rPr>
                <w:b/>
                <w:bCs w:val="0"/>
                <w:color w:val="FFFFFF" w:themeColor="background1"/>
                <w:sz w:val="18"/>
                <w:szCs w:val="18"/>
              </w:rPr>
              <w:t>Activity no.</w:t>
            </w:r>
          </w:p>
        </w:tc>
        <w:tc>
          <w:tcPr>
            <w:tcW w:w="0" w:type="auto"/>
          </w:tcPr>
          <w:p w14:paraId="3F915C40" w14:textId="77777777" w:rsidR="00817104" w:rsidRPr="00236CB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236CBF">
              <w:rPr>
                <w:b/>
                <w:bCs w:val="0"/>
                <w:color w:val="FFFFFF" w:themeColor="background1"/>
                <w:sz w:val="18"/>
                <w:szCs w:val="18"/>
              </w:rPr>
              <w:t>Activity name</w:t>
            </w:r>
          </w:p>
        </w:tc>
        <w:tc>
          <w:tcPr>
            <w:tcW w:w="0" w:type="auto"/>
          </w:tcPr>
          <w:p w14:paraId="468CD898" w14:textId="77777777" w:rsidR="00817104" w:rsidRPr="00236CBF"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236CBF">
              <w:rPr>
                <w:b/>
                <w:bCs w:val="0"/>
                <w:color w:val="FFFFFF" w:themeColor="background1"/>
                <w:sz w:val="18"/>
                <w:szCs w:val="18"/>
              </w:rPr>
              <w:t>Service standards and guidelines description</w:t>
            </w:r>
          </w:p>
        </w:tc>
      </w:tr>
      <w:tr w:rsidR="00817104" w:rsidRPr="001C41BD" w14:paraId="54F6BCEA" w14:textId="77777777" w:rsidTr="00236CBF">
        <w:trPr>
          <w:cnfStyle w:val="000000100000" w:firstRow="0" w:lastRow="0" w:firstColumn="0" w:lastColumn="0" w:oddVBand="0" w:evenVBand="0" w:oddHBand="1" w:evenHBand="0" w:firstRowFirstColumn="0" w:firstRowLastColumn="0" w:lastRowFirstColumn="0" w:lastRowLastColumn="0"/>
          <w:trHeight w:val="1246"/>
        </w:trPr>
        <w:tc>
          <w:tcPr>
            <w:cnfStyle w:val="001000000000" w:firstRow="0" w:lastRow="0" w:firstColumn="1" w:lastColumn="0" w:oddVBand="0" w:evenVBand="0" w:oddHBand="0" w:evenHBand="0" w:firstRowFirstColumn="0" w:firstRowLastColumn="0" w:lastRowFirstColumn="0" w:lastRowLastColumn="0"/>
            <w:tcW w:w="0" w:type="auto"/>
          </w:tcPr>
          <w:p w14:paraId="48504D7E" w14:textId="77777777" w:rsidR="00817104" w:rsidRPr="001C41BD" w:rsidRDefault="00817104">
            <w:pPr>
              <w:pStyle w:val="Tabletext"/>
              <w:rPr>
                <w:b w:val="0"/>
                <w:bCs w:val="0"/>
                <w:szCs w:val="18"/>
              </w:rPr>
            </w:pPr>
            <w:r w:rsidRPr="001C41BD">
              <w:rPr>
                <w:szCs w:val="18"/>
              </w:rPr>
              <w:t>27010</w:t>
            </w:r>
          </w:p>
          <w:p w14:paraId="4BB9B8E2" w14:textId="77777777" w:rsidR="00817104" w:rsidRPr="001C41BD" w:rsidRDefault="00817104">
            <w:pPr>
              <w:pStyle w:val="Tabletext"/>
              <w:rPr>
                <w:b w:val="0"/>
                <w:bCs w:val="0"/>
                <w:szCs w:val="18"/>
              </w:rPr>
            </w:pPr>
            <w:r w:rsidRPr="001C41BD">
              <w:rPr>
                <w:szCs w:val="18"/>
              </w:rPr>
              <w:t>27011</w:t>
            </w:r>
          </w:p>
          <w:p w14:paraId="2EF69556" w14:textId="77777777" w:rsidR="00817104" w:rsidRPr="001C41BD" w:rsidRDefault="00817104">
            <w:pPr>
              <w:pStyle w:val="Tabletext"/>
              <w:rPr>
                <w:b w:val="0"/>
                <w:bCs w:val="0"/>
                <w:szCs w:val="18"/>
              </w:rPr>
            </w:pPr>
            <w:r w:rsidRPr="001C41BD">
              <w:rPr>
                <w:szCs w:val="18"/>
              </w:rPr>
              <w:t>27017</w:t>
            </w:r>
          </w:p>
          <w:p w14:paraId="44CBD8E9" w14:textId="77777777" w:rsidR="00817104" w:rsidRPr="001C41BD" w:rsidRDefault="00817104">
            <w:pPr>
              <w:pStyle w:val="Tabletext"/>
              <w:rPr>
                <w:b w:val="0"/>
                <w:bCs w:val="0"/>
                <w:szCs w:val="18"/>
              </w:rPr>
            </w:pPr>
            <w:r w:rsidRPr="001C41BD">
              <w:rPr>
                <w:szCs w:val="18"/>
              </w:rPr>
              <w:t>27019</w:t>
            </w:r>
          </w:p>
          <w:p w14:paraId="5B4D4639" w14:textId="77777777" w:rsidR="00817104" w:rsidRPr="001C41BD" w:rsidRDefault="00817104">
            <w:pPr>
              <w:pStyle w:val="Tabletext"/>
              <w:rPr>
                <w:b w:val="0"/>
                <w:bCs w:val="0"/>
                <w:szCs w:val="18"/>
              </w:rPr>
            </w:pPr>
            <w:r w:rsidRPr="001C41BD">
              <w:rPr>
                <w:szCs w:val="18"/>
              </w:rPr>
              <w:t>27020</w:t>
            </w:r>
          </w:p>
          <w:p w14:paraId="3E8BE1E8" w14:textId="77777777" w:rsidR="00817104" w:rsidRPr="001C41BD" w:rsidRDefault="00817104">
            <w:pPr>
              <w:pStyle w:val="Tabletext"/>
              <w:rPr>
                <w:b w:val="0"/>
                <w:bCs w:val="0"/>
                <w:szCs w:val="18"/>
              </w:rPr>
            </w:pPr>
            <w:r w:rsidRPr="001C41BD">
              <w:rPr>
                <w:szCs w:val="18"/>
              </w:rPr>
              <w:t>27023</w:t>
            </w:r>
          </w:p>
          <w:p w14:paraId="17665C06" w14:textId="77777777" w:rsidR="00817104" w:rsidRPr="001C41BD" w:rsidRDefault="00817104">
            <w:pPr>
              <w:pStyle w:val="Tabletext"/>
              <w:rPr>
                <w:b w:val="0"/>
                <w:bCs w:val="0"/>
                <w:szCs w:val="18"/>
              </w:rPr>
            </w:pPr>
            <w:r w:rsidRPr="001C41BD">
              <w:rPr>
                <w:szCs w:val="18"/>
              </w:rPr>
              <w:t>27024</w:t>
            </w:r>
          </w:p>
          <w:p w14:paraId="4CE50462" w14:textId="77777777" w:rsidR="00817104" w:rsidRPr="001C41BD" w:rsidRDefault="00817104">
            <w:pPr>
              <w:pStyle w:val="Tabletext"/>
              <w:rPr>
                <w:b w:val="0"/>
                <w:bCs w:val="0"/>
                <w:szCs w:val="18"/>
              </w:rPr>
            </w:pPr>
            <w:r w:rsidRPr="001C41BD">
              <w:rPr>
                <w:szCs w:val="18"/>
              </w:rPr>
              <w:t>27025</w:t>
            </w:r>
          </w:p>
          <w:p w14:paraId="08E5F1E8" w14:textId="77777777" w:rsidR="00817104" w:rsidRPr="001C41BD" w:rsidRDefault="00817104">
            <w:pPr>
              <w:pStyle w:val="Tabletext"/>
              <w:rPr>
                <w:b w:val="0"/>
                <w:bCs w:val="0"/>
                <w:szCs w:val="18"/>
              </w:rPr>
            </w:pPr>
            <w:r w:rsidRPr="001C41BD">
              <w:rPr>
                <w:szCs w:val="18"/>
              </w:rPr>
              <w:t>27026</w:t>
            </w:r>
          </w:p>
          <w:p w14:paraId="787DFDA3" w14:textId="77777777" w:rsidR="00817104" w:rsidRPr="001C41BD" w:rsidRDefault="00817104">
            <w:pPr>
              <w:pStyle w:val="Tabletext"/>
              <w:rPr>
                <w:b w:val="0"/>
                <w:bCs w:val="0"/>
                <w:szCs w:val="18"/>
              </w:rPr>
            </w:pPr>
            <w:r w:rsidRPr="001C41BD">
              <w:rPr>
                <w:szCs w:val="18"/>
              </w:rPr>
              <w:t>27028</w:t>
            </w:r>
          </w:p>
          <w:p w14:paraId="14784470" w14:textId="77777777" w:rsidR="00817104" w:rsidRPr="001C41BD" w:rsidRDefault="00817104">
            <w:pPr>
              <w:pStyle w:val="Tabletext"/>
              <w:rPr>
                <w:szCs w:val="18"/>
              </w:rPr>
            </w:pPr>
            <w:r w:rsidRPr="001C41BD">
              <w:rPr>
                <w:szCs w:val="18"/>
              </w:rPr>
              <w:t>27029</w:t>
            </w:r>
          </w:p>
        </w:tc>
        <w:tc>
          <w:tcPr>
            <w:tcW w:w="0" w:type="auto"/>
          </w:tcPr>
          <w:p w14:paraId="64E637A7"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rFonts w:eastAsia="Arial Narrow"/>
                <w:szCs w:val="18"/>
              </w:rPr>
            </w:pPr>
            <w:r w:rsidRPr="001C41BD">
              <w:rPr>
                <w:szCs w:val="18"/>
              </w:rPr>
              <w:t xml:space="preserve">Dental health </w:t>
            </w:r>
          </w:p>
        </w:tc>
        <w:tc>
          <w:tcPr>
            <w:tcW w:w="0" w:type="auto"/>
          </w:tcPr>
          <w:p w14:paraId="6EF1FFFF"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rFonts w:eastAsia="Arial Narrow"/>
                <w:szCs w:val="18"/>
              </w:rPr>
            </w:pPr>
            <w:hyperlink r:id="rId568">
              <w:r w:rsidRPr="001C41BD">
                <w:rPr>
                  <w:rStyle w:val="Hyperlink"/>
                  <w:szCs w:val="18"/>
                </w:rPr>
                <w:t>Dental health</w:t>
              </w:r>
            </w:hyperlink>
            <w:r w:rsidRPr="001C41BD">
              <w:rPr>
                <w:rStyle w:val="Hyperlink"/>
                <w:rFonts w:eastAsia="Arial"/>
                <w:szCs w:val="18"/>
              </w:rPr>
              <w:t xml:space="preserve"> </w:t>
            </w:r>
            <w:r w:rsidRPr="001C41BD">
              <w:rPr>
                <w:rFonts w:eastAsia="Arial" w:cs="Arial"/>
                <w:szCs w:val="18"/>
              </w:rPr>
              <w:t>&lt;</w:t>
            </w:r>
            <w:r w:rsidRPr="001C41BD">
              <w:rPr>
                <w:rFonts w:eastAsia="Arial"/>
                <w:szCs w:val="18"/>
              </w:rPr>
              <w:t>https://www.health.vic.gov.au/primary-and-community-health/dental-health</w:t>
            </w:r>
            <w:r w:rsidRPr="001C41BD">
              <w:rPr>
                <w:rFonts w:cs="Arial"/>
                <w:szCs w:val="18"/>
              </w:rPr>
              <w:t>&gt;</w:t>
            </w:r>
          </w:p>
        </w:tc>
      </w:tr>
      <w:tr w:rsidR="00817104" w:rsidRPr="001C41BD" w14:paraId="02003BC3" w14:textId="77777777" w:rsidTr="00236CBF">
        <w:trPr>
          <w:trHeight w:val="659"/>
        </w:trPr>
        <w:tc>
          <w:tcPr>
            <w:cnfStyle w:val="001000000000" w:firstRow="0" w:lastRow="0" w:firstColumn="1" w:lastColumn="0" w:oddVBand="0" w:evenVBand="0" w:oddHBand="0" w:evenHBand="0" w:firstRowFirstColumn="0" w:firstRowLastColumn="0" w:lastRowFirstColumn="0" w:lastRowLastColumn="0"/>
            <w:tcW w:w="0" w:type="auto"/>
          </w:tcPr>
          <w:p w14:paraId="18BA50C6" w14:textId="77777777" w:rsidR="00817104" w:rsidRPr="001C41BD" w:rsidRDefault="00817104">
            <w:pPr>
              <w:pStyle w:val="Tabletext"/>
              <w:spacing w:line="276" w:lineRule="auto"/>
              <w:rPr>
                <w:b w:val="0"/>
                <w:bCs w:val="0"/>
                <w:szCs w:val="18"/>
              </w:rPr>
            </w:pPr>
            <w:r w:rsidRPr="001C41BD">
              <w:rPr>
                <w:szCs w:val="18"/>
              </w:rPr>
              <w:t>28015</w:t>
            </w:r>
          </w:p>
          <w:p w14:paraId="3EB987C2" w14:textId="77777777" w:rsidR="00817104" w:rsidRPr="001C41BD" w:rsidRDefault="00817104">
            <w:pPr>
              <w:pStyle w:val="Tabletext"/>
              <w:spacing w:line="276" w:lineRule="auto"/>
              <w:rPr>
                <w:b w:val="0"/>
                <w:bCs w:val="0"/>
                <w:szCs w:val="18"/>
              </w:rPr>
            </w:pPr>
            <w:r w:rsidRPr="001C41BD">
              <w:rPr>
                <w:szCs w:val="18"/>
              </w:rPr>
              <w:t>28016</w:t>
            </w:r>
          </w:p>
          <w:p w14:paraId="6E99F06B" w14:textId="77777777" w:rsidR="00817104" w:rsidRPr="001C41BD" w:rsidRDefault="00817104">
            <w:pPr>
              <w:pStyle w:val="Tabletext"/>
              <w:spacing w:line="276" w:lineRule="auto"/>
              <w:rPr>
                <w:b w:val="0"/>
                <w:bCs w:val="0"/>
                <w:szCs w:val="18"/>
              </w:rPr>
            </w:pPr>
            <w:r w:rsidRPr="001C41BD">
              <w:rPr>
                <w:szCs w:val="18"/>
              </w:rPr>
              <w:t>28018</w:t>
            </w:r>
          </w:p>
          <w:p w14:paraId="22A93BFF" w14:textId="77777777" w:rsidR="00817104" w:rsidRPr="001C41BD" w:rsidRDefault="00817104">
            <w:pPr>
              <w:pStyle w:val="Tabletext"/>
              <w:spacing w:line="276" w:lineRule="auto"/>
              <w:rPr>
                <w:b w:val="0"/>
                <w:bCs w:val="0"/>
                <w:szCs w:val="18"/>
              </w:rPr>
            </w:pPr>
            <w:r w:rsidRPr="001C41BD">
              <w:rPr>
                <w:szCs w:val="18"/>
              </w:rPr>
              <w:t>28050</w:t>
            </w:r>
          </w:p>
          <w:p w14:paraId="516F7AAE" w14:textId="77777777" w:rsidR="00817104" w:rsidRPr="001C41BD" w:rsidRDefault="00817104">
            <w:pPr>
              <w:pStyle w:val="Tabletext"/>
              <w:spacing w:line="276" w:lineRule="auto"/>
              <w:rPr>
                <w:b w:val="0"/>
                <w:bCs w:val="0"/>
                <w:szCs w:val="18"/>
              </w:rPr>
            </w:pPr>
            <w:r w:rsidRPr="001C41BD">
              <w:rPr>
                <w:szCs w:val="18"/>
              </w:rPr>
              <w:t>28063</w:t>
            </w:r>
          </w:p>
          <w:p w14:paraId="3CC24545" w14:textId="77777777" w:rsidR="00817104" w:rsidRPr="001C41BD" w:rsidRDefault="00817104">
            <w:pPr>
              <w:pStyle w:val="Tabletext"/>
              <w:spacing w:line="276" w:lineRule="auto"/>
              <w:rPr>
                <w:b w:val="0"/>
                <w:bCs w:val="0"/>
                <w:szCs w:val="18"/>
              </w:rPr>
            </w:pPr>
            <w:r w:rsidRPr="001C41BD">
              <w:rPr>
                <w:szCs w:val="18"/>
              </w:rPr>
              <w:t>28064</w:t>
            </w:r>
          </w:p>
          <w:p w14:paraId="03E83CAA" w14:textId="77777777" w:rsidR="00817104" w:rsidRPr="001C41BD" w:rsidRDefault="00817104">
            <w:pPr>
              <w:pStyle w:val="Tabletext"/>
              <w:spacing w:line="276" w:lineRule="auto"/>
              <w:rPr>
                <w:b w:val="0"/>
                <w:bCs w:val="0"/>
                <w:szCs w:val="18"/>
              </w:rPr>
            </w:pPr>
            <w:r w:rsidRPr="001C41BD">
              <w:rPr>
                <w:szCs w:val="18"/>
              </w:rPr>
              <w:t>28068</w:t>
            </w:r>
          </w:p>
          <w:p w14:paraId="7F6BFC01" w14:textId="77777777" w:rsidR="00817104" w:rsidRPr="001C41BD" w:rsidRDefault="00817104">
            <w:pPr>
              <w:pStyle w:val="Tabletext"/>
              <w:spacing w:line="276" w:lineRule="auto"/>
              <w:rPr>
                <w:b w:val="0"/>
                <w:bCs w:val="0"/>
                <w:szCs w:val="18"/>
              </w:rPr>
            </w:pPr>
            <w:r w:rsidRPr="001C41BD">
              <w:rPr>
                <w:szCs w:val="18"/>
              </w:rPr>
              <w:t>28067</w:t>
            </w:r>
          </w:p>
          <w:p w14:paraId="6CAF9FAE" w14:textId="77777777" w:rsidR="00817104" w:rsidRPr="001C41BD" w:rsidRDefault="00817104">
            <w:pPr>
              <w:pStyle w:val="Tabletext"/>
              <w:spacing w:line="276" w:lineRule="auto"/>
              <w:rPr>
                <w:b w:val="0"/>
                <w:bCs w:val="0"/>
                <w:szCs w:val="18"/>
              </w:rPr>
            </w:pPr>
            <w:r w:rsidRPr="001C41BD">
              <w:rPr>
                <w:szCs w:val="18"/>
              </w:rPr>
              <w:t>28085</w:t>
            </w:r>
          </w:p>
          <w:p w14:paraId="288DD704" w14:textId="77777777" w:rsidR="00817104" w:rsidRPr="001C41BD" w:rsidRDefault="00817104">
            <w:pPr>
              <w:pStyle w:val="Tabletext"/>
              <w:spacing w:line="276" w:lineRule="auto"/>
              <w:rPr>
                <w:szCs w:val="18"/>
              </w:rPr>
            </w:pPr>
            <w:r w:rsidRPr="001C41BD">
              <w:rPr>
                <w:szCs w:val="18"/>
              </w:rPr>
              <w:t>28086</w:t>
            </w:r>
          </w:p>
        </w:tc>
        <w:tc>
          <w:tcPr>
            <w:tcW w:w="0" w:type="auto"/>
          </w:tcPr>
          <w:p w14:paraId="647E7138"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Arial Narrow"/>
                <w:szCs w:val="18"/>
              </w:rPr>
            </w:pPr>
            <w:r w:rsidRPr="001C41BD">
              <w:rPr>
                <w:szCs w:val="18"/>
              </w:rPr>
              <w:t>Women’s health</w:t>
            </w:r>
          </w:p>
        </w:tc>
        <w:tc>
          <w:tcPr>
            <w:tcW w:w="0" w:type="auto"/>
          </w:tcPr>
          <w:p w14:paraId="61CA5718"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hyperlink r:id="rId569">
              <w:r w:rsidRPr="001C41BD">
                <w:rPr>
                  <w:rStyle w:val="Hyperlink"/>
                  <w:szCs w:val="18"/>
                </w:rPr>
                <w:t>Women’s health and Wellbeing Program</w:t>
              </w:r>
            </w:hyperlink>
            <w:r w:rsidRPr="001C41BD">
              <w:rPr>
                <w:szCs w:val="18"/>
              </w:rPr>
              <w:t xml:space="preserve"> &lt;https://www.health.vic.gov.au/public-health/womens-health-wellbeing-program</w:t>
            </w:r>
            <w:r w:rsidRPr="001C41BD">
              <w:rPr>
                <w:rFonts w:eastAsia="Wingdings"/>
                <w:szCs w:val="18"/>
              </w:rPr>
              <w:t>&gt;</w:t>
            </w:r>
          </w:p>
          <w:p w14:paraId="2A7C272F"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hyperlink r:id="rId570">
              <w:r w:rsidRPr="001C41BD">
                <w:rPr>
                  <w:rStyle w:val="Hyperlink"/>
                  <w:szCs w:val="18"/>
                </w:rPr>
                <w:t>Health promotion</w:t>
              </w:r>
            </w:hyperlink>
            <w:r w:rsidRPr="001C41BD">
              <w:rPr>
                <w:szCs w:val="18"/>
              </w:rPr>
              <w:t xml:space="preserve"> </w:t>
            </w:r>
            <w:r w:rsidRPr="001C41BD">
              <w:rPr>
                <w:rFonts w:eastAsia="Arial" w:cs="Arial"/>
                <w:szCs w:val="18"/>
              </w:rPr>
              <w:t>&lt;https://www.health.vic.gov.au/population-health-systems/health-promotion&gt;</w:t>
            </w:r>
          </w:p>
          <w:p w14:paraId="77F80C63"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Wingdings" w:cs="Wingdings"/>
                <w:szCs w:val="18"/>
              </w:rPr>
            </w:pPr>
            <w:hyperlink r:id="rId571">
              <w:r w:rsidRPr="001C41BD">
                <w:rPr>
                  <w:rStyle w:val="Hyperlink"/>
                  <w:szCs w:val="18"/>
                </w:rPr>
                <w:t>Community Health Program guidelines</w:t>
              </w:r>
            </w:hyperlink>
            <w:r w:rsidRPr="001C41BD">
              <w:rPr>
                <w:rFonts w:eastAsia="Wingdings"/>
                <w:szCs w:val="18"/>
              </w:rPr>
              <w:t xml:space="preserve"> </w:t>
            </w:r>
            <w:r w:rsidRPr="001C41BD">
              <w:rPr>
                <w:rFonts w:eastAsia="Wingdings" w:cs="Wingdings"/>
                <w:szCs w:val="18"/>
              </w:rPr>
              <w:t>&lt;</w:t>
            </w:r>
            <w:r w:rsidRPr="001C41BD">
              <w:rPr>
                <w:szCs w:val="18"/>
              </w:rPr>
              <w:t>https://www.health.vic.gov.au/community-health/community-health-integrated-program-chip-guidelines</w:t>
            </w:r>
            <w:r w:rsidRPr="001C41BD">
              <w:rPr>
                <w:rFonts w:eastAsia="Wingdings"/>
                <w:szCs w:val="18"/>
              </w:rPr>
              <w:t>&gt;</w:t>
            </w:r>
          </w:p>
        </w:tc>
      </w:tr>
      <w:tr w:rsidR="00817104" w:rsidRPr="001C41BD" w14:paraId="4FE2B8FE" w14:textId="77777777" w:rsidTr="00236CBF">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0" w:type="auto"/>
          </w:tcPr>
          <w:p w14:paraId="5E015CD0" w14:textId="77777777" w:rsidR="00817104" w:rsidRPr="001C41BD" w:rsidRDefault="00817104">
            <w:pPr>
              <w:pStyle w:val="Tabletext"/>
              <w:rPr>
                <w:szCs w:val="18"/>
              </w:rPr>
            </w:pPr>
            <w:r w:rsidRPr="001C41BD">
              <w:rPr>
                <w:szCs w:val="18"/>
              </w:rPr>
              <w:t>28066</w:t>
            </w:r>
          </w:p>
          <w:p w14:paraId="75528183" w14:textId="77777777" w:rsidR="00817104" w:rsidRPr="001C41BD" w:rsidRDefault="00817104">
            <w:pPr>
              <w:pStyle w:val="Tabletext"/>
              <w:rPr>
                <w:szCs w:val="18"/>
              </w:rPr>
            </w:pPr>
            <w:r w:rsidRPr="001C41BD">
              <w:rPr>
                <w:szCs w:val="18"/>
              </w:rPr>
              <w:t>28085</w:t>
            </w:r>
          </w:p>
          <w:p w14:paraId="793F6949" w14:textId="77777777" w:rsidR="00817104" w:rsidRPr="001C41BD" w:rsidRDefault="00817104">
            <w:pPr>
              <w:pStyle w:val="Tabletext"/>
              <w:rPr>
                <w:szCs w:val="18"/>
              </w:rPr>
            </w:pPr>
            <w:r w:rsidRPr="001C41BD">
              <w:rPr>
                <w:szCs w:val="18"/>
              </w:rPr>
              <w:t>28086</w:t>
            </w:r>
          </w:p>
        </w:tc>
        <w:tc>
          <w:tcPr>
            <w:tcW w:w="0" w:type="auto"/>
          </w:tcPr>
          <w:p w14:paraId="10B7088A"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rFonts w:eastAsia="Arial Narrow"/>
                <w:szCs w:val="18"/>
              </w:rPr>
            </w:pPr>
            <w:r w:rsidRPr="001C41BD">
              <w:rPr>
                <w:szCs w:val="18"/>
              </w:rPr>
              <w:t>Young people</w:t>
            </w:r>
          </w:p>
        </w:tc>
        <w:tc>
          <w:tcPr>
            <w:tcW w:w="0" w:type="auto"/>
          </w:tcPr>
          <w:p w14:paraId="58CF42B7"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rFonts w:eastAsia="Wingdings"/>
                <w:szCs w:val="18"/>
              </w:rPr>
            </w:pPr>
            <w:hyperlink r:id="rId572">
              <w:r w:rsidRPr="001C41BD">
                <w:rPr>
                  <w:rStyle w:val="Hyperlink"/>
                  <w:szCs w:val="18"/>
                </w:rPr>
                <w:t>Community Health Program guidelines</w:t>
              </w:r>
            </w:hyperlink>
            <w:r w:rsidRPr="001C41BD">
              <w:rPr>
                <w:rFonts w:eastAsia="Wingdings"/>
                <w:szCs w:val="18"/>
              </w:rPr>
              <w:t xml:space="preserve"> </w:t>
            </w:r>
            <w:r w:rsidRPr="001C41BD">
              <w:rPr>
                <w:rFonts w:eastAsia="Wingdings" w:cs="Wingdings"/>
                <w:szCs w:val="18"/>
              </w:rPr>
              <w:t>&lt;</w:t>
            </w:r>
            <w:r w:rsidRPr="001C41BD">
              <w:rPr>
                <w:szCs w:val="18"/>
              </w:rPr>
              <w:t>https://www.health.vic.gov.au/community-health/community-health-integrated-program-chip-guidelines</w:t>
            </w:r>
            <w:r w:rsidRPr="001C41BD">
              <w:rPr>
                <w:rFonts w:eastAsia="Wingdings"/>
                <w:szCs w:val="18"/>
              </w:rPr>
              <w:t>&gt;</w:t>
            </w:r>
          </w:p>
          <w:p w14:paraId="223F433E"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hyperlink r:id="rId573">
              <w:r w:rsidRPr="001C41BD">
                <w:rPr>
                  <w:rStyle w:val="Hyperlink"/>
                  <w:szCs w:val="18"/>
                </w:rPr>
                <w:t>Children, youth and families</w:t>
              </w:r>
            </w:hyperlink>
            <w:r w:rsidRPr="001C41BD">
              <w:rPr>
                <w:szCs w:val="18"/>
              </w:rPr>
              <w:t xml:space="preserve"> </w:t>
            </w:r>
            <w:r w:rsidRPr="001C41BD">
              <w:rPr>
                <w:rFonts w:eastAsia="Wingdings" w:cs="Wingdings"/>
                <w:szCs w:val="18"/>
              </w:rPr>
              <w:t>&lt;</w:t>
            </w:r>
            <w:r w:rsidRPr="001C41BD">
              <w:rPr>
                <w:rFonts w:eastAsia="Wingdings"/>
                <w:szCs w:val="18"/>
              </w:rPr>
              <w:t>https://www.health.vic.gov.au/community-health/children-youth-and-families&gt;</w:t>
            </w:r>
          </w:p>
          <w:p w14:paraId="7003766A"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rFonts w:eastAsia="Arial Narrow"/>
                <w:szCs w:val="18"/>
              </w:rPr>
            </w:pPr>
            <w:hyperlink r:id="rId574">
              <w:r w:rsidRPr="001C41BD">
                <w:rPr>
                  <w:rStyle w:val="Hyperlink"/>
                  <w:szCs w:val="18"/>
                </w:rPr>
                <w:t>Young people who are homeless or at risk</w:t>
              </w:r>
            </w:hyperlink>
            <w:r w:rsidRPr="001C41BD">
              <w:rPr>
                <w:szCs w:val="18"/>
              </w:rPr>
              <w:t xml:space="preserve"> </w:t>
            </w:r>
            <w:r w:rsidRPr="001C41BD">
              <w:rPr>
                <w:rFonts w:eastAsia="Arial" w:cs="Arial"/>
                <w:szCs w:val="18"/>
              </w:rPr>
              <w:t>&lt;</w:t>
            </w:r>
            <w:r w:rsidRPr="001C41BD">
              <w:rPr>
                <w:rFonts w:eastAsia="Arial"/>
                <w:szCs w:val="18"/>
              </w:rPr>
              <w:t>https://www.health.vic.gov.au/community-health/young-people-who-are-homeless-or-at-risk&gt;</w:t>
            </w:r>
          </w:p>
        </w:tc>
      </w:tr>
      <w:tr w:rsidR="00817104" w:rsidRPr="001C41BD" w14:paraId="0A9079B3" w14:textId="77777777" w:rsidTr="00236CBF">
        <w:trPr>
          <w:trHeight w:val="2083"/>
        </w:trPr>
        <w:tc>
          <w:tcPr>
            <w:cnfStyle w:val="001000000000" w:firstRow="0" w:lastRow="0" w:firstColumn="1" w:lastColumn="0" w:oddVBand="0" w:evenVBand="0" w:oddHBand="0" w:evenHBand="0" w:firstRowFirstColumn="0" w:firstRowLastColumn="0" w:lastRowFirstColumn="0" w:lastRowLastColumn="0"/>
            <w:tcW w:w="0" w:type="auto"/>
          </w:tcPr>
          <w:p w14:paraId="47DFC51C" w14:textId="77777777" w:rsidR="00817104" w:rsidRPr="001C41BD" w:rsidRDefault="00817104">
            <w:pPr>
              <w:pStyle w:val="Tabletext"/>
              <w:rPr>
                <w:szCs w:val="18"/>
              </w:rPr>
            </w:pPr>
            <w:r w:rsidRPr="001C41BD">
              <w:rPr>
                <w:szCs w:val="18"/>
              </w:rPr>
              <w:lastRenderedPageBreak/>
              <w:t>28033</w:t>
            </w:r>
          </w:p>
          <w:p w14:paraId="6E999F08" w14:textId="77777777" w:rsidR="00817104" w:rsidRPr="001C41BD" w:rsidRDefault="00817104">
            <w:pPr>
              <w:pStyle w:val="Tabletext"/>
              <w:rPr>
                <w:szCs w:val="18"/>
              </w:rPr>
            </w:pPr>
            <w:r w:rsidRPr="001C41BD">
              <w:rPr>
                <w:szCs w:val="18"/>
              </w:rPr>
              <w:t>28043</w:t>
            </w:r>
          </w:p>
          <w:p w14:paraId="1676EA46" w14:textId="77777777" w:rsidR="00817104" w:rsidRPr="001C41BD" w:rsidRDefault="00817104">
            <w:pPr>
              <w:pStyle w:val="Tabletext"/>
              <w:rPr>
                <w:szCs w:val="18"/>
              </w:rPr>
            </w:pPr>
            <w:r w:rsidRPr="001C41BD">
              <w:rPr>
                <w:szCs w:val="18"/>
              </w:rPr>
              <w:t>28069</w:t>
            </w:r>
          </w:p>
          <w:p w14:paraId="6B06365A" w14:textId="77777777" w:rsidR="00817104" w:rsidRPr="001C41BD" w:rsidRDefault="00817104">
            <w:pPr>
              <w:pStyle w:val="Tabletext"/>
              <w:rPr>
                <w:szCs w:val="18"/>
              </w:rPr>
            </w:pPr>
            <w:r w:rsidRPr="001C41BD">
              <w:rPr>
                <w:szCs w:val="18"/>
              </w:rPr>
              <w:t>28080</w:t>
            </w:r>
          </w:p>
          <w:p w14:paraId="685FFA01" w14:textId="77777777" w:rsidR="00817104" w:rsidRPr="001C41BD" w:rsidRDefault="00817104">
            <w:pPr>
              <w:pStyle w:val="Tabletext"/>
              <w:rPr>
                <w:szCs w:val="18"/>
              </w:rPr>
            </w:pPr>
            <w:r w:rsidRPr="001C41BD">
              <w:rPr>
                <w:szCs w:val="18"/>
              </w:rPr>
              <w:t>28084</w:t>
            </w:r>
          </w:p>
          <w:p w14:paraId="4506D400" w14:textId="77777777" w:rsidR="00817104" w:rsidRPr="001C41BD" w:rsidRDefault="00817104">
            <w:pPr>
              <w:pStyle w:val="Tabletext"/>
              <w:rPr>
                <w:szCs w:val="18"/>
              </w:rPr>
            </w:pPr>
            <w:r w:rsidRPr="001C41BD">
              <w:rPr>
                <w:szCs w:val="18"/>
              </w:rPr>
              <w:t>28085</w:t>
            </w:r>
          </w:p>
          <w:p w14:paraId="31FFE376" w14:textId="77777777" w:rsidR="00817104" w:rsidRPr="001C41BD" w:rsidRDefault="00817104">
            <w:pPr>
              <w:pStyle w:val="Tabletext"/>
              <w:rPr>
                <w:szCs w:val="18"/>
              </w:rPr>
            </w:pPr>
            <w:r w:rsidRPr="001C41BD">
              <w:rPr>
                <w:szCs w:val="18"/>
              </w:rPr>
              <w:t>28086</w:t>
            </w:r>
          </w:p>
        </w:tc>
        <w:tc>
          <w:tcPr>
            <w:tcW w:w="0" w:type="auto"/>
          </w:tcPr>
          <w:p w14:paraId="40C5E914"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Arial Narrow"/>
                <w:szCs w:val="18"/>
              </w:rPr>
            </w:pPr>
            <w:r w:rsidRPr="001C41BD">
              <w:rPr>
                <w:szCs w:val="18"/>
              </w:rPr>
              <w:t>Community health</w:t>
            </w:r>
          </w:p>
        </w:tc>
        <w:tc>
          <w:tcPr>
            <w:tcW w:w="0" w:type="auto"/>
          </w:tcPr>
          <w:p w14:paraId="038B7B7C"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Meiryo"/>
                <w:szCs w:val="18"/>
              </w:rPr>
            </w:pPr>
            <w:hyperlink r:id="rId575">
              <w:r w:rsidRPr="001C41BD">
                <w:rPr>
                  <w:rStyle w:val="Hyperlink"/>
                  <w:szCs w:val="18"/>
                </w:rPr>
                <w:t>Community Health Program guidelines</w:t>
              </w:r>
            </w:hyperlink>
            <w:r w:rsidRPr="001C41BD">
              <w:rPr>
                <w:szCs w:val="18"/>
              </w:rPr>
              <w:t xml:space="preserve"> &lt;https://www.health.vic.gov.au/community-health/community-health-integrated-program-chip-guidelines</w:t>
            </w:r>
            <w:r w:rsidRPr="001C41BD">
              <w:rPr>
                <w:rFonts w:eastAsia="Meiryo"/>
                <w:szCs w:val="18"/>
              </w:rPr>
              <w:t>&gt;</w:t>
            </w:r>
          </w:p>
          <w:p w14:paraId="190D0802"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Arial Narrow"/>
                <w:szCs w:val="18"/>
              </w:rPr>
            </w:pPr>
            <w:hyperlink r:id="rId576" w:history="1">
              <w:r w:rsidRPr="001C41BD">
                <w:rPr>
                  <w:rStyle w:val="Hyperlink"/>
                  <w:szCs w:val="18"/>
                </w:rPr>
                <w:t>Victorian health and wellbeing plan</w:t>
              </w:r>
            </w:hyperlink>
            <w:r w:rsidRPr="001C41BD">
              <w:rPr>
                <w:szCs w:val="18"/>
              </w:rPr>
              <w:t xml:space="preserve"> &lt;https://www.health.vic.gov.au/victorian-health-and-wellbeing-plan&gt; </w:t>
            </w:r>
          </w:p>
          <w:p w14:paraId="23F904E7" w14:textId="0A1D4E96"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Wingdings" w:cs="Wingdings"/>
                <w:szCs w:val="18"/>
              </w:rPr>
            </w:pPr>
            <w:hyperlink r:id="rId577" w:history="1">
              <w:r w:rsidRPr="00826187">
                <w:rPr>
                  <w:rStyle w:val="Hyperlink"/>
                  <w:rFonts w:eastAsia="Meiryo"/>
                  <w:i/>
                  <w:iCs/>
                  <w:szCs w:val="18"/>
                </w:rPr>
                <w:t>Victorian Aboriginal Affairs Framework 2018–23</w:t>
              </w:r>
            </w:hyperlink>
            <w:r w:rsidRPr="001C41BD">
              <w:rPr>
                <w:rStyle w:val="Hyperlink"/>
                <w:rFonts w:eastAsia="Meiryo"/>
                <w:szCs w:val="18"/>
              </w:rPr>
              <w:t xml:space="preserve"> </w:t>
            </w:r>
            <w:r w:rsidRPr="001C41BD">
              <w:rPr>
                <w:rFonts w:eastAsia="Meiryo"/>
                <w:szCs w:val="18"/>
              </w:rPr>
              <w:t>&lt;</w:t>
            </w:r>
            <w:r w:rsidRPr="00826187">
              <w:rPr>
                <w:rFonts w:eastAsia="Meiryo"/>
                <w:szCs w:val="18"/>
              </w:rPr>
              <w:t>https://www.firstpeoplesrelations.vic.gov.au/victorian-aboriginal-affairs-framework-2018-2023</w:t>
            </w:r>
            <w:r w:rsidRPr="001C41BD">
              <w:rPr>
                <w:rFonts w:eastAsia="Meiryo"/>
                <w:szCs w:val="18"/>
              </w:rPr>
              <w:t>&gt;</w:t>
            </w:r>
          </w:p>
          <w:p w14:paraId="233DD308"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Wingdings" w:cs="Wingdings"/>
                <w:szCs w:val="18"/>
              </w:rPr>
            </w:pPr>
            <w:hyperlink r:id="rId578">
              <w:r w:rsidRPr="001C41BD">
                <w:rPr>
                  <w:rStyle w:val="Hyperlink"/>
                  <w:rFonts w:eastAsia="Wingdings"/>
                  <w:szCs w:val="18"/>
                </w:rPr>
                <w:t>Healthy choices: policy directive and guidelines for health services</w:t>
              </w:r>
            </w:hyperlink>
            <w:r w:rsidRPr="001C41BD">
              <w:rPr>
                <w:rFonts w:eastAsia="Wingdings"/>
                <w:szCs w:val="18"/>
              </w:rPr>
              <w:t xml:space="preserve"> (</w:t>
            </w:r>
            <w:r w:rsidRPr="001C41BD">
              <w:rPr>
                <w:rFonts w:eastAsia="Wingdings" w:cs="Wingdings"/>
                <w:szCs w:val="18"/>
              </w:rPr>
              <w:t>applicable to integrated community health services) &lt;</w:t>
            </w:r>
            <w:r w:rsidRPr="001C41BD">
              <w:rPr>
                <w:szCs w:val="18"/>
              </w:rPr>
              <w:t>https://www.health.vic.gov.au/publications/healthy-choices-policy-directive-and-guidelines-for-health-services&gt;</w:t>
            </w:r>
          </w:p>
          <w:p w14:paraId="15D5ADD4"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Wingdings"/>
                <w:szCs w:val="18"/>
              </w:rPr>
            </w:pPr>
            <w:hyperlink r:id="rId579">
              <w:r w:rsidRPr="001C41BD">
                <w:rPr>
                  <w:rStyle w:val="Hyperlink"/>
                  <w:rFonts w:eastAsia="Wingdings"/>
                  <w:szCs w:val="18"/>
                </w:rPr>
                <w:t>Registration, accreditation and governance of community health centres</w:t>
              </w:r>
            </w:hyperlink>
          </w:p>
          <w:p w14:paraId="417A6247"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Wingdings" w:cs="Wingdings"/>
                <w:szCs w:val="18"/>
              </w:rPr>
            </w:pPr>
            <w:r w:rsidRPr="001C41BD">
              <w:rPr>
                <w:rFonts w:eastAsia="Wingdings"/>
                <w:szCs w:val="18"/>
              </w:rPr>
              <w:t>&lt;</w:t>
            </w:r>
            <w:r w:rsidRPr="001C41BD">
              <w:rPr>
                <w:szCs w:val="18"/>
              </w:rPr>
              <w:t>https://www.health.vic.gov.au/community-health/registration-and-governance-of-community-health-centres&gt;</w:t>
            </w:r>
          </w:p>
          <w:p w14:paraId="0F19037B"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Wingdings" w:cs="Wingdings"/>
                <w:szCs w:val="18"/>
              </w:rPr>
            </w:pPr>
            <w:hyperlink r:id="rId580">
              <w:r w:rsidRPr="001C41BD">
                <w:rPr>
                  <w:rStyle w:val="Hyperlink"/>
                  <w:rFonts w:eastAsia="Wingdings" w:cs="Wingdings"/>
                  <w:szCs w:val="18"/>
                </w:rPr>
                <w:t>Community Health Demand Management Toolkit</w:t>
              </w:r>
            </w:hyperlink>
          </w:p>
          <w:p w14:paraId="4DA73650"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Wingdings" w:cs="Wingdings"/>
                <w:szCs w:val="18"/>
              </w:rPr>
            </w:pPr>
            <w:r w:rsidRPr="001C41BD">
              <w:rPr>
                <w:szCs w:val="18"/>
              </w:rPr>
              <w:t>&lt;https://www.health.vic.gov.au/community-health/managing-demand-for-community-health-services&gt;</w:t>
            </w:r>
          </w:p>
          <w:p w14:paraId="22DB707C"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Arial" w:cs="Arial"/>
                <w:szCs w:val="18"/>
              </w:rPr>
            </w:pPr>
            <w:hyperlink r:id="rId581">
              <w:r w:rsidRPr="001C41BD">
                <w:rPr>
                  <w:rStyle w:val="Hyperlink"/>
                  <w:rFonts w:eastAsia="Arial" w:cs="Arial"/>
                  <w:szCs w:val="18"/>
                </w:rPr>
                <w:t>Community Health Program access policy</w:t>
              </w:r>
            </w:hyperlink>
          </w:p>
          <w:p w14:paraId="5776FB38"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r w:rsidRPr="001C41BD">
              <w:rPr>
                <w:szCs w:val="18"/>
              </w:rPr>
              <w:t>&lt;https://www.health.vic.gov.au/community-health/community-health-program-access-policy&gt;</w:t>
            </w:r>
          </w:p>
        </w:tc>
      </w:tr>
      <w:tr w:rsidR="00817104" w:rsidRPr="001C41BD" w14:paraId="24FE683C" w14:textId="77777777" w:rsidTr="00236CBF">
        <w:trPr>
          <w:cnfStyle w:val="000000100000" w:firstRow="0" w:lastRow="0" w:firstColumn="0" w:lastColumn="0" w:oddVBand="0" w:evenVBand="0" w:oddHBand="1" w:evenHBand="0" w:firstRowFirstColumn="0" w:firstRowLastColumn="0" w:lastRowFirstColumn="0" w:lastRowLastColumn="0"/>
          <w:trHeight w:val="2218"/>
        </w:trPr>
        <w:tc>
          <w:tcPr>
            <w:cnfStyle w:val="001000000000" w:firstRow="0" w:lastRow="0" w:firstColumn="1" w:lastColumn="0" w:oddVBand="0" w:evenVBand="0" w:oddHBand="0" w:evenHBand="0" w:firstRowFirstColumn="0" w:firstRowLastColumn="0" w:lastRowFirstColumn="0" w:lastRowLastColumn="0"/>
            <w:tcW w:w="0" w:type="auto"/>
          </w:tcPr>
          <w:p w14:paraId="63998026" w14:textId="77777777" w:rsidR="00817104" w:rsidRPr="001C41BD" w:rsidRDefault="00817104">
            <w:pPr>
              <w:pStyle w:val="Tabletext"/>
              <w:rPr>
                <w:szCs w:val="18"/>
              </w:rPr>
            </w:pPr>
            <w:r w:rsidRPr="001C41BD">
              <w:rPr>
                <w:szCs w:val="18"/>
              </w:rPr>
              <w:t>28048</w:t>
            </w:r>
          </w:p>
          <w:p w14:paraId="12D60D85" w14:textId="77777777" w:rsidR="00817104" w:rsidRPr="001C41BD" w:rsidRDefault="00817104">
            <w:pPr>
              <w:pStyle w:val="Tabletext"/>
              <w:rPr>
                <w:szCs w:val="18"/>
              </w:rPr>
            </w:pPr>
            <w:r w:rsidRPr="001C41BD">
              <w:rPr>
                <w:szCs w:val="18"/>
              </w:rPr>
              <w:t>28076</w:t>
            </w:r>
          </w:p>
          <w:p w14:paraId="38D16762" w14:textId="77777777" w:rsidR="00817104" w:rsidRPr="001C41BD" w:rsidRDefault="00817104">
            <w:pPr>
              <w:pStyle w:val="Tabletext"/>
              <w:rPr>
                <w:szCs w:val="18"/>
              </w:rPr>
            </w:pPr>
            <w:r w:rsidRPr="001C41BD">
              <w:rPr>
                <w:szCs w:val="18"/>
              </w:rPr>
              <w:t>28085</w:t>
            </w:r>
          </w:p>
          <w:p w14:paraId="5477D9B1" w14:textId="77777777" w:rsidR="00817104" w:rsidRPr="001C41BD" w:rsidRDefault="00817104">
            <w:pPr>
              <w:pStyle w:val="Tabletext"/>
              <w:rPr>
                <w:szCs w:val="18"/>
              </w:rPr>
            </w:pPr>
            <w:r w:rsidRPr="001C41BD">
              <w:rPr>
                <w:szCs w:val="18"/>
              </w:rPr>
              <w:t>28086</w:t>
            </w:r>
          </w:p>
        </w:tc>
        <w:tc>
          <w:tcPr>
            <w:tcW w:w="0" w:type="auto"/>
          </w:tcPr>
          <w:p w14:paraId="14E732E5"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rFonts w:eastAsia="Arial Narrow"/>
                <w:szCs w:val="18"/>
              </w:rPr>
            </w:pPr>
            <w:r w:rsidRPr="001C41BD">
              <w:rPr>
                <w:szCs w:val="18"/>
              </w:rPr>
              <w:t xml:space="preserve">Culturally diverse groups </w:t>
            </w:r>
          </w:p>
        </w:tc>
        <w:tc>
          <w:tcPr>
            <w:tcW w:w="0" w:type="auto"/>
          </w:tcPr>
          <w:p w14:paraId="04983BA2"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hyperlink r:id="rId582">
              <w:r w:rsidRPr="001C41BD">
                <w:rPr>
                  <w:rStyle w:val="Hyperlink"/>
                  <w:rFonts w:cs="Wingdings"/>
                  <w:szCs w:val="18"/>
                  <w:lang w:eastAsia="en-AU"/>
                </w:rPr>
                <w:t>Refugee Health Program</w:t>
              </w:r>
            </w:hyperlink>
            <w:r w:rsidRPr="001C41BD">
              <w:rPr>
                <w:rFonts w:cs="Wingdings"/>
                <w:szCs w:val="18"/>
                <w:lang w:eastAsia="en-AU"/>
              </w:rPr>
              <w:t xml:space="preserve"> &lt;</w:t>
            </w:r>
            <w:r w:rsidRPr="001C41BD">
              <w:rPr>
                <w:szCs w:val="18"/>
              </w:rPr>
              <w:t>https://www.health.vic.gov.au/community-health/refugee-health-program</w:t>
            </w:r>
            <w:r w:rsidRPr="001C41BD">
              <w:rPr>
                <w:rFonts w:cs="Wingdings"/>
                <w:szCs w:val="18"/>
                <w:lang w:eastAsia="en-AU"/>
              </w:rPr>
              <w:t xml:space="preserve">&gt; </w:t>
            </w:r>
            <w:r w:rsidRPr="001C41BD">
              <w:rPr>
                <w:szCs w:val="18"/>
                <w:lang w:eastAsia="en-AU"/>
              </w:rPr>
              <w:t>includes the:</w:t>
            </w:r>
          </w:p>
          <w:p w14:paraId="5F34716B" w14:textId="77777777" w:rsidR="00817104" w:rsidRPr="001C41BD" w:rsidRDefault="00817104" w:rsidP="00817104">
            <w:pPr>
              <w:pStyle w:val="Tablebullet1"/>
              <w:numPr>
                <w:ilvl w:val="0"/>
                <w:numId w:val="3"/>
              </w:numPr>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r w:rsidRPr="001C41BD">
              <w:rPr>
                <w:rStyle w:val="Hyperlink"/>
                <w:color w:val="auto"/>
                <w:szCs w:val="18"/>
                <w:u w:val="none"/>
              </w:rPr>
              <w:t>Guide to asylum seeker access to health and community services in Victoria – these standards should be referenced until superseded</w:t>
            </w:r>
          </w:p>
          <w:p w14:paraId="79EFFF38" w14:textId="77777777" w:rsidR="00817104" w:rsidRPr="001C41BD" w:rsidRDefault="00817104" w:rsidP="00817104">
            <w:pPr>
              <w:pStyle w:val="Tablebullet1"/>
              <w:numPr>
                <w:ilvl w:val="0"/>
                <w:numId w:val="3"/>
              </w:numPr>
              <w:cnfStyle w:val="000000100000" w:firstRow="0" w:lastRow="0" w:firstColumn="0" w:lastColumn="0" w:oddVBand="0" w:evenVBand="0" w:oddHBand="1" w:evenHBand="0" w:firstRowFirstColumn="0" w:firstRowLastColumn="0" w:lastRowFirstColumn="0" w:lastRowLastColumn="0"/>
              <w:rPr>
                <w:rStyle w:val="Hyperlink"/>
                <w:color w:val="auto"/>
                <w:szCs w:val="18"/>
                <w:u w:val="none"/>
              </w:rPr>
            </w:pPr>
            <w:r w:rsidRPr="001C41BD">
              <w:rPr>
                <w:rStyle w:val="Hyperlink"/>
                <w:color w:val="auto"/>
                <w:szCs w:val="18"/>
                <w:u w:val="none"/>
              </w:rPr>
              <w:t>Guide for the Refugee Health Nurse Program</w:t>
            </w:r>
          </w:p>
          <w:p w14:paraId="071EF006" w14:textId="77777777" w:rsidR="00817104" w:rsidRPr="001C41BD" w:rsidRDefault="00817104" w:rsidP="00817104">
            <w:pPr>
              <w:pStyle w:val="Tablebullet1"/>
              <w:numPr>
                <w:ilvl w:val="0"/>
                <w:numId w:val="3"/>
              </w:numPr>
              <w:cnfStyle w:val="000000100000" w:firstRow="0" w:lastRow="0" w:firstColumn="0" w:lastColumn="0" w:oddVBand="0" w:evenVBand="0" w:oddHBand="1" w:evenHBand="0" w:firstRowFirstColumn="0" w:firstRowLastColumn="0" w:lastRowFirstColumn="0" w:lastRowLastColumn="0"/>
              <w:rPr>
                <w:rFonts w:eastAsia="Wingdings"/>
                <w:szCs w:val="18"/>
              </w:rPr>
            </w:pPr>
            <w:hyperlink r:id="rId583">
              <w:r w:rsidRPr="001C41BD">
                <w:rPr>
                  <w:rStyle w:val="Hyperlink"/>
                  <w:szCs w:val="18"/>
                </w:rPr>
                <w:t>Refugee and asylum seeker health and wellbeing</w:t>
              </w:r>
            </w:hyperlink>
            <w:r w:rsidRPr="001C41BD">
              <w:rPr>
                <w:szCs w:val="18"/>
              </w:rPr>
              <w:t xml:space="preserve"> </w:t>
            </w:r>
            <w:r w:rsidRPr="001C41BD">
              <w:rPr>
                <w:rFonts w:eastAsia="Wingdings"/>
                <w:szCs w:val="18"/>
              </w:rPr>
              <w:t>&lt;https://www.health.vic.gov.au/populations/refugee-and-asylum-seeker-health-and-wellbeing&gt; includes the Refugee and Asylum Seekers Health Action Plan 2014–18</w:t>
            </w:r>
          </w:p>
          <w:p w14:paraId="48EAC037" w14:textId="77777777" w:rsidR="00817104" w:rsidRPr="001C41BD" w:rsidRDefault="00817104" w:rsidP="00817104">
            <w:pPr>
              <w:pStyle w:val="Tablebullet1"/>
              <w:numPr>
                <w:ilvl w:val="0"/>
                <w:numId w:val="3"/>
              </w:numPr>
              <w:cnfStyle w:val="000000100000" w:firstRow="0" w:lastRow="0" w:firstColumn="0" w:lastColumn="0" w:oddVBand="0" w:evenVBand="0" w:oddHBand="1" w:evenHBand="0" w:firstRowFirstColumn="0" w:firstRowLastColumn="0" w:lastRowFirstColumn="0" w:lastRowLastColumn="0"/>
              <w:rPr>
                <w:szCs w:val="18"/>
              </w:rPr>
            </w:pPr>
            <w:hyperlink r:id="rId584">
              <w:r w:rsidRPr="001C41BD">
                <w:rPr>
                  <w:rStyle w:val="Hyperlink"/>
                  <w:i/>
                  <w:iCs/>
                  <w:szCs w:val="18"/>
                </w:rPr>
                <w:t>Cultural responsiveness framework</w:t>
              </w:r>
              <w:r w:rsidRPr="001C41BD">
                <w:rPr>
                  <w:rStyle w:val="Hyperlink"/>
                  <w:szCs w:val="18"/>
                </w:rPr>
                <w:t xml:space="preserve"> – Guidelines for Victorian health services</w:t>
              </w:r>
            </w:hyperlink>
            <w:r w:rsidRPr="001C41BD">
              <w:rPr>
                <w:szCs w:val="18"/>
              </w:rPr>
              <w:t xml:space="preserve"> &lt;https://www.health.vic.gov.au/publications/cultural-responsiveness-framework-guidelines-for-victorian-health-services&gt; outlines the government’s approach to cultural responsiveness in health services</w:t>
            </w:r>
          </w:p>
          <w:p w14:paraId="70DCD3FF" w14:textId="77777777" w:rsidR="00817104" w:rsidRPr="001C41BD" w:rsidRDefault="00817104" w:rsidP="00817104">
            <w:pPr>
              <w:pStyle w:val="Tablebullet1"/>
              <w:numPr>
                <w:ilvl w:val="0"/>
                <w:numId w:val="3"/>
              </w:numPr>
              <w:cnfStyle w:val="000000100000" w:firstRow="0" w:lastRow="0" w:firstColumn="0" w:lastColumn="0" w:oddVBand="0" w:evenVBand="0" w:oddHBand="1" w:evenHBand="0" w:firstRowFirstColumn="0" w:firstRowLastColumn="0" w:lastRowFirstColumn="0" w:lastRowLastColumn="0"/>
              <w:rPr>
                <w:szCs w:val="18"/>
              </w:rPr>
            </w:pPr>
            <w:hyperlink r:id="rId585">
              <w:r w:rsidRPr="001C41BD">
                <w:rPr>
                  <w:rStyle w:val="Hyperlink"/>
                  <w:szCs w:val="18"/>
                </w:rPr>
                <w:t>Language services policy</w:t>
              </w:r>
            </w:hyperlink>
            <w:r w:rsidRPr="001C41BD">
              <w:rPr>
                <w:szCs w:val="18"/>
              </w:rPr>
              <w:t xml:space="preserve"> &lt;https://www.health.vic.gov.au/publications/language-services-policy&gt;</w:t>
            </w:r>
          </w:p>
          <w:p w14:paraId="62BDCB8E" w14:textId="77777777" w:rsidR="00817104" w:rsidRPr="001C41BD" w:rsidRDefault="00817104" w:rsidP="00817104">
            <w:pPr>
              <w:pStyle w:val="Tablebullet1"/>
              <w:numPr>
                <w:ilvl w:val="0"/>
                <w:numId w:val="3"/>
              </w:numPr>
              <w:cnfStyle w:val="000000100000" w:firstRow="0" w:lastRow="0" w:firstColumn="0" w:lastColumn="0" w:oddVBand="0" w:evenVBand="0" w:oddHBand="1" w:evenHBand="0" w:firstRowFirstColumn="0" w:firstRowLastColumn="0" w:lastRowFirstColumn="0" w:lastRowLastColumn="0"/>
              <w:rPr>
                <w:szCs w:val="18"/>
              </w:rPr>
            </w:pPr>
            <w:hyperlink r:id="rId586">
              <w:r w:rsidRPr="001C41BD">
                <w:rPr>
                  <w:rStyle w:val="Hyperlink"/>
                  <w:szCs w:val="18"/>
                </w:rPr>
                <w:t>Health Translations Directory</w:t>
              </w:r>
            </w:hyperlink>
            <w:r w:rsidRPr="001C41BD">
              <w:rPr>
                <w:szCs w:val="18"/>
              </w:rPr>
              <w:t xml:space="preserve"> &lt;https://www.healthtranslations.vic.gov.au&gt;</w:t>
            </w:r>
          </w:p>
          <w:p w14:paraId="2636F269" w14:textId="77777777" w:rsidR="00817104" w:rsidRPr="001C41BD" w:rsidRDefault="00817104" w:rsidP="00817104">
            <w:pPr>
              <w:pStyle w:val="Tablebullet1"/>
              <w:numPr>
                <w:ilvl w:val="0"/>
                <w:numId w:val="3"/>
              </w:numPr>
              <w:cnfStyle w:val="000000100000" w:firstRow="0" w:lastRow="0" w:firstColumn="0" w:lastColumn="0" w:oddVBand="0" w:evenVBand="0" w:oddHBand="1" w:evenHBand="0" w:firstRowFirstColumn="0" w:firstRowLastColumn="0" w:lastRowFirstColumn="0" w:lastRowLastColumn="0"/>
              <w:rPr>
                <w:rFonts w:cs="Wingdings"/>
                <w:color w:val="000000"/>
                <w:szCs w:val="18"/>
                <w:lang w:eastAsia="en-AU"/>
              </w:rPr>
            </w:pPr>
            <w:hyperlink r:id="rId587">
              <w:r w:rsidRPr="001C41BD">
                <w:rPr>
                  <w:rStyle w:val="Hyperlink"/>
                  <w:szCs w:val="18"/>
                </w:rPr>
                <w:t>Community Health Program guidelines</w:t>
              </w:r>
            </w:hyperlink>
            <w:r w:rsidRPr="001C41BD">
              <w:rPr>
                <w:rFonts w:eastAsia="Wingdings"/>
                <w:szCs w:val="18"/>
              </w:rPr>
              <w:t xml:space="preserve"> </w:t>
            </w:r>
            <w:r w:rsidRPr="001C41BD">
              <w:rPr>
                <w:rFonts w:eastAsia="Wingdings" w:cs="Wingdings"/>
                <w:szCs w:val="18"/>
              </w:rPr>
              <w:t>&lt;</w:t>
            </w:r>
            <w:r w:rsidRPr="001C41BD">
              <w:rPr>
                <w:szCs w:val="18"/>
              </w:rPr>
              <w:t>https://www.health.vic.gov.au/community-health/community-health-integrated-program-chip-guidelines</w:t>
            </w:r>
            <w:r w:rsidRPr="001C41BD">
              <w:rPr>
                <w:rFonts w:eastAsia="Wingdings"/>
                <w:szCs w:val="18"/>
              </w:rPr>
              <w:t>&gt;</w:t>
            </w:r>
          </w:p>
        </w:tc>
      </w:tr>
      <w:tr w:rsidR="00817104" w:rsidRPr="001C41BD" w14:paraId="21EE7F76" w14:textId="77777777" w:rsidTr="00236CBF">
        <w:trPr>
          <w:trHeight w:val="722"/>
        </w:trPr>
        <w:tc>
          <w:tcPr>
            <w:cnfStyle w:val="001000000000" w:firstRow="0" w:lastRow="0" w:firstColumn="1" w:lastColumn="0" w:oddVBand="0" w:evenVBand="0" w:oddHBand="0" w:evenHBand="0" w:firstRowFirstColumn="0" w:firstRowLastColumn="0" w:lastRowFirstColumn="0" w:lastRowLastColumn="0"/>
            <w:tcW w:w="0" w:type="auto"/>
          </w:tcPr>
          <w:p w14:paraId="4EF18137" w14:textId="77777777" w:rsidR="00817104" w:rsidRPr="001C41BD" w:rsidRDefault="00817104">
            <w:pPr>
              <w:pStyle w:val="Tabletext"/>
              <w:rPr>
                <w:szCs w:val="18"/>
              </w:rPr>
            </w:pPr>
            <w:r w:rsidRPr="001C41BD">
              <w:rPr>
                <w:szCs w:val="18"/>
              </w:rPr>
              <w:t>28054</w:t>
            </w:r>
          </w:p>
        </w:tc>
        <w:tc>
          <w:tcPr>
            <w:tcW w:w="0" w:type="auto"/>
          </w:tcPr>
          <w:p w14:paraId="21F6F665"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Arial Narrow"/>
                <w:szCs w:val="18"/>
              </w:rPr>
            </w:pPr>
            <w:r w:rsidRPr="001C41BD">
              <w:rPr>
                <w:szCs w:val="18"/>
              </w:rPr>
              <w:t>Partnerships and system support</w:t>
            </w:r>
          </w:p>
        </w:tc>
        <w:tc>
          <w:tcPr>
            <w:tcW w:w="0" w:type="auto"/>
          </w:tcPr>
          <w:p w14:paraId="1A574B3F"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Arial Narrow"/>
                <w:szCs w:val="18"/>
              </w:rPr>
            </w:pPr>
            <w:hyperlink r:id="rId588">
              <w:r w:rsidRPr="001C41BD">
                <w:rPr>
                  <w:rStyle w:val="Hyperlink"/>
                  <w:szCs w:val="18"/>
                </w:rPr>
                <w:t>Working with general practice</w:t>
              </w:r>
            </w:hyperlink>
            <w:r w:rsidRPr="001C41BD">
              <w:rPr>
                <w:szCs w:val="18"/>
              </w:rPr>
              <w:t xml:space="preserve"> </w:t>
            </w:r>
            <w:r w:rsidRPr="001C41BD">
              <w:rPr>
                <w:rFonts w:eastAsia="Arial" w:cs="Arial"/>
                <w:szCs w:val="18"/>
              </w:rPr>
              <w:t>&lt;</w:t>
            </w:r>
            <w:r w:rsidRPr="001C41BD">
              <w:rPr>
                <w:szCs w:val="18"/>
              </w:rPr>
              <w:t>https://www.health.vic.gov.au/primary-care/working-with-general-practice</w:t>
            </w:r>
            <w:r w:rsidRPr="001C41BD">
              <w:rPr>
                <w:rFonts w:eastAsia="Arial"/>
                <w:szCs w:val="18"/>
              </w:rPr>
              <w:t>&gt;</w:t>
            </w:r>
          </w:p>
        </w:tc>
      </w:tr>
      <w:tr w:rsidR="00817104" w:rsidRPr="001C41BD" w14:paraId="6DD82F77" w14:textId="77777777" w:rsidTr="00236CBF">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0" w:type="auto"/>
          </w:tcPr>
          <w:p w14:paraId="559CA7F5" w14:textId="77777777" w:rsidR="00817104" w:rsidRPr="001C41BD" w:rsidRDefault="00817104">
            <w:pPr>
              <w:pStyle w:val="Tabletext"/>
              <w:rPr>
                <w:szCs w:val="18"/>
              </w:rPr>
            </w:pPr>
            <w:r w:rsidRPr="001C41BD">
              <w:rPr>
                <w:szCs w:val="18"/>
              </w:rPr>
              <w:t>28071</w:t>
            </w:r>
          </w:p>
          <w:p w14:paraId="75E456E4" w14:textId="77777777" w:rsidR="00817104" w:rsidRPr="001C41BD" w:rsidRDefault="00817104">
            <w:pPr>
              <w:pStyle w:val="Tabletext"/>
              <w:rPr>
                <w:szCs w:val="18"/>
              </w:rPr>
            </w:pPr>
            <w:r w:rsidRPr="001C41BD">
              <w:rPr>
                <w:szCs w:val="18"/>
              </w:rPr>
              <w:t>28085</w:t>
            </w:r>
          </w:p>
          <w:p w14:paraId="53E65074" w14:textId="77777777" w:rsidR="00817104" w:rsidRPr="001C41BD" w:rsidRDefault="00817104">
            <w:pPr>
              <w:pStyle w:val="Tabletext"/>
              <w:rPr>
                <w:szCs w:val="18"/>
              </w:rPr>
            </w:pPr>
            <w:r w:rsidRPr="001C41BD">
              <w:rPr>
                <w:szCs w:val="18"/>
              </w:rPr>
              <w:t>28086</w:t>
            </w:r>
          </w:p>
        </w:tc>
        <w:tc>
          <w:tcPr>
            <w:tcW w:w="0" w:type="auto"/>
          </w:tcPr>
          <w:p w14:paraId="45A95412"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rFonts w:eastAsia="Arial Narrow"/>
                <w:szCs w:val="18"/>
              </w:rPr>
            </w:pPr>
            <w:r w:rsidRPr="001C41BD">
              <w:rPr>
                <w:szCs w:val="18"/>
              </w:rPr>
              <w:t>Aboriginal health</w:t>
            </w:r>
          </w:p>
        </w:tc>
        <w:tc>
          <w:tcPr>
            <w:tcW w:w="0" w:type="auto"/>
          </w:tcPr>
          <w:p w14:paraId="0C0B1FE4"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rFonts w:eastAsia="Meiryo"/>
                <w:szCs w:val="18"/>
              </w:rPr>
            </w:pPr>
            <w:hyperlink r:id="rId589">
              <w:r w:rsidRPr="001C41BD">
                <w:rPr>
                  <w:rStyle w:val="Hyperlink"/>
                  <w:szCs w:val="18"/>
                </w:rPr>
                <w:t>Community Health Program guidelines</w:t>
              </w:r>
            </w:hyperlink>
            <w:r w:rsidRPr="001C41BD">
              <w:rPr>
                <w:szCs w:val="18"/>
              </w:rPr>
              <w:t xml:space="preserve"> &lt;https://www.health.vic.gov.au/community-health/community-health-integrated-program-chip-guidelines</w:t>
            </w:r>
            <w:r w:rsidRPr="001C41BD">
              <w:rPr>
                <w:rFonts w:eastAsia="Meiryo"/>
                <w:szCs w:val="18"/>
              </w:rPr>
              <w:t>&gt;</w:t>
            </w:r>
          </w:p>
          <w:p w14:paraId="21D33024"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rFonts w:eastAsia="Arial Narrow"/>
                <w:szCs w:val="18"/>
              </w:rPr>
            </w:pPr>
            <w:hyperlink r:id="rId590">
              <w:r w:rsidRPr="001C41BD">
                <w:rPr>
                  <w:rStyle w:val="Hyperlink"/>
                  <w:rFonts w:eastAsia="Wingdings"/>
                  <w:szCs w:val="18"/>
                </w:rPr>
                <w:t>Aboriginal health</w:t>
              </w:r>
            </w:hyperlink>
            <w:r w:rsidRPr="001C41BD">
              <w:rPr>
                <w:rFonts w:eastAsia="Arial"/>
                <w:szCs w:val="18"/>
              </w:rPr>
              <w:t xml:space="preserve"> </w:t>
            </w:r>
            <w:r w:rsidRPr="001C41BD">
              <w:rPr>
                <w:rFonts w:eastAsia="Arial" w:cs="Arial"/>
                <w:szCs w:val="18"/>
              </w:rPr>
              <w:t>&lt;</w:t>
            </w:r>
            <w:r w:rsidRPr="001C41BD">
              <w:rPr>
                <w:rFonts w:eastAsia="Arial"/>
                <w:szCs w:val="18"/>
              </w:rPr>
              <w:t>https://www.health.vic.gov.au/health-strategies/aboriginal-health&gt;</w:t>
            </w:r>
          </w:p>
          <w:p w14:paraId="3DEAA567" w14:textId="4BA03323" w:rsidR="00817104" w:rsidRPr="001C41BD" w:rsidRDefault="000943AB">
            <w:pPr>
              <w:pStyle w:val="Tabletext"/>
              <w:cnfStyle w:val="000000100000" w:firstRow="0" w:lastRow="0" w:firstColumn="0" w:lastColumn="0" w:oddVBand="0" w:evenVBand="0" w:oddHBand="1" w:evenHBand="0" w:firstRowFirstColumn="0" w:firstRowLastColumn="0" w:lastRowFirstColumn="0" w:lastRowLastColumn="0"/>
              <w:rPr>
                <w:rFonts w:eastAsia="Wingdings" w:cs="Wingdings"/>
                <w:szCs w:val="18"/>
              </w:rPr>
            </w:pPr>
            <w:hyperlink r:id="rId591" w:history="1">
              <w:r w:rsidRPr="000943AB">
                <w:rPr>
                  <w:rStyle w:val="Hyperlink"/>
                  <w:rFonts w:eastAsia="Meiryo"/>
                  <w:szCs w:val="18"/>
                </w:rPr>
                <w:t>Victorian Aboriginal Affairs Framework 2018–23</w:t>
              </w:r>
            </w:hyperlink>
            <w:r w:rsidRPr="001C41BD">
              <w:rPr>
                <w:rStyle w:val="Hyperlink"/>
                <w:rFonts w:eastAsia="Meiryo"/>
                <w:szCs w:val="18"/>
              </w:rPr>
              <w:t xml:space="preserve"> </w:t>
            </w:r>
            <w:r w:rsidRPr="001C41BD">
              <w:rPr>
                <w:rFonts w:eastAsia="Meiryo"/>
                <w:szCs w:val="18"/>
              </w:rPr>
              <w:t>&lt;</w:t>
            </w:r>
            <w:r w:rsidRPr="00826187">
              <w:rPr>
                <w:rFonts w:eastAsia="Meiryo"/>
                <w:szCs w:val="18"/>
              </w:rPr>
              <w:t>https://www.firstpeoplesrelations.vic.gov.au/victorian-aboriginal-affairs-framework-2018-2023</w:t>
            </w:r>
            <w:r w:rsidRPr="001C41BD">
              <w:rPr>
                <w:rFonts w:eastAsia="Meiryo"/>
                <w:szCs w:val="18"/>
              </w:rPr>
              <w:t>&gt;</w:t>
            </w:r>
          </w:p>
        </w:tc>
      </w:tr>
      <w:tr w:rsidR="00817104" w:rsidRPr="001C41BD" w14:paraId="024B0F99" w14:textId="77777777" w:rsidTr="00236CBF">
        <w:trPr>
          <w:trHeight w:val="1341"/>
        </w:trPr>
        <w:tc>
          <w:tcPr>
            <w:cnfStyle w:val="001000000000" w:firstRow="0" w:lastRow="0" w:firstColumn="1" w:lastColumn="0" w:oddVBand="0" w:evenVBand="0" w:oddHBand="0" w:evenHBand="0" w:firstRowFirstColumn="0" w:firstRowLastColumn="0" w:lastRowFirstColumn="0" w:lastRowLastColumn="0"/>
            <w:tcW w:w="0" w:type="auto"/>
          </w:tcPr>
          <w:p w14:paraId="19A1DA46" w14:textId="77777777" w:rsidR="00817104" w:rsidRPr="001C41BD" w:rsidRDefault="00817104">
            <w:pPr>
              <w:pStyle w:val="Tabletext"/>
              <w:rPr>
                <w:szCs w:val="18"/>
              </w:rPr>
            </w:pPr>
            <w:r w:rsidRPr="001C41BD">
              <w:rPr>
                <w:szCs w:val="18"/>
              </w:rPr>
              <w:t>28072</w:t>
            </w:r>
          </w:p>
          <w:p w14:paraId="713F7496" w14:textId="77777777" w:rsidR="00817104" w:rsidRPr="001C41BD" w:rsidRDefault="00817104">
            <w:pPr>
              <w:pStyle w:val="Tabletext"/>
              <w:rPr>
                <w:szCs w:val="18"/>
              </w:rPr>
            </w:pPr>
            <w:r w:rsidRPr="001C41BD">
              <w:rPr>
                <w:szCs w:val="18"/>
              </w:rPr>
              <w:t>28074</w:t>
            </w:r>
          </w:p>
          <w:p w14:paraId="2A68916F" w14:textId="77777777" w:rsidR="00817104" w:rsidRPr="001C41BD" w:rsidRDefault="00817104">
            <w:pPr>
              <w:pStyle w:val="Tabletext"/>
              <w:rPr>
                <w:szCs w:val="18"/>
              </w:rPr>
            </w:pPr>
            <w:r w:rsidRPr="001C41BD">
              <w:rPr>
                <w:szCs w:val="18"/>
              </w:rPr>
              <w:t>28081</w:t>
            </w:r>
          </w:p>
          <w:p w14:paraId="08A01B61" w14:textId="77777777" w:rsidR="00817104" w:rsidRPr="001C41BD" w:rsidRDefault="00817104">
            <w:pPr>
              <w:pStyle w:val="Tabletext"/>
              <w:rPr>
                <w:szCs w:val="18"/>
              </w:rPr>
            </w:pPr>
            <w:r w:rsidRPr="001C41BD">
              <w:rPr>
                <w:szCs w:val="18"/>
              </w:rPr>
              <w:t>28085</w:t>
            </w:r>
          </w:p>
          <w:p w14:paraId="014719BB" w14:textId="77777777" w:rsidR="00817104" w:rsidRPr="001C41BD" w:rsidRDefault="00817104">
            <w:pPr>
              <w:pStyle w:val="Tabletext"/>
              <w:rPr>
                <w:szCs w:val="18"/>
              </w:rPr>
            </w:pPr>
            <w:r w:rsidRPr="001C41BD">
              <w:rPr>
                <w:szCs w:val="18"/>
              </w:rPr>
              <w:t>28086</w:t>
            </w:r>
          </w:p>
        </w:tc>
        <w:tc>
          <w:tcPr>
            <w:tcW w:w="0" w:type="auto"/>
          </w:tcPr>
          <w:p w14:paraId="1FB2C4F8"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Arial Narrow"/>
                <w:szCs w:val="18"/>
              </w:rPr>
            </w:pPr>
            <w:r w:rsidRPr="001C41BD">
              <w:rPr>
                <w:szCs w:val="18"/>
              </w:rPr>
              <w:t>People with chronic disease</w:t>
            </w:r>
          </w:p>
        </w:tc>
        <w:tc>
          <w:tcPr>
            <w:tcW w:w="0" w:type="auto"/>
          </w:tcPr>
          <w:p w14:paraId="283B341D"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szCs w:val="18"/>
              </w:rPr>
            </w:pPr>
            <w:hyperlink r:id="rId592">
              <w:r w:rsidRPr="001C41BD">
                <w:rPr>
                  <w:rStyle w:val="Hyperlink"/>
                  <w:szCs w:val="18"/>
                </w:rPr>
                <w:t>Community Health Program guidelines</w:t>
              </w:r>
            </w:hyperlink>
            <w:r w:rsidRPr="001C41BD">
              <w:rPr>
                <w:szCs w:val="18"/>
              </w:rPr>
              <w:t xml:space="preserve"> &lt;https://www.health.vic.gov.au/community-health/community-health-integrated-program-chip-guidelines</w:t>
            </w:r>
            <w:r w:rsidRPr="001C41BD">
              <w:rPr>
                <w:rFonts w:eastAsia="Meiryo"/>
                <w:szCs w:val="18"/>
              </w:rPr>
              <w:t>&gt;</w:t>
            </w:r>
          </w:p>
        </w:tc>
      </w:tr>
      <w:tr w:rsidR="00817104" w:rsidRPr="001C41BD" w14:paraId="166BB5FF" w14:textId="77777777" w:rsidTr="00236CBF">
        <w:trPr>
          <w:cnfStyle w:val="000000100000" w:firstRow="0" w:lastRow="0" w:firstColumn="0" w:lastColumn="0" w:oddVBand="0" w:evenVBand="0" w:oddHBand="1" w:evenHBand="0" w:firstRowFirstColumn="0" w:firstRowLastColumn="0" w:lastRowFirstColumn="0" w:lastRowLastColumn="0"/>
          <w:trHeight w:val="1736"/>
        </w:trPr>
        <w:tc>
          <w:tcPr>
            <w:cnfStyle w:val="001000000000" w:firstRow="0" w:lastRow="0" w:firstColumn="1" w:lastColumn="0" w:oddVBand="0" w:evenVBand="0" w:oddHBand="0" w:evenHBand="0" w:firstRowFirstColumn="0" w:firstRowLastColumn="0" w:lastRowFirstColumn="0" w:lastRowLastColumn="0"/>
            <w:tcW w:w="0" w:type="auto"/>
          </w:tcPr>
          <w:p w14:paraId="14A20E41" w14:textId="77777777" w:rsidR="00817104" w:rsidRPr="001C41BD" w:rsidRDefault="00817104">
            <w:pPr>
              <w:pStyle w:val="Tabletext"/>
              <w:rPr>
                <w:szCs w:val="18"/>
              </w:rPr>
            </w:pPr>
            <w:r w:rsidRPr="001C41BD">
              <w:rPr>
                <w:szCs w:val="18"/>
              </w:rPr>
              <w:lastRenderedPageBreak/>
              <w:t>28080</w:t>
            </w:r>
          </w:p>
          <w:p w14:paraId="28098F26" w14:textId="77777777" w:rsidR="00817104" w:rsidRPr="001C41BD" w:rsidRDefault="00817104">
            <w:pPr>
              <w:pStyle w:val="Tabletext"/>
              <w:rPr>
                <w:szCs w:val="18"/>
              </w:rPr>
            </w:pPr>
            <w:r w:rsidRPr="001C41BD">
              <w:rPr>
                <w:szCs w:val="18"/>
              </w:rPr>
              <w:t>28085</w:t>
            </w:r>
          </w:p>
          <w:p w14:paraId="11C56822" w14:textId="77777777" w:rsidR="00817104" w:rsidRPr="001C41BD" w:rsidRDefault="00817104">
            <w:pPr>
              <w:pStyle w:val="Tabletext"/>
              <w:rPr>
                <w:rFonts w:eastAsia="Arial Narrow"/>
                <w:szCs w:val="18"/>
              </w:rPr>
            </w:pPr>
            <w:r w:rsidRPr="001C41BD">
              <w:rPr>
                <w:szCs w:val="18"/>
              </w:rPr>
              <w:t>28086</w:t>
            </w:r>
          </w:p>
          <w:p w14:paraId="5D388879" w14:textId="77777777" w:rsidR="00817104" w:rsidRPr="001C41BD" w:rsidRDefault="00817104">
            <w:pPr>
              <w:pStyle w:val="Tabletext"/>
              <w:rPr>
                <w:rFonts w:eastAsia="Arial Narrow"/>
                <w:szCs w:val="18"/>
              </w:rPr>
            </w:pPr>
            <w:r w:rsidRPr="001C41BD">
              <w:rPr>
                <w:rFonts w:eastAsia="Arial Narrow"/>
                <w:szCs w:val="18"/>
              </w:rPr>
              <w:t>28212</w:t>
            </w:r>
          </w:p>
          <w:p w14:paraId="5CD88147" w14:textId="77777777" w:rsidR="00817104" w:rsidRPr="001C41BD" w:rsidRDefault="00817104">
            <w:pPr>
              <w:pStyle w:val="Tabletext"/>
              <w:rPr>
                <w:szCs w:val="18"/>
              </w:rPr>
            </w:pPr>
            <w:r w:rsidRPr="001C41BD">
              <w:rPr>
                <w:szCs w:val="18"/>
              </w:rPr>
              <w:t>28213</w:t>
            </w:r>
          </w:p>
        </w:tc>
        <w:tc>
          <w:tcPr>
            <w:tcW w:w="0" w:type="auto"/>
          </w:tcPr>
          <w:p w14:paraId="78E477ED"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rFonts w:eastAsia="Arial Narrow"/>
                <w:szCs w:val="18"/>
              </w:rPr>
            </w:pPr>
            <w:r w:rsidRPr="001C41BD">
              <w:rPr>
                <w:szCs w:val="18"/>
              </w:rPr>
              <w:t>Maternal health</w:t>
            </w:r>
          </w:p>
        </w:tc>
        <w:tc>
          <w:tcPr>
            <w:tcW w:w="0" w:type="auto"/>
          </w:tcPr>
          <w:p w14:paraId="6FD9B7F4"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rFonts w:eastAsia="Meiryo"/>
                <w:szCs w:val="18"/>
              </w:rPr>
            </w:pPr>
            <w:hyperlink r:id="rId593">
              <w:r w:rsidRPr="001C41BD">
                <w:rPr>
                  <w:rStyle w:val="Hyperlink"/>
                  <w:szCs w:val="18"/>
                </w:rPr>
                <w:t>Community Health Program guidelines</w:t>
              </w:r>
            </w:hyperlink>
            <w:r w:rsidRPr="001C41BD">
              <w:rPr>
                <w:szCs w:val="18"/>
              </w:rPr>
              <w:t xml:space="preserve"> &lt;https://www.health.vic.gov.au/community-health/community-health-integrated-program-chip-guidelines</w:t>
            </w:r>
            <w:r w:rsidRPr="001C41BD">
              <w:rPr>
                <w:rFonts w:eastAsia="Meiryo"/>
                <w:szCs w:val="18"/>
              </w:rPr>
              <w:t>&gt;</w:t>
            </w:r>
          </w:p>
          <w:p w14:paraId="0E730B66"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rFonts w:eastAsia="Arial Narrow"/>
                <w:szCs w:val="18"/>
              </w:rPr>
            </w:pPr>
            <w:hyperlink r:id="rId594">
              <w:r w:rsidRPr="001C41BD">
                <w:rPr>
                  <w:rStyle w:val="Hyperlink"/>
                  <w:szCs w:val="18"/>
                </w:rPr>
                <w:t>Healthy Mothers, Healthy Babies</w:t>
              </w:r>
            </w:hyperlink>
            <w:r w:rsidRPr="001C41BD">
              <w:rPr>
                <w:szCs w:val="18"/>
              </w:rPr>
              <w:t xml:space="preserve"> </w:t>
            </w:r>
            <w:r w:rsidRPr="001C41BD">
              <w:rPr>
                <w:rFonts w:cs="Wingdings"/>
                <w:szCs w:val="18"/>
              </w:rPr>
              <w:t>&lt;</w:t>
            </w:r>
            <w:r w:rsidRPr="001C41BD">
              <w:rPr>
                <w:rFonts w:eastAsia="Wingdings"/>
                <w:szCs w:val="18"/>
              </w:rPr>
              <w:t>https://www.health.vic.gov.au/community-health/healthy-mothers-healthy-babies</w:t>
            </w:r>
            <w:r w:rsidRPr="001C41BD">
              <w:rPr>
                <w:rFonts w:cs="Wingdings"/>
                <w:szCs w:val="18"/>
              </w:rPr>
              <w:t>&gt;</w:t>
            </w:r>
          </w:p>
          <w:p w14:paraId="6E88EFFD" w14:textId="77777777" w:rsidR="00817104" w:rsidRPr="001C41BD" w:rsidRDefault="00817104">
            <w:pPr>
              <w:pStyle w:val="Tabletext"/>
              <w:cnfStyle w:val="000000100000" w:firstRow="0" w:lastRow="0" w:firstColumn="0" w:lastColumn="0" w:oddVBand="0" w:evenVBand="0" w:oddHBand="1" w:evenHBand="0" w:firstRowFirstColumn="0" w:firstRowLastColumn="0" w:lastRowFirstColumn="0" w:lastRowLastColumn="0"/>
              <w:rPr>
                <w:szCs w:val="18"/>
              </w:rPr>
            </w:pPr>
            <w:hyperlink r:id="rId595">
              <w:r w:rsidRPr="001C41BD">
                <w:rPr>
                  <w:rStyle w:val="Hyperlink"/>
                  <w:szCs w:val="18"/>
                </w:rPr>
                <w:t>Sleep and settling</w:t>
              </w:r>
            </w:hyperlink>
            <w:r w:rsidRPr="001C41BD">
              <w:rPr>
                <w:szCs w:val="18"/>
              </w:rPr>
              <w:t xml:space="preserve"> &lt;https://www.health.vic.gov.au/maternal-child-health/sleep-and-settling&gt;</w:t>
            </w:r>
          </w:p>
        </w:tc>
      </w:tr>
      <w:tr w:rsidR="00817104" w:rsidRPr="001C41BD" w14:paraId="155DC168" w14:textId="77777777" w:rsidTr="00236CBF">
        <w:trPr>
          <w:trHeight w:val="1196"/>
        </w:trPr>
        <w:tc>
          <w:tcPr>
            <w:cnfStyle w:val="001000000000" w:firstRow="0" w:lastRow="0" w:firstColumn="1" w:lastColumn="0" w:oddVBand="0" w:evenVBand="0" w:oddHBand="0" w:evenHBand="0" w:firstRowFirstColumn="0" w:firstRowLastColumn="0" w:lastRowFirstColumn="0" w:lastRowLastColumn="0"/>
            <w:tcW w:w="0" w:type="auto"/>
          </w:tcPr>
          <w:p w14:paraId="3D31BF7E" w14:textId="77777777" w:rsidR="00817104" w:rsidRPr="001C41BD" w:rsidRDefault="00817104">
            <w:pPr>
              <w:pStyle w:val="Tabletext"/>
              <w:rPr>
                <w:szCs w:val="18"/>
              </w:rPr>
            </w:pPr>
            <w:r w:rsidRPr="001C41BD">
              <w:rPr>
                <w:szCs w:val="18"/>
              </w:rPr>
              <w:t>28085</w:t>
            </w:r>
          </w:p>
          <w:p w14:paraId="36E7347B" w14:textId="77777777" w:rsidR="00817104" w:rsidRDefault="00817104">
            <w:pPr>
              <w:pStyle w:val="Tabletext"/>
              <w:rPr>
                <w:b w:val="0"/>
                <w:bCs w:val="0"/>
                <w:szCs w:val="18"/>
              </w:rPr>
            </w:pPr>
            <w:r w:rsidRPr="001C41BD">
              <w:rPr>
                <w:szCs w:val="18"/>
              </w:rPr>
              <w:t>28086</w:t>
            </w:r>
          </w:p>
          <w:p w14:paraId="52833D3F" w14:textId="77777777" w:rsidR="004C62BD" w:rsidRPr="00040B0E" w:rsidRDefault="004C62BD" w:rsidP="004C62BD">
            <w:pPr>
              <w:pStyle w:val="Tabletext"/>
              <w:rPr>
                <w:b w:val="0"/>
                <w:bCs w:val="0"/>
              </w:rPr>
            </w:pPr>
            <w:r w:rsidRPr="00040B0E">
              <w:t>28066</w:t>
            </w:r>
          </w:p>
          <w:p w14:paraId="388C2608" w14:textId="0FD16C50" w:rsidR="004C62BD" w:rsidRPr="001C41BD" w:rsidRDefault="004C62BD" w:rsidP="004C62BD">
            <w:pPr>
              <w:pStyle w:val="Tabletext"/>
              <w:rPr>
                <w:szCs w:val="18"/>
              </w:rPr>
            </w:pPr>
            <w:r w:rsidRPr="00040B0E">
              <w:t>28092</w:t>
            </w:r>
          </w:p>
        </w:tc>
        <w:tc>
          <w:tcPr>
            <w:tcW w:w="0" w:type="auto"/>
          </w:tcPr>
          <w:p w14:paraId="739BD1E7"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Arial Narrow"/>
                <w:szCs w:val="18"/>
              </w:rPr>
            </w:pPr>
            <w:r w:rsidRPr="001C41BD">
              <w:rPr>
                <w:szCs w:val="18"/>
              </w:rPr>
              <w:t>Child health</w:t>
            </w:r>
          </w:p>
        </w:tc>
        <w:tc>
          <w:tcPr>
            <w:tcW w:w="0" w:type="auto"/>
          </w:tcPr>
          <w:p w14:paraId="3BD07252"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Meiryo"/>
                <w:szCs w:val="18"/>
              </w:rPr>
            </w:pPr>
            <w:hyperlink r:id="rId596">
              <w:r w:rsidRPr="001C41BD">
                <w:rPr>
                  <w:rStyle w:val="Hyperlink"/>
                  <w:szCs w:val="18"/>
                </w:rPr>
                <w:t>Community Health Program guidelines</w:t>
              </w:r>
            </w:hyperlink>
            <w:r w:rsidRPr="001C41BD">
              <w:rPr>
                <w:szCs w:val="18"/>
              </w:rPr>
              <w:t xml:space="preserve"> &lt;https://www.health.vic.gov.au/community-health/community-health-integrated-program-chip-guidelines</w:t>
            </w:r>
            <w:r w:rsidRPr="001C41BD">
              <w:rPr>
                <w:rFonts w:eastAsia="Meiryo"/>
                <w:szCs w:val="18"/>
              </w:rPr>
              <w:t>&gt;</w:t>
            </w:r>
          </w:p>
          <w:p w14:paraId="46BE80BE" w14:textId="77777777" w:rsidR="00817104" w:rsidRPr="001C41BD" w:rsidRDefault="00817104">
            <w:pPr>
              <w:pStyle w:val="Tabletext"/>
              <w:cnfStyle w:val="000000000000" w:firstRow="0" w:lastRow="0" w:firstColumn="0" w:lastColumn="0" w:oddVBand="0" w:evenVBand="0" w:oddHBand="0" w:evenHBand="0" w:firstRowFirstColumn="0" w:firstRowLastColumn="0" w:lastRowFirstColumn="0" w:lastRowLastColumn="0"/>
              <w:rPr>
                <w:rFonts w:eastAsia="Arial Narrow"/>
                <w:szCs w:val="18"/>
              </w:rPr>
            </w:pPr>
            <w:hyperlink r:id="rId597">
              <w:r w:rsidRPr="001C41BD">
                <w:rPr>
                  <w:rStyle w:val="Hyperlink"/>
                  <w:szCs w:val="18"/>
                </w:rPr>
                <w:t>Children, youth and families</w:t>
              </w:r>
            </w:hyperlink>
            <w:r w:rsidRPr="001C41BD">
              <w:rPr>
                <w:szCs w:val="18"/>
              </w:rPr>
              <w:t xml:space="preserve"> </w:t>
            </w:r>
            <w:r w:rsidRPr="001C41BD">
              <w:rPr>
                <w:rFonts w:eastAsia="Wingdings" w:cs="Wingdings"/>
                <w:szCs w:val="18"/>
              </w:rPr>
              <w:t>&lt;</w:t>
            </w:r>
            <w:r w:rsidRPr="001C41BD">
              <w:rPr>
                <w:rFonts w:eastAsia="Wingdings"/>
                <w:szCs w:val="18"/>
              </w:rPr>
              <w:t>https://www.health.vic.gov.au/community-health/children-youth-and-families&gt;</w:t>
            </w:r>
          </w:p>
        </w:tc>
      </w:tr>
    </w:tbl>
    <w:p w14:paraId="48D17817" w14:textId="1AC88A0A" w:rsidR="00817104" w:rsidRDefault="00817104" w:rsidP="00817104">
      <w:pPr>
        <w:pStyle w:val="Tablecaption"/>
      </w:pPr>
      <w:bookmarkStart w:id="2865" w:name="_Toc230537147"/>
      <w:r>
        <w:t xml:space="preserve">Table </w:t>
      </w:r>
      <w:r w:rsidR="003773A7">
        <w:t>27</w:t>
      </w:r>
      <w:r>
        <w:t xml:space="preserve">: Public health – service standards </w:t>
      </w:r>
      <w:r w:rsidRPr="004927D5">
        <w:t>and</w:t>
      </w:r>
      <w:r>
        <w:t xml:space="preserve"> guidelines</w:t>
      </w:r>
      <w:bookmarkEnd w:id="2865"/>
    </w:p>
    <w:tbl>
      <w:tblPr>
        <w:tblStyle w:val="GridTable4-Accent1"/>
        <w:tblW w:w="0" w:type="auto"/>
        <w:tblLook w:val="04A0" w:firstRow="1" w:lastRow="0" w:firstColumn="1" w:lastColumn="0" w:noHBand="0" w:noVBand="1"/>
      </w:tblPr>
      <w:tblGrid>
        <w:gridCol w:w="926"/>
        <w:gridCol w:w="8362"/>
      </w:tblGrid>
      <w:tr w:rsidR="00817104" w:rsidRPr="004F54AF" w14:paraId="4B805B26" w14:textId="77777777" w:rsidTr="003773A7">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0" w:type="auto"/>
          </w:tcPr>
          <w:p w14:paraId="26F8E4DF" w14:textId="77777777" w:rsidR="00817104" w:rsidRPr="003773A7" w:rsidRDefault="00817104" w:rsidP="00785A21">
            <w:pPr>
              <w:pStyle w:val="Tablecolhead"/>
              <w:rPr>
                <w:b/>
                <w:bCs w:val="0"/>
                <w:color w:val="FFFFFF" w:themeColor="background1"/>
                <w:sz w:val="18"/>
                <w:szCs w:val="18"/>
              </w:rPr>
            </w:pPr>
            <w:r w:rsidRPr="003773A7">
              <w:rPr>
                <w:b/>
                <w:bCs w:val="0"/>
                <w:color w:val="FFFFFF" w:themeColor="background1"/>
                <w:sz w:val="18"/>
                <w:szCs w:val="18"/>
              </w:rPr>
              <w:t>Activity no.</w:t>
            </w:r>
          </w:p>
        </w:tc>
        <w:tc>
          <w:tcPr>
            <w:tcW w:w="0" w:type="auto"/>
          </w:tcPr>
          <w:p w14:paraId="357102AC" w14:textId="77777777" w:rsidR="00817104" w:rsidRPr="003773A7" w:rsidRDefault="00817104" w:rsidP="00785A21">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18"/>
                <w:szCs w:val="18"/>
              </w:rPr>
            </w:pPr>
            <w:r w:rsidRPr="003773A7">
              <w:rPr>
                <w:b/>
                <w:bCs w:val="0"/>
                <w:color w:val="FFFFFF" w:themeColor="background1"/>
                <w:sz w:val="18"/>
                <w:szCs w:val="18"/>
              </w:rPr>
              <w:t xml:space="preserve">Service standards and guidelines description </w:t>
            </w:r>
          </w:p>
        </w:tc>
      </w:tr>
      <w:tr w:rsidR="00817104" w:rsidRPr="004F54AF" w14:paraId="10F04974" w14:textId="77777777" w:rsidTr="003773A7">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tcPr>
          <w:p w14:paraId="7AC5F55D" w14:textId="77777777" w:rsidR="003773A7" w:rsidRDefault="00817104">
            <w:pPr>
              <w:pStyle w:val="Tabletext"/>
              <w:spacing w:line="276" w:lineRule="auto"/>
              <w:rPr>
                <w:b w:val="0"/>
                <w:bCs w:val="0"/>
                <w:szCs w:val="18"/>
                <w:lang w:eastAsia="en-AU"/>
              </w:rPr>
            </w:pPr>
            <w:r w:rsidRPr="004F54AF">
              <w:rPr>
                <w:szCs w:val="18"/>
                <w:lang w:eastAsia="en-AU"/>
              </w:rPr>
              <w:t>16373</w:t>
            </w:r>
          </w:p>
          <w:p w14:paraId="498A1FA9" w14:textId="77777777" w:rsidR="003773A7" w:rsidRDefault="00817104">
            <w:pPr>
              <w:pStyle w:val="Tabletext"/>
              <w:spacing w:line="276" w:lineRule="auto"/>
              <w:rPr>
                <w:b w:val="0"/>
                <w:bCs w:val="0"/>
                <w:szCs w:val="18"/>
                <w:lang w:eastAsia="en-AU"/>
              </w:rPr>
            </w:pPr>
            <w:r w:rsidRPr="004F54AF">
              <w:rPr>
                <w:szCs w:val="18"/>
                <w:lang w:eastAsia="en-AU"/>
              </w:rPr>
              <w:t>16505</w:t>
            </w:r>
          </w:p>
          <w:p w14:paraId="126FC5F3" w14:textId="77777777" w:rsidR="009122FD" w:rsidRDefault="00817104">
            <w:pPr>
              <w:pStyle w:val="Tabletext"/>
              <w:spacing w:line="276" w:lineRule="auto"/>
              <w:rPr>
                <w:b w:val="0"/>
                <w:bCs w:val="0"/>
                <w:szCs w:val="18"/>
                <w:lang w:eastAsia="en-AU"/>
              </w:rPr>
            </w:pPr>
            <w:r w:rsidRPr="004F54AF">
              <w:rPr>
                <w:szCs w:val="18"/>
                <w:lang w:eastAsia="en-AU"/>
              </w:rPr>
              <w:t>16506</w:t>
            </w:r>
          </w:p>
          <w:p w14:paraId="20A2F094" w14:textId="77777777" w:rsidR="009122FD" w:rsidRDefault="00817104">
            <w:pPr>
              <w:pStyle w:val="Tabletext"/>
              <w:spacing w:line="276" w:lineRule="auto"/>
              <w:rPr>
                <w:b w:val="0"/>
                <w:bCs w:val="0"/>
                <w:szCs w:val="18"/>
                <w:lang w:eastAsia="en-AU"/>
              </w:rPr>
            </w:pPr>
            <w:r w:rsidRPr="004F54AF">
              <w:rPr>
                <w:szCs w:val="18"/>
                <w:lang w:eastAsia="en-AU"/>
              </w:rPr>
              <w:t>16507</w:t>
            </w:r>
          </w:p>
          <w:p w14:paraId="38845329" w14:textId="77777777" w:rsidR="009122FD" w:rsidRDefault="00817104">
            <w:pPr>
              <w:pStyle w:val="Tabletext"/>
              <w:spacing w:line="276" w:lineRule="auto"/>
              <w:rPr>
                <w:b w:val="0"/>
                <w:bCs w:val="0"/>
                <w:szCs w:val="18"/>
                <w:lang w:eastAsia="en-AU"/>
              </w:rPr>
            </w:pPr>
            <w:r w:rsidRPr="004F54AF">
              <w:rPr>
                <w:szCs w:val="18"/>
                <w:lang w:eastAsia="en-AU"/>
              </w:rPr>
              <w:t>16508</w:t>
            </w:r>
          </w:p>
          <w:p w14:paraId="16359268" w14:textId="231D5CF8" w:rsidR="00817104" w:rsidRPr="004F54AF" w:rsidRDefault="00817104">
            <w:pPr>
              <w:pStyle w:val="Tabletext"/>
              <w:spacing w:line="276" w:lineRule="auto"/>
              <w:rPr>
                <w:rStyle w:val="Emphasis"/>
                <w:i w:val="0"/>
                <w:iCs w:val="0"/>
                <w:szCs w:val="18"/>
                <w:lang w:eastAsia="en-AU"/>
              </w:rPr>
            </w:pPr>
            <w:r w:rsidRPr="004F54AF">
              <w:rPr>
                <w:szCs w:val="18"/>
                <w:lang w:eastAsia="en-AU"/>
              </w:rPr>
              <w:t>16509</w:t>
            </w:r>
          </w:p>
        </w:tc>
        <w:tc>
          <w:tcPr>
            <w:tcW w:w="0" w:type="auto"/>
          </w:tcPr>
          <w:p w14:paraId="203E4BD7" w14:textId="77777777" w:rsidR="00817104" w:rsidRPr="004F54AF" w:rsidRDefault="00817104">
            <w:pPr>
              <w:pStyle w:val="Tabletext"/>
              <w:cnfStyle w:val="000000100000" w:firstRow="0" w:lastRow="0" w:firstColumn="0" w:lastColumn="0" w:oddVBand="0" w:evenVBand="0" w:oddHBand="1" w:evenHBand="0" w:firstRowFirstColumn="0" w:firstRowLastColumn="0" w:lastRowFirstColumn="0" w:lastRowLastColumn="0"/>
              <w:rPr>
                <w:szCs w:val="18"/>
                <w:lang w:eastAsia="en-AU"/>
              </w:rPr>
            </w:pPr>
            <w:hyperlink r:id="rId598" w:anchor="program-guidelines-for-funded-agenciesblood-borne-viruses-and-sexually-transmissible-infections" w:history="1">
              <w:r w:rsidRPr="004F54AF">
                <w:rPr>
                  <w:rStyle w:val="Hyperlink"/>
                  <w:rFonts w:eastAsia="MS Gothic"/>
                  <w:szCs w:val="18"/>
                </w:rPr>
                <w:t>Program guidelines for funded agencies, blood borne viruses and sexually transmissible infections</w:t>
              </w:r>
            </w:hyperlink>
            <w:r w:rsidRPr="004F54AF">
              <w:rPr>
                <w:rStyle w:val="Emphasis"/>
                <w:rFonts w:eastAsia="MS Gothic"/>
                <w:i w:val="0"/>
                <w:iCs w:val="0"/>
                <w:szCs w:val="18"/>
              </w:rPr>
              <w:t xml:space="preserve"> </w:t>
            </w:r>
            <w:r w:rsidRPr="004F54AF">
              <w:rPr>
                <w:rStyle w:val="Emphasis"/>
                <w:rFonts w:eastAsia="MS Gothic"/>
                <w:szCs w:val="18"/>
              </w:rPr>
              <w:t>&lt;</w:t>
            </w:r>
            <w:r w:rsidRPr="004F54AF">
              <w:rPr>
                <w:szCs w:val="18"/>
              </w:rPr>
              <w:t>https://www.health.vic.gov.au/preventive-health/programs-and-services-for-sexual-health-and-viral-hepatitis#program-guidelines-for-funded-agenciesblood-borne-viruses-and-sexually-transmissible-infections&gt;</w:t>
            </w:r>
          </w:p>
        </w:tc>
      </w:tr>
      <w:tr w:rsidR="00817104" w:rsidRPr="004F54AF" w14:paraId="69FAD0A2" w14:textId="77777777" w:rsidTr="003773A7">
        <w:trPr>
          <w:trHeight w:val="1102"/>
        </w:trPr>
        <w:tc>
          <w:tcPr>
            <w:cnfStyle w:val="001000000000" w:firstRow="0" w:lastRow="0" w:firstColumn="1" w:lastColumn="0" w:oddVBand="0" w:evenVBand="0" w:oddHBand="0" w:evenHBand="0" w:firstRowFirstColumn="0" w:firstRowLastColumn="0" w:lastRowFirstColumn="0" w:lastRowLastColumn="0"/>
            <w:tcW w:w="0" w:type="auto"/>
          </w:tcPr>
          <w:p w14:paraId="6D3EB284" w14:textId="77777777" w:rsidR="00817104" w:rsidRPr="004F54AF" w:rsidRDefault="00817104">
            <w:pPr>
              <w:pStyle w:val="Tabletext"/>
              <w:rPr>
                <w:rStyle w:val="Emphasis"/>
                <w:rFonts w:eastAsia="MS Gothic"/>
                <w:i w:val="0"/>
                <w:iCs w:val="0"/>
                <w:szCs w:val="18"/>
              </w:rPr>
            </w:pPr>
            <w:r w:rsidRPr="004F54AF">
              <w:rPr>
                <w:szCs w:val="18"/>
              </w:rPr>
              <w:t>16454</w:t>
            </w:r>
          </w:p>
        </w:tc>
        <w:tc>
          <w:tcPr>
            <w:tcW w:w="0" w:type="auto"/>
          </w:tcPr>
          <w:p w14:paraId="195367D1" w14:textId="77777777" w:rsidR="00817104" w:rsidRPr="004F54AF" w:rsidRDefault="00817104">
            <w:pPr>
              <w:pStyle w:val="Tabletext"/>
              <w:cnfStyle w:val="000000000000" w:firstRow="0" w:lastRow="0" w:firstColumn="0" w:lastColumn="0" w:oddVBand="0" w:evenVBand="0" w:oddHBand="0" w:evenHBand="0" w:firstRowFirstColumn="0" w:firstRowLastColumn="0" w:lastRowFirstColumn="0" w:lastRowLastColumn="0"/>
              <w:rPr>
                <w:rStyle w:val="Emphasis"/>
                <w:rFonts w:eastAsia="MS Gothic"/>
                <w:i w:val="0"/>
                <w:iCs w:val="0"/>
                <w:szCs w:val="18"/>
              </w:rPr>
            </w:pPr>
            <w:hyperlink r:id="rId599" w:history="1">
              <w:r w:rsidRPr="004F54AF">
                <w:rPr>
                  <w:rStyle w:val="Hyperlink"/>
                  <w:szCs w:val="18"/>
                </w:rPr>
                <w:t>Victorian health and wellbeing plan</w:t>
              </w:r>
            </w:hyperlink>
            <w:r w:rsidRPr="004F54AF">
              <w:rPr>
                <w:szCs w:val="18"/>
              </w:rPr>
              <w:t xml:space="preserve"> &lt;https://www.health.vic.gov.au/victorian-health-and-wellbeing-plan&gt;</w:t>
            </w:r>
          </w:p>
          <w:p w14:paraId="2FC28C20" w14:textId="77777777" w:rsidR="00817104" w:rsidRPr="004F54AF" w:rsidRDefault="00817104">
            <w:pPr>
              <w:pStyle w:val="Tabletext"/>
              <w:cnfStyle w:val="000000000000" w:firstRow="0" w:lastRow="0" w:firstColumn="0" w:lastColumn="0" w:oddVBand="0" w:evenVBand="0" w:oddHBand="0" w:evenHBand="0" w:firstRowFirstColumn="0" w:firstRowLastColumn="0" w:lastRowFirstColumn="0" w:lastRowLastColumn="0"/>
              <w:rPr>
                <w:rStyle w:val="Emphasis"/>
                <w:rFonts w:eastAsia="MS Gothic"/>
                <w:i w:val="0"/>
                <w:iCs w:val="0"/>
                <w:szCs w:val="18"/>
              </w:rPr>
            </w:pPr>
            <w:hyperlink r:id="rId600">
              <w:r w:rsidRPr="004F54AF">
                <w:rPr>
                  <w:rStyle w:val="Hyperlink"/>
                  <w:szCs w:val="18"/>
                </w:rPr>
                <w:t>Municipal public health and wellbeing planning</w:t>
              </w:r>
            </w:hyperlink>
            <w:r w:rsidRPr="004F54AF">
              <w:rPr>
                <w:szCs w:val="18"/>
              </w:rPr>
              <w:t xml:space="preserve"> </w:t>
            </w:r>
            <w:r w:rsidRPr="004F54AF">
              <w:rPr>
                <w:rStyle w:val="Emphasis"/>
                <w:rFonts w:eastAsia="MS Gothic"/>
                <w:i w:val="0"/>
                <w:iCs w:val="0"/>
                <w:szCs w:val="18"/>
              </w:rPr>
              <w:t>&lt;https://www.health.vic.gov.au/population-health-systems/municipal-public-health-and-wellbeing-planning&gt;</w:t>
            </w:r>
          </w:p>
          <w:p w14:paraId="5586813D" w14:textId="18CF2B7A" w:rsidR="00817104" w:rsidRPr="004F54AF" w:rsidRDefault="00384F22">
            <w:pPr>
              <w:pStyle w:val="Tabletext"/>
              <w:cnfStyle w:val="000000000000" w:firstRow="0" w:lastRow="0" w:firstColumn="0" w:lastColumn="0" w:oddVBand="0" w:evenVBand="0" w:oddHBand="0" w:evenHBand="0" w:firstRowFirstColumn="0" w:firstRowLastColumn="0" w:lastRowFirstColumn="0" w:lastRowLastColumn="0"/>
              <w:rPr>
                <w:szCs w:val="18"/>
              </w:rPr>
            </w:pPr>
            <w:hyperlink r:id="rId601" w:history="1">
              <w:r w:rsidRPr="00D831DA">
                <w:rPr>
                  <w:rStyle w:val="Hyperlink"/>
                  <w:szCs w:val="18"/>
                </w:rPr>
                <w:t>Healthy Choices</w:t>
              </w:r>
            </w:hyperlink>
            <w:r w:rsidR="00817104" w:rsidRPr="004F54AF">
              <w:rPr>
                <w:szCs w:val="18"/>
              </w:rPr>
              <w:t xml:space="preserve"> &lt;https://www.health.vic.gov.au/preventive-health/healthy-choices&gt;</w:t>
            </w:r>
          </w:p>
          <w:p w14:paraId="2418E44B" w14:textId="6A0FD041" w:rsidR="00817104" w:rsidRPr="004F54AF" w:rsidRDefault="00817104">
            <w:pPr>
              <w:pStyle w:val="Tabletext"/>
              <w:cnfStyle w:val="000000000000" w:firstRow="0" w:lastRow="0" w:firstColumn="0" w:lastColumn="0" w:oddVBand="0" w:evenVBand="0" w:oddHBand="0" w:evenHBand="0" w:firstRowFirstColumn="0" w:firstRowLastColumn="0" w:lastRowFirstColumn="0" w:lastRowLastColumn="0"/>
              <w:rPr>
                <w:rStyle w:val="Emphasis"/>
                <w:rFonts w:eastAsia="MS Gothic"/>
                <w:i w:val="0"/>
                <w:iCs w:val="0"/>
                <w:szCs w:val="18"/>
              </w:rPr>
            </w:pPr>
            <w:hyperlink r:id="rId602">
              <w:r w:rsidRPr="004F54AF">
                <w:rPr>
                  <w:rStyle w:val="Hyperlink"/>
                  <w:rFonts w:eastAsia="Wingdings"/>
                  <w:szCs w:val="18"/>
                </w:rPr>
                <w:t xml:space="preserve">Healthy Choices: policy directive and guidelines for health </w:t>
              </w:r>
            </w:hyperlink>
            <w:r w:rsidRPr="004F54AF">
              <w:rPr>
                <w:rStyle w:val="Hyperlink"/>
                <w:rFonts w:eastAsia="Arial"/>
                <w:szCs w:val="18"/>
              </w:rPr>
              <w:t>services</w:t>
            </w:r>
            <w:r w:rsidRPr="004F54AF">
              <w:rPr>
                <w:rFonts w:eastAsia="Arial" w:cs="Arial"/>
                <w:szCs w:val="18"/>
              </w:rPr>
              <w:t xml:space="preserve"> </w:t>
            </w:r>
            <w:r w:rsidRPr="004F54AF">
              <w:rPr>
                <w:szCs w:val="18"/>
              </w:rPr>
              <w:t>&lt;</w:t>
            </w:r>
            <w:r w:rsidRPr="004F54AF">
              <w:rPr>
                <w:rFonts w:eastAsia="Arial" w:cs="Arial"/>
                <w:szCs w:val="18"/>
              </w:rPr>
              <w:t>https://www.health.vic.gov.au/publications/healthy-choices-policy-directive-and-guidelines-for-health-services&gt;</w:t>
            </w:r>
          </w:p>
        </w:tc>
      </w:tr>
      <w:tr w:rsidR="00817104" w:rsidRPr="004F54AF" w14:paraId="2EA46B74" w14:textId="77777777" w:rsidTr="003773A7">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0" w:type="auto"/>
          </w:tcPr>
          <w:p w14:paraId="5622CA51" w14:textId="77777777" w:rsidR="00817104" w:rsidRPr="004F54AF" w:rsidRDefault="00817104">
            <w:pPr>
              <w:pStyle w:val="Tabletext"/>
              <w:rPr>
                <w:szCs w:val="18"/>
              </w:rPr>
            </w:pPr>
            <w:r w:rsidRPr="004F54AF">
              <w:rPr>
                <w:szCs w:val="18"/>
                <w:lang w:eastAsia="en-AU"/>
              </w:rPr>
              <w:t>28085</w:t>
            </w:r>
          </w:p>
        </w:tc>
        <w:tc>
          <w:tcPr>
            <w:tcW w:w="0" w:type="auto"/>
          </w:tcPr>
          <w:p w14:paraId="0FB85BBF" w14:textId="77777777" w:rsidR="00817104" w:rsidRPr="004F54AF" w:rsidRDefault="00817104">
            <w:pPr>
              <w:pStyle w:val="Tabletext"/>
              <w:cnfStyle w:val="000000100000" w:firstRow="0" w:lastRow="0" w:firstColumn="0" w:lastColumn="0" w:oddVBand="0" w:evenVBand="0" w:oddHBand="1" w:evenHBand="0" w:firstRowFirstColumn="0" w:firstRowLastColumn="0" w:lastRowFirstColumn="0" w:lastRowLastColumn="0"/>
              <w:rPr>
                <w:rStyle w:val="Emphasis"/>
                <w:rFonts w:eastAsia="MS Gothic"/>
                <w:i w:val="0"/>
                <w:iCs w:val="0"/>
                <w:szCs w:val="18"/>
              </w:rPr>
            </w:pPr>
            <w:hyperlink r:id="rId603">
              <w:r w:rsidRPr="004F54AF">
                <w:rPr>
                  <w:rStyle w:val="Hyperlink"/>
                  <w:szCs w:val="18"/>
                </w:rPr>
                <w:t>Community Health – Health Promotion program 2021–25</w:t>
              </w:r>
            </w:hyperlink>
            <w:r w:rsidRPr="004F54AF">
              <w:rPr>
                <w:szCs w:val="18"/>
              </w:rPr>
              <w:t xml:space="preserve"> &lt;https://www.health.vic.gov.au/publications/community-health-health-promotion-2021–25&gt;</w:t>
            </w:r>
          </w:p>
        </w:tc>
      </w:tr>
    </w:tbl>
    <w:p w14:paraId="74BB1C67" w14:textId="77777777" w:rsidR="00817104" w:rsidRDefault="00817104" w:rsidP="00817104">
      <w:pPr>
        <w:pStyle w:val="Body"/>
      </w:pPr>
    </w:p>
    <w:p w14:paraId="493D7E66" w14:textId="77777777" w:rsidR="00817104" w:rsidRDefault="00817104" w:rsidP="00817104">
      <w:pPr>
        <w:spacing w:after="0" w:line="240" w:lineRule="auto"/>
        <w:rPr>
          <w:rFonts w:eastAsia="Times"/>
        </w:rPr>
      </w:pPr>
      <w:r>
        <w:br w:type="page"/>
      </w:r>
    </w:p>
    <w:p w14:paraId="5726E6F2" w14:textId="77777777" w:rsidR="00817104" w:rsidRPr="001429D4" w:rsidRDefault="00817104" w:rsidP="008D45A5">
      <w:pPr>
        <w:pStyle w:val="Heading1"/>
      </w:pPr>
      <w:bookmarkStart w:id="2866" w:name="_Toc165964793"/>
      <w:bookmarkStart w:id="2867" w:name="_Toc167174651"/>
      <w:bookmarkStart w:id="2868" w:name="_Toc224127358"/>
      <w:bookmarkStart w:id="2869" w:name="_Toc231982406"/>
      <w:r w:rsidRPr="001429D4">
        <w:lastRenderedPageBreak/>
        <w:t>List of tables</w:t>
      </w:r>
      <w:bookmarkEnd w:id="2866"/>
      <w:bookmarkEnd w:id="2867"/>
      <w:bookmarkEnd w:id="2868"/>
      <w:bookmarkEnd w:id="2869"/>
    </w:p>
    <w:p w14:paraId="0A76AE3B"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r>
        <w:rPr>
          <w:rFonts w:eastAsia="Times New Roman" w:cs="Arial"/>
          <w:noProof/>
          <w:color w:val="2B579A"/>
          <w:shd w:val="clear" w:color="auto" w:fill="E6E6E6"/>
        </w:rPr>
        <w:fldChar w:fldCharType="begin"/>
      </w:r>
      <w:r>
        <w:rPr>
          <w:rFonts w:eastAsia="Times New Roman" w:cs="Arial"/>
          <w:noProof/>
          <w:color w:val="2B579A"/>
          <w:shd w:val="clear" w:color="auto" w:fill="E6E6E6"/>
        </w:rPr>
        <w:instrText xml:space="preserve"> TOC \h \z \t "Table caption" \c </w:instrText>
      </w:r>
      <w:r>
        <w:rPr>
          <w:rFonts w:eastAsia="Times New Roman" w:cs="Arial"/>
          <w:noProof/>
          <w:color w:val="2B579A"/>
          <w:shd w:val="clear" w:color="auto" w:fill="E6E6E6"/>
        </w:rPr>
        <w:fldChar w:fldCharType="separate"/>
      </w:r>
      <w:hyperlink w:anchor="_Toc230537122" w:history="1">
        <w:r w:rsidRPr="00BA256D">
          <w:rPr>
            <w:rStyle w:val="Hyperlink"/>
            <w:noProof/>
          </w:rPr>
          <w:t xml:space="preserve">Table 1. Number of </w:t>
        </w:r>
        <w:r>
          <w:rPr>
            <w:rStyle w:val="Hyperlink"/>
            <w:noProof/>
          </w:rPr>
          <w:t>MH</w:t>
        </w:r>
        <w:r w:rsidRPr="00BA256D">
          <w:rPr>
            <w:rStyle w:val="Hyperlink"/>
            <w:noProof/>
          </w:rPr>
          <w:t>AOD beds per health service</w:t>
        </w:r>
        <w:r>
          <w:rPr>
            <w:noProof/>
            <w:webHidden/>
          </w:rPr>
          <w:tab/>
        </w:r>
        <w:r>
          <w:rPr>
            <w:noProof/>
            <w:webHidden/>
          </w:rPr>
          <w:fldChar w:fldCharType="begin"/>
        </w:r>
        <w:r>
          <w:rPr>
            <w:noProof/>
            <w:webHidden/>
          </w:rPr>
          <w:instrText xml:space="preserve"> PAGEREF _Toc230537122 \h </w:instrText>
        </w:r>
        <w:r>
          <w:rPr>
            <w:noProof/>
            <w:webHidden/>
          </w:rPr>
        </w:r>
        <w:r>
          <w:rPr>
            <w:noProof/>
            <w:webHidden/>
          </w:rPr>
          <w:fldChar w:fldCharType="separate"/>
        </w:r>
        <w:r>
          <w:rPr>
            <w:noProof/>
            <w:webHidden/>
          </w:rPr>
          <w:t>27</w:t>
        </w:r>
        <w:r>
          <w:rPr>
            <w:noProof/>
            <w:webHidden/>
          </w:rPr>
          <w:fldChar w:fldCharType="end"/>
        </w:r>
      </w:hyperlink>
    </w:p>
    <w:p w14:paraId="0606B885"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23" w:history="1">
        <w:r w:rsidRPr="00BA256D">
          <w:rPr>
            <w:rStyle w:val="Hyperlink"/>
            <w:noProof/>
          </w:rPr>
          <w:t>Table 2. SECU beds by health service</w:t>
        </w:r>
        <w:r>
          <w:rPr>
            <w:noProof/>
            <w:webHidden/>
          </w:rPr>
          <w:tab/>
        </w:r>
        <w:r>
          <w:rPr>
            <w:noProof/>
            <w:webHidden/>
          </w:rPr>
          <w:fldChar w:fldCharType="begin"/>
        </w:r>
        <w:r>
          <w:rPr>
            <w:noProof/>
            <w:webHidden/>
          </w:rPr>
          <w:instrText xml:space="preserve"> PAGEREF _Toc230537123 \h </w:instrText>
        </w:r>
        <w:r>
          <w:rPr>
            <w:noProof/>
            <w:webHidden/>
          </w:rPr>
        </w:r>
        <w:r>
          <w:rPr>
            <w:noProof/>
            <w:webHidden/>
          </w:rPr>
          <w:fldChar w:fldCharType="separate"/>
        </w:r>
        <w:r>
          <w:rPr>
            <w:noProof/>
            <w:webHidden/>
          </w:rPr>
          <w:t>29</w:t>
        </w:r>
        <w:r>
          <w:rPr>
            <w:noProof/>
            <w:webHidden/>
          </w:rPr>
          <w:fldChar w:fldCharType="end"/>
        </w:r>
      </w:hyperlink>
    </w:p>
    <w:p w14:paraId="4AE18ACD"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24" w:history="1">
        <w:r w:rsidRPr="00BA256D">
          <w:rPr>
            <w:rStyle w:val="Hyperlink"/>
            <w:noProof/>
          </w:rPr>
          <w:t>Table 3. Community-based mental health programs delivered by all Area Mental Health and Wellbeing Services</w:t>
        </w:r>
        <w:r>
          <w:rPr>
            <w:noProof/>
            <w:webHidden/>
          </w:rPr>
          <w:tab/>
        </w:r>
        <w:r>
          <w:rPr>
            <w:noProof/>
            <w:webHidden/>
          </w:rPr>
          <w:fldChar w:fldCharType="begin"/>
        </w:r>
        <w:r>
          <w:rPr>
            <w:noProof/>
            <w:webHidden/>
          </w:rPr>
          <w:instrText xml:space="preserve"> PAGEREF _Toc230537124 \h </w:instrText>
        </w:r>
        <w:r>
          <w:rPr>
            <w:noProof/>
            <w:webHidden/>
          </w:rPr>
        </w:r>
        <w:r>
          <w:rPr>
            <w:noProof/>
            <w:webHidden/>
          </w:rPr>
          <w:fldChar w:fldCharType="separate"/>
        </w:r>
        <w:r>
          <w:rPr>
            <w:noProof/>
            <w:webHidden/>
          </w:rPr>
          <w:t>33</w:t>
        </w:r>
        <w:r>
          <w:rPr>
            <w:noProof/>
            <w:webHidden/>
          </w:rPr>
          <w:fldChar w:fldCharType="end"/>
        </w:r>
      </w:hyperlink>
    </w:p>
    <w:p w14:paraId="4996B510"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25" w:history="1">
        <w:r w:rsidRPr="00BA256D">
          <w:rPr>
            <w:rStyle w:val="Hyperlink"/>
            <w:noProof/>
          </w:rPr>
          <w:t>Table 4. Community-based mental health programs delivered by applicable Area Mental Health and Wellbeing Services</w:t>
        </w:r>
        <w:r>
          <w:rPr>
            <w:noProof/>
            <w:webHidden/>
          </w:rPr>
          <w:tab/>
        </w:r>
        <w:r>
          <w:rPr>
            <w:noProof/>
            <w:webHidden/>
          </w:rPr>
          <w:fldChar w:fldCharType="begin"/>
        </w:r>
        <w:r>
          <w:rPr>
            <w:noProof/>
            <w:webHidden/>
          </w:rPr>
          <w:instrText xml:space="preserve"> PAGEREF _Toc230537125 \h </w:instrText>
        </w:r>
        <w:r>
          <w:rPr>
            <w:noProof/>
            <w:webHidden/>
          </w:rPr>
        </w:r>
        <w:r>
          <w:rPr>
            <w:noProof/>
            <w:webHidden/>
          </w:rPr>
          <w:fldChar w:fldCharType="separate"/>
        </w:r>
        <w:r>
          <w:rPr>
            <w:noProof/>
            <w:webHidden/>
          </w:rPr>
          <w:t>35</w:t>
        </w:r>
        <w:r>
          <w:rPr>
            <w:noProof/>
            <w:webHidden/>
          </w:rPr>
          <w:fldChar w:fldCharType="end"/>
        </w:r>
      </w:hyperlink>
    </w:p>
    <w:p w14:paraId="35ACF171"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26" w:history="1">
        <w:r w:rsidRPr="00BA256D">
          <w:rPr>
            <w:rStyle w:val="Hyperlink"/>
            <w:noProof/>
          </w:rPr>
          <w:t>Table 5. Child Safe Standards regulatory framework – sector regulators and regulated entities</w:t>
        </w:r>
        <w:r>
          <w:rPr>
            <w:noProof/>
            <w:webHidden/>
          </w:rPr>
          <w:tab/>
        </w:r>
        <w:r>
          <w:rPr>
            <w:noProof/>
            <w:webHidden/>
          </w:rPr>
          <w:fldChar w:fldCharType="begin"/>
        </w:r>
        <w:r>
          <w:rPr>
            <w:noProof/>
            <w:webHidden/>
          </w:rPr>
          <w:instrText xml:space="preserve"> PAGEREF _Toc230537126 \h </w:instrText>
        </w:r>
        <w:r>
          <w:rPr>
            <w:noProof/>
            <w:webHidden/>
          </w:rPr>
        </w:r>
        <w:r>
          <w:rPr>
            <w:noProof/>
            <w:webHidden/>
          </w:rPr>
          <w:fldChar w:fldCharType="separate"/>
        </w:r>
        <w:r>
          <w:rPr>
            <w:noProof/>
            <w:webHidden/>
          </w:rPr>
          <w:t>74</w:t>
        </w:r>
        <w:r>
          <w:rPr>
            <w:noProof/>
            <w:webHidden/>
          </w:rPr>
          <w:fldChar w:fldCharType="end"/>
        </w:r>
      </w:hyperlink>
    </w:p>
    <w:p w14:paraId="46B75298" w14:textId="7999CC1F"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27" w:history="1">
        <w:r w:rsidRPr="00BA256D">
          <w:rPr>
            <w:rStyle w:val="Hyperlink"/>
            <w:noProof/>
          </w:rPr>
          <w:t xml:space="preserve">Table 6. </w:t>
        </w:r>
        <w:r w:rsidR="009122FD">
          <w:rPr>
            <w:rStyle w:val="Hyperlink"/>
            <w:noProof/>
          </w:rPr>
          <w:t>K</w:t>
        </w:r>
        <w:r w:rsidRPr="00BA256D">
          <w:rPr>
            <w:rStyle w:val="Hyperlink"/>
            <w:noProof/>
          </w:rPr>
          <w:t>MS birthing and referral partners</w:t>
        </w:r>
        <w:r>
          <w:rPr>
            <w:noProof/>
            <w:webHidden/>
          </w:rPr>
          <w:tab/>
        </w:r>
        <w:r>
          <w:rPr>
            <w:noProof/>
            <w:webHidden/>
          </w:rPr>
          <w:fldChar w:fldCharType="begin"/>
        </w:r>
        <w:r>
          <w:rPr>
            <w:noProof/>
            <w:webHidden/>
          </w:rPr>
          <w:instrText xml:space="preserve"> PAGEREF _Toc230537127 \h </w:instrText>
        </w:r>
        <w:r>
          <w:rPr>
            <w:noProof/>
            <w:webHidden/>
          </w:rPr>
        </w:r>
        <w:r>
          <w:rPr>
            <w:noProof/>
            <w:webHidden/>
          </w:rPr>
          <w:fldChar w:fldCharType="separate"/>
        </w:r>
        <w:r>
          <w:rPr>
            <w:noProof/>
            <w:webHidden/>
          </w:rPr>
          <w:t>94</w:t>
        </w:r>
        <w:r>
          <w:rPr>
            <w:noProof/>
            <w:webHidden/>
          </w:rPr>
          <w:fldChar w:fldCharType="end"/>
        </w:r>
      </w:hyperlink>
    </w:p>
    <w:p w14:paraId="01E86332"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28" w:history="1">
        <w:r w:rsidRPr="00BA256D">
          <w:rPr>
            <w:rStyle w:val="Hyperlink"/>
            <w:noProof/>
          </w:rPr>
          <w:t>Table 7. VAED timelines</w:t>
        </w:r>
        <w:r>
          <w:rPr>
            <w:noProof/>
            <w:webHidden/>
          </w:rPr>
          <w:tab/>
        </w:r>
        <w:r>
          <w:rPr>
            <w:noProof/>
            <w:webHidden/>
          </w:rPr>
          <w:fldChar w:fldCharType="begin"/>
        </w:r>
        <w:r>
          <w:rPr>
            <w:noProof/>
            <w:webHidden/>
          </w:rPr>
          <w:instrText xml:space="preserve"> PAGEREF _Toc230537128 \h </w:instrText>
        </w:r>
        <w:r>
          <w:rPr>
            <w:noProof/>
            <w:webHidden/>
          </w:rPr>
        </w:r>
        <w:r>
          <w:rPr>
            <w:noProof/>
            <w:webHidden/>
          </w:rPr>
          <w:fldChar w:fldCharType="separate"/>
        </w:r>
        <w:r>
          <w:rPr>
            <w:noProof/>
            <w:webHidden/>
          </w:rPr>
          <w:t>180</w:t>
        </w:r>
        <w:r>
          <w:rPr>
            <w:noProof/>
            <w:webHidden/>
          </w:rPr>
          <w:fldChar w:fldCharType="end"/>
        </w:r>
      </w:hyperlink>
    </w:p>
    <w:p w14:paraId="4B321DB3" w14:textId="77777777" w:rsidR="00817104" w:rsidRDefault="00817104" w:rsidP="00817104">
      <w:pPr>
        <w:pStyle w:val="TableofFigures"/>
        <w:tabs>
          <w:tab w:val="right" w:leader="dot" w:pos="9288"/>
        </w:tabs>
        <w:rPr>
          <w:rStyle w:val="Hyperlink"/>
          <w:noProof/>
        </w:rPr>
      </w:pPr>
      <w:hyperlink w:anchor="_Toc230537129" w:history="1">
        <w:r w:rsidRPr="00BA256D">
          <w:rPr>
            <w:rStyle w:val="Hyperlink"/>
            <w:noProof/>
          </w:rPr>
          <w:t>Table 8. VEMD timelines</w:t>
        </w:r>
        <w:r>
          <w:rPr>
            <w:noProof/>
            <w:webHidden/>
          </w:rPr>
          <w:tab/>
        </w:r>
        <w:r>
          <w:rPr>
            <w:noProof/>
            <w:webHidden/>
          </w:rPr>
          <w:fldChar w:fldCharType="begin"/>
        </w:r>
        <w:r>
          <w:rPr>
            <w:noProof/>
            <w:webHidden/>
          </w:rPr>
          <w:instrText xml:space="preserve"> PAGEREF _Toc230537129 \h </w:instrText>
        </w:r>
        <w:r>
          <w:rPr>
            <w:noProof/>
            <w:webHidden/>
          </w:rPr>
        </w:r>
        <w:r>
          <w:rPr>
            <w:noProof/>
            <w:webHidden/>
          </w:rPr>
          <w:fldChar w:fldCharType="separate"/>
        </w:r>
        <w:r>
          <w:rPr>
            <w:noProof/>
            <w:webHidden/>
          </w:rPr>
          <w:t>182</w:t>
        </w:r>
        <w:r>
          <w:rPr>
            <w:noProof/>
            <w:webHidden/>
          </w:rPr>
          <w:fldChar w:fldCharType="end"/>
        </w:r>
      </w:hyperlink>
    </w:p>
    <w:p w14:paraId="5CAA4022"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30" w:history="1">
        <w:r w:rsidRPr="00BA256D">
          <w:rPr>
            <w:rStyle w:val="Hyperlink"/>
            <w:noProof/>
          </w:rPr>
          <w:t xml:space="preserve">Table </w:t>
        </w:r>
        <w:r>
          <w:rPr>
            <w:rStyle w:val="Hyperlink"/>
            <w:noProof/>
          </w:rPr>
          <w:t>9</w:t>
        </w:r>
        <w:r w:rsidRPr="00BA256D">
          <w:rPr>
            <w:rStyle w:val="Hyperlink"/>
            <w:noProof/>
          </w:rPr>
          <w:t xml:space="preserve">. </w:t>
        </w:r>
        <w:r>
          <w:rPr>
            <w:rStyle w:val="Hyperlink"/>
            <w:noProof/>
          </w:rPr>
          <w:t>ESIS</w:t>
        </w:r>
        <w:r w:rsidRPr="00BA256D">
          <w:rPr>
            <w:rStyle w:val="Hyperlink"/>
            <w:noProof/>
          </w:rPr>
          <w:t xml:space="preserve"> timelines</w:t>
        </w:r>
        <w:r>
          <w:rPr>
            <w:noProof/>
            <w:webHidden/>
          </w:rPr>
          <w:tab/>
        </w:r>
        <w:r>
          <w:rPr>
            <w:noProof/>
            <w:webHidden/>
          </w:rPr>
          <w:fldChar w:fldCharType="begin"/>
        </w:r>
        <w:r>
          <w:rPr>
            <w:noProof/>
            <w:webHidden/>
          </w:rPr>
          <w:instrText xml:space="preserve"> PAGEREF _Toc230537130 \h </w:instrText>
        </w:r>
        <w:r>
          <w:rPr>
            <w:noProof/>
            <w:webHidden/>
          </w:rPr>
        </w:r>
        <w:r>
          <w:rPr>
            <w:noProof/>
            <w:webHidden/>
          </w:rPr>
          <w:fldChar w:fldCharType="separate"/>
        </w:r>
        <w:r>
          <w:rPr>
            <w:noProof/>
            <w:webHidden/>
          </w:rPr>
          <w:t>186</w:t>
        </w:r>
        <w:r>
          <w:rPr>
            <w:noProof/>
            <w:webHidden/>
          </w:rPr>
          <w:fldChar w:fldCharType="end"/>
        </w:r>
      </w:hyperlink>
    </w:p>
    <w:p w14:paraId="0A6B3C9C"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30" w:history="1">
        <w:r w:rsidRPr="00BA256D">
          <w:rPr>
            <w:rStyle w:val="Hyperlink"/>
            <w:noProof/>
          </w:rPr>
          <w:t>Table 10. VINAH MDS timelines</w:t>
        </w:r>
        <w:r>
          <w:rPr>
            <w:noProof/>
            <w:webHidden/>
          </w:rPr>
          <w:tab/>
        </w:r>
        <w:r>
          <w:rPr>
            <w:noProof/>
            <w:webHidden/>
          </w:rPr>
          <w:fldChar w:fldCharType="begin"/>
        </w:r>
        <w:r>
          <w:rPr>
            <w:noProof/>
            <w:webHidden/>
          </w:rPr>
          <w:instrText xml:space="preserve"> PAGEREF _Toc230537130 \h </w:instrText>
        </w:r>
        <w:r>
          <w:rPr>
            <w:noProof/>
            <w:webHidden/>
          </w:rPr>
        </w:r>
        <w:r>
          <w:rPr>
            <w:noProof/>
            <w:webHidden/>
          </w:rPr>
          <w:fldChar w:fldCharType="separate"/>
        </w:r>
        <w:r>
          <w:rPr>
            <w:noProof/>
            <w:webHidden/>
          </w:rPr>
          <w:t>186</w:t>
        </w:r>
        <w:r>
          <w:rPr>
            <w:noProof/>
            <w:webHidden/>
          </w:rPr>
          <w:fldChar w:fldCharType="end"/>
        </w:r>
      </w:hyperlink>
    </w:p>
    <w:p w14:paraId="4F00E17F"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31" w:history="1">
        <w:r w:rsidRPr="00BA256D">
          <w:rPr>
            <w:rStyle w:val="Hyperlink"/>
            <w:noProof/>
          </w:rPr>
          <w:t>Table 11. NADC timelines</w:t>
        </w:r>
        <w:r>
          <w:rPr>
            <w:noProof/>
            <w:webHidden/>
          </w:rPr>
          <w:tab/>
        </w:r>
        <w:r>
          <w:rPr>
            <w:noProof/>
            <w:webHidden/>
          </w:rPr>
          <w:fldChar w:fldCharType="begin"/>
        </w:r>
        <w:r>
          <w:rPr>
            <w:noProof/>
            <w:webHidden/>
          </w:rPr>
          <w:instrText xml:space="preserve"> PAGEREF _Toc230537131 \h </w:instrText>
        </w:r>
        <w:r>
          <w:rPr>
            <w:noProof/>
            <w:webHidden/>
          </w:rPr>
        </w:r>
        <w:r>
          <w:rPr>
            <w:noProof/>
            <w:webHidden/>
          </w:rPr>
          <w:fldChar w:fldCharType="separate"/>
        </w:r>
        <w:r>
          <w:rPr>
            <w:noProof/>
            <w:webHidden/>
          </w:rPr>
          <w:t>187</w:t>
        </w:r>
        <w:r>
          <w:rPr>
            <w:noProof/>
            <w:webHidden/>
          </w:rPr>
          <w:fldChar w:fldCharType="end"/>
        </w:r>
      </w:hyperlink>
    </w:p>
    <w:p w14:paraId="6FD7A125"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32" w:history="1">
        <w:r w:rsidRPr="00BA256D">
          <w:rPr>
            <w:rStyle w:val="Hyperlink"/>
            <w:noProof/>
          </w:rPr>
          <w:t>Table 12. VCDC actions and reporting timelines</w:t>
        </w:r>
        <w:r>
          <w:rPr>
            <w:noProof/>
            <w:webHidden/>
          </w:rPr>
          <w:tab/>
        </w:r>
        <w:r>
          <w:rPr>
            <w:noProof/>
            <w:webHidden/>
          </w:rPr>
          <w:fldChar w:fldCharType="begin"/>
        </w:r>
        <w:r>
          <w:rPr>
            <w:noProof/>
            <w:webHidden/>
          </w:rPr>
          <w:instrText xml:space="preserve"> PAGEREF _Toc230537132 \h </w:instrText>
        </w:r>
        <w:r>
          <w:rPr>
            <w:noProof/>
            <w:webHidden/>
          </w:rPr>
        </w:r>
        <w:r>
          <w:rPr>
            <w:noProof/>
            <w:webHidden/>
          </w:rPr>
          <w:fldChar w:fldCharType="separate"/>
        </w:r>
        <w:r>
          <w:rPr>
            <w:noProof/>
            <w:webHidden/>
          </w:rPr>
          <w:t>190</w:t>
        </w:r>
        <w:r>
          <w:rPr>
            <w:noProof/>
            <w:webHidden/>
          </w:rPr>
          <w:fldChar w:fldCharType="end"/>
        </w:r>
      </w:hyperlink>
    </w:p>
    <w:p w14:paraId="3E4E0ABE"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33" w:history="1">
        <w:r w:rsidRPr="00BA256D">
          <w:rPr>
            <w:rStyle w:val="Hyperlink"/>
            <w:noProof/>
          </w:rPr>
          <w:t>Table 13. Ambulance Victoria data reporting and timelines</w:t>
        </w:r>
        <w:r>
          <w:rPr>
            <w:noProof/>
            <w:webHidden/>
          </w:rPr>
          <w:tab/>
        </w:r>
        <w:r>
          <w:rPr>
            <w:noProof/>
            <w:webHidden/>
          </w:rPr>
          <w:fldChar w:fldCharType="begin"/>
        </w:r>
        <w:r>
          <w:rPr>
            <w:noProof/>
            <w:webHidden/>
          </w:rPr>
          <w:instrText xml:space="preserve"> PAGEREF _Toc230537133 \h </w:instrText>
        </w:r>
        <w:r>
          <w:rPr>
            <w:noProof/>
            <w:webHidden/>
          </w:rPr>
        </w:r>
        <w:r>
          <w:rPr>
            <w:noProof/>
            <w:webHidden/>
          </w:rPr>
          <w:fldChar w:fldCharType="separate"/>
        </w:r>
        <w:r>
          <w:rPr>
            <w:noProof/>
            <w:webHidden/>
          </w:rPr>
          <w:t>198</w:t>
        </w:r>
        <w:r>
          <w:rPr>
            <w:noProof/>
            <w:webHidden/>
          </w:rPr>
          <w:fldChar w:fldCharType="end"/>
        </w:r>
      </w:hyperlink>
    </w:p>
    <w:p w14:paraId="52FEF011"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34" w:history="1">
        <w:r w:rsidRPr="00BA256D">
          <w:rPr>
            <w:rStyle w:val="Hyperlink"/>
            <w:noProof/>
          </w:rPr>
          <w:t>Table 14. CMI/ODS reporting timelines</w:t>
        </w:r>
        <w:r>
          <w:rPr>
            <w:noProof/>
            <w:webHidden/>
          </w:rPr>
          <w:tab/>
        </w:r>
        <w:r>
          <w:rPr>
            <w:noProof/>
            <w:webHidden/>
          </w:rPr>
          <w:fldChar w:fldCharType="begin"/>
        </w:r>
        <w:r>
          <w:rPr>
            <w:noProof/>
            <w:webHidden/>
          </w:rPr>
          <w:instrText xml:space="preserve"> PAGEREF _Toc230537134 \h </w:instrText>
        </w:r>
        <w:r>
          <w:rPr>
            <w:noProof/>
            <w:webHidden/>
          </w:rPr>
        </w:r>
        <w:r>
          <w:rPr>
            <w:noProof/>
            <w:webHidden/>
          </w:rPr>
          <w:fldChar w:fldCharType="separate"/>
        </w:r>
        <w:r>
          <w:rPr>
            <w:noProof/>
            <w:webHidden/>
          </w:rPr>
          <w:t>199</w:t>
        </w:r>
        <w:r>
          <w:rPr>
            <w:noProof/>
            <w:webHidden/>
          </w:rPr>
          <w:fldChar w:fldCharType="end"/>
        </w:r>
      </w:hyperlink>
    </w:p>
    <w:p w14:paraId="194C9C3D"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35" w:history="1">
        <w:r w:rsidRPr="00BA256D">
          <w:rPr>
            <w:rStyle w:val="Hyperlink"/>
            <w:noProof/>
          </w:rPr>
          <w:t>Table 15. Mental Health Establishments collection reporting timelines</w:t>
        </w:r>
        <w:r>
          <w:rPr>
            <w:noProof/>
            <w:webHidden/>
          </w:rPr>
          <w:tab/>
        </w:r>
        <w:r>
          <w:rPr>
            <w:noProof/>
            <w:webHidden/>
          </w:rPr>
          <w:fldChar w:fldCharType="begin"/>
        </w:r>
        <w:r>
          <w:rPr>
            <w:noProof/>
            <w:webHidden/>
          </w:rPr>
          <w:instrText xml:space="preserve"> PAGEREF _Toc230537135 \h </w:instrText>
        </w:r>
        <w:r>
          <w:rPr>
            <w:noProof/>
            <w:webHidden/>
          </w:rPr>
        </w:r>
        <w:r>
          <w:rPr>
            <w:noProof/>
            <w:webHidden/>
          </w:rPr>
          <w:fldChar w:fldCharType="separate"/>
        </w:r>
        <w:r>
          <w:rPr>
            <w:noProof/>
            <w:webHidden/>
          </w:rPr>
          <w:t>201</w:t>
        </w:r>
        <w:r>
          <w:rPr>
            <w:noProof/>
            <w:webHidden/>
          </w:rPr>
          <w:fldChar w:fldCharType="end"/>
        </w:r>
      </w:hyperlink>
    </w:p>
    <w:p w14:paraId="2B127E64"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36" w:history="1">
        <w:r w:rsidRPr="00BA256D">
          <w:rPr>
            <w:rStyle w:val="Hyperlink"/>
            <w:noProof/>
          </w:rPr>
          <w:t>Table 16. Ageing, aged and home care – data collection and reporting requirements</w:t>
        </w:r>
        <w:r>
          <w:rPr>
            <w:noProof/>
            <w:webHidden/>
          </w:rPr>
          <w:tab/>
        </w:r>
        <w:r>
          <w:rPr>
            <w:noProof/>
            <w:webHidden/>
          </w:rPr>
          <w:fldChar w:fldCharType="begin"/>
        </w:r>
        <w:r>
          <w:rPr>
            <w:noProof/>
            <w:webHidden/>
          </w:rPr>
          <w:instrText xml:space="preserve"> PAGEREF _Toc230537136 \h </w:instrText>
        </w:r>
        <w:r>
          <w:rPr>
            <w:noProof/>
            <w:webHidden/>
          </w:rPr>
        </w:r>
        <w:r>
          <w:rPr>
            <w:noProof/>
            <w:webHidden/>
          </w:rPr>
          <w:fldChar w:fldCharType="separate"/>
        </w:r>
        <w:r>
          <w:rPr>
            <w:noProof/>
            <w:webHidden/>
          </w:rPr>
          <w:t>210</w:t>
        </w:r>
        <w:r>
          <w:rPr>
            <w:noProof/>
            <w:webHidden/>
          </w:rPr>
          <w:fldChar w:fldCharType="end"/>
        </w:r>
      </w:hyperlink>
    </w:p>
    <w:p w14:paraId="7F879EF0"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37" w:history="1">
        <w:r w:rsidRPr="00BA256D">
          <w:rPr>
            <w:rStyle w:val="Hyperlink"/>
            <w:noProof/>
          </w:rPr>
          <w:t>Table 17. Primary, community and dental health – data collection and reporting requirements</w:t>
        </w:r>
        <w:r>
          <w:rPr>
            <w:noProof/>
            <w:webHidden/>
          </w:rPr>
          <w:tab/>
        </w:r>
        <w:r>
          <w:rPr>
            <w:noProof/>
            <w:webHidden/>
          </w:rPr>
          <w:fldChar w:fldCharType="begin"/>
        </w:r>
        <w:r>
          <w:rPr>
            <w:noProof/>
            <w:webHidden/>
          </w:rPr>
          <w:instrText xml:space="preserve"> PAGEREF _Toc230537137 \h </w:instrText>
        </w:r>
        <w:r>
          <w:rPr>
            <w:noProof/>
            <w:webHidden/>
          </w:rPr>
        </w:r>
        <w:r>
          <w:rPr>
            <w:noProof/>
            <w:webHidden/>
          </w:rPr>
          <w:fldChar w:fldCharType="separate"/>
        </w:r>
        <w:r>
          <w:rPr>
            <w:noProof/>
            <w:webHidden/>
          </w:rPr>
          <w:t>212</w:t>
        </w:r>
        <w:r>
          <w:rPr>
            <w:noProof/>
            <w:webHidden/>
          </w:rPr>
          <w:fldChar w:fldCharType="end"/>
        </w:r>
      </w:hyperlink>
    </w:p>
    <w:p w14:paraId="10E94A83"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38" w:history="1">
        <w:r w:rsidRPr="00BA256D">
          <w:rPr>
            <w:rStyle w:val="Hyperlink"/>
            <w:noProof/>
          </w:rPr>
          <w:t>Table 18. HACC PYP – performance targets and monitoring</w:t>
        </w:r>
        <w:r>
          <w:rPr>
            <w:noProof/>
            <w:webHidden/>
          </w:rPr>
          <w:tab/>
        </w:r>
        <w:r>
          <w:rPr>
            <w:noProof/>
            <w:webHidden/>
          </w:rPr>
          <w:fldChar w:fldCharType="begin"/>
        </w:r>
        <w:r>
          <w:rPr>
            <w:noProof/>
            <w:webHidden/>
          </w:rPr>
          <w:instrText xml:space="preserve"> PAGEREF _Toc230537138 \h </w:instrText>
        </w:r>
        <w:r>
          <w:rPr>
            <w:noProof/>
            <w:webHidden/>
          </w:rPr>
        </w:r>
        <w:r>
          <w:rPr>
            <w:noProof/>
            <w:webHidden/>
          </w:rPr>
          <w:fldChar w:fldCharType="separate"/>
        </w:r>
        <w:r>
          <w:rPr>
            <w:noProof/>
            <w:webHidden/>
          </w:rPr>
          <w:t>217</w:t>
        </w:r>
        <w:r>
          <w:rPr>
            <w:noProof/>
            <w:webHidden/>
          </w:rPr>
          <w:fldChar w:fldCharType="end"/>
        </w:r>
      </w:hyperlink>
    </w:p>
    <w:p w14:paraId="60DC37AA"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39" w:history="1">
        <w:r w:rsidRPr="00BA256D">
          <w:rPr>
            <w:rStyle w:val="Hyperlink"/>
            <w:noProof/>
          </w:rPr>
          <w:t>Table 19. Ageing, aged and home care – performance targets and monitoring</w:t>
        </w:r>
        <w:r>
          <w:rPr>
            <w:noProof/>
            <w:webHidden/>
          </w:rPr>
          <w:tab/>
        </w:r>
        <w:r>
          <w:rPr>
            <w:noProof/>
            <w:webHidden/>
          </w:rPr>
          <w:fldChar w:fldCharType="begin"/>
        </w:r>
        <w:r>
          <w:rPr>
            <w:noProof/>
            <w:webHidden/>
          </w:rPr>
          <w:instrText xml:space="preserve"> PAGEREF _Toc230537139 \h </w:instrText>
        </w:r>
        <w:r>
          <w:rPr>
            <w:noProof/>
            <w:webHidden/>
          </w:rPr>
        </w:r>
        <w:r>
          <w:rPr>
            <w:noProof/>
            <w:webHidden/>
          </w:rPr>
          <w:fldChar w:fldCharType="separate"/>
        </w:r>
        <w:r>
          <w:rPr>
            <w:noProof/>
            <w:webHidden/>
          </w:rPr>
          <w:t>219</w:t>
        </w:r>
        <w:r>
          <w:rPr>
            <w:noProof/>
            <w:webHidden/>
          </w:rPr>
          <w:fldChar w:fldCharType="end"/>
        </w:r>
      </w:hyperlink>
    </w:p>
    <w:p w14:paraId="7B5057CF"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40" w:history="1">
        <w:r w:rsidRPr="00BA256D">
          <w:rPr>
            <w:rStyle w:val="Hyperlink"/>
            <w:noProof/>
          </w:rPr>
          <w:t>Table 20. Ambulance Victoria – performance targets and monitoring</w:t>
        </w:r>
        <w:r>
          <w:rPr>
            <w:noProof/>
            <w:webHidden/>
          </w:rPr>
          <w:tab/>
        </w:r>
        <w:r>
          <w:rPr>
            <w:noProof/>
            <w:webHidden/>
          </w:rPr>
          <w:fldChar w:fldCharType="begin"/>
        </w:r>
        <w:r>
          <w:rPr>
            <w:noProof/>
            <w:webHidden/>
          </w:rPr>
          <w:instrText xml:space="preserve"> PAGEREF _Toc230537140 \h </w:instrText>
        </w:r>
        <w:r>
          <w:rPr>
            <w:noProof/>
            <w:webHidden/>
          </w:rPr>
        </w:r>
        <w:r>
          <w:rPr>
            <w:noProof/>
            <w:webHidden/>
          </w:rPr>
          <w:fldChar w:fldCharType="separate"/>
        </w:r>
        <w:r>
          <w:rPr>
            <w:noProof/>
            <w:webHidden/>
          </w:rPr>
          <w:t>220</w:t>
        </w:r>
        <w:r>
          <w:rPr>
            <w:noProof/>
            <w:webHidden/>
          </w:rPr>
          <w:fldChar w:fldCharType="end"/>
        </w:r>
      </w:hyperlink>
    </w:p>
    <w:p w14:paraId="5445A559"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41" w:history="1">
        <w:r w:rsidRPr="00BA256D">
          <w:rPr>
            <w:rStyle w:val="Hyperlink"/>
            <w:noProof/>
          </w:rPr>
          <w:t>Table 21. Primary, community and dental health – performance targets and monitoring</w:t>
        </w:r>
        <w:r>
          <w:rPr>
            <w:noProof/>
            <w:webHidden/>
          </w:rPr>
          <w:tab/>
        </w:r>
        <w:r>
          <w:rPr>
            <w:noProof/>
            <w:webHidden/>
          </w:rPr>
          <w:fldChar w:fldCharType="begin"/>
        </w:r>
        <w:r>
          <w:rPr>
            <w:noProof/>
            <w:webHidden/>
          </w:rPr>
          <w:instrText xml:space="preserve"> PAGEREF _Toc230537141 \h </w:instrText>
        </w:r>
        <w:r>
          <w:rPr>
            <w:noProof/>
            <w:webHidden/>
          </w:rPr>
        </w:r>
        <w:r>
          <w:rPr>
            <w:noProof/>
            <w:webHidden/>
          </w:rPr>
          <w:fldChar w:fldCharType="separate"/>
        </w:r>
        <w:r>
          <w:rPr>
            <w:noProof/>
            <w:webHidden/>
          </w:rPr>
          <w:t>223</w:t>
        </w:r>
        <w:r>
          <w:rPr>
            <w:noProof/>
            <w:webHidden/>
          </w:rPr>
          <w:fldChar w:fldCharType="end"/>
        </w:r>
      </w:hyperlink>
    </w:p>
    <w:p w14:paraId="0EE518A2"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42" w:history="1">
        <w:r w:rsidRPr="00BA256D">
          <w:rPr>
            <w:rStyle w:val="Hyperlink"/>
            <w:noProof/>
          </w:rPr>
          <w:t>Table 22. Public health – performance targets and monitoring</w:t>
        </w:r>
        <w:r>
          <w:rPr>
            <w:noProof/>
            <w:webHidden/>
          </w:rPr>
          <w:tab/>
        </w:r>
        <w:r>
          <w:rPr>
            <w:noProof/>
            <w:webHidden/>
          </w:rPr>
          <w:fldChar w:fldCharType="begin"/>
        </w:r>
        <w:r>
          <w:rPr>
            <w:noProof/>
            <w:webHidden/>
          </w:rPr>
          <w:instrText xml:space="preserve"> PAGEREF _Toc230537142 \h </w:instrText>
        </w:r>
        <w:r>
          <w:rPr>
            <w:noProof/>
            <w:webHidden/>
          </w:rPr>
        </w:r>
        <w:r>
          <w:rPr>
            <w:noProof/>
            <w:webHidden/>
          </w:rPr>
          <w:fldChar w:fldCharType="separate"/>
        </w:r>
        <w:r>
          <w:rPr>
            <w:noProof/>
            <w:webHidden/>
          </w:rPr>
          <w:t>225</w:t>
        </w:r>
        <w:r>
          <w:rPr>
            <w:noProof/>
            <w:webHidden/>
          </w:rPr>
          <w:fldChar w:fldCharType="end"/>
        </w:r>
      </w:hyperlink>
    </w:p>
    <w:p w14:paraId="05EEB567"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43" w:history="1">
        <w:r w:rsidRPr="00BA256D">
          <w:rPr>
            <w:rStyle w:val="Hyperlink"/>
            <w:noProof/>
          </w:rPr>
          <w:t>Table 23. LPHUs – performance targets and monitoring</w:t>
        </w:r>
        <w:r>
          <w:rPr>
            <w:noProof/>
            <w:webHidden/>
          </w:rPr>
          <w:tab/>
        </w:r>
        <w:r>
          <w:rPr>
            <w:noProof/>
            <w:webHidden/>
          </w:rPr>
          <w:fldChar w:fldCharType="begin"/>
        </w:r>
        <w:r>
          <w:rPr>
            <w:noProof/>
            <w:webHidden/>
          </w:rPr>
          <w:instrText xml:space="preserve"> PAGEREF _Toc230537143 \h </w:instrText>
        </w:r>
        <w:r>
          <w:rPr>
            <w:noProof/>
            <w:webHidden/>
          </w:rPr>
        </w:r>
        <w:r>
          <w:rPr>
            <w:noProof/>
            <w:webHidden/>
          </w:rPr>
          <w:fldChar w:fldCharType="separate"/>
        </w:r>
        <w:r>
          <w:rPr>
            <w:noProof/>
            <w:webHidden/>
          </w:rPr>
          <w:t>228</w:t>
        </w:r>
        <w:r>
          <w:rPr>
            <w:noProof/>
            <w:webHidden/>
          </w:rPr>
          <w:fldChar w:fldCharType="end"/>
        </w:r>
      </w:hyperlink>
    </w:p>
    <w:p w14:paraId="31B1ECE3"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44" w:history="1">
        <w:r w:rsidRPr="00BA256D">
          <w:rPr>
            <w:rStyle w:val="Hyperlink"/>
            <w:noProof/>
          </w:rPr>
          <w:t>Table 24. SRHS – service standards and guidelines</w:t>
        </w:r>
        <w:r>
          <w:rPr>
            <w:noProof/>
            <w:webHidden/>
          </w:rPr>
          <w:tab/>
        </w:r>
        <w:r>
          <w:rPr>
            <w:noProof/>
            <w:webHidden/>
          </w:rPr>
          <w:fldChar w:fldCharType="begin"/>
        </w:r>
        <w:r>
          <w:rPr>
            <w:noProof/>
            <w:webHidden/>
          </w:rPr>
          <w:instrText xml:space="preserve"> PAGEREF _Toc230537144 \h </w:instrText>
        </w:r>
        <w:r>
          <w:rPr>
            <w:noProof/>
            <w:webHidden/>
          </w:rPr>
        </w:r>
        <w:r>
          <w:rPr>
            <w:noProof/>
            <w:webHidden/>
          </w:rPr>
          <w:fldChar w:fldCharType="separate"/>
        </w:r>
        <w:r>
          <w:rPr>
            <w:noProof/>
            <w:webHidden/>
          </w:rPr>
          <w:t>230</w:t>
        </w:r>
        <w:r>
          <w:rPr>
            <w:noProof/>
            <w:webHidden/>
          </w:rPr>
          <w:fldChar w:fldCharType="end"/>
        </w:r>
      </w:hyperlink>
    </w:p>
    <w:p w14:paraId="11D98A59"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45" w:history="1">
        <w:r w:rsidRPr="00BA256D">
          <w:rPr>
            <w:rStyle w:val="Hyperlink"/>
            <w:noProof/>
          </w:rPr>
          <w:t>Table 25. Ageing, aged and home care – service standards and guidelines</w:t>
        </w:r>
        <w:r>
          <w:rPr>
            <w:noProof/>
            <w:webHidden/>
          </w:rPr>
          <w:tab/>
        </w:r>
        <w:r>
          <w:rPr>
            <w:noProof/>
            <w:webHidden/>
          </w:rPr>
          <w:fldChar w:fldCharType="begin"/>
        </w:r>
        <w:r>
          <w:rPr>
            <w:noProof/>
            <w:webHidden/>
          </w:rPr>
          <w:instrText xml:space="preserve"> PAGEREF _Toc230537145 \h </w:instrText>
        </w:r>
        <w:r>
          <w:rPr>
            <w:noProof/>
            <w:webHidden/>
          </w:rPr>
        </w:r>
        <w:r>
          <w:rPr>
            <w:noProof/>
            <w:webHidden/>
          </w:rPr>
          <w:fldChar w:fldCharType="separate"/>
        </w:r>
        <w:r>
          <w:rPr>
            <w:noProof/>
            <w:webHidden/>
          </w:rPr>
          <w:t>231</w:t>
        </w:r>
        <w:r>
          <w:rPr>
            <w:noProof/>
            <w:webHidden/>
          </w:rPr>
          <w:fldChar w:fldCharType="end"/>
        </w:r>
      </w:hyperlink>
    </w:p>
    <w:p w14:paraId="619D2F8D"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46" w:history="1">
        <w:r w:rsidRPr="00BA256D">
          <w:rPr>
            <w:rStyle w:val="Hyperlink"/>
            <w:noProof/>
          </w:rPr>
          <w:t>Table 26: Primary, community and dental health – service standards and guidelines</w:t>
        </w:r>
        <w:r>
          <w:rPr>
            <w:noProof/>
            <w:webHidden/>
          </w:rPr>
          <w:tab/>
        </w:r>
        <w:r>
          <w:rPr>
            <w:noProof/>
            <w:webHidden/>
          </w:rPr>
          <w:fldChar w:fldCharType="begin"/>
        </w:r>
        <w:r>
          <w:rPr>
            <w:noProof/>
            <w:webHidden/>
          </w:rPr>
          <w:instrText xml:space="preserve"> PAGEREF _Toc230537146 \h </w:instrText>
        </w:r>
        <w:r>
          <w:rPr>
            <w:noProof/>
            <w:webHidden/>
          </w:rPr>
        </w:r>
        <w:r>
          <w:rPr>
            <w:noProof/>
            <w:webHidden/>
          </w:rPr>
          <w:fldChar w:fldCharType="separate"/>
        </w:r>
        <w:r>
          <w:rPr>
            <w:noProof/>
            <w:webHidden/>
          </w:rPr>
          <w:t>234</w:t>
        </w:r>
        <w:r>
          <w:rPr>
            <w:noProof/>
            <w:webHidden/>
          </w:rPr>
          <w:fldChar w:fldCharType="end"/>
        </w:r>
      </w:hyperlink>
    </w:p>
    <w:p w14:paraId="66362F67" w14:textId="77777777" w:rsidR="00817104" w:rsidRDefault="00817104" w:rsidP="00817104">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30537147" w:history="1">
        <w:r w:rsidRPr="00BA256D">
          <w:rPr>
            <w:rStyle w:val="Hyperlink"/>
            <w:noProof/>
          </w:rPr>
          <w:t>Table 27: Public health – service standards and guidelines</w:t>
        </w:r>
        <w:r>
          <w:rPr>
            <w:noProof/>
            <w:webHidden/>
          </w:rPr>
          <w:tab/>
        </w:r>
        <w:r>
          <w:rPr>
            <w:noProof/>
            <w:webHidden/>
          </w:rPr>
          <w:fldChar w:fldCharType="begin"/>
        </w:r>
        <w:r>
          <w:rPr>
            <w:noProof/>
            <w:webHidden/>
          </w:rPr>
          <w:instrText xml:space="preserve"> PAGEREF _Toc230537147 \h </w:instrText>
        </w:r>
        <w:r>
          <w:rPr>
            <w:noProof/>
            <w:webHidden/>
          </w:rPr>
        </w:r>
        <w:r>
          <w:rPr>
            <w:noProof/>
            <w:webHidden/>
          </w:rPr>
          <w:fldChar w:fldCharType="separate"/>
        </w:r>
        <w:r>
          <w:rPr>
            <w:noProof/>
            <w:webHidden/>
          </w:rPr>
          <w:t>237</w:t>
        </w:r>
        <w:r>
          <w:rPr>
            <w:noProof/>
            <w:webHidden/>
          </w:rPr>
          <w:fldChar w:fldCharType="end"/>
        </w:r>
      </w:hyperlink>
    </w:p>
    <w:p w14:paraId="47C573EF" w14:textId="77777777" w:rsidR="00817104" w:rsidRDefault="00817104" w:rsidP="00817104">
      <w:pPr>
        <w:pStyle w:val="Body"/>
      </w:pPr>
      <w:r>
        <w:rPr>
          <w:rFonts w:eastAsia="Times New Roman" w:cs="Arial"/>
          <w:noProof/>
          <w:color w:val="2B579A"/>
          <w:shd w:val="clear" w:color="auto" w:fill="E6E6E6"/>
        </w:rPr>
        <w:fldChar w:fldCharType="end"/>
      </w:r>
    </w:p>
    <w:p w14:paraId="7CFD78C7" w14:textId="77777777" w:rsidR="00817104" w:rsidRDefault="00817104" w:rsidP="00817104">
      <w:pPr>
        <w:spacing w:after="0" w:line="240" w:lineRule="auto"/>
        <w:rPr>
          <w:rFonts w:eastAsia="Times"/>
        </w:rPr>
      </w:pPr>
      <w:r>
        <w:br w:type="page"/>
      </w:r>
    </w:p>
    <w:p w14:paraId="230F6C25" w14:textId="77777777" w:rsidR="00817104" w:rsidRPr="003C2F0A" w:rsidRDefault="00817104" w:rsidP="008D45A5">
      <w:pPr>
        <w:pStyle w:val="Heading1"/>
      </w:pPr>
      <w:bookmarkStart w:id="2870" w:name="_Toc165964794"/>
      <w:bookmarkStart w:id="2871" w:name="_Toc167174652"/>
      <w:bookmarkStart w:id="2872" w:name="_Toc224127359"/>
      <w:bookmarkStart w:id="2873" w:name="_Toc231982407"/>
      <w:r w:rsidRPr="003C2F0A">
        <w:lastRenderedPageBreak/>
        <w:t>Glossary and acronyms</w:t>
      </w:r>
      <w:bookmarkEnd w:id="2870"/>
      <w:bookmarkEnd w:id="2871"/>
      <w:bookmarkEnd w:id="2872"/>
      <w:bookmarkEnd w:id="2873"/>
    </w:p>
    <w:tbl>
      <w:tblPr>
        <w:tblStyle w:val="TableGrid"/>
        <w:tblW w:w="9289" w:type="dxa"/>
        <w:tblLook w:val="04A0" w:firstRow="1" w:lastRow="0" w:firstColumn="1" w:lastColumn="0" w:noHBand="0" w:noVBand="1"/>
      </w:tblPr>
      <w:tblGrid>
        <w:gridCol w:w="3256"/>
        <w:gridCol w:w="5953"/>
        <w:gridCol w:w="80"/>
      </w:tblGrid>
      <w:tr w:rsidR="00817104" w:rsidRPr="000232AF" w14:paraId="022FD670" w14:textId="77777777">
        <w:trPr>
          <w:tblHeader/>
        </w:trPr>
        <w:tc>
          <w:tcPr>
            <w:tcW w:w="3256" w:type="dxa"/>
          </w:tcPr>
          <w:p w14:paraId="21B4990A" w14:textId="77777777" w:rsidR="00817104" w:rsidRPr="008C36E7" w:rsidRDefault="00817104" w:rsidP="00785A21">
            <w:pPr>
              <w:pStyle w:val="Tablecolhead"/>
            </w:pPr>
            <w:r w:rsidRPr="008C36E7">
              <w:t>Term</w:t>
            </w:r>
          </w:p>
        </w:tc>
        <w:tc>
          <w:tcPr>
            <w:tcW w:w="6033" w:type="dxa"/>
            <w:gridSpan w:val="2"/>
          </w:tcPr>
          <w:p w14:paraId="285FE70E" w14:textId="77777777" w:rsidR="00817104" w:rsidRPr="008C36E7" w:rsidRDefault="00817104" w:rsidP="00785A21">
            <w:pPr>
              <w:pStyle w:val="Tablecolhead"/>
            </w:pPr>
            <w:r w:rsidRPr="008C36E7">
              <w:t>Definition</w:t>
            </w:r>
          </w:p>
        </w:tc>
        <w:bookmarkStart w:id="2874" w:name="_Hlk197434670"/>
      </w:tr>
      <w:tr w:rsidR="00817104" w:rsidRPr="000232AF" w14:paraId="03057BF4" w14:textId="77777777">
        <w:tc>
          <w:tcPr>
            <w:tcW w:w="3256" w:type="dxa"/>
          </w:tcPr>
          <w:p w14:paraId="00422BB5" w14:textId="77777777" w:rsidR="00817104" w:rsidRPr="000232AF" w:rsidRDefault="00817104">
            <w:pPr>
              <w:pStyle w:val="Body"/>
            </w:pPr>
            <w:r w:rsidRPr="000232AF">
              <w:t>ACA</w:t>
            </w:r>
          </w:p>
        </w:tc>
        <w:tc>
          <w:tcPr>
            <w:tcW w:w="6033" w:type="dxa"/>
            <w:gridSpan w:val="2"/>
          </w:tcPr>
          <w:p w14:paraId="059367E5" w14:textId="77777777" w:rsidR="00817104" w:rsidRPr="000232AF" w:rsidRDefault="00817104">
            <w:pPr>
              <w:pStyle w:val="Body"/>
            </w:pPr>
            <w:r w:rsidRPr="00091330">
              <w:t>Aged Care Assessment</w:t>
            </w:r>
          </w:p>
        </w:tc>
      </w:tr>
      <w:tr w:rsidR="00817104" w:rsidRPr="000232AF" w14:paraId="569FBD21" w14:textId="77777777">
        <w:tc>
          <w:tcPr>
            <w:tcW w:w="3256" w:type="dxa"/>
          </w:tcPr>
          <w:p w14:paraId="0470F8F9" w14:textId="77777777" w:rsidR="00817104" w:rsidRPr="000232AF" w:rsidRDefault="00817104">
            <w:pPr>
              <w:pStyle w:val="Body"/>
            </w:pPr>
            <w:r w:rsidRPr="000232AF">
              <w:t>ACCHO</w:t>
            </w:r>
          </w:p>
        </w:tc>
        <w:tc>
          <w:tcPr>
            <w:tcW w:w="6033" w:type="dxa"/>
            <w:gridSpan w:val="2"/>
          </w:tcPr>
          <w:p w14:paraId="7D0C2977" w14:textId="77777777" w:rsidR="00817104" w:rsidRPr="000232AF" w:rsidRDefault="00817104">
            <w:pPr>
              <w:pStyle w:val="Body"/>
            </w:pPr>
            <w:r w:rsidRPr="000232AF">
              <w:t>Aboriginal Community Controlled Health Organisation</w:t>
            </w:r>
          </w:p>
        </w:tc>
      </w:tr>
      <w:tr w:rsidR="00817104" w:rsidRPr="000232AF" w14:paraId="137148F6" w14:textId="77777777">
        <w:tc>
          <w:tcPr>
            <w:tcW w:w="3256" w:type="dxa"/>
          </w:tcPr>
          <w:p w14:paraId="4927816A" w14:textId="77777777" w:rsidR="00817104" w:rsidRPr="000232AF" w:rsidRDefault="00817104">
            <w:pPr>
              <w:pStyle w:val="Body"/>
            </w:pPr>
            <w:r w:rsidRPr="000232AF">
              <w:t>ACCO</w:t>
            </w:r>
          </w:p>
        </w:tc>
        <w:tc>
          <w:tcPr>
            <w:tcW w:w="6033" w:type="dxa"/>
            <w:gridSpan w:val="2"/>
          </w:tcPr>
          <w:p w14:paraId="0B9CA4F7" w14:textId="77777777" w:rsidR="00817104" w:rsidRPr="000232AF" w:rsidRDefault="00817104">
            <w:pPr>
              <w:pStyle w:val="Body"/>
            </w:pPr>
            <w:r w:rsidRPr="000232AF">
              <w:t>Aboriginal community-controlled organisation</w:t>
            </w:r>
          </w:p>
        </w:tc>
      </w:tr>
      <w:tr w:rsidR="00817104" w:rsidRPr="000232AF" w14:paraId="4FE2B5A0" w14:textId="77777777">
        <w:tc>
          <w:tcPr>
            <w:tcW w:w="3256" w:type="dxa"/>
          </w:tcPr>
          <w:p w14:paraId="7C08C5CD" w14:textId="77777777" w:rsidR="00817104" w:rsidRPr="000232AF" w:rsidRDefault="00817104">
            <w:pPr>
              <w:pStyle w:val="Body"/>
            </w:pPr>
            <w:r w:rsidRPr="000232AF">
              <w:t>ACSQHC</w:t>
            </w:r>
          </w:p>
        </w:tc>
        <w:tc>
          <w:tcPr>
            <w:tcW w:w="6033" w:type="dxa"/>
            <w:gridSpan w:val="2"/>
          </w:tcPr>
          <w:p w14:paraId="779951C4" w14:textId="77777777" w:rsidR="00817104" w:rsidRPr="000232AF" w:rsidRDefault="00817104">
            <w:pPr>
              <w:pStyle w:val="Body"/>
            </w:pPr>
            <w:r w:rsidRPr="000232AF">
              <w:t>Australian Commission on Safety and Quality in Health Care</w:t>
            </w:r>
          </w:p>
        </w:tc>
      </w:tr>
      <w:tr w:rsidR="00817104" w:rsidRPr="000232AF" w14:paraId="72ABA5E1" w14:textId="77777777">
        <w:tc>
          <w:tcPr>
            <w:tcW w:w="3256" w:type="dxa"/>
          </w:tcPr>
          <w:p w14:paraId="475EAAD8" w14:textId="77777777" w:rsidR="00817104" w:rsidRPr="000232AF" w:rsidRDefault="00817104">
            <w:pPr>
              <w:pStyle w:val="Body"/>
            </w:pPr>
            <w:r w:rsidRPr="000232AF">
              <w:t>A</w:t>
            </w:r>
            <w:r>
              <w:t>hpra</w:t>
            </w:r>
          </w:p>
        </w:tc>
        <w:tc>
          <w:tcPr>
            <w:tcW w:w="6033" w:type="dxa"/>
            <w:gridSpan w:val="2"/>
          </w:tcPr>
          <w:p w14:paraId="15CCF3A4" w14:textId="77777777" w:rsidR="00817104" w:rsidRPr="000232AF" w:rsidRDefault="00817104">
            <w:pPr>
              <w:pStyle w:val="Body"/>
            </w:pPr>
            <w:r w:rsidRPr="000232AF">
              <w:t>Australian Health Practitioner Regulation Agency</w:t>
            </w:r>
          </w:p>
        </w:tc>
      </w:tr>
      <w:tr w:rsidR="00817104" w:rsidRPr="000232AF" w14:paraId="70D7925A" w14:textId="77777777">
        <w:tc>
          <w:tcPr>
            <w:tcW w:w="3256" w:type="dxa"/>
          </w:tcPr>
          <w:p w14:paraId="3E0797A2" w14:textId="77777777" w:rsidR="00817104" w:rsidRPr="000232AF" w:rsidRDefault="00817104">
            <w:pPr>
              <w:pStyle w:val="Body"/>
            </w:pPr>
            <w:r>
              <w:t>AI</w:t>
            </w:r>
          </w:p>
        </w:tc>
        <w:tc>
          <w:tcPr>
            <w:tcW w:w="6033" w:type="dxa"/>
            <w:gridSpan w:val="2"/>
          </w:tcPr>
          <w:p w14:paraId="4450F519" w14:textId="77777777" w:rsidR="00817104" w:rsidRPr="000232AF" w:rsidRDefault="00817104">
            <w:pPr>
              <w:pStyle w:val="Body"/>
            </w:pPr>
            <w:r>
              <w:t>artificial intelligence</w:t>
            </w:r>
          </w:p>
        </w:tc>
      </w:tr>
      <w:tr w:rsidR="00817104" w:rsidRPr="000232AF" w14:paraId="1B0ED89A" w14:textId="77777777">
        <w:tc>
          <w:tcPr>
            <w:tcW w:w="3256" w:type="dxa"/>
          </w:tcPr>
          <w:p w14:paraId="19167179" w14:textId="77777777" w:rsidR="00817104" w:rsidRPr="000232AF" w:rsidRDefault="00817104">
            <w:pPr>
              <w:pStyle w:val="Body"/>
            </w:pPr>
            <w:r w:rsidRPr="000232AF">
              <w:t>AIMS</w:t>
            </w:r>
          </w:p>
        </w:tc>
        <w:tc>
          <w:tcPr>
            <w:tcW w:w="6033" w:type="dxa"/>
            <w:gridSpan w:val="2"/>
          </w:tcPr>
          <w:p w14:paraId="0D0BDC4B" w14:textId="77777777" w:rsidR="00817104" w:rsidRPr="000232AF" w:rsidRDefault="00817104">
            <w:pPr>
              <w:pStyle w:val="Body"/>
            </w:pPr>
            <w:r w:rsidRPr="000232AF">
              <w:t>Agency Information Management System</w:t>
            </w:r>
          </w:p>
        </w:tc>
      </w:tr>
      <w:tr w:rsidR="00817104" w:rsidRPr="000232AF" w14:paraId="5CFDD80F" w14:textId="77777777">
        <w:tc>
          <w:tcPr>
            <w:tcW w:w="3256" w:type="dxa"/>
          </w:tcPr>
          <w:p w14:paraId="23985DFE" w14:textId="77777777" w:rsidR="00817104" w:rsidRPr="000232AF" w:rsidRDefault="00817104">
            <w:pPr>
              <w:pStyle w:val="Body"/>
            </w:pPr>
            <w:r w:rsidRPr="000232AF">
              <w:t>AMAF</w:t>
            </w:r>
          </w:p>
        </w:tc>
        <w:tc>
          <w:tcPr>
            <w:tcW w:w="6033" w:type="dxa"/>
            <w:gridSpan w:val="2"/>
          </w:tcPr>
          <w:p w14:paraId="275AAF25" w14:textId="77777777" w:rsidR="00817104" w:rsidRPr="000232AF" w:rsidRDefault="00817104">
            <w:pPr>
              <w:pStyle w:val="Body"/>
            </w:pPr>
            <w:r w:rsidRPr="000232AF">
              <w:t xml:space="preserve">Asset </w:t>
            </w:r>
            <w:r>
              <w:t>M</w:t>
            </w:r>
            <w:r w:rsidRPr="000232AF">
              <w:t xml:space="preserve">anagement </w:t>
            </w:r>
            <w:r>
              <w:t>A</w:t>
            </w:r>
            <w:r w:rsidRPr="000232AF">
              <w:t xml:space="preserve">ccountability </w:t>
            </w:r>
            <w:r>
              <w:t>F</w:t>
            </w:r>
            <w:r w:rsidRPr="000232AF">
              <w:t>ramework</w:t>
            </w:r>
          </w:p>
        </w:tc>
      </w:tr>
      <w:tr w:rsidR="00817104" w:rsidRPr="000232AF" w14:paraId="0A449DD2" w14:textId="77777777">
        <w:tc>
          <w:tcPr>
            <w:tcW w:w="3256" w:type="dxa"/>
          </w:tcPr>
          <w:p w14:paraId="1156AB71" w14:textId="77777777" w:rsidR="00817104" w:rsidRPr="000232AF" w:rsidRDefault="00817104">
            <w:pPr>
              <w:pStyle w:val="Body"/>
            </w:pPr>
            <w:r>
              <w:t>AMS</w:t>
            </w:r>
          </w:p>
        </w:tc>
        <w:tc>
          <w:tcPr>
            <w:tcW w:w="6033" w:type="dxa"/>
            <w:gridSpan w:val="2"/>
          </w:tcPr>
          <w:p w14:paraId="44FBC86C" w14:textId="77777777" w:rsidR="00817104" w:rsidRPr="000232AF" w:rsidRDefault="00817104">
            <w:pPr>
              <w:pStyle w:val="Body"/>
            </w:pPr>
            <w:r w:rsidRPr="00105889">
              <w:t>Aboriginal maternity services</w:t>
            </w:r>
          </w:p>
        </w:tc>
      </w:tr>
      <w:tr w:rsidR="00817104" w:rsidRPr="000232AF" w14:paraId="3AE804DC" w14:textId="77777777">
        <w:tc>
          <w:tcPr>
            <w:tcW w:w="3256" w:type="dxa"/>
          </w:tcPr>
          <w:p w14:paraId="056738D1" w14:textId="77777777" w:rsidR="00817104" w:rsidRPr="000232AF" w:rsidRDefault="00817104">
            <w:pPr>
              <w:pStyle w:val="Body"/>
            </w:pPr>
            <w:r w:rsidRPr="000232AF">
              <w:t>AN-ACC</w:t>
            </w:r>
          </w:p>
        </w:tc>
        <w:tc>
          <w:tcPr>
            <w:tcW w:w="6033" w:type="dxa"/>
            <w:gridSpan w:val="2"/>
          </w:tcPr>
          <w:p w14:paraId="63FB4DE4" w14:textId="77777777" w:rsidR="00817104" w:rsidRPr="000232AF" w:rsidRDefault="00817104">
            <w:pPr>
              <w:pStyle w:val="Body"/>
            </w:pPr>
            <w:r w:rsidRPr="000232AF">
              <w:t>Australian National Aged Care Classification</w:t>
            </w:r>
          </w:p>
        </w:tc>
      </w:tr>
      <w:tr w:rsidR="00817104" w:rsidRPr="000232AF" w14:paraId="0F71DB7C" w14:textId="77777777">
        <w:tc>
          <w:tcPr>
            <w:tcW w:w="3256" w:type="dxa"/>
          </w:tcPr>
          <w:p w14:paraId="720F4E60" w14:textId="77777777" w:rsidR="00817104" w:rsidRPr="000232AF" w:rsidRDefault="00817104">
            <w:pPr>
              <w:pStyle w:val="Body"/>
            </w:pPr>
            <w:r w:rsidRPr="000232AF">
              <w:t>ANZICS</w:t>
            </w:r>
          </w:p>
        </w:tc>
        <w:tc>
          <w:tcPr>
            <w:tcW w:w="6033" w:type="dxa"/>
            <w:gridSpan w:val="2"/>
          </w:tcPr>
          <w:p w14:paraId="503EACA3" w14:textId="77777777" w:rsidR="00817104" w:rsidRPr="000232AF" w:rsidRDefault="00817104">
            <w:pPr>
              <w:pStyle w:val="Body"/>
            </w:pPr>
            <w:r w:rsidRPr="000232AF">
              <w:t>Australian and New Zealand Intensive Care Society</w:t>
            </w:r>
          </w:p>
        </w:tc>
      </w:tr>
      <w:tr w:rsidR="00817104" w:rsidRPr="000232AF" w14:paraId="23811CFA" w14:textId="77777777">
        <w:tc>
          <w:tcPr>
            <w:tcW w:w="3256" w:type="dxa"/>
          </w:tcPr>
          <w:p w14:paraId="1DFDD79A" w14:textId="77777777" w:rsidR="00817104" w:rsidRPr="000232AF" w:rsidRDefault="00817104">
            <w:pPr>
              <w:pStyle w:val="Body"/>
            </w:pPr>
            <w:r w:rsidRPr="000232AF">
              <w:t>ANZSCTS</w:t>
            </w:r>
          </w:p>
        </w:tc>
        <w:tc>
          <w:tcPr>
            <w:tcW w:w="6033" w:type="dxa"/>
            <w:gridSpan w:val="2"/>
          </w:tcPr>
          <w:p w14:paraId="2E44E139" w14:textId="77777777" w:rsidR="00817104" w:rsidRPr="000232AF" w:rsidRDefault="00817104">
            <w:pPr>
              <w:pStyle w:val="Body"/>
            </w:pPr>
            <w:r w:rsidRPr="000232AF">
              <w:t>Australian and New Zealand Society of Cardiac and Thoracic Surgeons</w:t>
            </w:r>
          </w:p>
        </w:tc>
      </w:tr>
      <w:tr w:rsidR="00817104" w:rsidRPr="000232AF" w14:paraId="571D26F7" w14:textId="77777777">
        <w:tc>
          <w:tcPr>
            <w:tcW w:w="3256" w:type="dxa"/>
          </w:tcPr>
          <w:p w14:paraId="2B41716C" w14:textId="77777777" w:rsidR="00817104" w:rsidRPr="000232AF" w:rsidRDefault="00817104">
            <w:pPr>
              <w:pStyle w:val="Body"/>
            </w:pPr>
            <w:r w:rsidRPr="000232AF">
              <w:t>AOD</w:t>
            </w:r>
          </w:p>
        </w:tc>
        <w:tc>
          <w:tcPr>
            <w:tcW w:w="6033" w:type="dxa"/>
            <w:gridSpan w:val="2"/>
          </w:tcPr>
          <w:p w14:paraId="08A90478" w14:textId="77777777" w:rsidR="00817104" w:rsidRPr="000232AF" w:rsidRDefault="00817104">
            <w:pPr>
              <w:pStyle w:val="Body"/>
            </w:pPr>
            <w:r>
              <w:t>a</w:t>
            </w:r>
            <w:r w:rsidRPr="000232AF">
              <w:t>lcohol and other drug</w:t>
            </w:r>
            <w:r>
              <w:t>s</w:t>
            </w:r>
          </w:p>
        </w:tc>
      </w:tr>
      <w:tr w:rsidR="00817104" w:rsidRPr="000232AF" w14:paraId="387B457F" w14:textId="77777777">
        <w:tc>
          <w:tcPr>
            <w:tcW w:w="3256" w:type="dxa"/>
          </w:tcPr>
          <w:p w14:paraId="146CB47D" w14:textId="77777777" w:rsidR="00817104" w:rsidRPr="000232AF" w:rsidRDefault="00817104">
            <w:pPr>
              <w:pStyle w:val="Body"/>
            </w:pPr>
            <w:r>
              <w:t>ASA</w:t>
            </w:r>
          </w:p>
        </w:tc>
        <w:tc>
          <w:tcPr>
            <w:tcW w:w="6033" w:type="dxa"/>
            <w:gridSpan w:val="2"/>
          </w:tcPr>
          <w:p w14:paraId="2954E253" w14:textId="77777777" w:rsidR="00817104" w:rsidRDefault="00817104">
            <w:pPr>
              <w:pStyle w:val="Body"/>
            </w:pPr>
            <w:r w:rsidRPr="00D16000">
              <w:t>American Society of Anaesthesiologists</w:t>
            </w:r>
          </w:p>
        </w:tc>
      </w:tr>
      <w:tr w:rsidR="00817104" w:rsidRPr="000232AF" w14:paraId="6ABB1D2F" w14:textId="77777777">
        <w:tc>
          <w:tcPr>
            <w:tcW w:w="3256" w:type="dxa"/>
          </w:tcPr>
          <w:p w14:paraId="6C25ED94" w14:textId="77777777" w:rsidR="00817104" w:rsidRPr="000232AF" w:rsidRDefault="00817104">
            <w:pPr>
              <w:pStyle w:val="Body"/>
            </w:pPr>
            <w:r>
              <w:t>BAU</w:t>
            </w:r>
          </w:p>
        </w:tc>
        <w:tc>
          <w:tcPr>
            <w:tcW w:w="6033" w:type="dxa"/>
            <w:gridSpan w:val="2"/>
          </w:tcPr>
          <w:p w14:paraId="06183BCF" w14:textId="77777777" w:rsidR="00817104" w:rsidRPr="000232AF" w:rsidRDefault="00817104">
            <w:pPr>
              <w:pStyle w:val="Body"/>
            </w:pPr>
            <w:r>
              <w:t>Behavioural Assessment Unit</w:t>
            </w:r>
          </w:p>
        </w:tc>
      </w:tr>
      <w:tr w:rsidR="00817104" w:rsidRPr="000232AF" w14:paraId="24AF4D98" w14:textId="77777777">
        <w:tc>
          <w:tcPr>
            <w:tcW w:w="3256" w:type="dxa"/>
          </w:tcPr>
          <w:p w14:paraId="275B7BA0" w14:textId="77777777" w:rsidR="00817104" w:rsidRPr="000232AF" w:rsidRDefault="00817104">
            <w:pPr>
              <w:pStyle w:val="Body"/>
            </w:pPr>
            <w:r w:rsidRPr="000232AF">
              <w:t>BBV</w:t>
            </w:r>
          </w:p>
        </w:tc>
        <w:tc>
          <w:tcPr>
            <w:tcW w:w="6033" w:type="dxa"/>
            <w:gridSpan w:val="2"/>
          </w:tcPr>
          <w:p w14:paraId="7BA28402" w14:textId="77777777" w:rsidR="00817104" w:rsidRPr="000232AF" w:rsidRDefault="00817104">
            <w:pPr>
              <w:pStyle w:val="Body"/>
            </w:pPr>
            <w:r w:rsidRPr="000232AF">
              <w:t>blood-borne virus</w:t>
            </w:r>
          </w:p>
        </w:tc>
      </w:tr>
      <w:tr w:rsidR="00817104" w:rsidRPr="000232AF" w14:paraId="51DE62AA" w14:textId="77777777">
        <w:tc>
          <w:tcPr>
            <w:tcW w:w="3256" w:type="dxa"/>
          </w:tcPr>
          <w:p w14:paraId="74408646" w14:textId="77777777" w:rsidR="00817104" w:rsidRPr="000232AF" w:rsidRDefault="00817104">
            <w:pPr>
              <w:pStyle w:val="Body"/>
            </w:pPr>
            <w:r w:rsidRPr="000232AF">
              <w:t>BIA</w:t>
            </w:r>
          </w:p>
        </w:tc>
        <w:tc>
          <w:tcPr>
            <w:tcW w:w="6033" w:type="dxa"/>
            <w:gridSpan w:val="2"/>
          </w:tcPr>
          <w:p w14:paraId="6A6C2543" w14:textId="77777777" w:rsidR="00817104" w:rsidRPr="000232AF" w:rsidRDefault="00817104">
            <w:pPr>
              <w:pStyle w:val="Body"/>
            </w:pPr>
            <w:r w:rsidRPr="000232AF">
              <w:t>business impact analysis</w:t>
            </w:r>
          </w:p>
        </w:tc>
      </w:tr>
      <w:tr w:rsidR="00817104" w:rsidRPr="000232AF" w14:paraId="50A339FF" w14:textId="77777777">
        <w:tc>
          <w:tcPr>
            <w:tcW w:w="3256" w:type="dxa"/>
          </w:tcPr>
          <w:p w14:paraId="5B7C001A" w14:textId="77777777" w:rsidR="00817104" w:rsidRPr="000232AF" w:rsidRDefault="00817104">
            <w:pPr>
              <w:pStyle w:val="Body"/>
            </w:pPr>
            <w:r w:rsidRPr="000232AF">
              <w:t>CCOPMM</w:t>
            </w:r>
          </w:p>
        </w:tc>
        <w:tc>
          <w:tcPr>
            <w:tcW w:w="6033" w:type="dxa"/>
            <w:gridSpan w:val="2"/>
          </w:tcPr>
          <w:p w14:paraId="3F1CD850" w14:textId="77777777" w:rsidR="00817104" w:rsidRPr="000232AF" w:rsidRDefault="00817104">
            <w:pPr>
              <w:pStyle w:val="Body"/>
            </w:pPr>
            <w:r w:rsidRPr="000232AF">
              <w:t>Consultative Council on Obstetric and Paediatric Mortality and Morbidity</w:t>
            </w:r>
          </w:p>
        </w:tc>
      </w:tr>
      <w:tr w:rsidR="00817104" w:rsidRPr="000232AF" w14:paraId="433BD58A" w14:textId="77777777">
        <w:tc>
          <w:tcPr>
            <w:tcW w:w="3256" w:type="dxa"/>
          </w:tcPr>
          <w:p w14:paraId="20F4C9AD" w14:textId="77777777" w:rsidR="00817104" w:rsidRPr="000232AF" w:rsidRDefault="00817104">
            <w:pPr>
              <w:pStyle w:val="Body"/>
            </w:pPr>
            <w:r w:rsidRPr="000232AF">
              <w:t>CCUs</w:t>
            </w:r>
          </w:p>
        </w:tc>
        <w:tc>
          <w:tcPr>
            <w:tcW w:w="6033" w:type="dxa"/>
            <w:gridSpan w:val="2"/>
          </w:tcPr>
          <w:p w14:paraId="69E9A3BF" w14:textId="77777777" w:rsidR="00817104" w:rsidRPr="000232AF" w:rsidRDefault="00817104">
            <w:pPr>
              <w:pStyle w:val="Body"/>
            </w:pPr>
            <w:r w:rsidRPr="000232AF">
              <w:t>Community Care Units</w:t>
            </w:r>
          </w:p>
        </w:tc>
      </w:tr>
      <w:tr w:rsidR="00817104" w:rsidRPr="000232AF" w14:paraId="2A4701B6" w14:textId="77777777">
        <w:tc>
          <w:tcPr>
            <w:tcW w:w="3256" w:type="dxa"/>
          </w:tcPr>
          <w:p w14:paraId="697BF256" w14:textId="77777777" w:rsidR="00817104" w:rsidRPr="000232AF" w:rsidRDefault="00817104">
            <w:pPr>
              <w:pStyle w:val="Body"/>
            </w:pPr>
            <w:r>
              <w:t>CEO</w:t>
            </w:r>
          </w:p>
        </w:tc>
        <w:tc>
          <w:tcPr>
            <w:tcW w:w="6033" w:type="dxa"/>
            <w:gridSpan w:val="2"/>
          </w:tcPr>
          <w:p w14:paraId="530CB9F6" w14:textId="77777777" w:rsidR="00817104" w:rsidRPr="000232AF" w:rsidRDefault="00817104">
            <w:pPr>
              <w:pStyle w:val="Body"/>
            </w:pPr>
            <w:r>
              <w:t>chief executive officer</w:t>
            </w:r>
          </w:p>
        </w:tc>
      </w:tr>
      <w:tr w:rsidR="00817104" w:rsidRPr="000232AF" w14:paraId="70562AD4" w14:textId="77777777">
        <w:tc>
          <w:tcPr>
            <w:tcW w:w="3256" w:type="dxa"/>
          </w:tcPr>
          <w:p w14:paraId="011979D0" w14:textId="77777777" w:rsidR="00817104" w:rsidRPr="000232AF" w:rsidRDefault="00817104">
            <w:pPr>
              <w:pStyle w:val="Body"/>
            </w:pPr>
            <w:r w:rsidRPr="000232AF">
              <w:t>CES</w:t>
            </w:r>
          </w:p>
        </w:tc>
        <w:tc>
          <w:tcPr>
            <w:tcW w:w="6033" w:type="dxa"/>
            <w:gridSpan w:val="2"/>
          </w:tcPr>
          <w:p w14:paraId="4962DA1B" w14:textId="77777777" w:rsidR="00817104" w:rsidRPr="000232AF" w:rsidRDefault="00817104">
            <w:pPr>
              <w:pStyle w:val="Body"/>
            </w:pPr>
            <w:r w:rsidRPr="000232AF">
              <w:t>Carer Experience Survey</w:t>
            </w:r>
          </w:p>
        </w:tc>
      </w:tr>
      <w:tr w:rsidR="00817104" w:rsidRPr="000232AF" w14:paraId="448FBEE5" w14:textId="77777777">
        <w:tc>
          <w:tcPr>
            <w:tcW w:w="3256" w:type="dxa"/>
          </w:tcPr>
          <w:p w14:paraId="34B5F756" w14:textId="77777777" w:rsidR="00817104" w:rsidRPr="000232AF" w:rsidRDefault="00817104">
            <w:pPr>
              <w:pStyle w:val="Body"/>
            </w:pPr>
            <w:r w:rsidRPr="000232AF">
              <w:t>CISS</w:t>
            </w:r>
          </w:p>
        </w:tc>
        <w:tc>
          <w:tcPr>
            <w:tcW w:w="6033" w:type="dxa"/>
            <w:gridSpan w:val="2"/>
          </w:tcPr>
          <w:p w14:paraId="43DE5C82" w14:textId="77777777" w:rsidR="00817104" w:rsidRPr="000232AF" w:rsidRDefault="00817104">
            <w:pPr>
              <w:pStyle w:val="Body"/>
            </w:pPr>
            <w:r w:rsidRPr="000232AF">
              <w:t>Child Information Sharing Scheme</w:t>
            </w:r>
          </w:p>
        </w:tc>
      </w:tr>
      <w:tr w:rsidR="00817104" w:rsidRPr="000232AF" w14:paraId="092F330E" w14:textId="77777777">
        <w:tc>
          <w:tcPr>
            <w:tcW w:w="3256" w:type="dxa"/>
          </w:tcPr>
          <w:p w14:paraId="599B1E99" w14:textId="77777777" w:rsidR="00817104" w:rsidRPr="000232AF" w:rsidRDefault="00817104">
            <w:pPr>
              <w:pStyle w:val="Body"/>
            </w:pPr>
            <w:r w:rsidRPr="000232AF">
              <w:t>CMI/ODS</w:t>
            </w:r>
          </w:p>
        </w:tc>
        <w:tc>
          <w:tcPr>
            <w:tcW w:w="6033" w:type="dxa"/>
            <w:gridSpan w:val="2"/>
          </w:tcPr>
          <w:p w14:paraId="2EF1B165" w14:textId="77777777" w:rsidR="00817104" w:rsidRPr="000232AF" w:rsidRDefault="00817104">
            <w:pPr>
              <w:pStyle w:val="Body"/>
            </w:pPr>
            <w:r w:rsidRPr="000232AF">
              <w:t>Client Management Interface and Operational Data Store</w:t>
            </w:r>
          </w:p>
        </w:tc>
      </w:tr>
      <w:tr w:rsidR="00817104" w:rsidRPr="000232AF" w14:paraId="1335EE81" w14:textId="77777777">
        <w:tc>
          <w:tcPr>
            <w:tcW w:w="3256" w:type="dxa"/>
          </w:tcPr>
          <w:p w14:paraId="72C65EE0" w14:textId="77777777" w:rsidR="00817104" w:rsidRPr="000232AF" w:rsidRDefault="00817104">
            <w:pPr>
              <w:pStyle w:val="Body"/>
            </w:pPr>
            <w:r>
              <w:t>CQR</w:t>
            </w:r>
          </w:p>
        </w:tc>
        <w:tc>
          <w:tcPr>
            <w:tcW w:w="6033" w:type="dxa"/>
            <w:gridSpan w:val="2"/>
          </w:tcPr>
          <w:p w14:paraId="3F329975" w14:textId="77777777" w:rsidR="00817104" w:rsidRPr="000232AF" w:rsidRDefault="00817104">
            <w:pPr>
              <w:pStyle w:val="Body"/>
            </w:pPr>
            <w:r>
              <w:t>Clinical quality registry</w:t>
            </w:r>
          </w:p>
        </w:tc>
      </w:tr>
      <w:tr w:rsidR="00817104" w:rsidRPr="000232AF" w14:paraId="57D2D864" w14:textId="77777777">
        <w:tc>
          <w:tcPr>
            <w:tcW w:w="3256" w:type="dxa"/>
          </w:tcPr>
          <w:p w14:paraId="170B8BE7" w14:textId="77777777" w:rsidR="00817104" w:rsidRPr="000232AF" w:rsidRDefault="00817104">
            <w:pPr>
              <w:pStyle w:val="Body"/>
            </w:pPr>
            <w:r w:rsidRPr="000232AF">
              <w:t>Cth</w:t>
            </w:r>
          </w:p>
        </w:tc>
        <w:tc>
          <w:tcPr>
            <w:tcW w:w="6033" w:type="dxa"/>
            <w:gridSpan w:val="2"/>
          </w:tcPr>
          <w:p w14:paraId="3102E9DF" w14:textId="77777777" w:rsidR="00817104" w:rsidRPr="000232AF" w:rsidRDefault="00817104">
            <w:pPr>
              <w:pStyle w:val="Body"/>
            </w:pPr>
            <w:r w:rsidRPr="000232AF">
              <w:t>Commonwealth</w:t>
            </w:r>
          </w:p>
        </w:tc>
      </w:tr>
      <w:tr w:rsidR="00817104" w:rsidRPr="000232AF" w14:paraId="4A371D9D" w14:textId="77777777">
        <w:tc>
          <w:tcPr>
            <w:tcW w:w="3256" w:type="dxa"/>
          </w:tcPr>
          <w:p w14:paraId="4EC46000" w14:textId="77777777" w:rsidR="00817104" w:rsidRDefault="00817104">
            <w:pPr>
              <w:pStyle w:val="Body"/>
            </w:pPr>
            <w:r>
              <w:t>CTS</w:t>
            </w:r>
          </w:p>
        </w:tc>
        <w:tc>
          <w:tcPr>
            <w:tcW w:w="6033" w:type="dxa"/>
            <w:gridSpan w:val="2"/>
          </w:tcPr>
          <w:p w14:paraId="5EA3BA83" w14:textId="77777777" w:rsidR="00817104" w:rsidRDefault="00817104">
            <w:pPr>
              <w:pStyle w:val="Body"/>
            </w:pPr>
            <w:r>
              <w:t>Clinic Transport Services</w:t>
            </w:r>
          </w:p>
        </w:tc>
      </w:tr>
      <w:tr w:rsidR="00817104" w:rsidRPr="000232AF" w14:paraId="4DCC1A8C" w14:textId="77777777">
        <w:tc>
          <w:tcPr>
            <w:tcW w:w="3256" w:type="dxa"/>
          </w:tcPr>
          <w:p w14:paraId="3F77EAB3" w14:textId="77777777" w:rsidR="00817104" w:rsidRPr="000232AF" w:rsidRDefault="00817104">
            <w:pPr>
              <w:pStyle w:val="Body"/>
            </w:pPr>
            <w:r>
              <w:t>the department</w:t>
            </w:r>
          </w:p>
        </w:tc>
        <w:tc>
          <w:tcPr>
            <w:tcW w:w="6033" w:type="dxa"/>
            <w:gridSpan w:val="2"/>
          </w:tcPr>
          <w:p w14:paraId="7673A69F" w14:textId="77777777" w:rsidR="00817104" w:rsidRPr="000232AF" w:rsidRDefault="00817104">
            <w:pPr>
              <w:pStyle w:val="Body"/>
            </w:pPr>
            <w:r>
              <w:t>Department of Health</w:t>
            </w:r>
          </w:p>
        </w:tc>
      </w:tr>
      <w:tr w:rsidR="00817104" w:rsidRPr="000232AF" w14:paraId="21C4D95A" w14:textId="77777777">
        <w:tc>
          <w:tcPr>
            <w:tcW w:w="3256" w:type="dxa"/>
          </w:tcPr>
          <w:p w14:paraId="2A233F35" w14:textId="77777777" w:rsidR="00817104" w:rsidRPr="000232AF" w:rsidRDefault="00817104">
            <w:pPr>
              <w:pStyle w:val="Body"/>
            </w:pPr>
            <w:r w:rsidRPr="000232AF">
              <w:t>DLO</w:t>
            </w:r>
          </w:p>
        </w:tc>
        <w:tc>
          <w:tcPr>
            <w:tcW w:w="6033" w:type="dxa"/>
            <w:gridSpan w:val="2"/>
          </w:tcPr>
          <w:p w14:paraId="253C9FA2" w14:textId="77777777" w:rsidR="00817104" w:rsidRPr="000232AF" w:rsidRDefault="00817104">
            <w:pPr>
              <w:pStyle w:val="Body"/>
            </w:pPr>
            <w:r w:rsidRPr="000232AF">
              <w:t>disability liaison officer</w:t>
            </w:r>
          </w:p>
        </w:tc>
      </w:tr>
      <w:tr w:rsidR="00817104" w:rsidRPr="000232AF" w14:paraId="00A7BA14" w14:textId="77777777">
        <w:tc>
          <w:tcPr>
            <w:tcW w:w="3256" w:type="dxa"/>
          </w:tcPr>
          <w:p w14:paraId="17D320D3" w14:textId="77777777" w:rsidR="00817104" w:rsidRPr="000232AF" w:rsidRDefault="00817104">
            <w:pPr>
              <w:pStyle w:val="Body"/>
            </w:pPr>
            <w:r w:rsidRPr="000232AF">
              <w:t>ECT</w:t>
            </w:r>
          </w:p>
        </w:tc>
        <w:tc>
          <w:tcPr>
            <w:tcW w:w="6033" w:type="dxa"/>
            <w:gridSpan w:val="2"/>
          </w:tcPr>
          <w:p w14:paraId="199EEAF0" w14:textId="77777777" w:rsidR="00817104" w:rsidRPr="000232AF" w:rsidRDefault="00817104">
            <w:pPr>
              <w:pStyle w:val="Body"/>
            </w:pPr>
            <w:r w:rsidRPr="000232AF">
              <w:t>electroconvulsive treatment</w:t>
            </w:r>
          </w:p>
        </w:tc>
      </w:tr>
      <w:tr w:rsidR="00817104" w:rsidRPr="000232AF" w14:paraId="6ED28AAD" w14:textId="77777777">
        <w:tc>
          <w:tcPr>
            <w:tcW w:w="3256" w:type="dxa"/>
          </w:tcPr>
          <w:p w14:paraId="3D9A5048" w14:textId="77777777" w:rsidR="00817104" w:rsidRPr="000232AF" w:rsidRDefault="00817104">
            <w:pPr>
              <w:pStyle w:val="Body"/>
            </w:pPr>
            <w:r>
              <w:t>ED</w:t>
            </w:r>
          </w:p>
        </w:tc>
        <w:tc>
          <w:tcPr>
            <w:tcW w:w="6033" w:type="dxa"/>
            <w:gridSpan w:val="2"/>
          </w:tcPr>
          <w:p w14:paraId="6406AAC7" w14:textId="77777777" w:rsidR="00817104" w:rsidRPr="000232AF" w:rsidRDefault="00817104">
            <w:pPr>
              <w:pStyle w:val="Body"/>
            </w:pPr>
            <w:r>
              <w:t>emergency department</w:t>
            </w:r>
          </w:p>
        </w:tc>
      </w:tr>
      <w:tr w:rsidR="00817104" w:rsidRPr="000232AF" w14:paraId="2CF02F64" w14:textId="77777777">
        <w:tc>
          <w:tcPr>
            <w:tcW w:w="3256" w:type="dxa"/>
          </w:tcPr>
          <w:p w14:paraId="1E1F0EC1" w14:textId="77777777" w:rsidR="00817104" w:rsidRPr="000232AF" w:rsidRDefault="00817104">
            <w:pPr>
              <w:pStyle w:val="Body"/>
            </w:pPr>
            <w:r w:rsidRPr="000232AF">
              <w:lastRenderedPageBreak/>
              <w:t>EDMS</w:t>
            </w:r>
          </w:p>
        </w:tc>
        <w:tc>
          <w:tcPr>
            <w:tcW w:w="6033" w:type="dxa"/>
            <w:gridSpan w:val="2"/>
          </w:tcPr>
          <w:p w14:paraId="2885B7FD" w14:textId="77777777" w:rsidR="00817104" w:rsidRPr="000232AF" w:rsidRDefault="00817104">
            <w:pPr>
              <w:pStyle w:val="Body"/>
            </w:pPr>
            <w:r w:rsidRPr="000232AF">
              <w:t>Environmental data management system</w:t>
            </w:r>
          </w:p>
        </w:tc>
      </w:tr>
      <w:tr w:rsidR="00817104" w:rsidRPr="000232AF" w14:paraId="7C083BC8" w14:textId="77777777">
        <w:tc>
          <w:tcPr>
            <w:tcW w:w="3256" w:type="dxa"/>
          </w:tcPr>
          <w:p w14:paraId="1556D7F0" w14:textId="77777777" w:rsidR="00817104" w:rsidRPr="000232AF" w:rsidRDefault="00817104">
            <w:pPr>
              <w:pStyle w:val="Body"/>
            </w:pPr>
            <w:r w:rsidRPr="000232AF">
              <w:t>EIPSR</w:t>
            </w:r>
          </w:p>
        </w:tc>
        <w:tc>
          <w:tcPr>
            <w:tcW w:w="6033" w:type="dxa"/>
            <w:gridSpan w:val="2"/>
          </w:tcPr>
          <w:p w14:paraId="3FA6C60A" w14:textId="77777777" w:rsidR="00817104" w:rsidRPr="000232AF" w:rsidRDefault="00817104">
            <w:pPr>
              <w:pStyle w:val="Body"/>
            </w:pPr>
            <w:r w:rsidRPr="000232AF">
              <w:t xml:space="preserve">Early Intervention Psychosocial Support Response </w:t>
            </w:r>
          </w:p>
        </w:tc>
      </w:tr>
      <w:tr w:rsidR="00817104" w:rsidRPr="000232AF" w14:paraId="4C6D0913" w14:textId="77777777">
        <w:tc>
          <w:tcPr>
            <w:tcW w:w="3256" w:type="dxa"/>
          </w:tcPr>
          <w:p w14:paraId="62EA52CD" w14:textId="77777777" w:rsidR="00817104" w:rsidRPr="000232AF" w:rsidRDefault="00817104">
            <w:pPr>
              <w:pStyle w:val="Body"/>
            </w:pPr>
            <w:r w:rsidRPr="000232AF">
              <w:t>EMR</w:t>
            </w:r>
          </w:p>
        </w:tc>
        <w:tc>
          <w:tcPr>
            <w:tcW w:w="6033" w:type="dxa"/>
            <w:gridSpan w:val="2"/>
          </w:tcPr>
          <w:p w14:paraId="52777915" w14:textId="77777777" w:rsidR="00817104" w:rsidRPr="000232AF" w:rsidRDefault="00817104">
            <w:pPr>
              <w:pStyle w:val="Body"/>
            </w:pPr>
            <w:r w:rsidRPr="000232AF">
              <w:t>Electronic Medical Record</w:t>
            </w:r>
          </w:p>
        </w:tc>
      </w:tr>
      <w:tr w:rsidR="00817104" w:rsidRPr="000232AF" w14:paraId="1D2DE9B5" w14:textId="77777777">
        <w:tc>
          <w:tcPr>
            <w:tcW w:w="3256" w:type="dxa"/>
          </w:tcPr>
          <w:p w14:paraId="0E01EDB4" w14:textId="77777777" w:rsidR="00817104" w:rsidRPr="000232AF" w:rsidRDefault="00817104">
            <w:pPr>
              <w:pStyle w:val="Body"/>
            </w:pPr>
            <w:r w:rsidRPr="000232AF">
              <w:t>eReferral</w:t>
            </w:r>
          </w:p>
        </w:tc>
        <w:tc>
          <w:tcPr>
            <w:tcW w:w="6033" w:type="dxa"/>
            <w:gridSpan w:val="2"/>
          </w:tcPr>
          <w:p w14:paraId="7B08D706" w14:textId="77777777" w:rsidR="00817104" w:rsidRPr="000232AF" w:rsidRDefault="00817104">
            <w:pPr>
              <w:pStyle w:val="Body"/>
            </w:pPr>
            <w:r w:rsidRPr="000232AF">
              <w:t>electronic referral</w:t>
            </w:r>
          </w:p>
        </w:tc>
      </w:tr>
      <w:tr w:rsidR="00817104" w:rsidRPr="000232AF" w14:paraId="71013C54" w14:textId="77777777">
        <w:tc>
          <w:tcPr>
            <w:tcW w:w="3256" w:type="dxa"/>
          </w:tcPr>
          <w:p w14:paraId="056B8738" w14:textId="77777777" w:rsidR="00817104" w:rsidRPr="000232AF" w:rsidRDefault="00817104">
            <w:pPr>
              <w:pStyle w:val="Body"/>
            </w:pPr>
            <w:r w:rsidRPr="000232AF">
              <w:t>ESIS</w:t>
            </w:r>
          </w:p>
        </w:tc>
        <w:tc>
          <w:tcPr>
            <w:tcW w:w="6033" w:type="dxa"/>
            <w:gridSpan w:val="2"/>
          </w:tcPr>
          <w:p w14:paraId="092F273E" w14:textId="77777777" w:rsidR="00817104" w:rsidRPr="000232AF" w:rsidRDefault="00817104">
            <w:pPr>
              <w:pStyle w:val="Body"/>
            </w:pPr>
            <w:r w:rsidRPr="000232AF">
              <w:t>Elective Surgery Information System</w:t>
            </w:r>
          </w:p>
        </w:tc>
      </w:tr>
      <w:tr w:rsidR="00817104" w:rsidRPr="000232AF" w14:paraId="1123DCEB" w14:textId="77777777">
        <w:tc>
          <w:tcPr>
            <w:tcW w:w="3256" w:type="dxa"/>
          </w:tcPr>
          <w:p w14:paraId="5774554E" w14:textId="77777777" w:rsidR="00817104" w:rsidRPr="000232AF" w:rsidRDefault="00817104">
            <w:pPr>
              <w:pStyle w:val="Body"/>
            </w:pPr>
            <w:r w:rsidRPr="000232AF">
              <w:t>Forensicare</w:t>
            </w:r>
          </w:p>
        </w:tc>
        <w:tc>
          <w:tcPr>
            <w:tcW w:w="6033" w:type="dxa"/>
            <w:gridSpan w:val="2"/>
          </w:tcPr>
          <w:p w14:paraId="24F975AB" w14:textId="77777777" w:rsidR="00817104" w:rsidRPr="000232AF" w:rsidRDefault="00817104">
            <w:pPr>
              <w:pStyle w:val="Body"/>
            </w:pPr>
            <w:r w:rsidRPr="000232AF">
              <w:t>Victorian Institute of Forensic Mental Health</w:t>
            </w:r>
          </w:p>
        </w:tc>
      </w:tr>
      <w:tr w:rsidR="00817104" w:rsidRPr="000232AF" w14:paraId="7E29B118" w14:textId="77777777">
        <w:tc>
          <w:tcPr>
            <w:tcW w:w="3256" w:type="dxa"/>
          </w:tcPr>
          <w:p w14:paraId="27DED4E7" w14:textId="77777777" w:rsidR="00817104" w:rsidRPr="000232AF" w:rsidRDefault="00817104">
            <w:pPr>
              <w:pStyle w:val="Body"/>
            </w:pPr>
            <w:r w:rsidRPr="000232AF">
              <w:t>FRD 24</w:t>
            </w:r>
          </w:p>
        </w:tc>
        <w:tc>
          <w:tcPr>
            <w:tcW w:w="6033" w:type="dxa"/>
            <w:gridSpan w:val="2"/>
          </w:tcPr>
          <w:p w14:paraId="2A9A57DE" w14:textId="77777777" w:rsidR="00817104" w:rsidRPr="000232AF" w:rsidRDefault="00817104">
            <w:pPr>
              <w:pStyle w:val="Body"/>
            </w:pPr>
            <w:r w:rsidRPr="000232AF">
              <w:t>Financial Reporting Direction 24</w:t>
            </w:r>
          </w:p>
        </w:tc>
      </w:tr>
      <w:tr w:rsidR="00817104" w:rsidRPr="000232AF" w14:paraId="32912C13" w14:textId="77777777">
        <w:tc>
          <w:tcPr>
            <w:tcW w:w="3256" w:type="dxa"/>
          </w:tcPr>
          <w:p w14:paraId="207BD092" w14:textId="77777777" w:rsidR="00817104" w:rsidRPr="000232AF" w:rsidRDefault="00817104">
            <w:pPr>
              <w:pStyle w:val="Body"/>
            </w:pPr>
            <w:r w:rsidRPr="000232AF">
              <w:t>FTE</w:t>
            </w:r>
          </w:p>
        </w:tc>
        <w:tc>
          <w:tcPr>
            <w:tcW w:w="6033" w:type="dxa"/>
            <w:gridSpan w:val="2"/>
          </w:tcPr>
          <w:p w14:paraId="48FD256A" w14:textId="77777777" w:rsidR="00817104" w:rsidRPr="000232AF" w:rsidRDefault="00817104">
            <w:pPr>
              <w:pStyle w:val="Body"/>
            </w:pPr>
            <w:r w:rsidRPr="000232AF">
              <w:t>full-time equivalent</w:t>
            </w:r>
          </w:p>
        </w:tc>
      </w:tr>
      <w:tr w:rsidR="00817104" w:rsidRPr="000232AF" w14:paraId="12BA52E5" w14:textId="77777777">
        <w:tc>
          <w:tcPr>
            <w:tcW w:w="3256" w:type="dxa"/>
          </w:tcPr>
          <w:p w14:paraId="0654A335" w14:textId="77777777" w:rsidR="00817104" w:rsidRPr="000232AF" w:rsidRDefault="00817104">
            <w:pPr>
              <w:pStyle w:val="Body"/>
            </w:pPr>
            <w:r w:rsidRPr="00D25B10">
              <w:t>funded organisation</w:t>
            </w:r>
          </w:p>
        </w:tc>
        <w:tc>
          <w:tcPr>
            <w:tcW w:w="6033" w:type="dxa"/>
            <w:gridSpan w:val="2"/>
          </w:tcPr>
          <w:p w14:paraId="7805D49C" w14:textId="77777777" w:rsidR="00817104" w:rsidRPr="000232AF" w:rsidRDefault="00817104">
            <w:pPr>
              <w:pStyle w:val="Body"/>
            </w:pPr>
            <w:r>
              <w:t>government-funded healthcare organisation</w:t>
            </w:r>
          </w:p>
        </w:tc>
      </w:tr>
      <w:tr w:rsidR="00817104" w:rsidRPr="000232AF" w14:paraId="4DFB6D34" w14:textId="77777777">
        <w:tc>
          <w:tcPr>
            <w:tcW w:w="3256" w:type="dxa"/>
          </w:tcPr>
          <w:p w14:paraId="110AD62A" w14:textId="77777777" w:rsidR="00817104" w:rsidRPr="000232AF" w:rsidRDefault="00817104">
            <w:pPr>
              <w:pStyle w:val="Body"/>
            </w:pPr>
            <w:r>
              <w:t>FVISS</w:t>
            </w:r>
          </w:p>
        </w:tc>
        <w:tc>
          <w:tcPr>
            <w:tcW w:w="6033" w:type="dxa"/>
            <w:gridSpan w:val="2"/>
          </w:tcPr>
          <w:p w14:paraId="67C6BADC" w14:textId="77777777" w:rsidR="00817104" w:rsidRDefault="00817104">
            <w:pPr>
              <w:pStyle w:val="Body"/>
            </w:pPr>
            <w:r w:rsidRPr="00197725">
              <w:t>Family Violence Information Sharing Scheme</w:t>
            </w:r>
          </w:p>
        </w:tc>
      </w:tr>
      <w:tr w:rsidR="00817104" w:rsidRPr="000232AF" w14:paraId="3F4EFFF5" w14:textId="77777777">
        <w:tc>
          <w:tcPr>
            <w:tcW w:w="3256" w:type="dxa"/>
          </w:tcPr>
          <w:p w14:paraId="41993138" w14:textId="77777777" w:rsidR="00817104" w:rsidRPr="000232AF" w:rsidRDefault="00817104">
            <w:pPr>
              <w:pStyle w:val="Body"/>
            </w:pPr>
            <w:r w:rsidRPr="000232AF">
              <w:t>GEM</w:t>
            </w:r>
          </w:p>
        </w:tc>
        <w:tc>
          <w:tcPr>
            <w:tcW w:w="6033" w:type="dxa"/>
            <w:gridSpan w:val="2"/>
          </w:tcPr>
          <w:p w14:paraId="2D01F634" w14:textId="77777777" w:rsidR="00817104" w:rsidRPr="000232AF" w:rsidRDefault="00817104">
            <w:pPr>
              <w:pStyle w:val="Body"/>
            </w:pPr>
            <w:r>
              <w:t>g</w:t>
            </w:r>
            <w:r w:rsidRPr="000232AF">
              <w:t xml:space="preserve">eriatric </w:t>
            </w:r>
            <w:r>
              <w:t>e</w:t>
            </w:r>
            <w:r w:rsidRPr="000232AF">
              <w:t xml:space="preserve">valuation and </w:t>
            </w:r>
            <w:r>
              <w:t>m</w:t>
            </w:r>
            <w:r w:rsidRPr="000232AF">
              <w:t>anagement</w:t>
            </w:r>
          </w:p>
        </w:tc>
      </w:tr>
      <w:tr w:rsidR="00817104" w:rsidRPr="000232AF" w14:paraId="56F3C9C0" w14:textId="77777777">
        <w:tc>
          <w:tcPr>
            <w:tcW w:w="3256" w:type="dxa"/>
          </w:tcPr>
          <w:p w14:paraId="54BE3664" w14:textId="77777777" w:rsidR="00817104" w:rsidRPr="000232AF" w:rsidRDefault="00817104">
            <w:pPr>
              <w:pStyle w:val="Body"/>
            </w:pPr>
            <w:r w:rsidRPr="000232AF">
              <w:t>GenV</w:t>
            </w:r>
          </w:p>
        </w:tc>
        <w:tc>
          <w:tcPr>
            <w:tcW w:w="6033" w:type="dxa"/>
            <w:gridSpan w:val="2"/>
          </w:tcPr>
          <w:p w14:paraId="203972BF" w14:textId="77777777" w:rsidR="00817104" w:rsidRPr="000232AF" w:rsidRDefault="00817104">
            <w:pPr>
              <w:pStyle w:val="Body"/>
            </w:pPr>
            <w:r w:rsidRPr="000232AF">
              <w:t>Generation Victoria</w:t>
            </w:r>
          </w:p>
        </w:tc>
      </w:tr>
      <w:tr w:rsidR="00817104" w:rsidRPr="000232AF" w14:paraId="31E976CB" w14:textId="77777777">
        <w:tc>
          <w:tcPr>
            <w:tcW w:w="3256" w:type="dxa"/>
          </w:tcPr>
          <w:p w14:paraId="618FA5B6" w14:textId="77777777" w:rsidR="00817104" w:rsidRPr="000232AF" w:rsidRDefault="00817104">
            <w:pPr>
              <w:pStyle w:val="Body"/>
            </w:pPr>
            <w:r w:rsidRPr="000232AF">
              <w:t>GP</w:t>
            </w:r>
          </w:p>
        </w:tc>
        <w:tc>
          <w:tcPr>
            <w:tcW w:w="6033" w:type="dxa"/>
            <w:gridSpan w:val="2"/>
          </w:tcPr>
          <w:p w14:paraId="5ED52496" w14:textId="77777777" w:rsidR="00817104" w:rsidRPr="000232AF" w:rsidRDefault="00817104">
            <w:pPr>
              <w:pStyle w:val="Body"/>
            </w:pPr>
            <w:r w:rsidRPr="000232AF">
              <w:t>general practitioner</w:t>
            </w:r>
          </w:p>
        </w:tc>
      </w:tr>
      <w:tr w:rsidR="00817104" w:rsidRPr="000232AF" w14:paraId="1FD62466" w14:textId="77777777">
        <w:tc>
          <w:tcPr>
            <w:tcW w:w="3256" w:type="dxa"/>
          </w:tcPr>
          <w:p w14:paraId="647F1D97" w14:textId="77777777" w:rsidR="00817104" w:rsidRPr="000232AF" w:rsidRDefault="00817104">
            <w:pPr>
              <w:pStyle w:val="Body"/>
            </w:pPr>
            <w:r w:rsidRPr="000232AF">
              <w:t>GST</w:t>
            </w:r>
          </w:p>
        </w:tc>
        <w:tc>
          <w:tcPr>
            <w:tcW w:w="6033" w:type="dxa"/>
            <w:gridSpan w:val="2"/>
          </w:tcPr>
          <w:p w14:paraId="7B9F0D82" w14:textId="77777777" w:rsidR="00817104" w:rsidRPr="000232AF" w:rsidRDefault="00817104">
            <w:pPr>
              <w:pStyle w:val="Body"/>
            </w:pPr>
            <w:r w:rsidRPr="000232AF">
              <w:t>Goods and Services Tax</w:t>
            </w:r>
          </w:p>
        </w:tc>
      </w:tr>
      <w:tr w:rsidR="00817104" w:rsidRPr="000232AF" w14:paraId="5977903F" w14:textId="77777777">
        <w:tc>
          <w:tcPr>
            <w:tcW w:w="3256" w:type="dxa"/>
          </w:tcPr>
          <w:p w14:paraId="753F0D61" w14:textId="77777777" w:rsidR="00817104" w:rsidRPr="000232AF" w:rsidRDefault="00817104">
            <w:pPr>
              <w:pStyle w:val="Body"/>
            </w:pPr>
            <w:r w:rsidRPr="000232AF">
              <w:t>HACC PYP</w:t>
            </w:r>
          </w:p>
        </w:tc>
        <w:tc>
          <w:tcPr>
            <w:tcW w:w="6033" w:type="dxa"/>
            <w:gridSpan w:val="2"/>
          </w:tcPr>
          <w:p w14:paraId="0EF14883" w14:textId="77777777" w:rsidR="00817104" w:rsidRPr="000232AF" w:rsidRDefault="00817104">
            <w:pPr>
              <w:pStyle w:val="Body"/>
            </w:pPr>
            <w:r w:rsidRPr="000232AF">
              <w:t>Home and Community Care Program for Younger People</w:t>
            </w:r>
          </w:p>
        </w:tc>
      </w:tr>
      <w:tr w:rsidR="00817104" w:rsidRPr="000232AF" w14:paraId="1C8B28D8" w14:textId="77777777">
        <w:tc>
          <w:tcPr>
            <w:tcW w:w="3256" w:type="dxa"/>
          </w:tcPr>
          <w:p w14:paraId="5AE5A5BD" w14:textId="77777777" w:rsidR="00817104" w:rsidRPr="000232AF" w:rsidRDefault="00817104">
            <w:pPr>
              <w:pStyle w:val="Body"/>
            </w:pPr>
            <w:r w:rsidRPr="000232AF">
              <w:t>HDSS</w:t>
            </w:r>
          </w:p>
        </w:tc>
        <w:tc>
          <w:tcPr>
            <w:tcW w:w="6033" w:type="dxa"/>
            <w:gridSpan w:val="2"/>
          </w:tcPr>
          <w:p w14:paraId="3714303B" w14:textId="77777777" w:rsidR="00817104" w:rsidRPr="000232AF" w:rsidRDefault="00817104">
            <w:pPr>
              <w:pStyle w:val="Body"/>
            </w:pPr>
            <w:r w:rsidRPr="000232AF">
              <w:t>Health Data Standards and Systems</w:t>
            </w:r>
          </w:p>
        </w:tc>
      </w:tr>
      <w:tr w:rsidR="00817104" w:rsidRPr="000232AF" w14:paraId="18B13673" w14:textId="77777777">
        <w:tc>
          <w:tcPr>
            <w:tcW w:w="3256" w:type="dxa"/>
          </w:tcPr>
          <w:p w14:paraId="21AA9F0B" w14:textId="77777777" w:rsidR="00817104" w:rsidRPr="000232AF" w:rsidRDefault="00817104">
            <w:pPr>
              <w:pStyle w:val="Body"/>
            </w:pPr>
            <w:r w:rsidRPr="000232AF">
              <w:t>HeART</w:t>
            </w:r>
          </w:p>
        </w:tc>
        <w:tc>
          <w:tcPr>
            <w:tcW w:w="6033" w:type="dxa"/>
            <w:gridSpan w:val="2"/>
          </w:tcPr>
          <w:p w14:paraId="29A421CB" w14:textId="77777777" w:rsidR="00817104" w:rsidRPr="000232AF" w:rsidRDefault="00817104">
            <w:pPr>
              <w:pStyle w:val="Body"/>
            </w:pPr>
            <w:r w:rsidRPr="000232AF">
              <w:t>Health Agencies Reporting Tool</w:t>
            </w:r>
          </w:p>
        </w:tc>
      </w:tr>
      <w:tr w:rsidR="00817104" w:rsidRPr="000232AF" w14:paraId="20FFF7AF" w14:textId="77777777">
        <w:tc>
          <w:tcPr>
            <w:tcW w:w="3256" w:type="dxa"/>
          </w:tcPr>
          <w:p w14:paraId="61829B1D" w14:textId="77777777" w:rsidR="00817104" w:rsidRPr="000232AF" w:rsidRDefault="00817104">
            <w:pPr>
              <w:pStyle w:val="Body"/>
            </w:pPr>
            <w:r w:rsidRPr="000232AF">
              <w:t>HITH</w:t>
            </w:r>
          </w:p>
        </w:tc>
        <w:tc>
          <w:tcPr>
            <w:tcW w:w="6033" w:type="dxa"/>
            <w:gridSpan w:val="2"/>
          </w:tcPr>
          <w:p w14:paraId="6A85905C" w14:textId="77777777" w:rsidR="00817104" w:rsidRPr="000232AF" w:rsidRDefault="00817104">
            <w:pPr>
              <w:pStyle w:val="Body"/>
            </w:pPr>
            <w:r w:rsidRPr="000232AF">
              <w:t>Hospital in the Home</w:t>
            </w:r>
          </w:p>
        </w:tc>
      </w:tr>
      <w:tr w:rsidR="00817104" w:rsidRPr="000232AF" w14:paraId="5808CFDF" w14:textId="77777777">
        <w:tc>
          <w:tcPr>
            <w:tcW w:w="3256" w:type="dxa"/>
          </w:tcPr>
          <w:p w14:paraId="16CDBB62" w14:textId="77777777" w:rsidR="00817104" w:rsidRPr="000232AF" w:rsidRDefault="00817104">
            <w:pPr>
              <w:pStyle w:val="Body"/>
            </w:pPr>
            <w:r>
              <w:t>HIV</w:t>
            </w:r>
          </w:p>
        </w:tc>
        <w:tc>
          <w:tcPr>
            <w:tcW w:w="6033" w:type="dxa"/>
            <w:gridSpan w:val="2"/>
          </w:tcPr>
          <w:p w14:paraId="6D9A6B07" w14:textId="77777777" w:rsidR="00817104" w:rsidRPr="000232AF" w:rsidRDefault="00817104">
            <w:pPr>
              <w:pStyle w:val="Body"/>
            </w:pPr>
            <w:r w:rsidRPr="00C077E5">
              <w:t>human immunodeficiency virus</w:t>
            </w:r>
          </w:p>
        </w:tc>
      </w:tr>
      <w:tr w:rsidR="00817104" w:rsidRPr="000232AF" w14:paraId="6C55ECCA" w14:textId="77777777">
        <w:tc>
          <w:tcPr>
            <w:tcW w:w="3256" w:type="dxa"/>
          </w:tcPr>
          <w:p w14:paraId="651B803E" w14:textId="77777777" w:rsidR="00817104" w:rsidRPr="000232AF" w:rsidRDefault="00817104">
            <w:pPr>
              <w:pStyle w:val="Body"/>
            </w:pPr>
            <w:r w:rsidRPr="000232AF">
              <w:t>HLO</w:t>
            </w:r>
          </w:p>
        </w:tc>
        <w:tc>
          <w:tcPr>
            <w:tcW w:w="6033" w:type="dxa"/>
            <w:gridSpan w:val="2"/>
          </w:tcPr>
          <w:p w14:paraId="6B13A961" w14:textId="77777777" w:rsidR="00817104" w:rsidRPr="000232AF" w:rsidRDefault="00817104">
            <w:pPr>
              <w:pStyle w:val="Body"/>
            </w:pPr>
            <w:r w:rsidRPr="000232AF">
              <w:t>health liaison officer</w:t>
            </w:r>
          </w:p>
        </w:tc>
      </w:tr>
      <w:tr w:rsidR="00817104" w:rsidRPr="000232AF" w14:paraId="0F00911C" w14:textId="77777777">
        <w:tc>
          <w:tcPr>
            <w:tcW w:w="3256" w:type="dxa"/>
          </w:tcPr>
          <w:p w14:paraId="3769F9A5" w14:textId="77777777" w:rsidR="00817104" w:rsidRPr="000232AF" w:rsidRDefault="00817104">
            <w:pPr>
              <w:pStyle w:val="Body"/>
            </w:pPr>
            <w:r w:rsidRPr="000232AF">
              <w:t>HOPE</w:t>
            </w:r>
            <w:r>
              <w:t xml:space="preserve"> program</w:t>
            </w:r>
          </w:p>
        </w:tc>
        <w:tc>
          <w:tcPr>
            <w:tcW w:w="6033" w:type="dxa"/>
            <w:gridSpan w:val="2"/>
          </w:tcPr>
          <w:p w14:paraId="779AF6F2" w14:textId="77777777" w:rsidR="00817104" w:rsidRPr="000232AF" w:rsidRDefault="00817104">
            <w:pPr>
              <w:pStyle w:val="Body"/>
            </w:pPr>
            <w:r w:rsidRPr="000232AF">
              <w:t xml:space="preserve">Hospital Outreach Post-Suicidal Engagement </w:t>
            </w:r>
            <w:r>
              <w:t>p</w:t>
            </w:r>
            <w:r w:rsidRPr="000232AF">
              <w:t>rogram</w:t>
            </w:r>
          </w:p>
        </w:tc>
      </w:tr>
      <w:tr w:rsidR="00817104" w:rsidRPr="000232AF" w14:paraId="39E6B829" w14:textId="77777777">
        <w:tc>
          <w:tcPr>
            <w:tcW w:w="3256" w:type="dxa"/>
          </w:tcPr>
          <w:p w14:paraId="23CBA7EE" w14:textId="77777777" w:rsidR="00817104" w:rsidRPr="000232AF" w:rsidRDefault="00817104">
            <w:pPr>
              <w:pStyle w:val="Body"/>
            </w:pPr>
            <w:r>
              <w:t>HSV</w:t>
            </w:r>
          </w:p>
        </w:tc>
        <w:tc>
          <w:tcPr>
            <w:tcW w:w="6033" w:type="dxa"/>
            <w:gridSpan w:val="2"/>
          </w:tcPr>
          <w:p w14:paraId="56F6173F" w14:textId="77777777" w:rsidR="00817104" w:rsidRPr="000232AF" w:rsidRDefault="00817104">
            <w:pPr>
              <w:pStyle w:val="Body"/>
            </w:pPr>
            <w:r>
              <w:t>HealthShare Victoria</w:t>
            </w:r>
          </w:p>
        </w:tc>
      </w:tr>
      <w:tr w:rsidR="00817104" w:rsidRPr="000232AF" w14:paraId="24CADA1E" w14:textId="77777777">
        <w:tc>
          <w:tcPr>
            <w:tcW w:w="3256" w:type="dxa"/>
          </w:tcPr>
          <w:p w14:paraId="6333C26D" w14:textId="77777777" w:rsidR="00817104" w:rsidRPr="000232AF" w:rsidRDefault="00817104">
            <w:pPr>
              <w:pStyle w:val="Body"/>
            </w:pPr>
            <w:r w:rsidRPr="000232AF">
              <w:t>ICS</w:t>
            </w:r>
          </w:p>
        </w:tc>
        <w:tc>
          <w:tcPr>
            <w:tcW w:w="6033" w:type="dxa"/>
            <w:gridSpan w:val="2"/>
          </w:tcPr>
          <w:p w14:paraId="53B6BF04" w14:textId="77777777" w:rsidR="00817104" w:rsidRPr="000232AF" w:rsidRDefault="00817104">
            <w:pPr>
              <w:pStyle w:val="Body"/>
            </w:pPr>
            <w:r w:rsidRPr="000232AF">
              <w:t>Integrated Cancer Service</w:t>
            </w:r>
          </w:p>
        </w:tc>
      </w:tr>
      <w:tr w:rsidR="00817104" w:rsidRPr="000232AF" w14:paraId="5192FD68" w14:textId="77777777">
        <w:tc>
          <w:tcPr>
            <w:tcW w:w="3256" w:type="dxa"/>
          </w:tcPr>
          <w:p w14:paraId="151E6653" w14:textId="77777777" w:rsidR="00817104" w:rsidRPr="000232AF" w:rsidRDefault="00817104">
            <w:pPr>
              <w:pStyle w:val="Body"/>
            </w:pPr>
            <w:r w:rsidRPr="000232AF">
              <w:t>ICT</w:t>
            </w:r>
          </w:p>
        </w:tc>
        <w:tc>
          <w:tcPr>
            <w:tcW w:w="6033" w:type="dxa"/>
            <w:gridSpan w:val="2"/>
          </w:tcPr>
          <w:p w14:paraId="4A48452F" w14:textId="77777777" w:rsidR="00817104" w:rsidRPr="000232AF" w:rsidRDefault="00817104">
            <w:pPr>
              <w:pStyle w:val="Body"/>
            </w:pPr>
            <w:r w:rsidRPr="000232AF">
              <w:t>Information and communication technology</w:t>
            </w:r>
          </w:p>
        </w:tc>
      </w:tr>
      <w:tr w:rsidR="00817104" w:rsidRPr="000232AF" w14:paraId="2FD82D73" w14:textId="77777777">
        <w:tc>
          <w:tcPr>
            <w:tcW w:w="3256" w:type="dxa"/>
          </w:tcPr>
          <w:p w14:paraId="0F1056C0" w14:textId="77777777" w:rsidR="00817104" w:rsidRPr="000232AF" w:rsidRDefault="00817104">
            <w:pPr>
              <w:pStyle w:val="Body"/>
            </w:pPr>
            <w:r>
              <w:t>ICU</w:t>
            </w:r>
          </w:p>
        </w:tc>
        <w:tc>
          <w:tcPr>
            <w:tcW w:w="6033" w:type="dxa"/>
            <w:gridSpan w:val="2"/>
          </w:tcPr>
          <w:p w14:paraId="00DCC0AC" w14:textId="77777777" w:rsidR="00817104" w:rsidRPr="000232AF" w:rsidRDefault="00817104">
            <w:pPr>
              <w:pStyle w:val="Body"/>
            </w:pPr>
            <w:r w:rsidRPr="000F401D">
              <w:t>intensive care unit</w:t>
            </w:r>
          </w:p>
        </w:tc>
      </w:tr>
      <w:tr w:rsidR="00817104" w:rsidRPr="000232AF" w14:paraId="5B6177B1" w14:textId="77777777">
        <w:tc>
          <w:tcPr>
            <w:tcW w:w="3256" w:type="dxa"/>
          </w:tcPr>
          <w:p w14:paraId="135459A4" w14:textId="77777777" w:rsidR="00817104" w:rsidRPr="000232AF" w:rsidRDefault="00817104">
            <w:pPr>
              <w:pStyle w:val="Body"/>
            </w:pPr>
            <w:r>
              <w:t>ICY AMHWS</w:t>
            </w:r>
          </w:p>
        </w:tc>
        <w:tc>
          <w:tcPr>
            <w:tcW w:w="6033" w:type="dxa"/>
            <w:gridSpan w:val="2"/>
          </w:tcPr>
          <w:p w14:paraId="25FFA4C9" w14:textId="77777777" w:rsidR="00817104" w:rsidRDefault="00817104">
            <w:pPr>
              <w:pStyle w:val="Body"/>
            </w:pPr>
            <w:r>
              <w:t xml:space="preserve">Infant, Child and Youth Area Mental Health and Wellbeing Services </w:t>
            </w:r>
          </w:p>
        </w:tc>
      </w:tr>
      <w:tr w:rsidR="00817104" w:rsidRPr="000232AF" w14:paraId="5ABCEAAE" w14:textId="77777777">
        <w:tc>
          <w:tcPr>
            <w:tcW w:w="3256" w:type="dxa"/>
          </w:tcPr>
          <w:p w14:paraId="45399A21" w14:textId="77777777" w:rsidR="00817104" w:rsidRPr="000232AF" w:rsidRDefault="00817104">
            <w:pPr>
              <w:pStyle w:val="Body"/>
            </w:pPr>
            <w:r w:rsidRPr="000232AF">
              <w:t>IP</w:t>
            </w:r>
          </w:p>
        </w:tc>
        <w:tc>
          <w:tcPr>
            <w:tcW w:w="6033" w:type="dxa"/>
            <w:gridSpan w:val="2"/>
          </w:tcPr>
          <w:p w14:paraId="4DDAB775" w14:textId="77777777" w:rsidR="00817104" w:rsidRPr="000232AF" w:rsidRDefault="00817104">
            <w:pPr>
              <w:pStyle w:val="Body"/>
            </w:pPr>
            <w:r>
              <w:t>i</w:t>
            </w:r>
            <w:r w:rsidRPr="000232AF">
              <w:t xml:space="preserve">ntellectual </w:t>
            </w:r>
            <w:r>
              <w:t>p</w:t>
            </w:r>
            <w:r w:rsidRPr="000232AF">
              <w:t xml:space="preserve">roperty </w:t>
            </w:r>
          </w:p>
        </w:tc>
      </w:tr>
      <w:tr w:rsidR="00817104" w:rsidRPr="000232AF" w14:paraId="0362126A" w14:textId="77777777">
        <w:tc>
          <w:tcPr>
            <w:tcW w:w="3256" w:type="dxa"/>
          </w:tcPr>
          <w:p w14:paraId="1C83F3A0" w14:textId="77777777" w:rsidR="00817104" w:rsidRPr="000232AF" w:rsidRDefault="00817104">
            <w:pPr>
              <w:pStyle w:val="Body"/>
            </w:pPr>
            <w:r>
              <w:t>IRCG</w:t>
            </w:r>
          </w:p>
        </w:tc>
        <w:tc>
          <w:tcPr>
            <w:tcW w:w="6033" w:type="dxa"/>
            <w:gridSpan w:val="2"/>
          </w:tcPr>
          <w:p w14:paraId="0D25EF82" w14:textId="77777777" w:rsidR="00817104" w:rsidRDefault="00817104">
            <w:pPr>
              <w:pStyle w:val="Body"/>
            </w:pPr>
            <w:r w:rsidRPr="00CD600C">
              <w:t>Infrastructure Renewal Contribution Grant</w:t>
            </w:r>
          </w:p>
        </w:tc>
      </w:tr>
      <w:tr w:rsidR="00817104" w:rsidRPr="000232AF" w14:paraId="2F41C156" w14:textId="77777777">
        <w:tc>
          <w:tcPr>
            <w:tcW w:w="3256" w:type="dxa"/>
          </w:tcPr>
          <w:p w14:paraId="64692B39" w14:textId="77777777" w:rsidR="00817104" w:rsidRDefault="00817104">
            <w:pPr>
              <w:pStyle w:val="Body"/>
            </w:pPr>
            <w:r>
              <w:t>ISR</w:t>
            </w:r>
          </w:p>
        </w:tc>
        <w:tc>
          <w:tcPr>
            <w:tcW w:w="6033" w:type="dxa"/>
            <w:gridSpan w:val="2"/>
          </w:tcPr>
          <w:p w14:paraId="31AC04D2" w14:textId="77777777" w:rsidR="00817104" w:rsidRPr="00CD600C" w:rsidRDefault="00817104">
            <w:pPr>
              <w:pStyle w:val="Body"/>
            </w:pPr>
            <w:r w:rsidRPr="000131E1">
              <w:t>incident severity rating</w:t>
            </w:r>
          </w:p>
        </w:tc>
      </w:tr>
      <w:tr w:rsidR="00817104" w:rsidRPr="000232AF" w14:paraId="2B5ED545" w14:textId="77777777">
        <w:tc>
          <w:tcPr>
            <w:tcW w:w="3256" w:type="dxa"/>
          </w:tcPr>
          <w:p w14:paraId="08A2B9F1" w14:textId="77777777" w:rsidR="00817104" w:rsidRPr="000232AF" w:rsidRDefault="00817104">
            <w:pPr>
              <w:pStyle w:val="Body"/>
            </w:pPr>
            <w:r w:rsidRPr="000232AF">
              <w:t>LPHU</w:t>
            </w:r>
          </w:p>
        </w:tc>
        <w:tc>
          <w:tcPr>
            <w:tcW w:w="6033" w:type="dxa"/>
            <w:gridSpan w:val="2"/>
          </w:tcPr>
          <w:p w14:paraId="65C400C8" w14:textId="77777777" w:rsidR="00817104" w:rsidRPr="000232AF" w:rsidRDefault="00817104">
            <w:pPr>
              <w:pStyle w:val="Body"/>
            </w:pPr>
            <w:r w:rsidRPr="000232AF">
              <w:t>Local Public Health Unit</w:t>
            </w:r>
          </w:p>
        </w:tc>
      </w:tr>
      <w:tr w:rsidR="00817104" w:rsidRPr="000232AF" w14:paraId="302F27BC" w14:textId="77777777">
        <w:tc>
          <w:tcPr>
            <w:tcW w:w="3256" w:type="dxa"/>
          </w:tcPr>
          <w:p w14:paraId="70287F05" w14:textId="77777777" w:rsidR="00817104" w:rsidRPr="000232AF" w:rsidRDefault="00817104">
            <w:pPr>
              <w:pStyle w:val="Body"/>
            </w:pPr>
            <w:r w:rsidRPr="000232AF">
              <w:t>MARAM</w:t>
            </w:r>
          </w:p>
        </w:tc>
        <w:tc>
          <w:tcPr>
            <w:tcW w:w="6033" w:type="dxa"/>
            <w:gridSpan w:val="2"/>
          </w:tcPr>
          <w:p w14:paraId="5C9DE38B" w14:textId="77777777" w:rsidR="00817104" w:rsidRPr="002D6AE5" w:rsidRDefault="00817104">
            <w:pPr>
              <w:pStyle w:val="Body"/>
              <w:rPr>
                <w:i/>
                <w:iCs/>
              </w:rPr>
            </w:pPr>
            <w:r w:rsidRPr="002D6AE5">
              <w:rPr>
                <w:i/>
                <w:iCs/>
              </w:rPr>
              <w:t>Family violence multi-agency risk assessment and management framework</w:t>
            </w:r>
          </w:p>
        </w:tc>
      </w:tr>
      <w:tr w:rsidR="00817104" w:rsidRPr="000232AF" w14:paraId="53B02CC4" w14:textId="77777777">
        <w:tc>
          <w:tcPr>
            <w:tcW w:w="3256" w:type="dxa"/>
          </w:tcPr>
          <w:p w14:paraId="1C1421C7" w14:textId="77777777" w:rsidR="00817104" w:rsidRPr="000232AF" w:rsidRDefault="00817104">
            <w:pPr>
              <w:pStyle w:val="Body"/>
            </w:pPr>
            <w:r w:rsidRPr="000232AF">
              <w:lastRenderedPageBreak/>
              <w:t>MBS</w:t>
            </w:r>
          </w:p>
        </w:tc>
        <w:tc>
          <w:tcPr>
            <w:tcW w:w="6033" w:type="dxa"/>
            <w:gridSpan w:val="2"/>
          </w:tcPr>
          <w:p w14:paraId="4B6097E6" w14:textId="77777777" w:rsidR="00817104" w:rsidRPr="000232AF" w:rsidRDefault="00817104">
            <w:pPr>
              <w:pStyle w:val="Body"/>
            </w:pPr>
            <w:r w:rsidRPr="000232AF">
              <w:t>Medicare Benefits Schedule</w:t>
            </w:r>
          </w:p>
        </w:tc>
      </w:tr>
      <w:tr w:rsidR="00817104" w:rsidRPr="000232AF" w14:paraId="7F099295" w14:textId="77777777">
        <w:tc>
          <w:tcPr>
            <w:tcW w:w="3256" w:type="dxa"/>
          </w:tcPr>
          <w:p w14:paraId="28B24FB8" w14:textId="77777777" w:rsidR="00817104" w:rsidRPr="000232AF" w:rsidRDefault="00817104">
            <w:pPr>
              <w:pStyle w:val="Body"/>
            </w:pPr>
            <w:r w:rsidRPr="000232AF">
              <w:t>MDS</w:t>
            </w:r>
          </w:p>
        </w:tc>
        <w:tc>
          <w:tcPr>
            <w:tcW w:w="6033" w:type="dxa"/>
            <w:gridSpan w:val="2"/>
          </w:tcPr>
          <w:p w14:paraId="5BA90AA0" w14:textId="77777777" w:rsidR="00817104" w:rsidRPr="000232AF" w:rsidRDefault="00817104">
            <w:pPr>
              <w:pStyle w:val="Body"/>
            </w:pPr>
            <w:r>
              <w:t>M</w:t>
            </w:r>
            <w:r w:rsidRPr="000232AF">
              <w:t xml:space="preserve">inimum </w:t>
            </w:r>
            <w:r>
              <w:t>d</w:t>
            </w:r>
            <w:r w:rsidRPr="000232AF">
              <w:t>ata</w:t>
            </w:r>
            <w:r>
              <w:t xml:space="preserve"> </w:t>
            </w:r>
            <w:r w:rsidRPr="000232AF">
              <w:t>set</w:t>
            </w:r>
          </w:p>
        </w:tc>
      </w:tr>
      <w:tr w:rsidR="00817104" w:rsidRPr="000232AF" w14:paraId="6FFA2EE1" w14:textId="77777777">
        <w:tc>
          <w:tcPr>
            <w:tcW w:w="3256" w:type="dxa"/>
          </w:tcPr>
          <w:p w14:paraId="2D496500" w14:textId="77777777" w:rsidR="00817104" w:rsidRPr="000232AF" w:rsidRDefault="00817104">
            <w:pPr>
              <w:pStyle w:val="Body"/>
            </w:pPr>
            <w:r>
              <w:t>MEEAMF</w:t>
            </w:r>
          </w:p>
        </w:tc>
        <w:tc>
          <w:tcPr>
            <w:tcW w:w="6033" w:type="dxa"/>
            <w:gridSpan w:val="2"/>
          </w:tcPr>
          <w:p w14:paraId="73B4890A" w14:textId="77777777" w:rsidR="00817104" w:rsidRPr="000232AF" w:rsidRDefault="00817104">
            <w:pPr>
              <w:pStyle w:val="Body"/>
            </w:pPr>
            <w:r w:rsidRPr="000E4168">
              <w:t>Medical and Engineering Equipment Asset Management Framework</w:t>
            </w:r>
          </w:p>
        </w:tc>
      </w:tr>
      <w:tr w:rsidR="00817104" w:rsidRPr="000232AF" w14:paraId="6671AC18" w14:textId="77777777">
        <w:tc>
          <w:tcPr>
            <w:tcW w:w="3256" w:type="dxa"/>
          </w:tcPr>
          <w:p w14:paraId="6BE55D74" w14:textId="77777777" w:rsidR="00817104" w:rsidRDefault="00817104">
            <w:pPr>
              <w:pStyle w:val="Body"/>
            </w:pPr>
            <w:r>
              <w:t>MHAOD</w:t>
            </w:r>
          </w:p>
        </w:tc>
        <w:tc>
          <w:tcPr>
            <w:tcW w:w="6033" w:type="dxa"/>
            <w:gridSpan w:val="2"/>
          </w:tcPr>
          <w:p w14:paraId="593F24BF" w14:textId="77777777" w:rsidR="00817104" w:rsidRPr="00905837" w:rsidRDefault="00817104">
            <w:pPr>
              <w:pStyle w:val="Body"/>
            </w:pPr>
            <w:r>
              <w:t>m</w:t>
            </w:r>
            <w:r w:rsidRPr="005E0889">
              <w:t xml:space="preserve">ental </w:t>
            </w:r>
            <w:r>
              <w:t>h</w:t>
            </w:r>
            <w:r w:rsidRPr="005E0889">
              <w:t xml:space="preserve">ealth and </w:t>
            </w:r>
            <w:r>
              <w:t>a</w:t>
            </w:r>
            <w:r w:rsidRPr="005E0889">
              <w:t xml:space="preserve">lcohol and </w:t>
            </w:r>
            <w:r>
              <w:t>o</w:t>
            </w:r>
            <w:r w:rsidRPr="005E0889">
              <w:t xml:space="preserve">ther </w:t>
            </w:r>
            <w:r>
              <w:t>d</w:t>
            </w:r>
            <w:r w:rsidRPr="005E0889">
              <w:t>rug</w:t>
            </w:r>
            <w:r>
              <w:t>s</w:t>
            </w:r>
          </w:p>
        </w:tc>
      </w:tr>
      <w:tr w:rsidR="00817104" w:rsidRPr="000232AF" w14:paraId="7A596145" w14:textId="77777777">
        <w:tc>
          <w:tcPr>
            <w:tcW w:w="3256" w:type="dxa"/>
          </w:tcPr>
          <w:p w14:paraId="31E40676" w14:textId="77777777" w:rsidR="00817104" w:rsidRPr="000232AF" w:rsidRDefault="00817104">
            <w:pPr>
              <w:pStyle w:val="Body"/>
            </w:pPr>
            <w:r w:rsidRPr="000232AF">
              <w:t>MHCSS</w:t>
            </w:r>
          </w:p>
        </w:tc>
        <w:tc>
          <w:tcPr>
            <w:tcW w:w="6033" w:type="dxa"/>
            <w:gridSpan w:val="2"/>
          </w:tcPr>
          <w:p w14:paraId="13D8AC5E" w14:textId="77777777" w:rsidR="00817104" w:rsidRPr="000232AF" w:rsidRDefault="00817104">
            <w:pPr>
              <w:pStyle w:val="Body"/>
            </w:pPr>
            <w:r w:rsidRPr="000232AF">
              <w:t>Mental Health Community Support Services</w:t>
            </w:r>
          </w:p>
        </w:tc>
      </w:tr>
      <w:tr w:rsidR="00817104" w:rsidRPr="000232AF" w14:paraId="1C33126B" w14:textId="77777777">
        <w:tc>
          <w:tcPr>
            <w:tcW w:w="3256" w:type="dxa"/>
          </w:tcPr>
          <w:p w14:paraId="51F58D13" w14:textId="77777777" w:rsidR="00817104" w:rsidRPr="000232AF" w:rsidRDefault="00817104">
            <w:pPr>
              <w:pStyle w:val="Body"/>
            </w:pPr>
            <w:r>
              <w:t>MHIF</w:t>
            </w:r>
          </w:p>
        </w:tc>
        <w:tc>
          <w:tcPr>
            <w:tcW w:w="6033" w:type="dxa"/>
            <w:gridSpan w:val="2"/>
          </w:tcPr>
          <w:p w14:paraId="5431F93A" w14:textId="77777777" w:rsidR="00817104" w:rsidRPr="000232AF" w:rsidRDefault="00817104">
            <w:pPr>
              <w:pStyle w:val="Body"/>
            </w:pPr>
            <w:r w:rsidRPr="005B7501">
              <w:t>Metropolitan Health Infrastructure Fund</w:t>
            </w:r>
          </w:p>
        </w:tc>
      </w:tr>
      <w:tr w:rsidR="00817104" w:rsidRPr="000232AF" w14:paraId="42C6A53C" w14:textId="77777777">
        <w:tc>
          <w:tcPr>
            <w:tcW w:w="3256" w:type="dxa"/>
          </w:tcPr>
          <w:p w14:paraId="6E565F5F" w14:textId="77777777" w:rsidR="00817104" w:rsidRPr="000232AF" w:rsidRDefault="00817104">
            <w:pPr>
              <w:pStyle w:val="Body"/>
            </w:pPr>
            <w:r w:rsidRPr="000232AF">
              <w:t>MHPAF</w:t>
            </w:r>
          </w:p>
        </w:tc>
        <w:tc>
          <w:tcPr>
            <w:tcW w:w="6033" w:type="dxa"/>
            <w:gridSpan w:val="2"/>
          </w:tcPr>
          <w:p w14:paraId="0295AAD0" w14:textId="77777777" w:rsidR="00817104" w:rsidRPr="000232AF" w:rsidRDefault="00817104">
            <w:pPr>
              <w:pStyle w:val="Body"/>
            </w:pPr>
            <w:r w:rsidRPr="000232AF">
              <w:t>Mental health performance and accountability framework</w:t>
            </w:r>
          </w:p>
        </w:tc>
      </w:tr>
      <w:tr w:rsidR="00817104" w:rsidRPr="000232AF" w14:paraId="41403473" w14:textId="77777777">
        <w:tc>
          <w:tcPr>
            <w:tcW w:w="3256" w:type="dxa"/>
          </w:tcPr>
          <w:p w14:paraId="59BDC710" w14:textId="77777777" w:rsidR="00817104" w:rsidRPr="000232AF" w:rsidRDefault="00817104">
            <w:pPr>
              <w:pStyle w:val="Body"/>
            </w:pPr>
            <w:r w:rsidRPr="000232AF">
              <w:t>NADC</w:t>
            </w:r>
          </w:p>
        </w:tc>
        <w:tc>
          <w:tcPr>
            <w:tcW w:w="6033" w:type="dxa"/>
            <w:gridSpan w:val="2"/>
          </w:tcPr>
          <w:p w14:paraId="608AA09B" w14:textId="77777777" w:rsidR="00817104" w:rsidRPr="000232AF" w:rsidRDefault="00817104">
            <w:pPr>
              <w:pStyle w:val="Body"/>
            </w:pPr>
            <w:r w:rsidRPr="000232AF">
              <w:t>Non-Admitted Data Collection</w:t>
            </w:r>
          </w:p>
        </w:tc>
      </w:tr>
      <w:tr w:rsidR="00817104" w:rsidRPr="000232AF" w14:paraId="15AF3128" w14:textId="77777777">
        <w:tc>
          <w:tcPr>
            <w:tcW w:w="3256" w:type="dxa"/>
          </w:tcPr>
          <w:p w14:paraId="5728E6F5" w14:textId="77777777" w:rsidR="00817104" w:rsidRPr="000232AF" w:rsidRDefault="00817104">
            <w:pPr>
              <w:pStyle w:val="Body"/>
            </w:pPr>
            <w:r w:rsidRPr="000232AF">
              <w:t>NATA</w:t>
            </w:r>
          </w:p>
        </w:tc>
        <w:tc>
          <w:tcPr>
            <w:tcW w:w="6033" w:type="dxa"/>
            <w:gridSpan w:val="2"/>
          </w:tcPr>
          <w:p w14:paraId="57313445" w14:textId="77777777" w:rsidR="00817104" w:rsidRPr="000232AF" w:rsidRDefault="00817104">
            <w:pPr>
              <w:pStyle w:val="Body"/>
            </w:pPr>
            <w:r w:rsidRPr="000232AF">
              <w:t>National Association of Testing Authorities</w:t>
            </w:r>
          </w:p>
        </w:tc>
      </w:tr>
      <w:tr w:rsidR="00817104" w:rsidRPr="000232AF" w14:paraId="018800BA" w14:textId="77777777">
        <w:tc>
          <w:tcPr>
            <w:tcW w:w="3256" w:type="dxa"/>
          </w:tcPr>
          <w:p w14:paraId="7CFD8932" w14:textId="77777777" w:rsidR="00817104" w:rsidRPr="000232AF" w:rsidRDefault="00817104">
            <w:pPr>
              <w:pStyle w:val="Body"/>
            </w:pPr>
            <w:r w:rsidRPr="000232AF">
              <w:t>NBCSP</w:t>
            </w:r>
          </w:p>
        </w:tc>
        <w:tc>
          <w:tcPr>
            <w:tcW w:w="6033" w:type="dxa"/>
            <w:gridSpan w:val="2"/>
          </w:tcPr>
          <w:p w14:paraId="25852FD0" w14:textId="77777777" w:rsidR="00817104" w:rsidRPr="000232AF" w:rsidRDefault="00817104">
            <w:pPr>
              <w:pStyle w:val="Body"/>
            </w:pPr>
            <w:r w:rsidRPr="000232AF">
              <w:t>National Bowel Cancer Screening Program</w:t>
            </w:r>
          </w:p>
        </w:tc>
      </w:tr>
      <w:tr w:rsidR="00817104" w:rsidRPr="000232AF" w14:paraId="0F983901" w14:textId="77777777">
        <w:tc>
          <w:tcPr>
            <w:tcW w:w="3256" w:type="dxa"/>
          </w:tcPr>
          <w:p w14:paraId="5990A1F5" w14:textId="77777777" w:rsidR="00817104" w:rsidRPr="000232AF" w:rsidRDefault="00817104">
            <w:pPr>
              <w:pStyle w:val="Body"/>
            </w:pPr>
            <w:r w:rsidRPr="000232AF">
              <w:t>NDIA</w:t>
            </w:r>
          </w:p>
        </w:tc>
        <w:tc>
          <w:tcPr>
            <w:tcW w:w="6033" w:type="dxa"/>
            <w:gridSpan w:val="2"/>
          </w:tcPr>
          <w:p w14:paraId="1CA20B4D" w14:textId="77777777" w:rsidR="00817104" w:rsidRPr="000232AF" w:rsidRDefault="00817104">
            <w:pPr>
              <w:pStyle w:val="Body"/>
            </w:pPr>
            <w:r w:rsidRPr="000232AF">
              <w:t>National Disability Insurance Agency</w:t>
            </w:r>
          </w:p>
        </w:tc>
      </w:tr>
      <w:tr w:rsidR="00817104" w:rsidRPr="000232AF" w14:paraId="3272D885" w14:textId="77777777">
        <w:tc>
          <w:tcPr>
            <w:tcW w:w="3256" w:type="dxa"/>
          </w:tcPr>
          <w:p w14:paraId="5DCF9F66" w14:textId="77777777" w:rsidR="00817104" w:rsidRPr="000232AF" w:rsidRDefault="00817104">
            <w:pPr>
              <w:pStyle w:val="Body"/>
            </w:pPr>
            <w:r w:rsidRPr="000232AF">
              <w:t>NDIS</w:t>
            </w:r>
          </w:p>
        </w:tc>
        <w:tc>
          <w:tcPr>
            <w:tcW w:w="6033" w:type="dxa"/>
            <w:gridSpan w:val="2"/>
          </w:tcPr>
          <w:p w14:paraId="0122E333" w14:textId="77777777" w:rsidR="00817104" w:rsidRPr="000232AF" w:rsidRDefault="00817104">
            <w:pPr>
              <w:pStyle w:val="Body"/>
            </w:pPr>
            <w:r w:rsidRPr="000232AF">
              <w:t>National Disability Insurance Scheme</w:t>
            </w:r>
          </w:p>
        </w:tc>
      </w:tr>
      <w:tr w:rsidR="00817104" w:rsidRPr="000232AF" w14:paraId="528C148E" w14:textId="77777777">
        <w:tc>
          <w:tcPr>
            <w:tcW w:w="3256" w:type="dxa"/>
          </w:tcPr>
          <w:p w14:paraId="7AE93A9C" w14:textId="77777777" w:rsidR="00817104" w:rsidRPr="000232AF" w:rsidRDefault="00817104">
            <w:pPr>
              <w:pStyle w:val="Body"/>
            </w:pPr>
            <w:r w:rsidRPr="000232AF">
              <w:t>NEPT</w:t>
            </w:r>
          </w:p>
        </w:tc>
        <w:tc>
          <w:tcPr>
            <w:tcW w:w="6033" w:type="dxa"/>
            <w:gridSpan w:val="2"/>
          </w:tcPr>
          <w:p w14:paraId="607A6546" w14:textId="77777777" w:rsidR="00817104" w:rsidRPr="000232AF" w:rsidRDefault="00817104">
            <w:pPr>
              <w:pStyle w:val="Body"/>
            </w:pPr>
            <w:r w:rsidRPr="000232AF">
              <w:t xml:space="preserve">Non-Emergency Patient Transport </w:t>
            </w:r>
          </w:p>
        </w:tc>
      </w:tr>
      <w:tr w:rsidR="00817104" w:rsidRPr="000232AF" w14:paraId="0321AE35" w14:textId="77777777">
        <w:tc>
          <w:tcPr>
            <w:tcW w:w="3256" w:type="dxa"/>
          </w:tcPr>
          <w:p w14:paraId="62FD7B87" w14:textId="77777777" w:rsidR="00817104" w:rsidRPr="000232AF" w:rsidRDefault="00817104">
            <w:pPr>
              <w:pStyle w:val="Body"/>
            </w:pPr>
            <w:r w:rsidRPr="000232AF">
              <w:t>NGO</w:t>
            </w:r>
          </w:p>
        </w:tc>
        <w:tc>
          <w:tcPr>
            <w:tcW w:w="6033" w:type="dxa"/>
            <w:gridSpan w:val="2"/>
          </w:tcPr>
          <w:p w14:paraId="3178D21F" w14:textId="77777777" w:rsidR="00817104" w:rsidRPr="000232AF" w:rsidRDefault="00817104">
            <w:pPr>
              <w:pStyle w:val="Body"/>
            </w:pPr>
            <w:r w:rsidRPr="000232AF">
              <w:t>non-government organisation</w:t>
            </w:r>
          </w:p>
        </w:tc>
      </w:tr>
      <w:tr w:rsidR="00817104" w:rsidRPr="000232AF" w14:paraId="235C1752" w14:textId="77777777">
        <w:tc>
          <w:tcPr>
            <w:tcW w:w="3256" w:type="dxa"/>
          </w:tcPr>
          <w:p w14:paraId="3E24CA8C" w14:textId="77777777" w:rsidR="00817104" w:rsidRPr="000232AF" w:rsidRDefault="00817104">
            <w:pPr>
              <w:pStyle w:val="Body"/>
            </w:pPr>
            <w:r w:rsidRPr="000232AF">
              <w:t>NSQHS</w:t>
            </w:r>
          </w:p>
        </w:tc>
        <w:tc>
          <w:tcPr>
            <w:tcW w:w="6033" w:type="dxa"/>
            <w:gridSpan w:val="2"/>
          </w:tcPr>
          <w:p w14:paraId="247B258B" w14:textId="77777777" w:rsidR="00817104" w:rsidRPr="000232AF" w:rsidRDefault="00817104">
            <w:pPr>
              <w:pStyle w:val="Body"/>
            </w:pPr>
            <w:r w:rsidRPr="000232AF">
              <w:t>National Safety and Quality Health Service</w:t>
            </w:r>
          </w:p>
        </w:tc>
      </w:tr>
      <w:tr w:rsidR="00817104" w:rsidRPr="000232AF" w14:paraId="7A718295" w14:textId="77777777">
        <w:tc>
          <w:tcPr>
            <w:tcW w:w="3256" w:type="dxa"/>
          </w:tcPr>
          <w:p w14:paraId="1EF765C1" w14:textId="77777777" w:rsidR="00817104" w:rsidRPr="000232AF" w:rsidRDefault="00817104">
            <w:pPr>
              <w:pStyle w:val="Body"/>
            </w:pPr>
            <w:r>
              <w:t>NWAU</w:t>
            </w:r>
          </w:p>
        </w:tc>
        <w:tc>
          <w:tcPr>
            <w:tcW w:w="6033" w:type="dxa"/>
            <w:gridSpan w:val="2"/>
          </w:tcPr>
          <w:p w14:paraId="14076319" w14:textId="77777777" w:rsidR="00817104" w:rsidRPr="000232AF" w:rsidRDefault="00817104">
            <w:pPr>
              <w:pStyle w:val="Body"/>
            </w:pPr>
            <w:r>
              <w:t>National Weighted Activity Unit</w:t>
            </w:r>
          </w:p>
        </w:tc>
      </w:tr>
      <w:tr w:rsidR="00817104" w:rsidRPr="000232AF" w14:paraId="5749A731" w14:textId="77777777">
        <w:tc>
          <w:tcPr>
            <w:tcW w:w="3256" w:type="dxa"/>
          </w:tcPr>
          <w:p w14:paraId="6FAB796C" w14:textId="77777777" w:rsidR="00817104" w:rsidRPr="000232AF" w:rsidRDefault="00817104">
            <w:pPr>
              <w:pStyle w:val="Body"/>
            </w:pPr>
            <w:r w:rsidRPr="000232AF">
              <w:t>OCP</w:t>
            </w:r>
          </w:p>
        </w:tc>
        <w:tc>
          <w:tcPr>
            <w:tcW w:w="6033" w:type="dxa"/>
            <w:gridSpan w:val="2"/>
          </w:tcPr>
          <w:p w14:paraId="205E28A3" w14:textId="77777777" w:rsidR="00817104" w:rsidRPr="000232AF" w:rsidRDefault="00817104">
            <w:pPr>
              <w:pStyle w:val="Body"/>
            </w:pPr>
            <w:r w:rsidRPr="000232AF">
              <w:t>Office of the Chief Psychiatrist</w:t>
            </w:r>
          </w:p>
        </w:tc>
      </w:tr>
      <w:tr w:rsidR="00817104" w:rsidRPr="000232AF" w14:paraId="2A548B01" w14:textId="77777777">
        <w:tc>
          <w:tcPr>
            <w:tcW w:w="3256" w:type="dxa"/>
          </w:tcPr>
          <w:p w14:paraId="3F9FE28F" w14:textId="77777777" w:rsidR="00817104" w:rsidRPr="000232AF" w:rsidRDefault="00817104">
            <w:pPr>
              <w:pStyle w:val="Body"/>
            </w:pPr>
            <w:r w:rsidRPr="000232AF">
              <w:t>PARC</w:t>
            </w:r>
          </w:p>
        </w:tc>
        <w:tc>
          <w:tcPr>
            <w:tcW w:w="6033" w:type="dxa"/>
            <w:gridSpan w:val="2"/>
          </w:tcPr>
          <w:p w14:paraId="73C36708" w14:textId="77777777" w:rsidR="00817104" w:rsidRPr="000232AF" w:rsidRDefault="00817104">
            <w:pPr>
              <w:pStyle w:val="Body"/>
            </w:pPr>
            <w:r w:rsidRPr="000232AF">
              <w:t>Prevention and recovery care</w:t>
            </w:r>
          </w:p>
        </w:tc>
      </w:tr>
      <w:tr w:rsidR="00817104" w:rsidRPr="000232AF" w14:paraId="1D6A4E72" w14:textId="77777777">
        <w:tc>
          <w:tcPr>
            <w:tcW w:w="3256" w:type="dxa"/>
          </w:tcPr>
          <w:p w14:paraId="08656AD3" w14:textId="77777777" w:rsidR="00817104" w:rsidRPr="000232AF" w:rsidRDefault="00817104">
            <w:pPr>
              <w:pStyle w:val="Body"/>
            </w:pPr>
            <w:r w:rsidRPr="000232AF">
              <w:t>PAS</w:t>
            </w:r>
          </w:p>
        </w:tc>
        <w:tc>
          <w:tcPr>
            <w:tcW w:w="6033" w:type="dxa"/>
            <w:gridSpan w:val="2"/>
          </w:tcPr>
          <w:p w14:paraId="35BFE2BD" w14:textId="77777777" w:rsidR="00817104" w:rsidRPr="000232AF" w:rsidRDefault="00817104">
            <w:pPr>
              <w:pStyle w:val="Body"/>
            </w:pPr>
            <w:r w:rsidRPr="000232AF">
              <w:t>Patient Administration System</w:t>
            </w:r>
          </w:p>
        </w:tc>
      </w:tr>
      <w:tr w:rsidR="00817104" w:rsidRPr="000232AF" w14:paraId="696DD197" w14:textId="77777777">
        <w:tc>
          <w:tcPr>
            <w:tcW w:w="3256" w:type="dxa"/>
          </w:tcPr>
          <w:p w14:paraId="12502077" w14:textId="77777777" w:rsidR="00817104" w:rsidRPr="000232AF" w:rsidRDefault="00817104">
            <w:pPr>
              <w:pStyle w:val="Body"/>
            </w:pPr>
            <w:r>
              <w:t>PAV</w:t>
            </w:r>
          </w:p>
        </w:tc>
        <w:tc>
          <w:tcPr>
            <w:tcW w:w="6033" w:type="dxa"/>
            <w:gridSpan w:val="2"/>
          </w:tcPr>
          <w:p w14:paraId="26FA3FC9" w14:textId="77777777" w:rsidR="00817104" w:rsidRPr="000232AF" w:rsidRDefault="00817104">
            <w:pPr>
              <w:pStyle w:val="Body"/>
            </w:pPr>
            <w:r>
              <w:t>Personal Alert Victoria</w:t>
            </w:r>
          </w:p>
        </w:tc>
      </w:tr>
      <w:tr w:rsidR="00817104" w:rsidRPr="000232AF" w14:paraId="7B937B1D" w14:textId="77777777">
        <w:tc>
          <w:tcPr>
            <w:tcW w:w="3256" w:type="dxa"/>
          </w:tcPr>
          <w:p w14:paraId="350E8A50" w14:textId="77777777" w:rsidR="00817104" w:rsidRPr="000232AF" w:rsidRDefault="00817104">
            <w:pPr>
              <w:pStyle w:val="Body"/>
            </w:pPr>
            <w:r w:rsidRPr="000232AF">
              <w:t>PBS</w:t>
            </w:r>
          </w:p>
        </w:tc>
        <w:tc>
          <w:tcPr>
            <w:tcW w:w="6033" w:type="dxa"/>
            <w:gridSpan w:val="2"/>
          </w:tcPr>
          <w:p w14:paraId="09DCED97" w14:textId="77777777" w:rsidR="00817104" w:rsidRPr="000232AF" w:rsidRDefault="00817104">
            <w:pPr>
              <w:pStyle w:val="Body"/>
            </w:pPr>
            <w:r w:rsidRPr="000232AF">
              <w:t>Pharmaceutical Benefits Scheme</w:t>
            </w:r>
          </w:p>
        </w:tc>
      </w:tr>
      <w:tr w:rsidR="00817104" w:rsidRPr="000232AF" w14:paraId="65672B4F" w14:textId="77777777">
        <w:tc>
          <w:tcPr>
            <w:tcW w:w="3256" w:type="dxa"/>
          </w:tcPr>
          <w:p w14:paraId="63E70FC1" w14:textId="77777777" w:rsidR="00817104" w:rsidRPr="000232AF" w:rsidRDefault="00817104">
            <w:pPr>
              <w:pStyle w:val="Body"/>
            </w:pPr>
            <w:r w:rsidRPr="000232AF">
              <w:t>PCCP</w:t>
            </w:r>
          </w:p>
        </w:tc>
        <w:tc>
          <w:tcPr>
            <w:tcW w:w="6033" w:type="dxa"/>
            <w:gridSpan w:val="2"/>
          </w:tcPr>
          <w:p w14:paraId="325441A5" w14:textId="77777777" w:rsidR="00817104" w:rsidRPr="000232AF" w:rsidRDefault="00817104">
            <w:pPr>
              <w:pStyle w:val="Body"/>
            </w:pPr>
            <w:r w:rsidRPr="000232AF">
              <w:t>Palliative Care Consultancy Program</w:t>
            </w:r>
          </w:p>
        </w:tc>
      </w:tr>
      <w:tr w:rsidR="00817104" w:rsidRPr="000232AF" w14:paraId="136290B5" w14:textId="77777777">
        <w:tc>
          <w:tcPr>
            <w:tcW w:w="3256" w:type="dxa"/>
          </w:tcPr>
          <w:p w14:paraId="41F563C5" w14:textId="77777777" w:rsidR="00817104" w:rsidRPr="000232AF" w:rsidRDefault="00817104">
            <w:pPr>
              <w:pStyle w:val="Body"/>
            </w:pPr>
            <w:r w:rsidRPr="000232AF">
              <w:t>PGY</w:t>
            </w:r>
          </w:p>
        </w:tc>
        <w:tc>
          <w:tcPr>
            <w:tcW w:w="6033" w:type="dxa"/>
            <w:gridSpan w:val="2"/>
          </w:tcPr>
          <w:p w14:paraId="7E014FE2" w14:textId="77777777" w:rsidR="00817104" w:rsidRPr="000232AF" w:rsidRDefault="00817104">
            <w:pPr>
              <w:pStyle w:val="Body"/>
            </w:pPr>
            <w:r w:rsidRPr="000232AF">
              <w:t>postgraduate year</w:t>
            </w:r>
          </w:p>
        </w:tc>
      </w:tr>
      <w:tr w:rsidR="00817104" w:rsidRPr="000232AF" w14:paraId="77CCEA64" w14:textId="77777777">
        <w:tc>
          <w:tcPr>
            <w:tcW w:w="3256" w:type="dxa"/>
            <w:tcBorders>
              <w:top w:val="single" w:sz="4" w:space="0" w:color="auto"/>
              <w:left w:val="single" w:sz="4" w:space="0" w:color="auto"/>
              <w:bottom w:val="single" w:sz="4" w:space="0" w:color="auto"/>
              <w:right w:val="single" w:sz="4" w:space="0" w:color="auto"/>
            </w:tcBorders>
          </w:tcPr>
          <w:p w14:paraId="4756301E" w14:textId="77777777" w:rsidR="00817104" w:rsidRPr="000232AF" w:rsidRDefault="00817104">
            <w:pPr>
              <w:pStyle w:val="Body"/>
            </w:pPr>
            <w:r w:rsidRPr="000232AF">
              <w:t>PHN</w:t>
            </w:r>
          </w:p>
        </w:tc>
        <w:tc>
          <w:tcPr>
            <w:tcW w:w="6033" w:type="dxa"/>
            <w:gridSpan w:val="2"/>
            <w:tcBorders>
              <w:top w:val="single" w:sz="4" w:space="0" w:color="auto"/>
              <w:left w:val="single" w:sz="4" w:space="0" w:color="auto"/>
              <w:bottom w:val="single" w:sz="4" w:space="0" w:color="auto"/>
              <w:right w:val="single" w:sz="4" w:space="0" w:color="auto"/>
            </w:tcBorders>
          </w:tcPr>
          <w:p w14:paraId="5080C9DC" w14:textId="77777777" w:rsidR="00817104" w:rsidRPr="000232AF" w:rsidRDefault="00817104">
            <w:pPr>
              <w:pStyle w:val="Body"/>
            </w:pPr>
            <w:r w:rsidRPr="000232AF">
              <w:t>Primary Health Network</w:t>
            </w:r>
          </w:p>
        </w:tc>
      </w:tr>
      <w:tr w:rsidR="00817104" w:rsidRPr="000232AF" w14:paraId="3BC8DA89" w14:textId="77777777">
        <w:tc>
          <w:tcPr>
            <w:tcW w:w="3256" w:type="dxa"/>
            <w:tcBorders>
              <w:top w:val="single" w:sz="4" w:space="0" w:color="auto"/>
              <w:left w:val="single" w:sz="4" w:space="0" w:color="auto"/>
              <w:bottom w:val="single" w:sz="4" w:space="0" w:color="auto"/>
              <w:right w:val="single" w:sz="4" w:space="0" w:color="auto"/>
            </w:tcBorders>
          </w:tcPr>
          <w:p w14:paraId="0B48E6A2" w14:textId="77777777" w:rsidR="00817104" w:rsidRPr="000232AF" w:rsidRDefault="00817104">
            <w:pPr>
              <w:pStyle w:val="Body"/>
            </w:pPr>
            <w:r w:rsidRPr="000232AF">
              <w:t>PMCV</w:t>
            </w:r>
          </w:p>
        </w:tc>
        <w:tc>
          <w:tcPr>
            <w:tcW w:w="6033" w:type="dxa"/>
            <w:gridSpan w:val="2"/>
            <w:tcBorders>
              <w:top w:val="single" w:sz="4" w:space="0" w:color="auto"/>
              <w:left w:val="single" w:sz="4" w:space="0" w:color="auto"/>
              <w:bottom w:val="single" w:sz="4" w:space="0" w:color="auto"/>
              <w:right w:val="single" w:sz="4" w:space="0" w:color="auto"/>
            </w:tcBorders>
          </w:tcPr>
          <w:p w14:paraId="06C48256" w14:textId="77777777" w:rsidR="00817104" w:rsidRPr="000232AF" w:rsidRDefault="00817104">
            <w:pPr>
              <w:pStyle w:val="Body"/>
            </w:pPr>
            <w:r w:rsidRPr="000232AF">
              <w:t>Postgraduate Medical Council of Victoria</w:t>
            </w:r>
          </w:p>
        </w:tc>
      </w:tr>
      <w:tr w:rsidR="008D177D" w:rsidRPr="000232AF" w14:paraId="0C623B53" w14:textId="77777777">
        <w:tc>
          <w:tcPr>
            <w:tcW w:w="3256" w:type="dxa"/>
          </w:tcPr>
          <w:p w14:paraId="0606A490" w14:textId="732ED83C" w:rsidR="008D177D" w:rsidRPr="000232AF" w:rsidRDefault="008D177D">
            <w:pPr>
              <w:pStyle w:val="Body"/>
            </w:pPr>
            <w:r>
              <w:t>PMF</w:t>
            </w:r>
          </w:p>
        </w:tc>
        <w:tc>
          <w:tcPr>
            <w:tcW w:w="6033" w:type="dxa"/>
            <w:gridSpan w:val="2"/>
          </w:tcPr>
          <w:p w14:paraId="47E3E202" w14:textId="7EA6ACC3" w:rsidR="008D177D" w:rsidRPr="000232AF" w:rsidRDefault="008D177D">
            <w:pPr>
              <w:pStyle w:val="Body"/>
            </w:pPr>
            <w:r>
              <w:t>Performance Monitoring Framework</w:t>
            </w:r>
          </w:p>
        </w:tc>
      </w:tr>
      <w:tr w:rsidR="00817104" w:rsidRPr="000232AF" w14:paraId="3BDE19C2" w14:textId="77777777">
        <w:tc>
          <w:tcPr>
            <w:tcW w:w="3256" w:type="dxa"/>
          </w:tcPr>
          <w:p w14:paraId="23748393" w14:textId="77777777" w:rsidR="00817104" w:rsidRPr="000232AF" w:rsidRDefault="00817104">
            <w:pPr>
              <w:pStyle w:val="Body"/>
            </w:pPr>
            <w:r w:rsidRPr="000232AF">
              <w:t>PRISM</w:t>
            </w:r>
          </w:p>
        </w:tc>
        <w:tc>
          <w:tcPr>
            <w:tcW w:w="6033" w:type="dxa"/>
            <w:gridSpan w:val="2"/>
          </w:tcPr>
          <w:p w14:paraId="47E87505" w14:textId="77777777" w:rsidR="00817104" w:rsidRPr="000232AF" w:rsidRDefault="00817104">
            <w:pPr>
              <w:pStyle w:val="Body"/>
            </w:pPr>
            <w:r w:rsidRPr="000232AF">
              <w:t>Program Report for Integrated Service Monitoring</w:t>
            </w:r>
          </w:p>
        </w:tc>
      </w:tr>
      <w:tr w:rsidR="00817104" w:rsidRPr="000232AF" w14:paraId="373B3E73" w14:textId="77777777">
        <w:tc>
          <w:tcPr>
            <w:tcW w:w="3256" w:type="dxa"/>
          </w:tcPr>
          <w:p w14:paraId="528EF241" w14:textId="77777777" w:rsidR="00817104" w:rsidRPr="000232AF" w:rsidRDefault="00817104">
            <w:pPr>
              <w:pStyle w:val="Body"/>
            </w:pPr>
            <w:r w:rsidRPr="000232AF">
              <w:t>PSRACS</w:t>
            </w:r>
          </w:p>
        </w:tc>
        <w:tc>
          <w:tcPr>
            <w:tcW w:w="6033" w:type="dxa"/>
            <w:gridSpan w:val="2"/>
          </w:tcPr>
          <w:p w14:paraId="50F08C17" w14:textId="77777777" w:rsidR="00817104" w:rsidRPr="000232AF" w:rsidRDefault="00817104">
            <w:pPr>
              <w:pStyle w:val="Body"/>
            </w:pPr>
            <w:r w:rsidRPr="000232AF">
              <w:t>public sector residential aged care services</w:t>
            </w:r>
          </w:p>
        </w:tc>
      </w:tr>
      <w:tr w:rsidR="00817104" w:rsidRPr="006E5C25" w14:paraId="6E7B20F2" w14:textId="77777777">
        <w:tc>
          <w:tcPr>
            <w:tcW w:w="3256" w:type="dxa"/>
          </w:tcPr>
          <w:p w14:paraId="76D7916C" w14:textId="77777777" w:rsidR="00817104" w:rsidRPr="000232AF" w:rsidRDefault="00817104">
            <w:pPr>
              <w:pStyle w:val="Body"/>
            </w:pPr>
            <w:r>
              <w:t>PYMHWS</w:t>
            </w:r>
          </w:p>
        </w:tc>
        <w:tc>
          <w:tcPr>
            <w:tcW w:w="6033" w:type="dxa"/>
            <w:gridSpan w:val="2"/>
          </w:tcPr>
          <w:p w14:paraId="46F2DFA9" w14:textId="77777777" w:rsidR="00817104" w:rsidRPr="000232AF" w:rsidRDefault="00817104">
            <w:pPr>
              <w:pStyle w:val="Body"/>
            </w:pPr>
            <w:r w:rsidRPr="0094206D">
              <w:t>Parkville Youth Mental Health and Wellbeing Service</w:t>
            </w:r>
          </w:p>
        </w:tc>
      </w:tr>
      <w:tr w:rsidR="00817104" w:rsidRPr="000232AF" w14:paraId="2CEDE327" w14:textId="77777777">
        <w:tc>
          <w:tcPr>
            <w:tcW w:w="3256" w:type="dxa"/>
          </w:tcPr>
          <w:p w14:paraId="04ABD9DB" w14:textId="77777777" w:rsidR="00817104" w:rsidRPr="000232AF" w:rsidRDefault="00817104">
            <w:pPr>
              <w:pStyle w:val="Body"/>
            </w:pPr>
            <w:r w:rsidRPr="000232AF">
              <w:t>RAS</w:t>
            </w:r>
          </w:p>
        </w:tc>
        <w:tc>
          <w:tcPr>
            <w:tcW w:w="6033" w:type="dxa"/>
            <w:gridSpan w:val="2"/>
          </w:tcPr>
          <w:p w14:paraId="4FD15670" w14:textId="77777777" w:rsidR="00817104" w:rsidRPr="000232AF" w:rsidRDefault="00817104">
            <w:pPr>
              <w:pStyle w:val="Body"/>
            </w:pPr>
            <w:r w:rsidRPr="000232AF">
              <w:t>Regional Assessment Services</w:t>
            </w:r>
          </w:p>
        </w:tc>
      </w:tr>
      <w:tr w:rsidR="00817104" w:rsidRPr="000232AF" w14:paraId="64F00D55" w14:textId="77777777">
        <w:tc>
          <w:tcPr>
            <w:tcW w:w="3256" w:type="dxa"/>
          </w:tcPr>
          <w:p w14:paraId="3D300830" w14:textId="77777777" w:rsidR="00817104" w:rsidRPr="000232AF" w:rsidRDefault="00817104">
            <w:pPr>
              <w:pStyle w:val="Body"/>
            </w:pPr>
            <w:r>
              <w:t>RHIF</w:t>
            </w:r>
          </w:p>
        </w:tc>
        <w:tc>
          <w:tcPr>
            <w:tcW w:w="6033" w:type="dxa"/>
            <w:gridSpan w:val="2"/>
          </w:tcPr>
          <w:p w14:paraId="76B6FC0A" w14:textId="77777777" w:rsidR="00817104" w:rsidRPr="000232AF" w:rsidRDefault="00817104">
            <w:pPr>
              <w:pStyle w:val="Body"/>
            </w:pPr>
            <w:r w:rsidRPr="004B333D">
              <w:t>Regional Health Infrastructure Fund</w:t>
            </w:r>
          </w:p>
        </w:tc>
      </w:tr>
      <w:tr w:rsidR="00817104" w:rsidRPr="000232AF" w14:paraId="51BB54BA" w14:textId="77777777">
        <w:tc>
          <w:tcPr>
            <w:tcW w:w="3256" w:type="dxa"/>
          </w:tcPr>
          <w:p w14:paraId="683C5FE6" w14:textId="77777777" w:rsidR="00817104" w:rsidRPr="000232AF" w:rsidRDefault="00817104">
            <w:pPr>
              <w:pStyle w:val="Body"/>
            </w:pPr>
            <w:r w:rsidRPr="000232AF">
              <w:t>RTO</w:t>
            </w:r>
          </w:p>
        </w:tc>
        <w:tc>
          <w:tcPr>
            <w:tcW w:w="6033" w:type="dxa"/>
            <w:gridSpan w:val="2"/>
          </w:tcPr>
          <w:p w14:paraId="6F37FB94" w14:textId="77777777" w:rsidR="00817104" w:rsidRPr="000232AF" w:rsidRDefault="00817104">
            <w:pPr>
              <w:pStyle w:val="Body"/>
            </w:pPr>
            <w:r>
              <w:t>r</w:t>
            </w:r>
            <w:r w:rsidRPr="000232AF">
              <w:t xml:space="preserve">ecovery </w:t>
            </w:r>
            <w:r>
              <w:t>t</w:t>
            </w:r>
            <w:r w:rsidRPr="000232AF">
              <w:t xml:space="preserve">ime </w:t>
            </w:r>
            <w:r>
              <w:t>o</w:t>
            </w:r>
            <w:r w:rsidRPr="000232AF">
              <w:t>bjective</w:t>
            </w:r>
          </w:p>
        </w:tc>
      </w:tr>
      <w:tr w:rsidR="00817104" w:rsidRPr="000232AF" w14:paraId="135BC009" w14:textId="77777777">
        <w:tc>
          <w:tcPr>
            <w:tcW w:w="3256" w:type="dxa"/>
          </w:tcPr>
          <w:p w14:paraId="1AAE3612" w14:textId="77777777" w:rsidR="00817104" w:rsidRPr="000232AF" w:rsidRDefault="00817104">
            <w:pPr>
              <w:pStyle w:val="Body"/>
            </w:pPr>
            <w:r w:rsidRPr="000232AF">
              <w:lastRenderedPageBreak/>
              <w:t>SAPSE</w:t>
            </w:r>
          </w:p>
        </w:tc>
        <w:tc>
          <w:tcPr>
            <w:tcW w:w="6033" w:type="dxa"/>
            <w:gridSpan w:val="2"/>
          </w:tcPr>
          <w:p w14:paraId="285D037E" w14:textId="77777777" w:rsidR="00817104" w:rsidRPr="000232AF" w:rsidRDefault="00817104">
            <w:pPr>
              <w:pStyle w:val="Body"/>
            </w:pPr>
            <w:r w:rsidRPr="000232AF">
              <w:t>serious adverse patient safety events</w:t>
            </w:r>
          </w:p>
        </w:tc>
      </w:tr>
      <w:tr w:rsidR="00817104" w:rsidRPr="000232AF" w14:paraId="34FC4E62" w14:textId="77777777">
        <w:tc>
          <w:tcPr>
            <w:tcW w:w="3256" w:type="dxa"/>
          </w:tcPr>
          <w:p w14:paraId="41E2C2C8" w14:textId="77777777" w:rsidR="00817104" w:rsidRPr="000232AF" w:rsidRDefault="00817104">
            <w:pPr>
              <w:pStyle w:val="Body"/>
            </w:pPr>
            <w:r w:rsidRPr="000232AF">
              <w:t>SCV</w:t>
            </w:r>
          </w:p>
        </w:tc>
        <w:tc>
          <w:tcPr>
            <w:tcW w:w="6033" w:type="dxa"/>
            <w:gridSpan w:val="2"/>
          </w:tcPr>
          <w:p w14:paraId="33573E43" w14:textId="77777777" w:rsidR="00817104" w:rsidRPr="000232AF" w:rsidRDefault="00817104">
            <w:pPr>
              <w:pStyle w:val="Body"/>
            </w:pPr>
            <w:r w:rsidRPr="000232AF">
              <w:t>Safer Care Victoria</w:t>
            </w:r>
          </w:p>
        </w:tc>
      </w:tr>
      <w:tr w:rsidR="00817104" w:rsidRPr="000232AF" w14:paraId="76610345" w14:textId="77777777">
        <w:tc>
          <w:tcPr>
            <w:tcW w:w="3256" w:type="dxa"/>
          </w:tcPr>
          <w:p w14:paraId="4E57C85D" w14:textId="77777777" w:rsidR="00817104" w:rsidRPr="000232AF" w:rsidRDefault="00817104">
            <w:pPr>
              <w:pStyle w:val="Body"/>
            </w:pPr>
            <w:r w:rsidRPr="000232AF">
              <w:t>SDC</w:t>
            </w:r>
          </w:p>
        </w:tc>
        <w:tc>
          <w:tcPr>
            <w:tcW w:w="6033" w:type="dxa"/>
            <w:gridSpan w:val="2"/>
          </w:tcPr>
          <w:p w14:paraId="18AE6B8F" w14:textId="77777777" w:rsidR="00817104" w:rsidRPr="000232AF" w:rsidRDefault="00817104">
            <w:pPr>
              <w:pStyle w:val="Body"/>
            </w:pPr>
            <w:r w:rsidRPr="000232AF">
              <w:t>Statutory Duty of Candour</w:t>
            </w:r>
          </w:p>
        </w:tc>
      </w:tr>
      <w:tr w:rsidR="00817104" w:rsidRPr="000232AF" w14:paraId="61924D6F" w14:textId="77777777">
        <w:tc>
          <w:tcPr>
            <w:tcW w:w="3256" w:type="dxa"/>
          </w:tcPr>
          <w:p w14:paraId="02C7625C" w14:textId="77777777" w:rsidR="00817104" w:rsidRPr="000232AF" w:rsidRDefault="00817104">
            <w:pPr>
              <w:pStyle w:val="Body"/>
            </w:pPr>
            <w:r w:rsidRPr="000232AF">
              <w:t>SECU</w:t>
            </w:r>
          </w:p>
        </w:tc>
        <w:tc>
          <w:tcPr>
            <w:tcW w:w="6033" w:type="dxa"/>
            <w:gridSpan w:val="2"/>
          </w:tcPr>
          <w:p w14:paraId="3615134D" w14:textId="77777777" w:rsidR="00817104" w:rsidRPr="000232AF" w:rsidRDefault="00817104">
            <w:pPr>
              <w:pStyle w:val="Body"/>
            </w:pPr>
            <w:r w:rsidRPr="000232AF">
              <w:t>secure extended care unit</w:t>
            </w:r>
          </w:p>
        </w:tc>
      </w:tr>
      <w:tr w:rsidR="00817104" w:rsidRPr="000232AF" w14:paraId="23CB2532" w14:textId="77777777">
        <w:tc>
          <w:tcPr>
            <w:tcW w:w="3256" w:type="dxa"/>
          </w:tcPr>
          <w:p w14:paraId="44B191B6" w14:textId="77777777" w:rsidR="00817104" w:rsidRPr="000232AF" w:rsidRDefault="00817104">
            <w:pPr>
              <w:pStyle w:val="Body"/>
            </w:pPr>
            <w:r w:rsidRPr="000232AF">
              <w:t>SEMP</w:t>
            </w:r>
          </w:p>
        </w:tc>
        <w:tc>
          <w:tcPr>
            <w:tcW w:w="6033" w:type="dxa"/>
            <w:gridSpan w:val="2"/>
          </w:tcPr>
          <w:p w14:paraId="6B2FCCA7" w14:textId="77777777" w:rsidR="00817104" w:rsidRPr="000232AF" w:rsidRDefault="00817104">
            <w:pPr>
              <w:pStyle w:val="Body"/>
            </w:pPr>
            <w:r w:rsidRPr="000232AF">
              <w:t xml:space="preserve">State Emergency Management Plan </w:t>
            </w:r>
          </w:p>
        </w:tc>
      </w:tr>
      <w:tr w:rsidR="00817104" w:rsidRPr="000232AF" w14:paraId="30FAAC06" w14:textId="77777777">
        <w:trPr>
          <w:gridAfter w:val="1"/>
          <w:wAfter w:w="80" w:type="dxa"/>
        </w:trPr>
        <w:tc>
          <w:tcPr>
            <w:tcW w:w="3256" w:type="dxa"/>
          </w:tcPr>
          <w:p w14:paraId="435EB2D3" w14:textId="77777777" w:rsidR="00817104" w:rsidRPr="000232AF" w:rsidRDefault="00817104">
            <w:pPr>
              <w:pStyle w:val="Body"/>
            </w:pPr>
            <w:r>
              <w:t>Service Framework</w:t>
            </w:r>
          </w:p>
        </w:tc>
        <w:tc>
          <w:tcPr>
            <w:tcW w:w="5953" w:type="dxa"/>
          </w:tcPr>
          <w:p w14:paraId="22FF2351" w14:textId="77777777" w:rsidR="00817104" w:rsidRPr="000232AF" w:rsidRDefault="00817104">
            <w:pPr>
              <w:pStyle w:val="Body"/>
            </w:pPr>
            <w:r w:rsidRPr="00255515">
              <w:rPr>
                <w:i/>
                <w:iCs/>
              </w:rPr>
              <w:t xml:space="preserve">Mental Health and Wellbeing </w:t>
            </w:r>
            <w:r>
              <w:rPr>
                <w:i/>
                <w:iCs/>
              </w:rPr>
              <w:t xml:space="preserve">Locals: </w:t>
            </w:r>
            <w:r w:rsidRPr="00255515">
              <w:rPr>
                <w:i/>
                <w:iCs/>
              </w:rPr>
              <w:t xml:space="preserve">Service </w:t>
            </w:r>
            <w:r>
              <w:rPr>
                <w:i/>
                <w:iCs/>
              </w:rPr>
              <w:t>F</w:t>
            </w:r>
            <w:r w:rsidRPr="00255515">
              <w:rPr>
                <w:i/>
                <w:iCs/>
              </w:rPr>
              <w:t>ramework</w:t>
            </w:r>
          </w:p>
        </w:tc>
      </w:tr>
      <w:tr w:rsidR="00817104" w:rsidRPr="000232AF" w14:paraId="01296AA1" w14:textId="77777777">
        <w:tc>
          <w:tcPr>
            <w:tcW w:w="3256" w:type="dxa"/>
          </w:tcPr>
          <w:p w14:paraId="1BA6349A" w14:textId="77777777" w:rsidR="00817104" w:rsidRPr="000232AF" w:rsidRDefault="00817104">
            <w:pPr>
              <w:pStyle w:val="Body"/>
            </w:pPr>
            <w:r w:rsidRPr="000232AF">
              <w:t>SHRFV</w:t>
            </w:r>
          </w:p>
        </w:tc>
        <w:tc>
          <w:tcPr>
            <w:tcW w:w="6033" w:type="dxa"/>
            <w:gridSpan w:val="2"/>
          </w:tcPr>
          <w:p w14:paraId="523CCA4A" w14:textId="77777777" w:rsidR="00817104" w:rsidRPr="000232AF" w:rsidRDefault="00817104">
            <w:pPr>
              <w:pStyle w:val="Body"/>
            </w:pPr>
            <w:r w:rsidRPr="000232AF">
              <w:t>Strengthening Hospital Responses to Family Violence</w:t>
            </w:r>
          </w:p>
        </w:tc>
      </w:tr>
      <w:tr w:rsidR="00817104" w:rsidRPr="000232AF" w14:paraId="1B2F5D66" w14:textId="77777777">
        <w:tc>
          <w:tcPr>
            <w:tcW w:w="3256" w:type="dxa"/>
          </w:tcPr>
          <w:p w14:paraId="2CEC4BA0" w14:textId="77777777" w:rsidR="00817104" w:rsidRPr="000232AF" w:rsidRDefault="00817104">
            <w:pPr>
              <w:pStyle w:val="Body"/>
            </w:pPr>
            <w:r w:rsidRPr="000232AF">
              <w:t>S</w:t>
            </w:r>
            <w:r>
              <w:t>o</w:t>
            </w:r>
            <w:r w:rsidRPr="000232AF">
              <w:t>P</w:t>
            </w:r>
          </w:p>
        </w:tc>
        <w:tc>
          <w:tcPr>
            <w:tcW w:w="6033" w:type="dxa"/>
            <w:gridSpan w:val="2"/>
          </w:tcPr>
          <w:p w14:paraId="001E0841" w14:textId="77777777" w:rsidR="00817104" w:rsidRPr="000232AF" w:rsidRDefault="00817104">
            <w:pPr>
              <w:pStyle w:val="Body"/>
            </w:pPr>
            <w:r w:rsidRPr="000232AF">
              <w:t>Statement of Priorities</w:t>
            </w:r>
          </w:p>
        </w:tc>
      </w:tr>
      <w:tr w:rsidR="00817104" w:rsidRPr="000232AF" w14:paraId="5D74DBE1" w14:textId="77777777">
        <w:tc>
          <w:tcPr>
            <w:tcW w:w="3256" w:type="dxa"/>
          </w:tcPr>
          <w:p w14:paraId="031EE199" w14:textId="77777777" w:rsidR="00817104" w:rsidRPr="000232AF" w:rsidRDefault="00817104">
            <w:pPr>
              <w:pStyle w:val="Body"/>
            </w:pPr>
            <w:r w:rsidRPr="000232AF">
              <w:t>SRHS</w:t>
            </w:r>
          </w:p>
        </w:tc>
        <w:tc>
          <w:tcPr>
            <w:tcW w:w="6033" w:type="dxa"/>
            <w:gridSpan w:val="2"/>
          </w:tcPr>
          <w:p w14:paraId="52C15208" w14:textId="77777777" w:rsidR="00817104" w:rsidRPr="000232AF" w:rsidRDefault="00817104">
            <w:pPr>
              <w:pStyle w:val="Body"/>
            </w:pPr>
            <w:r w:rsidRPr="000232AF">
              <w:t>small rural health service</w:t>
            </w:r>
            <w:r>
              <w:t>s</w:t>
            </w:r>
          </w:p>
        </w:tc>
      </w:tr>
      <w:tr w:rsidR="00817104" w:rsidRPr="000232AF" w14:paraId="0DE0E2B6" w14:textId="77777777">
        <w:trPr>
          <w:gridAfter w:val="1"/>
          <w:wAfter w:w="80" w:type="dxa"/>
        </w:trPr>
        <w:tc>
          <w:tcPr>
            <w:tcW w:w="3256" w:type="dxa"/>
          </w:tcPr>
          <w:p w14:paraId="67242D2A" w14:textId="77777777" w:rsidR="00817104" w:rsidRPr="000232AF" w:rsidRDefault="00817104">
            <w:pPr>
              <w:pStyle w:val="Body"/>
            </w:pPr>
            <w:r>
              <w:t>Statewide Plan</w:t>
            </w:r>
          </w:p>
        </w:tc>
        <w:tc>
          <w:tcPr>
            <w:tcW w:w="5953" w:type="dxa"/>
          </w:tcPr>
          <w:p w14:paraId="71E589B5" w14:textId="77777777" w:rsidR="00817104" w:rsidRPr="000232AF" w:rsidRDefault="00817104">
            <w:pPr>
              <w:pStyle w:val="Body"/>
            </w:pPr>
            <w:r w:rsidRPr="00BF21EF">
              <w:t>Statewide mental health and wellbeing service and capital plan</w:t>
            </w:r>
            <w:r w:rsidRPr="0028160C">
              <w:t xml:space="preserve"> </w:t>
            </w:r>
            <w:r w:rsidRPr="00BF21EF">
              <w:t>2024</w:t>
            </w:r>
            <w:r>
              <w:t>–</w:t>
            </w:r>
            <w:r w:rsidRPr="00BF21EF">
              <w:t>2037</w:t>
            </w:r>
          </w:p>
        </w:tc>
      </w:tr>
      <w:tr w:rsidR="00817104" w:rsidRPr="000232AF" w14:paraId="0BB52032" w14:textId="77777777">
        <w:tc>
          <w:tcPr>
            <w:tcW w:w="3256" w:type="dxa"/>
          </w:tcPr>
          <w:p w14:paraId="076620A2" w14:textId="77777777" w:rsidR="00817104" w:rsidRPr="000232AF" w:rsidRDefault="00817104">
            <w:pPr>
              <w:pStyle w:val="Body"/>
            </w:pPr>
            <w:r w:rsidRPr="000232AF">
              <w:t>STI</w:t>
            </w:r>
          </w:p>
        </w:tc>
        <w:tc>
          <w:tcPr>
            <w:tcW w:w="6033" w:type="dxa"/>
            <w:gridSpan w:val="2"/>
          </w:tcPr>
          <w:p w14:paraId="73FEA963" w14:textId="77777777" w:rsidR="00817104" w:rsidRPr="000232AF" w:rsidRDefault="00817104">
            <w:pPr>
              <w:pStyle w:val="Body"/>
            </w:pPr>
            <w:r w:rsidRPr="000232AF">
              <w:t>sexually transmissible infections</w:t>
            </w:r>
          </w:p>
        </w:tc>
      </w:tr>
      <w:tr w:rsidR="00817104" w:rsidRPr="000232AF" w14:paraId="3A579C56" w14:textId="77777777">
        <w:tc>
          <w:tcPr>
            <w:tcW w:w="3256" w:type="dxa"/>
          </w:tcPr>
          <w:p w14:paraId="3EA0E0ED" w14:textId="77777777" w:rsidR="00817104" w:rsidRDefault="00817104">
            <w:pPr>
              <w:pStyle w:val="Body"/>
            </w:pPr>
            <w:r>
              <w:t>TCP</w:t>
            </w:r>
          </w:p>
        </w:tc>
        <w:tc>
          <w:tcPr>
            <w:tcW w:w="6033" w:type="dxa"/>
            <w:gridSpan w:val="2"/>
          </w:tcPr>
          <w:p w14:paraId="3CE1B7DE" w14:textId="77777777" w:rsidR="00817104" w:rsidRPr="00E03317" w:rsidRDefault="00817104">
            <w:pPr>
              <w:pStyle w:val="Body"/>
            </w:pPr>
            <w:r>
              <w:t>Transition Care Program</w:t>
            </w:r>
          </w:p>
        </w:tc>
      </w:tr>
      <w:tr w:rsidR="00817104" w:rsidRPr="000232AF" w14:paraId="4527CABF" w14:textId="77777777">
        <w:tc>
          <w:tcPr>
            <w:tcW w:w="3256" w:type="dxa"/>
          </w:tcPr>
          <w:p w14:paraId="4E155D2B" w14:textId="77777777" w:rsidR="00817104" w:rsidRPr="000232AF" w:rsidRDefault="00817104">
            <w:pPr>
              <w:pStyle w:val="Body"/>
            </w:pPr>
            <w:r>
              <w:t>TEC</w:t>
            </w:r>
          </w:p>
        </w:tc>
        <w:tc>
          <w:tcPr>
            <w:tcW w:w="6033" w:type="dxa"/>
            <w:gridSpan w:val="2"/>
          </w:tcPr>
          <w:p w14:paraId="24A410DE" w14:textId="77777777" w:rsidR="00817104" w:rsidRPr="000232AF" w:rsidRDefault="00817104">
            <w:pPr>
              <w:pStyle w:val="Body"/>
            </w:pPr>
            <w:r w:rsidRPr="00E03317">
              <w:t>Timely Emergency Care</w:t>
            </w:r>
          </w:p>
        </w:tc>
      </w:tr>
      <w:tr w:rsidR="00817104" w:rsidRPr="000232AF" w14:paraId="2A1C1B53" w14:textId="77777777">
        <w:tc>
          <w:tcPr>
            <w:tcW w:w="3256" w:type="dxa"/>
          </w:tcPr>
          <w:p w14:paraId="2299E0C6" w14:textId="77777777" w:rsidR="00817104" w:rsidRDefault="00817104">
            <w:pPr>
              <w:pStyle w:val="Body"/>
            </w:pPr>
            <w:r>
              <w:t>the guidelines</w:t>
            </w:r>
          </w:p>
        </w:tc>
        <w:tc>
          <w:tcPr>
            <w:tcW w:w="6033" w:type="dxa"/>
            <w:gridSpan w:val="2"/>
          </w:tcPr>
          <w:p w14:paraId="0450C82D" w14:textId="77777777" w:rsidR="00817104" w:rsidRPr="00E03317" w:rsidRDefault="00817104">
            <w:pPr>
              <w:pStyle w:val="Body"/>
            </w:pPr>
            <w:r w:rsidRPr="0034359D">
              <w:t>Policy and funding guidelines 2025–26</w:t>
            </w:r>
          </w:p>
        </w:tc>
      </w:tr>
      <w:tr w:rsidR="00817104" w:rsidRPr="000232AF" w14:paraId="0BC5D8C8" w14:textId="77777777">
        <w:tc>
          <w:tcPr>
            <w:tcW w:w="3256" w:type="dxa"/>
          </w:tcPr>
          <w:p w14:paraId="135102BE" w14:textId="77777777" w:rsidR="00817104" w:rsidRPr="000232AF" w:rsidRDefault="00817104">
            <w:pPr>
              <w:pStyle w:val="Body"/>
            </w:pPr>
            <w:r w:rsidRPr="000232AF">
              <w:t>UCC</w:t>
            </w:r>
          </w:p>
        </w:tc>
        <w:tc>
          <w:tcPr>
            <w:tcW w:w="6033" w:type="dxa"/>
            <w:gridSpan w:val="2"/>
          </w:tcPr>
          <w:p w14:paraId="25E2E05B" w14:textId="77777777" w:rsidR="00817104" w:rsidRPr="000232AF" w:rsidRDefault="00817104">
            <w:pPr>
              <w:pStyle w:val="Body"/>
            </w:pPr>
            <w:r w:rsidRPr="000232AF">
              <w:t>Urgent Care Clinic</w:t>
            </w:r>
          </w:p>
        </w:tc>
      </w:tr>
      <w:tr w:rsidR="00817104" w:rsidRPr="000232AF" w14:paraId="49CB00F1" w14:textId="77777777">
        <w:tc>
          <w:tcPr>
            <w:tcW w:w="3256" w:type="dxa"/>
          </w:tcPr>
          <w:p w14:paraId="401A1C57" w14:textId="77777777" w:rsidR="00817104" w:rsidRPr="000232AF" w:rsidRDefault="00817104">
            <w:pPr>
              <w:pStyle w:val="Body"/>
            </w:pPr>
            <w:r w:rsidRPr="000232AF">
              <w:t>VA&amp;EP</w:t>
            </w:r>
          </w:p>
        </w:tc>
        <w:tc>
          <w:tcPr>
            <w:tcW w:w="6033" w:type="dxa"/>
            <w:gridSpan w:val="2"/>
          </w:tcPr>
          <w:p w14:paraId="44BE0B79" w14:textId="77777777" w:rsidR="00817104" w:rsidRPr="000232AF" w:rsidRDefault="00817104">
            <w:pPr>
              <w:pStyle w:val="Body"/>
            </w:pPr>
            <w:r w:rsidRPr="000232AF">
              <w:t>Victorian Aids and Equipment Program</w:t>
            </w:r>
          </w:p>
        </w:tc>
      </w:tr>
      <w:tr w:rsidR="00817104" w:rsidRPr="000232AF" w14:paraId="2FA93236" w14:textId="77777777">
        <w:tc>
          <w:tcPr>
            <w:tcW w:w="3256" w:type="dxa"/>
          </w:tcPr>
          <w:p w14:paraId="0BEFEB2E" w14:textId="77777777" w:rsidR="00817104" w:rsidRPr="000232AF" w:rsidRDefault="00817104">
            <w:pPr>
              <w:pStyle w:val="Body"/>
            </w:pPr>
            <w:r w:rsidRPr="000232AF">
              <w:t>VACCHO</w:t>
            </w:r>
          </w:p>
        </w:tc>
        <w:tc>
          <w:tcPr>
            <w:tcW w:w="6033" w:type="dxa"/>
            <w:gridSpan w:val="2"/>
          </w:tcPr>
          <w:p w14:paraId="0E1DFE15" w14:textId="77777777" w:rsidR="00817104" w:rsidRPr="000232AF" w:rsidRDefault="00817104">
            <w:pPr>
              <w:pStyle w:val="Body"/>
            </w:pPr>
            <w:r w:rsidRPr="000232AF">
              <w:t>Victorian Aboriginal Community Controlled Health Organisation</w:t>
            </w:r>
          </w:p>
        </w:tc>
      </w:tr>
      <w:tr w:rsidR="00817104" w:rsidRPr="000232AF" w14:paraId="150CD2D6" w14:textId="77777777">
        <w:tc>
          <w:tcPr>
            <w:tcW w:w="3256" w:type="dxa"/>
          </w:tcPr>
          <w:p w14:paraId="08F81F82" w14:textId="77777777" w:rsidR="00817104" w:rsidRPr="000232AF" w:rsidRDefault="00817104">
            <w:pPr>
              <w:pStyle w:val="Body"/>
            </w:pPr>
            <w:r>
              <w:t>VAD</w:t>
            </w:r>
          </w:p>
        </w:tc>
        <w:tc>
          <w:tcPr>
            <w:tcW w:w="6033" w:type="dxa"/>
            <w:gridSpan w:val="2"/>
          </w:tcPr>
          <w:p w14:paraId="31DD6231" w14:textId="77777777" w:rsidR="00817104" w:rsidRPr="000232AF" w:rsidRDefault="00817104">
            <w:pPr>
              <w:pStyle w:val="Body"/>
            </w:pPr>
            <w:r w:rsidRPr="003F79FC">
              <w:t>Voluntary assisted dying</w:t>
            </w:r>
          </w:p>
        </w:tc>
      </w:tr>
      <w:tr w:rsidR="00817104" w:rsidRPr="000232AF" w14:paraId="034F6946" w14:textId="77777777">
        <w:tc>
          <w:tcPr>
            <w:tcW w:w="3256" w:type="dxa"/>
          </w:tcPr>
          <w:p w14:paraId="280117D6" w14:textId="77777777" w:rsidR="00817104" w:rsidRPr="000232AF" w:rsidRDefault="00817104">
            <w:pPr>
              <w:pStyle w:val="Body"/>
            </w:pPr>
            <w:r w:rsidRPr="000232AF">
              <w:t>VADC</w:t>
            </w:r>
          </w:p>
        </w:tc>
        <w:tc>
          <w:tcPr>
            <w:tcW w:w="6033" w:type="dxa"/>
            <w:gridSpan w:val="2"/>
          </w:tcPr>
          <w:p w14:paraId="4CFC3A25" w14:textId="77777777" w:rsidR="00817104" w:rsidRPr="000232AF" w:rsidRDefault="00817104">
            <w:pPr>
              <w:pStyle w:val="Body"/>
            </w:pPr>
            <w:r w:rsidRPr="000232AF">
              <w:t>Victorian Alcohol and Drug Collection</w:t>
            </w:r>
          </w:p>
        </w:tc>
      </w:tr>
      <w:tr w:rsidR="00817104" w:rsidRPr="000232AF" w14:paraId="43845118" w14:textId="77777777">
        <w:tc>
          <w:tcPr>
            <w:tcW w:w="3256" w:type="dxa"/>
          </w:tcPr>
          <w:p w14:paraId="18864F04" w14:textId="77777777" w:rsidR="00817104" w:rsidRPr="000232AF" w:rsidRDefault="00817104">
            <w:pPr>
              <w:pStyle w:val="Body"/>
            </w:pPr>
            <w:r w:rsidRPr="000232AF">
              <w:t>VADS</w:t>
            </w:r>
          </w:p>
        </w:tc>
        <w:tc>
          <w:tcPr>
            <w:tcW w:w="6033" w:type="dxa"/>
            <w:gridSpan w:val="2"/>
          </w:tcPr>
          <w:p w14:paraId="739202DA" w14:textId="77777777" w:rsidR="00817104" w:rsidRPr="000232AF" w:rsidRDefault="00817104">
            <w:pPr>
              <w:pStyle w:val="Body"/>
            </w:pPr>
            <w:r w:rsidRPr="000232AF">
              <w:t>Victorian Ambulance Dataset</w:t>
            </w:r>
          </w:p>
        </w:tc>
      </w:tr>
      <w:tr w:rsidR="00817104" w:rsidRPr="000232AF" w14:paraId="7443FFA4" w14:textId="77777777">
        <w:tc>
          <w:tcPr>
            <w:tcW w:w="3256" w:type="dxa"/>
          </w:tcPr>
          <w:p w14:paraId="4627CEC6" w14:textId="77777777" w:rsidR="00817104" w:rsidRPr="000232AF" w:rsidRDefault="00817104">
            <w:pPr>
              <w:pStyle w:val="Body"/>
            </w:pPr>
            <w:r w:rsidRPr="000232AF">
              <w:t>VAED</w:t>
            </w:r>
          </w:p>
        </w:tc>
        <w:tc>
          <w:tcPr>
            <w:tcW w:w="6033" w:type="dxa"/>
            <w:gridSpan w:val="2"/>
          </w:tcPr>
          <w:p w14:paraId="00345F98" w14:textId="77777777" w:rsidR="00817104" w:rsidRPr="000232AF" w:rsidRDefault="00817104">
            <w:pPr>
              <w:pStyle w:val="Body"/>
            </w:pPr>
            <w:r w:rsidRPr="000232AF">
              <w:t>Victorian Admitted Episodes Dataset</w:t>
            </w:r>
          </w:p>
        </w:tc>
      </w:tr>
      <w:tr w:rsidR="00817104" w:rsidRPr="000232AF" w14:paraId="03524C99" w14:textId="77777777">
        <w:tc>
          <w:tcPr>
            <w:tcW w:w="3256" w:type="dxa"/>
          </w:tcPr>
          <w:p w14:paraId="6FB323F9" w14:textId="77777777" w:rsidR="00817104" w:rsidRPr="000232AF" w:rsidRDefault="00817104">
            <w:pPr>
              <w:pStyle w:val="Body"/>
            </w:pPr>
            <w:r w:rsidRPr="000232AF">
              <w:t>VAHI</w:t>
            </w:r>
          </w:p>
        </w:tc>
        <w:tc>
          <w:tcPr>
            <w:tcW w:w="6033" w:type="dxa"/>
            <w:gridSpan w:val="2"/>
          </w:tcPr>
          <w:p w14:paraId="4677F72D" w14:textId="77777777" w:rsidR="00817104" w:rsidRPr="000232AF" w:rsidRDefault="00817104">
            <w:pPr>
              <w:pStyle w:val="Body"/>
            </w:pPr>
            <w:r w:rsidRPr="000232AF">
              <w:t>Victorian Agency for Health Information</w:t>
            </w:r>
          </w:p>
        </w:tc>
      </w:tr>
      <w:tr w:rsidR="00817104" w:rsidRPr="000232AF" w14:paraId="661AE0B0" w14:textId="77777777">
        <w:tc>
          <w:tcPr>
            <w:tcW w:w="3256" w:type="dxa"/>
          </w:tcPr>
          <w:p w14:paraId="0751357E" w14:textId="77777777" w:rsidR="00817104" w:rsidRPr="000232AF" w:rsidRDefault="00817104">
            <w:pPr>
              <w:pStyle w:val="Body"/>
            </w:pPr>
            <w:r w:rsidRPr="000232AF">
              <w:t>VCDC</w:t>
            </w:r>
          </w:p>
        </w:tc>
        <w:tc>
          <w:tcPr>
            <w:tcW w:w="6033" w:type="dxa"/>
            <w:gridSpan w:val="2"/>
          </w:tcPr>
          <w:p w14:paraId="517DE72F" w14:textId="77777777" w:rsidR="00817104" w:rsidRPr="000232AF" w:rsidRDefault="00817104">
            <w:pPr>
              <w:pStyle w:val="Body"/>
            </w:pPr>
            <w:r w:rsidRPr="000232AF">
              <w:t>Victorian Cost Data Collection</w:t>
            </w:r>
          </w:p>
        </w:tc>
      </w:tr>
      <w:tr w:rsidR="00817104" w:rsidRPr="000232AF" w14:paraId="060256DC" w14:textId="77777777">
        <w:tc>
          <w:tcPr>
            <w:tcW w:w="3256" w:type="dxa"/>
          </w:tcPr>
          <w:p w14:paraId="302A9CB3" w14:textId="77777777" w:rsidR="00817104" w:rsidRPr="000232AF" w:rsidRDefault="00817104">
            <w:pPr>
              <w:pStyle w:val="Body"/>
            </w:pPr>
            <w:r w:rsidRPr="000232AF">
              <w:t>VCSS</w:t>
            </w:r>
          </w:p>
        </w:tc>
        <w:tc>
          <w:tcPr>
            <w:tcW w:w="6033" w:type="dxa"/>
            <w:gridSpan w:val="2"/>
          </w:tcPr>
          <w:p w14:paraId="6DCA53EB" w14:textId="77777777" w:rsidR="00817104" w:rsidRPr="000232AF" w:rsidRDefault="00817104">
            <w:pPr>
              <w:pStyle w:val="Body"/>
            </w:pPr>
            <w:r w:rsidRPr="000232AF">
              <w:t xml:space="preserve">Victorian Community Support Services (formerly HACC) </w:t>
            </w:r>
          </w:p>
        </w:tc>
      </w:tr>
      <w:tr w:rsidR="00817104" w:rsidRPr="000232AF" w14:paraId="5190A796" w14:textId="77777777">
        <w:tc>
          <w:tcPr>
            <w:tcW w:w="3256" w:type="dxa"/>
          </w:tcPr>
          <w:p w14:paraId="22CAEC66" w14:textId="77777777" w:rsidR="00817104" w:rsidRPr="000232AF" w:rsidRDefault="00817104">
            <w:pPr>
              <w:pStyle w:val="Body"/>
            </w:pPr>
            <w:r w:rsidRPr="000232AF">
              <w:t>VEMD</w:t>
            </w:r>
          </w:p>
        </w:tc>
        <w:tc>
          <w:tcPr>
            <w:tcW w:w="6033" w:type="dxa"/>
            <w:gridSpan w:val="2"/>
          </w:tcPr>
          <w:p w14:paraId="5DDBBA8D" w14:textId="77777777" w:rsidR="00817104" w:rsidRPr="000232AF" w:rsidRDefault="00817104">
            <w:pPr>
              <w:pStyle w:val="Body"/>
            </w:pPr>
            <w:r w:rsidRPr="000232AF">
              <w:t>Victorian Emergency Minimum Dataset</w:t>
            </w:r>
          </w:p>
        </w:tc>
      </w:tr>
      <w:tr w:rsidR="00817104" w:rsidRPr="000232AF" w14:paraId="6FEB64B0" w14:textId="77777777">
        <w:tc>
          <w:tcPr>
            <w:tcW w:w="3256" w:type="dxa"/>
          </w:tcPr>
          <w:p w14:paraId="357A02B4" w14:textId="77777777" w:rsidR="00817104" w:rsidRPr="000232AF" w:rsidRDefault="00817104">
            <w:pPr>
              <w:pStyle w:val="Body"/>
            </w:pPr>
            <w:r w:rsidRPr="000232AF">
              <w:t>VHES</w:t>
            </w:r>
          </w:p>
        </w:tc>
        <w:tc>
          <w:tcPr>
            <w:tcW w:w="6033" w:type="dxa"/>
            <w:gridSpan w:val="2"/>
          </w:tcPr>
          <w:p w14:paraId="24C68BBC" w14:textId="77777777" w:rsidR="00817104" w:rsidRPr="000232AF" w:rsidRDefault="00817104">
            <w:pPr>
              <w:pStyle w:val="Body"/>
            </w:pPr>
            <w:r w:rsidRPr="000232AF">
              <w:t>Victorian Healthcare Experience Survey</w:t>
            </w:r>
          </w:p>
        </w:tc>
      </w:tr>
      <w:tr w:rsidR="00817104" w:rsidRPr="000232AF" w14:paraId="5192655B" w14:textId="77777777">
        <w:tc>
          <w:tcPr>
            <w:tcW w:w="3256" w:type="dxa"/>
          </w:tcPr>
          <w:p w14:paraId="3482B963" w14:textId="77777777" w:rsidR="00817104" w:rsidRPr="000232AF" w:rsidRDefault="00817104">
            <w:pPr>
              <w:pStyle w:val="Body"/>
            </w:pPr>
            <w:r w:rsidRPr="000232AF">
              <w:t>VHIMS</w:t>
            </w:r>
            <w:r>
              <w:t xml:space="preserve"> MDS</w:t>
            </w:r>
          </w:p>
        </w:tc>
        <w:tc>
          <w:tcPr>
            <w:tcW w:w="6033" w:type="dxa"/>
            <w:gridSpan w:val="2"/>
          </w:tcPr>
          <w:p w14:paraId="160ED1C6" w14:textId="77777777" w:rsidR="00817104" w:rsidRPr="000232AF" w:rsidRDefault="00817104">
            <w:pPr>
              <w:pStyle w:val="Body"/>
            </w:pPr>
            <w:r w:rsidRPr="000232AF">
              <w:t>Victorian Health Incident Management System</w:t>
            </w:r>
            <w:r>
              <w:t xml:space="preserve"> Minimum Dataset </w:t>
            </w:r>
          </w:p>
        </w:tc>
      </w:tr>
      <w:tr w:rsidR="00817104" w:rsidRPr="000232AF" w14:paraId="5DB64D4D" w14:textId="77777777">
        <w:tc>
          <w:tcPr>
            <w:tcW w:w="3256" w:type="dxa"/>
          </w:tcPr>
          <w:p w14:paraId="78473862" w14:textId="77777777" w:rsidR="00817104" w:rsidRPr="000232AF" w:rsidRDefault="00817104">
            <w:pPr>
              <w:pStyle w:val="Body"/>
            </w:pPr>
            <w:r w:rsidRPr="000232AF">
              <w:t>VICNISS</w:t>
            </w:r>
          </w:p>
        </w:tc>
        <w:tc>
          <w:tcPr>
            <w:tcW w:w="6033" w:type="dxa"/>
            <w:gridSpan w:val="2"/>
          </w:tcPr>
          <w:p w14:paraId="5F4B101F" w14:textId="77777777" w:rsidR="00817104" w:rsidRPr="000232AF" w:rsidRDefault="00817104">
            <w:pPr>
              <w:pStyle w:val="Body"/>
            </w:pPr>
            <w:r w:rsidRPr="000232AF">
              <w:t>Victorian Healthcare Associated Infection Surveillance System</w:t>
            </w:r>
          </w:p>
        </w:tc>
      </w:tr>
      <w:tr w:rsidR="00817104" w:rsidRPr="000232AF" w14:paraId="33CF923E" w14:textId="77777777">
        <w:tc>
          <w:tcPr>
            <w:tcW w:w="3256" w:type="dxa"/>
          </w:tcPr>
          <w:p w14:paraId="35C06D39" w14:textId="77777777" w:rsidR="00817104" w:rsidRPr="000232AF" w:rsidRDefault="00817104">
            <w:pPr>
              <w:pStyle w:val="Body"/>
            </w:pPr>
            <w:r>
              <w:t>ViCTOR</w:t>
            </w:r>
          </w:p>
        </w:tc>
        <w:tc>
          <w:tcPr>
            <w:tcW w:w="6033" w:type="dxa"/>
            <w:gridSpan w:val="2"/>
          </w:tcPr>
          <w:p w14:paraId="322AECEA" w14:textId="77777777" w:rsidR="00817104" w:rsidRPr="000232AF" w:rsidRDefault="00817104">
            <w:pPr>
              <w:pStyle w:val="Body"/>
            </w:pPr>
            <w:r w:rsidRPr="00A33BFB">
              <w:t>Victorian Children’s Tool for Observation and Response</w:t>
            </w:r>
          </w:p>
        </w:tc>
      </w:tr>
      <w:tr w:rsidR="00817104" w:rsidRPr="000232AF" w14:paraId="3975DE14" w14:textId="77777777">
        <w:tc>
          <w:tcPr>
            <w:tcW w:w="3256" w:type="dxa"/>
          </w:tcPr>
          <w:p w14:paraId="3D2A2812" w14:textId="77777777" w:rsidR="00817104" w:rsidRPr="000232AF" w:rsidRDefault="00817104">
            <w:pPr>
              <w:pStyle w:val="Body"/>
            </w:pPr>
            <w:r w:rsidRPr="000232AF">
              <w:t>VIHSP</w:t>
            </w:r>
          </w:p>
        </w:tc>
        <w:tc>
          <w:tcPr>
            <w:tcW w:w="6033" w:type="dxa"/>
            <w:gridSpan w:val="2"/>
          </w:tcPr>
          <w:p w14:paraId="15500253" w14:textId="77777777" w:rsidR="00817104" w:rsidRPr="000232AF" w:rsidRDefault="00817104">
            <w:pPr>
              <w:pStyle w:val="Body"/>
            </w:pPr>
            <w:r w:rsidRPr="000232AF">
              <w:t>Victorian Infant Hearing Screening Program</w:t>
            </w:r>
          </w:p>
        </w:tc>
      </w:tr>
      <w:tr w:rsidR="00817104" w:rsidRPr="000232AF" w14:paraId="561D3909" w14:textId="77777777">
        <w:tc>
          <w:tcPr>
            <w:tcW w:w="3256" w:type="dxa"/>
          </w:tcPr>
          <w:p w14:paraId="79D57A62" w14:textId="77777777" w:rsidR="00817104" w:rsidRPr="000232AF" w:rsidRDefault="00817104">
            <w:pPr>
              <w:pStyle w:val="Body"/>
            </w:pPr>
            <w:r w:rsidRPr="000232AF">
              <w:t>VINAH</w:t>
            </w:r>
          </w:p>
        </w:tc>
        <w:tc>
          <w:tcPr>
            <w:tcW w:w="6033" w:type="dxa"/>
            <w:gridSpan w:val="2"/>
          </w:tcPr>
          <w:p w14:paraId="0DC4E8A2" w14:textId="77777777" w:rsidR="00817104" w:rsidRPr="000232AF" w:rsidRDefault="00817104">
            <w:pPr>
              <w:pStyle w:val="Body"/>
            </w:pPr>
            <w:r w:rsidRPr="000232AF">
              <w:t>Victorian Integrated Non-Admitted Health</w:t>
            </w:r>
          </w:p>
        </w:tc>
      </w:tr>
      <w:tr w:rsidR="00817104" w:rsidRPr="000232AF" w14:paraId="62D64E19" w14:textId="77777777">
        <w:tc>
          <w:tcPr>
            <w:tcW w:w="3256" w:type="dxa"/>
          </w:tcPr>
          <w:p w14:paraId="3A21F239" w14:textId="77777777" w:rsidR="00817104" w:rsidRPr="000232AF" w:rsidRDefault="00817104">
            <w:pPr>
              <w:pStyle w:val="Body"/>
            </w:pPr>
            <w:r w:rsidRPr="000232AF">
              <w:lastRenderedPageBreak/>
              <w:t>VMIA</w:t>
            </w:r>
          </w:p>
        </w:tc>
        <w:tc>
          <w:tcPr>
            <w:tcW w:w="6033" w:type="dxa"/>
            <w:gridSpan w:val="2"/>
          </w:tcPr>
          <w:p w14:paraId="43565A63" w14:textId="77777777" w:rsidR="00817104" w:rsidRPr="000232AF" w:rsidRDefault="00817104">
            <w:pPr>
              <w:pStyle w:val="Body"/>
            </w:pPr>
            <w:r w:rsidRPr="000232AF">
              <w:t>Victorian Managed Insurance Authority</w:t>
            </w:r>
          </w:p>
        </w:tc>
      </w:tr>
      <w:tr w:rsidR="00817104" w:rsidRPr="000232AF" w14:paraId="2229AF4C" w14:textId="77777777">
        <w:tc>
          <w:tcPr>
            <w:tcW w:w="3256" w:type="dxa"/>
          </w:tcPr>
          <w:p w14:paraId="527EEF85" w14:textId="77777777" w:rsidR="00817104" w:rsidRPr="000232AF" w:rsidRDefault="00817104">
            <w:pPr>
              <w:pStyle w:val="Body"/>
            </w:pPr>
            <w:r w:rsidRPr="000232AF">
              <w:t>VPAS</w:t>
            </w:r>
          </w:p>
        </w:tc>
        <w:tc>
          <w:tcPr>
            <w:tcW w:w="6033" w:type="dxa"/>
            <w:gridSpan w:val="2"/>
          </w:tcPr>
          <w:p w14:paraId="6AB7A45F" w14:textId="77777777" w:rsidR="00817104" w:rsidRPr="000232AF" w:rsidRDefault="00817104">
            <w:pPr>
              <w:pStyle w:val="Body"/>
            </w:pPr>
            <w:r w:rsidRPr="000232AF">
              <w:t>Victorian Perinatal Autopsy Service</w:t>
            </w:r>
          </w:p>
        </w:tc>
      </w:tr>
      <w:tr w:rsidR="00817104" w:rsidRPr="000232AF" w14:paraId="07EE8CBF" w14:textId="77777777">
        <w:tc>
          <w:tcPr>
            <w:tcW w:w="3256" w:type="dxa"/>
          </w:tcPr>
          <w:p w14:paraId="3436C7D5" w14:textId="77777777" w:rsidR="00817104" w:rsidRPr="000232AF" w:rsidRDefault="00817104">
            <w:pPr>
              <w:pStyle w:val="Body"/>
            </w:pPr>
            <w:r w:rsidRPr="000232AF">
              <w:t>VPCC</w:t>
            </w:r>
          </w:p>
        </w:tc>
        <w:tc>
          <w:tcPr>
            <w:tcW w:w="6033" w:type="dxa"/>
            <w:gridSpan w:val="2"/>
          </w:tcPr>
          <w:p w14:paraId="349D0C53" w14:textId="77777777" w:rsidR="00817104" w:rsidRPr="000232AF" w:rsidRDefault="00817104">
            <w:pPr>
              <w:pStyle w:val="Body"/>
            </w:pPr>
            <w:r w:rsidRPr="000232AF">
              <w:t>Victorian Perioperative Consultative Council</w:t>
            </w:r>
          </w:p>
        </w:tc>
      </w:tr>
      <w:tr w:rsidR="00817104" w:rsidRPr="000232AF" w14:paraId="5069553A" w14:textId="77777777">
        <w:tc>
          <w:tcPr>
            <w:tcW w:w="3256" w:type="dxa"/>
          </w:tcPr>
          <w:p w14:paraId="659A1E87" w14:textId="77777777" w:rsidR="00817104" w:rsidRPr="000232AF" w:rsidRDefault="00817104">
            <w:pPr>
              <w:pStyle w:val="Body"/>
            </w:pPr>
            <w:r w:rsidRPr="000232AF">
              <w:t>VPDC</w:t>
            </w:r>
          </w:p>
        </w:tc>
        <w:tc>
          <w:tcPr>
            <w:tcW w:w="6033" w:type="dxa"/>
            <w:gridSpan w:val="2"/>
          </w:tcPr>
          <w:p w14:paraId="64920226" w14:textId="77777777" w:rsidR="00817104" w:rsidRPr="000232AF" w:rsidRDefault="00817104">
            <w:pPr>
              <w:pStyle w:val="Body"/>
            </w:pPr>
            <w:r w:rsidRPr="000232AF">
              <w:t>Victorian Perinatal Data Collection</w:t>
            </w:r>
          </w:p>
        </w:tc>
      </w:tr>
      <w:tr w:rsidR="00817104" w:rsidRPr="000232AF" w14:paraId="77A4AA12" w14:textId="77777777">
        <w:tc>
          <w:tcPr>
            <w:tcW w:w="3256" w:type="dxa"/>
          </w:tcPr>
          <w:p w14:paraId="73F781B6" w14:textId="77777777" w:rsidR="00817104" w:rsidRPr="000232AF" w:rsidRDefault="00817104">
            <w:pPr>
              <w:pStyle w:val="Body"/>
            </w:pPr>
            <w:r>
              <w:t>VPRS</w:t>
            </w:r>
          </w:p>
        </w:tc>
        <w:tc>
          <w:tcPr>
            <w:tcW w:w="6033" w:type="dxa"/>
            <w:gridSpan w:val="2"/>
          </w:tcPr>
          <w:p w14:paraId="793815AE" w14:textId="77777777" w:rsidR="00817104" w:rsidRPr="000232AF" w:rsidRDefault="00817104">
            <w:pPr>
              <w:pStyle w:val="Body"/>
            </w:pPr>
            <w:r>
              <w:t>Victorian Paediatric Rehabilitation Service</w:t>
            </w:r>
          </w:p>
        </w:tc>
      </w:tr>
      <w:tr w:rsidR="00817104" w:rsidRPr="000232AF" w14:paraId="2BDB9F74" w14:textId="77777777">
        <w:tc>
          <w:tcPr>
            <w:tcW w:w="3256" w:type="dxa"/>
          </w:tcPr>
          <w:p w14:paraId="031D6A1B" w14:textId="77777777" w:rsidR="00817104" w:rsidRPr="000232AF" w:rsidRDefault="00817104">
            <w:pPr>
              <w:pStyle w:val="Body"/>
            </w:pPr>
            <w:r w:rsidRPr="000232AF">
              <w:t>VVED</w:t>
            </w:r>
          </w:p>
        </w:tc>
        <w:tc>
          <w:tcPr>
            <w:tcW w:w="6033" w:type="dxa"/>
            <w:gridSpan w:val="2"/>
          </w:tcPr>
          <w:p w14:paraId="1A7C4123" w14:textId="77777777" w:rsidR="00817104" w:rsidRPr="000232AF" w:rsidRDefault="00817104">
            <w:pPr>
              <w:pStyle w:val="Body"/>
            </w:pPr>
            <w:r w:rsidRPr="000232AF">
              <w:t>Victorian Virtual Emergency Department</w:t>
            </w:r>
          </w:p>
        </w:tc>
      </w:tr>
      <w:tr w:rsidR="00817104" w:rsidRPr="000232AF" w14:paraId="14D947FE" w14:textId="77777777">
        <w:tc>
          <w:tcPr>
            <w:tcW w:w="3256" w:type="dxa"/>
          </w:tcPr>
          <w:p w14:paraId="2380F76A" w14:textId="77777777" w:rsidR="00817104" w:rsidRPr="000232AF" w:rsidRDefault="00817104">
            <w:pPr>
              <w:pStyle w:val="Body"/>
            </w:pPr>
            <w:r>
              <w:t>Wren</w:t>
            </w:r>
          </w:p>
        </w:tc>
        <w:tc>
          <w:tcPr>
            <w:tcW w:w="6033" w:type="dxa"/>
            <w:gridSpan w:val="2"/>
          </w:tcPr>
          <w:p w14:paraId="25A061EB" w14:textId="77777777" w:rsidR="00817104" w:rsidRPr="000232AF" w:rsidRDefault="00817104">
            <w:pPr>
              <w:pStyle w:val="Body"/>
            </w:pPr>
            <w:r w:rsidRPr="00AC1EC6">
              <w:t>Women’s Recovery Network</w:t>
            </w:r>
          </w:p>
        </w:tc>
      </w:tr>
      <w:tr w:rsidR="00817104" w:rsidRPr="000232AF" w14:paraId="7049F1F9" w14:textId="77777777">
        <w:tc>
          <w:tcPr>
            <w:tcW w:w="3256" w:type="dxa"/>
          </w:tcPr>
          <w:p w14:paraId="6EABAA05" w14:textId="77777777" w:rsidR="00817104" w:rsidRPr="000232AF" w:rsidRDefault="00817104">
            <w:pPr>
              <w:pStyle w:val="Body"/>
            </w:pPr>
            <w:r w:rsidRPr="000232AF">
              <w:t>YES</w:t>
            </w:r>
          </w:p>
        </w:tc>
        <w:tc>
          <w:tcPr>
            <w:tcW w:w="6033" w:type="dxa"/>
            <w:gridSpan w:val="2"/>
          </w:tcPr>
          <w:p w14:paraId="4AA67E59" w14:textId="77777777" w:rsidR="00817104" w:rsidRPr="000232AF" w:rsidRDefault="00817104">
            <w:pPr>
              <w:pStyle w:val="Body"/>
            </w:pPr>
            <w:r w:rsidRPr="000232AF">
              <w:t>Your Experience of Service</w:t>
            </w:r>
          </w:p>
        </w:tc>
      </w:tr>
      <w:tr w:rsidR="00817104" w:rsidRPr="000232AF" w14:paraId="0D899ED9" w14:textId="77777777">
        <w:tc>
          <w:tcPr>
            <w:tcW w:w="3256" w:type="dxa"/>
          </w:tcPr>
          <w:p w14:paraId="5FD4CEE6" w14:textId="77777777" w:rsidR="00817104" w:rsidRPr="000232AF" w:rsidRDefault="00817104">
            <w:pPr>
              <w:pStyle w:val="Body"/>
            </w:pPr>
            <w:r w:rsidRPr="000232AF">
              <w:t>YPARC</w:t>
            </w:r>
          </w:p>
        </w:tc>
        <w:tc>
          <w:tcPr>
            <w:tcW w:w="6033" w:type="dxa"/>
            <w:gridSpan w:val="2"/>
          </w:tcPr>
          <w:p w14:paraId="021227B3" w14:textId="77777777" w:rsidR="00817104" w:rsidRPr="000232AF" w:rsidRDefault="00817104">
            <w:pPr>
              <w:pStyle w:val="Body"/>
            </w:pPr>
            <w:r w:rsidRPr="000232AF">
              <w:t>youth prevention and recovery care</w:t>
            </w:r>
          </w:p>
        </w:tc>
      </w:tr>
      <w:bookmarkEnd w:id="2874"/>
    </w:tbl>
    <w:p w14:paraId="739FB3BD" w14:textId="77777777" w:rsidR="00817104" w:rsidRDefault="00817104" w:rsidP="00817104">
      <w:pPr>
        <w:pStyle w:val="Body"/>
      </w:pPr>
    </w:p>
    <w:p w14:paraId="34004D85" w14:textId="7234896B" w:rsidR="00454A7D" w:rsidRPr="00DC7275" w:rsidRDefault="00454A7D" w:rsidP="00DC7275"/>
    <w:sectPr w:rsidR="00454A7D" w:rsidRPr="00DC7275" w:rsidSect="00FD2C0B">
      <w:headerReference w:type="even" r:id="rId604"/>
      <w:headerReference w:type="default" r:id="rId605"/>
      <w:footerReference w:type="even" r:id="rId606"/>
      <w:footerReference w:type="default" r:id="rId607"/>
      <w:pgSz w:w="11906" w:h="16838" w:code="9"/>
      <w:pgMar w:top="1418" w:right="1304"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481B" w14:textId="77777777" w:rsidR="008D22C3" w:rsidRDefault="008D22C3">
      <w:r>
        <w:separator/>
      </w:r>
    </w:p>
    <w:p w14:paraId="4A3FF1A0" w14:textId="77777777" w:rsidR="008D22C3" w:rsidRDefault="008D22C3"/>
  </w:endnote>
  <w:endnote w:type="continuationSeparator" w:id="0">
    <w:p w14:paraId="3E2E1F1A" w14:textId="77777777" w:rsidR="008D22C3" w:rsidRDefault="008D22C3">
      <w:r>
        <w:continuationSeparator/>
      </w:r>
    </w:p>
    <w:p w14:paraId="0A6C0403" w14:textId="77777777" w:rsidR="008D22C3" w:rsidRDefault="008D22C3"/>
  </w:endnote>
  <w:endnote w:type="continuationNotice" w:id="1">
    <w:p w14:paraId="4C1CC0AD" w14:textId="77777777" w:rsidR="008D22C3" w:rsidRDefault="008D2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IC SemiBold">
    <w:panose1 w:val="00000700000000000000"/>
    <w:charset w:val="00"/>
    <w:family w:val="auto"/>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entaur">
    <w:panose1 w:val="020305040502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E684" w14:textId="79605D3D" w:rsidR="00817104" w:rsidRDefault="00F2366D">
    <w:pPr>
      <w:pStyle w:val="Footer"/>
    </w:pPr>
    <w:r>
      <w:rPr>
        <w:noProof/>
      </w:rPr>
      <mc:AlternateContent>
        <mc:Choice Requires="wps">
          <w:drawing>
            <wp:anchor distT="0" distB="0" distL="0" distR="0" simplePos="0" relativeHeight="251658241" behindDoc="0" locked="0" layoutInCell="1" allowOverlap="1" wp14:anchorId="00E5E8CC" wp14:editId="5E3C8BA4">
              <wp:simplePos x="635" y="635"/>
              <wp:positionH relativeFrom="page">
                <wp:align>center</wp:align>
              </wp:positionH>
              <wp:positionV relativeFrom="page">
                <wp:align>bottom</wp:align>
              </wp:positionV>
              <wp:extent cx="656590" cy="369570"/>
              <wp:effectExtent l="0" t="0" r="10160" b="0"/>
              <wp:wrapNone/>
              <wp:docPr id="93278553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D3B184E" w14:textId="0F204955"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5E8CC" id="_x0000_t202" coordsize="21600,21600" o:spt="202" path="m,l,21600r21600,l21600,xe">
              <v:stroke joinstyle="miter"/>
              <v:path gradientshapeok="t" o:connecttype="rect"/>
            </v:shapetype>
            <v:shape id="Text Box 11" o:spid="_x0000_s1026"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6D3B184E" w14:textId="0F204955"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693F" w14:textId="6BAF862C" w:rsidR="00817104" w:rsidRDefault="00F2366D">
    <w:pPr>
      <w:pStyle w:val="Footer"/>
    </w:pPr>
    <w:r>
      <w:rPr>
        <w:noProof/>
      </w:rPr>
      <mc:AlternateContent>
        <mc:Choice Requires="wps">
          <w:drawing>
            <wp:anchor distT="0" distB="0" distL="0" distR="0" simplePos="0" relativeHeight="251658242" behindDoc="0" locked="0" layoutInCell="1" allowOverlap="1" wp14:anchorId="47BB37F3" wp14:editId="2B1CD78D">
              <wp:simplePos x="635" y="635"/>
              <wp:positionH relativeFrom="page">
                <wp:align>center</wp:align>
              </wp:positionH>
              <wp:positionV relativeFrom="page">
                <wp:align>bottom</wp:align>
              </wp:positionV>
              <wp:extent cx="656590" cy="369570"/>
              <wp:effectExtent l="0" t="0" r="10160" b="0"/>
              <wp:wrapNone/>
              <wp:docPr id="129351006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0406134" w14:textId="20DDFDE8"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B37F3" id="_x0000_t202" coordsize="21600,21600" o:spt="202" path="m,l,21600r21600,l21600,xe">
              <v:stroke joinstyle="miter"/>
              <v:path gradientshapeok="t" o:connecttype="rect"/>
            </v:shapetype>
            <v:shape id="Text Box 12" o:spid="_x0000_s1027"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60406134" w14:textId="20DDFDE8"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9BA2" w14:textId="48077541" w:rsidR="00817104" w:rsidRDefault="00F2366D">
    <w:pPr>
      <w:pStyle w:val="Footer"/>
    </w:pPr>
    <w:r>
      <w:rPr>
        <w:noProof/>
      </w:rPr>
      <mc:AlternateContent>
        <mc:Choice Requires="wps">
          <w:drawing>
            <wp:anchor distT="0" distB="0" distL="0" distR="0" simplePos="0" relativeHeight="251658240" behindDoc="0" locked="0" layoutInCell="1" allowOverlap="1" wp14:anchorId="612A1441" wp14:editId="614615D8">
              <wp:simplePos x="635" y="635"/>
              <wp:positionH relativeFrom="page">
                <wp:align>center</wp:align>
              </wp:positionH>
              <wp:positionV relativeFrom="page">
                <wp:align>bottom</wp:align>
              </wp:positionV>
              <wp:extent cx="656590" cy="369570"/>
              <wp:effectExtent l="0" t="0" r="10160" b="0"/>
              <wp:wrapNone/>
              <wp:docPr id="15869433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7143A14" w14:textId="7E04CA82"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A1441" id="_x0000_t202" coordsize="21600,21600" o:spt="202" path="m,l,21600r21600,l21600,xe">
              <v:stroke joinstyle="miter"/>
              <v:path gradientshapeok="t" o:connecttype="rect"/>
            </v:shapetype>
            <v:shape id="Text Box 10"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17143A14" w14:textId="7E04CA82"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19E7" w14:textId="2D1C41A6" w:rsidR="00817104" w:rsidRDefault="00F2366D">
    <w:pPr>
      <w:pStyle w:val="Footer"/>
    </w:pPr>
    <w:r>
      <w:rPr>
        <w:noProof/>
      </w:rPr>
      <mc:AlternateContent>
        <mc:Choice Requires="wps">
          <w:drawing>
            <wp:anchor distT="0" distB="0" distL="0" distR="0" simplePos="0" relativeHeight="251657216" behindDoc="0" locked="0" layoutInCell="1" allowOverlap="1" wp14:anchorId="300F4F94" wp14:editId="72F92DB9">
              <wp:simplePos x="635" y="635"/>
              <wp:positionH relativeFrom="page">
                <wp:align>center</wp:align>
              </wp:positionH>
              <wp:positionV relativeFrom="page">
                <wp:align>bottom</wp:align>
              </wp:positionV>
              <wp:extent cx="656590" cy="369570"/>
              <wp:effectExtent l="0" t="0" r="10160" b="0"/>
              <wp:wrapNone/>
              <wp:docPr id="174002832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10982F8" w14:textId="04F232D9"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F4F94" id="_x0000_t202" coordsize="21600,21600" o:spt="202" path="m,l,21600r21600,l21600,xe">
              <v:stroke joinstyle="miter"/>
              <v:path gradientshapeok="t" o:connecttype="rect"/>
            </v:shapetype>
            <v:shape id="Text Box 14" o:spid="_x0000_s1029" type="#_x0000_t202" alt="OFFICIAL" style="position:absolute;left:0;text-align:left;margin-left:0;margin-top:0;width:51.7pt;height:29.1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210982F8" w14:textId="04F232D9"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0CD3" w14:textId="520785A7" w:rsidR="00817104" w:rsidRDefault="00F2366D">
    <w:pPr>
      <w:pStyle w:val="Footer"/>
    </w:pPr>
    <w:r>
      <w:rPr>
        <w:noProof/>
      </w:rPr>
      <mc:AlternateContent>
        <mc:Choice Requires="wps">
          <w:drawing>
            <wp:anchor distT="0" distB="0" distL="0" distR="0" simplePos="0" relativeHeight="251661312" behindDoc="0" locked="0" layoutInCell="1" allowOverlap="1" wp14:anchorId="059F4405" wp14:editId="3F66FABB">
              <wp:simplePos x="635" y="635"/>
              <wp:positionH relativeFrom="page">
                <wp:align>center</wp:align>
              </wp:positionH>
              <wp:positionV relativeFrom="page">
                <wp:align>bottom</wp:align>
              </wp:positionV>
              <wp:extent cx="656590" cy="369570"/>
              <wp:effectExtent l="0" t="0" r="10160" b="0"/>
              <wp:wrapNone/>
              <wp:docPr id="97378597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74D90F1" w14:textId="65BE2538"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9F4405" id="_x0000_t202" coordsize="21600,21600" o:spt="202" path="m,l,21600r21600,l21600,xe">
              <v:stroke joinstyle="miter"/>
              <v:path gradientshapeok="t" o:connecttype="rect"/>
            </v:shapetype>
            <v:shape id="Text Box 15" o:spid="_x0000_s1030"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274D90F1" w14:textId="65BE2538"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D786" w14:textId="2CFB4412" w:rsidR="00817104" w:rsidRDefault="008171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9522" w14:textId="5BC98A49" w:rsidR="00D63636" w:rsidRDefault="00F2366D">
    <w:pPr>
      <w:pStyle w:val="Footer"/>
    </w:pPr>
    <w:r>
      <w:rPr>
        <w:noProof/>
      </w:rPr>
      <mc:AlternateContent>
        <mc:Choice Requires="wps">
          <w:drawing>
            <wp:anchor distT="0" distB="0" distL="0" distR="0" simplePos="0" relativeHeight="251658246" behindDoc="0" locked="0" layoutInCell="1" allowOverlap="1" wp14:anchorId="5DCAF832" wp14:editId="11F3169A">
              <wp:simplePos x="635" y="635"/>
              <wp:positionH relativeFrom="page">
                <wp:align>center</wp:align>
              </wp:positionH>
              <wp:positionV relativeFrom="page">
                <wp:align>bottom</wp:align>
              </wp:positionV>
              <wp:extent cx="656590" cy="369570"/>
              <wp:effectExtent l="0" t="0" r="10160" b="0"/>
              <wp:wrapNone/>
              <wp:docPr id="110573038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EC167D4" w14:textId="5CB9396F"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AF832" id="_x0000_t202" coordsize="21600,21600" o:spt="202" path="m,l,21600r21600,l21600,xe">
              <v:stroke joinstyle="miter"/>
              <v:path gradientshapeok="t" o:connecttype="rect"/>
            </v:shapetype>
            <v:shape id="Text Box 16" o:spid="_x0000_s1031" type="#_x0000_t202" alt="OFFICIAL" style="position:absolute;left:0;text-align:left;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7EC167D4" w14:textId="5CB9396F"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F24C" w14:textId="43B18483" w:rsidR="00431A70" w:rsidRDefault="00F2366D">
    <w:pPr>
      <w:pStyle w:val="Footer"/>
    </w:pPr>
    <w:r>
      <w:rPr>
        <w:noProof/>
      </w:rPr>
      <mc:AlternateContent>
        <mc:Choice Requires="wps">
          <w:drawing>
            <wp:anchor distT="0" distB="0" distL="0" distR="0" simplePos="0" relativeHeight="251658247" behindDoc="0" locked="0" layoutInCell="1" allowOverlap="1" wp14:anchorId="0C357A4C" wp14:editId="7E415EA0">
              <wp:simplePos x="635" y="635"/>
              <wp:positionH relativeFrom="page">
                <wp:align>center</wp:align>
              </wp:positionH>
              <wp:positionV relativeFrom="page">
                <wp:align>bottom</wp:align>
              </wp:positionV>
              <wp:extent cx="656590" cy="369570"/>
              <wp:effectExtent l="0" t="0" r="10160" b="0"/>
              <wp:wrapNone/>
              <wp:docPr id="120329250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013A64" w14:textId="3029C64D"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57A4C" id="_x0000_t202" coordsize="21600,21600" o:spt="202" path="m,l,21600r21600,l21600,xe">
              <v:stroke joinstyle="miter"/>
              <v:path gradientshapeok="t" o:connecttype="rect"/>
            </v:shapetype>
            <v:shape id="Text Box 17" o:spid="_x0000_s1032" type="#_x0000_t202" alt="OFFICIAL" style="position:absolute;left:0;text-align:left;margin-left:0;margin-top:0;width:51.7pt;height:29.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1E013A64" w14:textId="3029C64D" w:rsidR="00F2366D" w:rsidRPr="00F2366D" w:rsidRDefault="00F2366D" w:rsidP="00F2366D">
                    <w:pPr>
                      <w:spacing w:after="0"/>
                      <w:rPr>
                        <w:rFonts w:ascii="Arial Black" w:eastAsia="Arial Black" w:hAnsi="Arial Black" w:cs="Arial Black"/>
                        <w:noProof/>
                        <w:color w:val="000000"/>
                        <w:sz w:val="20"/>
                      </w:rPr>
                    </w:pPr>
                    <w:r w:rsidRPr="00F2366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C34D" w14:textId="77777777" w:rsidR="008D22C3" w:rsidRDefault="008D22C3" w:rsidP="00207717">
      <w:pPr>
        <w:spacing w:before="120"/>
      </w:pPr>
      <w:r>
        <w:separator/>
      </w:r>
    </w:p>
  </w:footnote>
  <w:footnote w:type="continuationSeparator" w:id="0">
    <w:p w14:paraId="7C1FFA8A" w14:textId="77777777" w:rsidR="008D22C3" w:rsidRDefault="008D22C3">
      <w:r>
        <w:continuationSeparator/>
      </w:r>
    </w:p>
    <w:p w14:paraId="71DB78D7" w14:textId="77777777" w:rsidR="008D22C3" w:rsidRDefault="008D22C3"/>
  </w:footnote>
  <w:footnote w:type="continuationNotice" w:id="1">
    <w:p w14:paraId="23975147" w14:textId="77777777" w:rsidR="008D22C3" w:rsidRDefault="008D22C3">
      <w:pPr>
        <w:spacing w:after="0" w:line="240" w:lineRule="auto"/>
      </w:pPr>
    </w:p>
  </w:footnote>
  <w:footnote w:id="2">
    <w:p w14:paraId="26B414CF" w14:textId="77777777" w:rsidR="00817104" w:rsidRDefault="00817104" w:rsidP="00817104">
      <w:pPr>
        <w:pStyle w:val="FootnoteText"/>
      </w:pPr>
      <w:r>
        <w:rPr>
          <w:rStyle w:val="FootnoteReference"/>
        </w:rPr>
        <w:footnoteRef/>
      </w:r>
      <w:r>
        <w:t xml:space="preserve"> </w:t>
      </w:r>
      <w:r w:rsidRPr="00516FC9">
        <w:t>Ambulance Victoria’s membership subscription scheme insures patients against the costs of ambulance services.</w:t>
      </w:r>
    </w:p>
  </w:footnote>
  <w:footnote w:id="3">
    <w:p w14:paraId="658F1420" w14:textId="77777777" w:rsidR="00817104" w:rsidRPr="0054224A" w:rsidRDefault="00817104" w:rsidP="00817104">
      <w:pPr>
        <w:pStyle w:val="FootnoteText"/>
        <w:rPr>
          <w:lang w:val="en-US"/>
        </w:rPr>
      </w:pPr>
      <w:r>
        <w:rPr>
          <w:rStyle w:val="FootnoteReference"/>
        </w:rPr>
        <w:footnoteRef/>
      </w:r>
      <w:r>
        <w:t xml:space="preserve"> </w:t>
      </w:r>
      <w:r w:rsidRPr="00C85719">
        <w:rPr>
          <w:i/>
          <w:iCs/>
        </w:rPr>
        <w:t>Non-Emergency Transport and First Aid Services Act 2003</w:t>
      </w:r>
      <w:r>
        <w:rPr>
          <w:i/>
          <w:iCs/>
        </w:rPr>
        <w:t>.</w:t>
      </w:r>
    </w:p>
  </w:footnote>
  <w:footnote w:id="4">
    <w:p w14:paraId="3D04020A" w14:textId="77777777" w:rsidR="00817104" w:rsidRPr="0054224A" w:rsidRDefault="00817104" w:rsidP="00817104">
      <w:pPr>
        <w:pStyle w:val="FootnoteText"/>
        <w:rPr>
          <w:lang w:val="en-US"/>
        </w:rPr>
      </w:pPr>
      <w:r>
        <w:rPr>
          <w:rStyle w:val="FootnoteReference"/>
        </w:rPr>
        <w:footnoteRef/>
      </w:r>
      <w:r>
        <w:t xml:space="preserve"> </w:t>
      </w:r>
      <w:r w:rsidRPr="00720B51">
        <w:rPr>
          <w:i/>
          <w:iCs/>
        </w:rPr>
        <w:t>Non-Emergency Patient Transport Regulations 2026</w:t>
      </w:r>
      <w:r>
        <w:t>.</w:t>
      </w:r>
    </w:p>
  </w:footnote>
  <w:footnote w:id="5">
    <w:p w14:paraId="5DCF217B" w14:textId="77777777" w:rsidR="00817104" w:rsidRPr="000F60CA" w:rsidRDefault="00817104" w:rsidP="00817104">
      <w:pPr>
        <w:pStyle w:val="FootnoteText"/>
        <w:rPr>
          <w:lang w:val="en-US"/>
        </w:rPr>
      </w:pPr>
      <w:r>
        <w:rPr>
          <w:rStyle w:val="FootnoteReference"/>
        </w:rPr>
        <w:footnoteRef/>
      </w:r>
      <w:r>
        <w:t xml:space="preserve"> Persons who have completed </w:t>
      </w:r>
      <w:r w:rsidRPr="00B702EC">
        <w:t>HLT31120 Certificate III Non-Emergency Patient Transport (or equivalent)</w:t>
      </w:r>
    </w:p>
  </w:footnote>
  <w:footnote w:id="6">
    <w:p w14:paraId="6E446271" w14:textId="77777777" w:rsidR="00817104" w:rsidRPr="00F72A58" w:rsidRDefault="00817104" w:rsidP="00817104">
      <w:pPr>
        <w:pStyle w:val="FootnoteText"/>
      </w:pPr>
      <w:r w:rsidRPr="0031547E">
        <w:footnoteRef/>
      </w:r>
      <w:r w:rsidRPr="0031547E">
        <w:t xml:space="preserve"> State of Victoria</w:t>
      </w:r>
      <w:r>
        <w:t>, 2021</w:t>
      </w:r>
      <w:r w:rsidRPr="0031547E">
        <w:t xml:space="preserve">, </w:t>
      </w:r>
      <w:r w:rsidRPr="00E023BD">
        <w:rPr>
          <w:i/>
          <w:iCs/>
        </w:rPr>
        <w:t>The</w:t>
      </w:r>
      <w:r w:rsidRPr="006F36D1">
        <w:t xml:space="preserve"> </w:t>
      </w:r>
      <w:r w:rsidRPr="00E023BD">
        <w:rPr>
          <w:i/>
          <w:iCs/>
        </w:rPr>
        <w:t>Royal Commission into Victoria's Mental Health System</w:t>
      </w:r>
      <w:r w:rsidRPr="007A29DD">
        <w:rPr>
          <w:i/>
          <w:iCs/>
        </w:rPr>
        <w:t xml:space="preserve"> </w:t>
      </w:r>
      <w:r>
        <w:rPr>
          <w:i/>
          <w:iCs/>
        </w:rPr>
        <w:t>f</w:t>
      </w:r>
      <w:r w:rsidRPr="007A29DD">
        <w:rPr>
          <w:i/>
          <w:iCs/>
        </w:rPr>
        <w:t xml:space="preserve">inal </w:t>
      </w:r>
      <w:r>
        <w:rPr>
          <w:i/>
          <w:iCs/>
        </w:rPr>
        <w:t>r</w:t>
      </w:r>
      <w:r w:rsidRPr="007A29DD">
        <w:rPr>
          <w:i/>
          <w:iCs/>
        </w:rPr>
        <w:t>eport</w:t>
      </w:r>
      <w:r w:rsidRPr="0031547E">
        <w:t xml:space="preserve">, </w:t>
      </w:r>
      <w:r>
        <w:t>vol.</w:t>
      </w:r>
      <w:r w:rsidRPr="0031547E">
        <w:t xml:space="preserve"> 1: A new approach to mental health and wellbeing in Victoria, Parl</w:t>
      </w:r>
      <w:r>
        <w:t>.</w:t>
      </w:r>
      <w:r w:rsidRPr="0031547E">
        <w:t xml:space="preserve"> Paper</w:t>
      </w:r>
      <w:r>
        <w:t xml:space="preserve"> </w:t>
      </w:r>
      <w:r w:rsidRPr="0031547E">
        <w:t>No. 202, Session 2018–21 (document 2 of 6), p. 249.</w:t>
      </w:r>
    </w:p>
  </w:footnote>
  <w:footnote w:id="7">
    <w:p w14:paraId="5081856E" w14:textId="77777777" w:rsidR="00817104" w:rsidRDefault="00817104" w:rsidP="00817104">
      <w:pPr>
        <w:pStyle w:val="FootnoteText"/>
      </w:pPr>
      <w:r w:rsidRPr="00715A14">
        <w:rPr>
          <w:vertAlign w:val="superscript"/>
        </w:rPr>
        <w:footnoteRef/>
      </w:r>
      <w:r>
        <w:t xml:space="preserve"> Health services are to contact finance departments to obtain the circular 23/2009.</w:t>
      </w:r>
    </w:p>
  </w:footnote>
  <w:footnote w:id="8">
    <w:p w14:paraId="6256357C" w14:textId="77777777" w:rsidR="00817104" w:rsidRDefault="00817104" w:rsidP="00817104">
      <w:pPr>
        <w:pStyle w:val="FootnoteText"/>
      </w:pPr>
      <w:r>
        <w:rPr>
          <w:rStyle w:val="FootnoteReference"/>
        </w:rPr>
        <w:footnoteRef/>
      </w:r>
      <w:r>
        <w:t xml:space="preserve"> See </w:t>
      </w:r>
      <w:hyperlink r:id="rId1" w:history="1">
        <w:r w:rsidRPr="00106BC1">
          <w:rPr>
            <w:rStyle w:val="Hyperlink"/>
          </w:rPr>
          <w:t>Victorian health workforce strategy</w:t>
        </w:r>
      </w:hyperlink>
      <w:r>
        <w:t xml:space="preserve"> &lt;</w:t>
      </w:r>
      <w:r w:rsidRPr="00106BC1">
        <w:t>https://www.health.vic.gov.au/victorian-health-workforce-strategy</w:t>
      </w:r>
      <w:r>
        <w:t xml:space="preserve">&gt;. </w:t>
      </w:r>
    </w:p>
  </w:footnote>
  <w:footnote w:id="9">
    <w:p w14:paraId="204EB788" w14:textId="77777777" w:rsidR="00817104" w:rsidRDefault="00817104" w:rsidP="00817104">
      <w:pPr>
        <w:pStyle w:val="FootnoteText"/>
      </w:pPr>
      <w:r>
        <w:rPr>
          <w:rStyle w:val="FootnoteReference"/>
        </w:rPr>
        <w:footnoteRef/>
      </w:r>
      <w:r>
        <w:t xml:space="preserve"> Those health services will be directly notified of this expectation by the department. </w:t>
      </w:r>
    </w:p>
  </w:footnote>
  <w:footnote w:id="10">
    <w:p w14:paraId="06E39BF3" w14:textId="77777777" w:rsidR="00817104" w:rsidRDefault="00817104" w:rsidP="00817104">
      <w:pPr>
        <w:pStyle w:val="FootnoteText"/>
      </w:pPr>
      <w:r>
        <w:rPr>
          <w:rStyle w:val="FootnoteReference"/>
        </w:rPr>
        <w:footnoteRef/>
      </w:r>
      <w:r>
        <w:t xml:space="preserve"> See </w:t>
      </w:r>
      <w:hyperlink r:id="rId2" w:history="1">
        <w:r w:rsidRPr="00BA5B33">
          <w:rPr>
            <w:rStyle w:val="Hyperlink"/>
            <w:i/>
            <w:iCs/>
          </w:rPr>
          <w:t>Barring Djinang: First Peoples Workforce Development Framework</w:t>
        </w:r>
      </w:hyperlink>
      <w:r w:rsidRPr="00497871">
        <w:t xml:space="preserve"> </w:t>
      </w:r>
      <w:r>
        <w:t>&lt;</w:t>
      </w:r>
      <w:r w:rsidRPr="000557AF">
        <w:t>https://vpsc.vic.gov.au/workforce-programs/first-peoples-workforce/barring-djinang-first-peoples-workforce-development-framework/</w:t>
      </w:r>
      <w:r>
        <w:t>&gt;.</w:t>
      </w:r>
    </w:p>
  </w:footnote>
  <w:footnote w:id="11">
    <w:p w14:paraId="64E26DF3" w14:textId="77777777" w:rsidR="00817104" w:rsidRDefault="00817104" w:rsidP="00817104">
      <w:pPr>
        <w:pStyle w:val="FootnoteText"/>
      </w:pPr>
      <w:r>
        <w:rPr>
          <w:rStyle w:val="FootnoteReference"/>
        </w:rPr>
        <w:footnoteRef/>
      </w:r>
      <w:r>
        <w:t xml:space="preserve"> See </w:t>
      </w:r>
      <w:hyperlink r:id="rId3">
        <w:r w:rsidRPr="0670E279">
          <w:rPr>
            <w:rStyle w:val="Hyperlink"/>
          </w:rPr>
          <w:t>NSQHS Standards User guide for Aboriginal and Torres Strait Islander health</w:t>
        </w:r>
      </w:hyperlink>
      <w:r w:rsidRPr="00BD2EA7">
        <w:t xml:space="preserve"> &lt;https://www.safetyandquality.gov.au/publications-and-resources/resource-library/nsqhs-standards-user-guide-aboriginal-and-torres-strait-islander-health&gt;.</w:t>
      </w:r>
    </w:p>
  </w:footnote>
  <w:footnote w:id="12">
    <w:p w14:paraId="5DA0F7B7" w14:textId="77777777" w:rsidR="00817104" w:rsidRDefault="00817104" w:rsidP="00817104">
      <w:pPr>
        <w:pStyle w:val="FootnoteText"/>
      </w:pPr>
      <w:r w:rsidRPr="00BA5B33">
        <w:rPr>
          <w:vertAlign w:val="superscript"/>
        </w:rPr>
        <w:footnoteRef/>
      </w:r>
      <w:r>
        <w:t xml:space="preserve"> </w:t>
      </w:r>
      <w:hyperlink r:id="rId4" w:history="1">
        <w:r w:rsidRPr="001E5BBB">
          <w:rPr>
            <w:rStyle w:val="Hyperlink"/>
          </w:rPr>
          <w:t>The health and wellbeing of the LGBTIQ+ population in Victoria: findings from the Victorian Population Health Survey 2017</w:t>
        </w:r>
      </w:hyperlink>
      <w:r>
        <w:t xml:space="preserve"> &lt;https://vahi.vic.gov.au/report/population-health/health-and-wellbeing-lgbtiq-population-victoria&gt;.</w:t>
      </w:r>
    </w:p>
  </w:footnote>
  <w:footnote w:id="13">
    <w:p w14:paraId="034C0BAA" w14:textId="77777777" w:rsidR="00817104" w:rsidRDefault="00817104" w:rsidP="00817104">
      <w:pPr>
        <w:pStyle w:val="FootnoteText"/>
      </w:pPr>
      <w:r w:rsidRPr="00804DB3">
        <w:rPr>
          <w:vertAlign w:val="superscript"/>
        </w:rPr>
        <w:footnoteRef/>
      </w:r>
      <w:r w:rsidRPr="00004018">
        <w:t xml:space="preserve"> A</w:t>
      </w:r>
      <w:r>
        <w:t xml:space="preserve"> registered account with login and password is required to access the portal.</w:t>
      </w:r>
    </w:p>
  </w:footnote>
  <w:footnote w:id="14">
    <w:p w14:paraId="1768269E" w14:textId="77777777" w:rsidR="00817104" w:rsidRDefault="00817104" w:rsidP="00817104">
      <w:pPr>
        <w:pStyle w:val="FootnoteText"/>
      </w:pPr>
      <w:r>
        <w:footnoteRef/>
      </w:r>
      <w:r>
        <w:t xml:space="preserve"> Final cut-off dates for the estimates trial balance submission that will contribute to the 30 June year-end cap will be communicated separately. These submissions will contribute to the determination of the current financial year revised budget numbers, as part of the State of Victoria Budget Papers preparation process.</w:t>
      </w:r>
    </w:p>
  </w:footnote>
  <w:footnote w:id="15">
    <w:p w14:paraId="119E352C" w14:textId="77777777" w:rsidR="00817104" w:rsidRDefault="00817104" w:rsidP="00817104">
      <w:pPr>
        <w:pStyle w:val="FootnoteText"/>
      </w:pPr>
      <w:r>
        <w:footnoteRef/>
      </w:r>
      <w:r>
        <w:t xml:space="preserve"> The</w:t>
      </w:r>
      <w:r w:rsidRPr="001B1D84">
        <w:t xml:space="preserve"> </w:t>
      </w:r>
      <w:r w:rsidRPr="00804619">
        <w:t>health and human services climate change adaptation action plan</w:t>
      </w:r>
      <w:r>
        <w:t xml:space="preserve"> is updated every five years. A new adaptation action plan is expected in 2026. This may have additional requirements applicable to health services. </w:t>
      </w:r>
    </w:p>
  </w:footnote>
  <w:footnote w:id="16">
    <w:p w14:paraId="7D6AA52F" w14:textId="77777777" w:rsidR="00817104" w:rsidRDefault="00817104" w:rsidP="00817104">
      <w:pPr>
        <w:pStyle w:val="FootnoteText"/>
      </w:pPr>
      <w:r>
        <w:rPr>
          <w:rStyle w:val="FootnoteReference"/>
        </w:rPr>
        <w:footnoteRef/>
      </w:r>
      <w:r>
        <w:t xml:space="preserve"> Cyber and Infrastructure Security Centre, </w:t>
      </w:r>
      <w:hyperlink r:id="rId5" w:history="1">
        <w:r w:rsidRPr="00804619">
          <w:rPr>
            <w:rStyle w:val="Hyperlink"/>
            <w:i/>
            <w:iCs/>
          </w:rPr>
          <w:t>Critical Infrastructure Annual Risk Review</w:t>
        </w:r>
      </w:hyperlink>
      <w:r>
        <w:t>, Second Edition, November 2024, accessible at &lt;</w:t>
      </w:r>
      <w:r w:rsidRPr="00876EA2">
        <w:t>https://apo.org.au/node/328968</w:t>
      </w:r>
      <w:r>
        <w:t>&gt;.</w:t>
      </w:r>
      <w:r w:rsidRPr="00876EA2" w:rsidDel="00876EA2">
        <w:t xml:space="preserve"> </w:t>
      </w:r>
    </w:p>
  </w:footnote>
  <w:footnote w:id="17">
    <w:p w14:paraId="7F4FF1DC" w14:textId="77777777" w:rsidR="00817104" w:rsidRDefault="00817104" w:rsidP="00817104">
      <w:pPr>
        <w:pStyle w:val="FootnoteText"/>
      </w:pPr>
      <w:r>
        <w:rPr>
          <w:rStyle w:val="FootnoteReference"/>
        </w:rPr>
        <w:footnoteRef/>
      </w:r>
      <w:r>
        <w:t xml:space="preserve"> Australian Security Intelligence Organisation, </w:t>
      </w:r>
      <w:hyperlink r:id="rId6" w:history="1">
        <w:r w:rsidRPr="00716949">
          <w:rPr>
            <w:rStyle w:val="Hyperlink"/>
          </w:rPr>
          <w:t>Director-General's Annual Threat Assessment 2025</w:t>
        </w:r>
      </w:hyperlink>
      <w:r>
        <w:t>, accessible at &lt;</w:t>
      </w:r>
      <w:r w:rsidRPr="004B7F25">
        <w:t>https://www.asio.gov.au/director-generals-annual-threat-assessment-2025</w:t>
      </w:r>
      <w:r>
        <w:t>&gt;.</w:t>
      </w:r>
    </w:p>
  </w:footnote>
  <w:footnote w:id="18">
    <w:p w14:paraId="38FE7371" w14:textId="77777777" w:rsidR="00817104" w:rsidRDefault="00817104" w:rsidP="00817104">
      <w:pPr>
        <w:pStyle w:val="FootnoteText"/>
      </w:pPr>
      <w:r w:rsidRPr="004B3786">
        <w:rPr>
          <w:vertAlign w:val="superscript"/>
        </w:rPr>
        <w:footnoteRef/>
      </w:r>
      <w:r>
        <w:t xml:space="preserve"> The increase excludes the impact of bond rate and probability factors (revaluations).</w:t>
      </w:r>
    </w:p>
  </w:footnote>
  <w:footnote w:id="19">
    <w:p w14:paraId="149F8CE5" w14:textId="77777777" w:rsidR="00817104" w:rsidRDefault="00817104" w:rsidP="00817104">
      <w:pPr>
        <w:pStyle w:val="FootnoteText"/>
      </w:pPr>
      <w:r w:rsidRPr="00477CA3">
        <w:rPr>
          <w:vertAlign w:val="superscript"/>
        </w:rPr>
        <w:footnoteRef/>
      </w:r>
      <w:r w:rsidRPr="00477CA3">
        <w:rPr>
          <w:vertAlign w:val="superscript"/>
        </w:rPr>
        <w:t xml:space="preserve"> </w:t>
      </w:r>
      <w:r>
        <w:t xml:space="preserve">A registered account with login details is required to access the portal. </w:t>
      </w:r>
    </w:p>
  </w:footnote>
  <w:footnote w:id="20">
    <w:p w14:paraId="47ECF4AC" w14:textId="77777777" w:rsidR="00817104" w:rsidRDefault="00817104" w:rsidP="00817104">
      <w:pPr>
        <w:pStyle w:val="FootnoteText"/>
      </w:pPr>
      <w:r w:rsidRPr="00AD11D3">
        <w:rPr>
          <w:vertAlign w:val="superscript"/>
        </w:rPr>
        <w:footnoteRef/>
      </w:r>
      <w:r w:rsidRPr="00AD11D3">
        <w:rPr>
          <w:vertAlign w:val="superscript"/>
        </w:rPr>
        <w:t xml:space="preserve"> </w:t>
      </w:r>
      <w:r>
        <w:t>A</w:t>
      </w:r>
      <w:r w:rsidRPr="00F9507D">
        <w:t>ssisted reproductive treatment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DF6A" w14:textId="5DEE1CB8" w:rsidR="00BA77EC" w:rsidRDefault="00BA77EC">
    <w:pPr>
      <w:pStyle w:val="Header"/>
    </w:pPr>
    <w:r>
      <w:t xml:space="preserve">Policy and funding guidelines 2026–27: </w:t>
    </w:r>
    <w:r>
      <w:t>P</w:t>
    </w:r>
    <w:r>
      <w:t>olicy guide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F0A6" w14:textId="77777777" w:rsidR="00431A70" w:rsidRPr="00454A7D" w:rsidRDefault="00431A70" w:rsidP="00454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30C2" w14:textId="6C2917A3" w:rsidR="00562811" w:rsidRPr="0051568D" w:rsidRDefault="0054715E" w:rsidP="0017674D">
    <w:pPr>
      <w:pStyle w:val="Header"/>
    </w:pPr>
    <w:r>
      <w:t>Policy and funding guidelines 202</w:t>
    </w:r>
    <w:r w:rsidR="00146D56">
      <w:t>6</w:t>
    </w:r>
    <w:r>
      <w:t>–2</w:t>
    </w:r>
    <w:r w:rsidR="00146D56">
      <w:t>7</w:t>
    </w:r>
    <w:r>
      <w:t xml:space="preserve">: </w:t>
    </w:r>
    <w:r w:rsidR="00B11187">
      <w:t>P</w:t>
    </w:r>
    <w:r>
      <w:t>olicy guide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C05FC"/>
    <w:multiLevelType w:val="hybridMultilevel"/>
    <w:tmpl w:val="845D1A1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07F22"/>
    <w:multiLevelType w:val="hybridMultilevel"/>
    <w:tmpl w:val="FBE2C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50056"/>
    <w:multiLevelType w:val="multilevel"/>
    <w:tmpl w:val="0AAE1EBA"/>
    <w:numStyleLink w:val="ZZNumbersloweralpha"/>
  </w:abstractNum>
  <w:abstractNum w:abstractNumId="3" w15:restartNumberingAfterBreak="0">
    <w:nsid w:val="048A6377"/>
    <w:multiLevelType w:val="multilevel"/>
    <w:tmpl w:val="0C09001D"/>
    <w:styleLink w:val="Heading31"/>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8D43DB"/>
    <w:multiLevelType w:val="multilevel"/>
    <w:tmpl w:val="B33A2DBC"/>
    <w:numStyleLink w:val="ZZNumbersdigit"/>
  </w:abstractNum>
  <w:abstractNum w:abstractNumId="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D81128B"/>
    <w:multiLevelType w:val="hybridMultilevel"/>
    <w:tmpl w:val="197E6262"/>
    <w:lvl w:ilvl="0" w:tplc="331E9218">
      <w:start w:val="1"/>
      <w:numFmt w:val="bullet"/>
      <w:lvlText w:val="•"/>
      <w:lvlJc w:val="left"/>
      <w:pPr>
        <w:ind w:left="227" w:hanging="360"/>
      </w:pPr>
      <w:rPr>
        <w:rFonts w:ascii="Calibri" w:hAnsi="Calibri" w:hint="default"/>
      </w:rPr>
    </w:lvl>
    <w:lvl w:ilvl="1" w:tplc="0C090003" w:tentative="1">
      <w:start w:val="1"/>
      <w:numFmt w:val="bullet"/>
      <w:lvlText w:val="o"/>
      <w:lvlJc w:val="left"/>
      <w:pPr>
        <w:ind w:left="947" w:hanging="360"/>
      </w:pPr>
      <w:rPr>
        <w:rFonts w:ascii="Courier New" w:hAnsi="Courier New" w:cs="Courier New" w:hint="default"/>
      </w:rPr>
    </w:lvl>
    <w:lvl w:ilvl="2" w:tplc="0C090005" w:tentative="1">
      <w:start w:val="1"/>
      <w:numFmt w:val="bullet"/>
      <w:lvlText w:val=""/>
      <w:lvlJc w:val="left"/>
      <w:pPr>
        <w:ind w:left="1667" w:hanging="360"/>
      </w:pPr>
      <w:rPr>
        <w:rFonts w:ascii="Wingdings" w:hAnsi="Wingdings" w:hint="default"/>
      </w:rPr>
    </w:lvl>
    <w:lvl w:ilvl="3" w:tplc="0C090001" w:tentative="1">
      <w:start w:val="1"/>
      <w:numFmt w:val="bullet"/>
      <w:lvlText w:val=""/>
      <w:lvlJc w:val="left"/>
      <w:pPr>
        <w:ind w:left="2387" w:hanging="360"/>
      </w:pPr>
      <w:rPr>
        <w:rFonts w:ascii="Symbol" w:hAnsi="Symbol" w:hint="default"/>
      </w:rPr>
    </w:lvl>
    <w:lvl w:ilvl="4" w:tplc="0C090003" w:tentative="1">
      <w:start w:val="1"/>
      <w:numFmt w:val="bullet"/>
      <w:lvlText w:val="o"/>
      <w:lvlJc w:val="left"/>
      <w:pPr>
        <w:ind w:left="3107" w:hanging="360"/>
      </w:pPr>
      <w:rPr>
        <w:rFonts w:ascii="Courier New" w:hAnsi="Courier New" w:cs="Courier New" w:hint="default"/>
      </w:rPr>
    </w:lvl>
    <w:lvl w:ilvl="5" w:tplc="0C090005" w:tentative="1">
      <w:start w:val="1"/>
      <w:numFmt w:val="bullet"/>
      <w:lvlText w:val=""/>
      <w:lvlJc w:val="left"/>
      <w:pPr>
        <w:ind w:left="3827" w:hanging="360"/>
      </w:pPr>
      <w:rPr>
        <w:rFonts w:ascii="Wingdings" w:hAnsi="Wingdings" w:hint="default"/>
      </w:rPr>
    </w:lvl>
    <w:lvl w:ilvl="6" w:tplc="0C090001" w:tentative="1">
      <w:start w:val="1"/>
      <w:numFmt w:val="bullet"/>
      <w:lvlText w:val=""/>
      <w:lvlJc w:val="left"/>
      <w:pPr>
        <w:ind w:left="4547" w:hanging="360"/>
      </w:pPr>
      <w:rPr>
        <w:rFonts w:ascii="Symbol" w:hAnsi="Symbol" w:hint="default"/>
      </w:rPr>
    </w:lvl>
    <w:lvl w:ilvl="7" w:tplc="0C090003" w:tentative="1">
      <w:start w:val="1"/>
      <w:numFmt w:val="bullet"/>
      <w:lvlText w:val="o"/>
      <w:lvlJc w:val="left"/>
      <w:pPr>
        <w:ind w:left="5267" w:hanging="360"/>
      </w:pPr>
      <w:rPr>
        <w:rFonts w:ascii="Courier New" w:hAnsi="Courier New" w:cs="Courier New" w:hint="default"/>
      </w:rPr>
    </w:lvl>
    <w:lvl w:ilvl="8" w:tplc="0C090005" w:tentative="1">
      <w:start w:val="1"/>
      <w:numFmt w:val="bullet"/>
      <w:lvlText w:val=""/>
      <w:lvlJc w:val="left"/>
      <w:pPr>
        <w:ind w:left="5987" w:hanging="360"/>
      </w:pPr>
      <w:rPr>
        <w:rFonts w:ascii="Wingdings" w:hAnsi="Wingdings" w:hint="default"/>
      </w:rPr>
    </w:lvl>
  </w:abstractNum>
  <w:abstractNum w:abstractNumId="7" w15:restartNumberingAfterBreak="0">
    <w:nsid w:val="274F319D"/>
    <w:multiLevelType w:val="hybridMultilevel"/>
    <w:tmpl w:val="3758B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A65F75"/>
    <w:multiLevelType w:val="hybridMultilevel"/>
    <w:tmpl w:val="ECE23F1A"/>
    <w:lvl w:ilvl="0" w:tplc="331E9218">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D255C0A"/>
    <w:multiLevelType w:val="multilevel"/>
    <w:tmpl w:val="C17070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6107" w:hanging="720"/>
      </w:pPr>
      <w:rPr>
        <w:b w:val="0"/>
        <w:b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41611C2"/>
    <w:multiLevelType w:val="multilevel"/>
    <w:tmpl w:val="350ED9F2"/>
    <w:styleLink w:val="ZZTable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17056B8"/>
    <w:multiLevelType w:val="hybridMultilevel"/>
    <w:tmpl w:val="205CD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746B0193"/>
    <w:multiLevelType w:val="hybridMultilevel"/>
    <w:tmpl w:val="08EC9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5791053">
    <w:abstractNumId w:val="8"/>
  </w:num>
  <w:num w:numId="2" w16cid:durableId="1958678138">
    <w:abstractNumId w:val="13"/>
  </w:num>
  <w:num w:numId="3" w16cid:durableId="567348673">
    <w:abstractNumId w:val="12"/>
  </w:num>
  <w:num w:numId="4" w16cid:durableId="948663205">
    <w:abstractNumId w:val="15"/>
  </w:num>
  <w:num w:numId="5" w16cid:durableId="1104885484">
    <w:abstractNumId w:val="9"/>
  </w:num>
  <w:num w:numId="6" w16cid:durableId="367535064">
    <w:abstractNumId w:val="5"/>
  </w:num>
  <w:num w:numId="7" w16cid:durableId="466092084">
    <w:abstractNumId w:val="3"/>
  </w:num>
  <w:num w:numId="8" w16cid:durableId="699742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7508985">
    <w:abstractNumId w:val="11"/>
  </w:num>
  <w:num w:numId="10" w16cid:durableId="695353950">
    <w:abstractNumId w:val="13"/>
  </w:num>
  <w:num w:numId="11" w16cid:durableId="713887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3772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795818">
    <w:abstractNumId w:val="14"/>
  </w:num>
  <w:num w:numId="14" w16cid:durableId="1910073217">
    <w:abstractNumId w:val="1"/>
  </w:num>
  <w:num w:numId="15" w16cid:durableId="837622472">
    <w:abstractNumId w:val="7"/>
  </w:num>
  <w:num w:numId="16" w16cid:durableId="211314317">
    <w:abstractNumId w:val="16"/>
  </w:num>
  <w:num w:numId="17" w16cid:durableId="1098717726">
    <w:abstractNumId w:val="6"/>
  </w:num>
  <w:num w:numId="18" w16cid:durableId="139959314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GB" w:vendorID="64" w:dllVersion="0" w:nlCheck="1" w:checkStyle="0"/>
  <w:activeWritingStyle w:appName="MSWord" w:lang="en-A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1134"/>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32"/>
    <w:rsid w:val="00000719"/>
    <w:rsid w:val="00001128"/>
    <w:rsid w:val="000011CA"/>
    <w:rsid w:val="00002230"/>
    <w:rsid w:val="0000237F"/>
    <w:rsid w:val="00002585"/>
    <w:rsid w:val="00002D68"/>
    <w:rsid w:val="0000319C"/>
    <w:rsid w:val="000033F7"/>
    <w:rsid w:val="00003403"/>
    <w:rsid w:val="00004A56"/>
    <w:rsid w:val="00004AEB"/>
    <w:rsid w:val="00004C60"/>
    <w:rsid w:val="00004E95"/>
    <w:rsid w:val="00005347"/>
    <w:rsid w:val="000063A5"/>
    <w:rsid w:val="00006CCA"/>
    <w:rsid w:val="00007153"/>
    <w:rsid w:val="000072B6"/>
    <w:rsid w:val="000075FA"/>
    <w:rsid w:val="00007A87"/>
    <w:rsid w:val="00007CD8"/>
    <w:rsid w:val="00007D29"/>
    <w:rsid w:val="00007E33"/>
    <w:rsid w:val="00007F72"/>
    <w:rsid w:val="0001021B"/>
    <w:rsid w:val="000109BD"/>
    <w:rsid w:val="00011C50"/>
    <w:rsid w:val="00011D89"/>
    <w:rsid w:val="000129FF"/>
    <w:rsid w:val="00012A55"/>
    <w:rsid w:val="000131E1"/>
    <w:rsid w:val="00013ADF"/>
    <w:rsid w:val="00013C3F"/>
    <w:rsid w:val="000154FD"/>
    <w:rsid w:val="00015AC0"/>
    <w:rsid w:val="00015AF7"/>
    <w:rsid w:val="00015C31"/>
    <w:rsid w:val="000166CE"/>
    <w:rsid w:val="00016813"/>
    <w:rsid w:val="0002042C"/>
    <w:rsid w:val="00020E2D"/>
    <w:rsid w:val="00021484"/>
    <w:rsid w:val="00022271"/>
    <w:rsid w:val="000225F3"/>
    <w:rsid w:val="00022CF8"/>
    <w:rsid w:val="0002308F"/>
    <w:rsid w:val="000235E8"/>
    <w:rsid w:val="00023B7C"/>
    <w:rsid w:val="00024485"/>
    <w:rsid w:val="00024D89"/>
    <w:rsid w:val="00024E25"/>
    <w:rsid w:val="000250B6"/>
    <w:rsid w:val="000251AE"/>
    <w:rsid w:val="00025DCA"/>
    <w:rsid w:val="00026409"/>
    <w:rsid w:val="00026540"/>
    <w:rsid w:val="00026C85"/>
    <w:rsid w:val="00026DCA"/>
    <w:rsid w:val="00027E8B"/>
    <w:rsid w:val="00030758"/>
    <w:rsid w:val="000307D0"/>
    <w:rsid w:val="00030CDD"/>
    <w:rsid w:val="00031263"/>
    <w:rsid w:val="00031798"/>
    <w:rsid w:val="00031B10"/>
    <w:rsid w:val="00031DE7"/>
    <w:rsid w:val="00031E2B"/>
    <w:rsid w:val="00032323"/>
    <w:rsid w:val="00032BF2"/>
    <w:rsid w:val="00032EC1"/>
    <w:rsid w:val="00033356"/>
    <w:rsid w:val="000333B7"/>
    <w:rsid w:val="000337B4"/>
    <w:rsid w:val="00033D81"/>
    <w:rsid w:val="00033DC9"/>
    <w:rsid w:val="00035045"/>
    <w:rsid w:val="000351C3"/>
    <w:rsid w:val="00036029"/>
    <w:rsid w:val="000361AF"/>
    <w:rsid w:val="000366DB"/>
    <w:rsid w:val="000367B7"/>
    <w:rsid w:val="00036A14"/>
    <w:rsid w:val="00036BD2"/>
    <w:rsid w:val="000370A8"/>
    <w:rsid w:val="00037366"/>
    <w:rsid w:val="000409CC"/>
    <w:rsid w:val="00040B0E"/>
    <w:rsid w:val="00040E17"/>
    <w:rsid w:val="00040EDC"/>
    <w:rsid w:val="0004143D"/>
    <w:rsid w:val="000416ED"/>
    <w:rsid w:val="00041BF0"/>
    <w:rsid w:val="00042C5B"/>
    <w:rsid w:val="00042C8A"/>
    <w:rsid w:val="00042D02"/>
    <w:rsid w:val="00042DC2"/>
    <w:rsid w:val="00043D67"/>
    <w:rsid w:val="0004433E"/>
    <w:rsid w:val="0004536B"/>
    <w:rsid w:val="000453AF"/>
    <w:rsid w:val="000455BE"/>
    <w:rsid w:val="0004567E"/>
    <w:rsid w:val="000457DA"/>
    <w:rsid w:val="000459FA"/>
    <w:rsid w:val="00045DA2"/>
    <w:rsid w:val="00046B68"/>
    <w:rsid w:val="00046B8D"/>
    <w:rsid w:val="0004787E"/>
    <w:rsid w:val="00047F28"/>
    <w:rsid w:val="00047F75"/>
    <w:rsid w:val="00050B41"/>
    <w:rsid w:val="000511DC"/>
    <w:rsid w:val="000517C1"/>
    <w:rsid w:val="00051993"/>
    <w:rsid w:val="00051CCD"/>
    <w:rsid w:val="00051D5E"/>
    <w:rsid w:val="00052110"/>
    <w:rsid w:val="000527DD"/>
    <w:rsid w:val="00052FDA"/>
    <w:rsid w:val="000530D2"/>
    <w:rsid w:val="00053447"/>
    <w:rsid w:val="000535DE"/>
    <w:rsid w:val="00053975"/>
    <w:rsid w:val="00054316"/>
    <w:rsid w:val="0005486D"/>
    <w:rsid w:val="00054971"/>
    <w:rsid w:val="0005505D"/>
    <w:rsid w:val="000550C4"/>
    <w:rsid w:val="000553FC"/>
    <w:rsid w:val="000557AF"/>
    <w:rsid w:val="00056EC4"/>
    <w:rsid w:val="000578B2"/>
    <w:rsid w:val="0005792B"/>
    <w:rsid w:val="00060637"/>
    <w:rsid w:val="00060935"/>
    <w:rsid w:val="00060959"/>
    <w:rsid w:val="00060B78"/>
    <w:rsid w:val="00060C8F"/>
    <w:rsid w:val="00060F7E"/>
    <w:rsid w:val="00061278"/>
    <w:rsid w:val="0006146C"/>
    <w:rsid w:val="0006156D"/>
    <w:rsid w:val="00061918"/>
    <w:rsid w:val="000627A3"/>
    <w:rsid w:val="0006298A"/>
    <w:rsid w:val="00063060"/>
    <w:rsid w:val="00065AAD"/>
    <w:rsid w:val="000663CD"/>
    <w:rsid w:val="00066769"/>
    <w:rsid w:val="0006738C"/>
    <w:rsid w:val="00067ECA"/>
    <w:rsid w:val="000707C9"/>
    <w:rsid w:val="00071098"/>
    <w:rsid w:val="000731BB"/>
    <w:rsid w:val="000733FE"/>
    <w:rsid w:val="00073745"/>
    <w:rsid w:val="0007397F"/>
    <w:rsid w:val="00073B25"/>
    <w:rsid w:val="000740FF"/>
    <w:rsid w:val="00074219"/>
    <w:rsid w:val="00074A82"/>
    <w:rsid w:val="00074ED5"/>
    <w:rsid w:val="000762A6"/>
    <w:rsid w:val="0007673B"/>
    <w:rsid w:val="000769FF"/>
    <w:rsid w:val="00077176"/>
    <w:rsid w:val="00077735"/>
    <w:rsid w:val="00077755"/>
    <w:rsid w:val="00077F37"/>
    <w:rsid w:val="000809C1"/>
    <w:rsid w:val="00080D3D"/>
    <w:rsid w:val="0008146D"/>
    <w:rsid w:val="000818AA"/>
    <w:rsid w:val="0008204A"/>
    <w:rsid w:val="00083170"/>
    <w:rsid w:val="00083A1C"/>
    <w:rsid w:val="00083F01"/>
    <w:rsid w:val="000840AE"/>
    <w:rsid w:val="00084359"/>
    <w:rsid w:val="00084694"/>
    <w:rsid w:val="00084E08"/>
    <w:rsid w:val="00084FB4"/>
    <w:rsid w:val="0008508E"/>
    <w:rsid w:val="0008551E"/>
    <w:rsid w:val="00085F15"/>
    <w:rsid w:val="000867D0"/>
    <w:rsid w:val="00087951"/>
    <w:rsid w:val="000902E7"/>
    <w:rsid w:val="000904E9"/>
    <w:rsid w:val="000908A6"/>
    <w:rsid w:val="0009113B"/>
    <w:rsid w:val="000919CA"/>
    <w:rsid w:val="00091BC1"/>
    <w:rsid w:val="0009228B"/>
    <w:rsid w:val="00093402"/>
    <w:rsid w:val="00093630"/>
    <w:rsid w:val="00093E79"/>
    <w:rsid w:val="00093F0E"/>
    <w:rsid w:val="000943AB"/>
    <w:rsid w:val="00094DA3"/>
    <w:rsid w:val="000951F6"/>
    <w:rsid w:val="00095249"/>
    <w:rsid w:val="0009628A"/>
    <w:rsid w:val="000964D0"/>
    <w:rsid w:val="000965E2"/>
    <w:rsid w:val="00096CD1"/>
    <w:rsid w:val="00097374"/>
    <w:rsid w:val="000A00B2"/>
    <w:rsid w:val="000A012C"/>
    <w:rsid w:val="000A0399"/>
    <w:rsid w:val="000A0772"/>
    <w:rsid w:val="000A09C8"/>
    <w:rsid w:val="000A0A2E"/>
    <w:rsid w:val="000A0EB9"/>
    <w:rsid w:val="000A186C"/>
    <w:rsid w:val="000A1989"/>
    <w:rsid w:val="000A1C99"/>
    <w:rsid w:val="000A1EA4"/>
    <w:rsid w:val="000A2476"/>
    <w:rsid w:val="000A286F"/>
    <w:rsid w:val="000A2AF2"/>
    <w:rsid w:val="000A34C8"/>
    <w:rsid w:val="000A3D65"/>
    <w:rsid w:val="000A4134"/>
    <w:rsid w:val="000A4254"/>
    <w:rsid w:val="000A4681"/>
    <w:rsid w:val="000A4A78"/>
    <w:rsid w:val="000A5B08"/>
    <w:rsid w:val="000A5E4B"/>
    <w:rsid w:val="000A641A"/>
    <w:rsid w:val="000A64B2"/>
    <w:rsid w:val="000A7767"/>
    <w:rsid w:val="000A79A5"/>
    <w:rsid w:val="000B10DF"/>
    <w:rsid w:val="000B3422"/>
    <w:rsid w:val="000B3EDB"/>
    <w:rsid w:val="000B4530"/>
    <w:rsid w:val="000B4881"/>
    <w:rsid w:val="000B4BD3"/>
    <w:rsid w:val="000B5210"/>
    <w:rsid w:val="000B543D"/>
    <w:rsid w:val="000B55F9"/>
    <w:rsid w:val="000B59F8"/>
    <w:rsid w:val="000B5BF7"/>
    <w:rsid w:val="000B5CAE"/>
    <w:rsid w:val="000B5E20"/>
    <w:rsid w:val="000B6339"/>
    <w:rsid w:val="000B6536"/>
    <w:rsid w:val="000B6BC8"/>
    <w:rsid w:val="000B72BF"/>
    <w:rsid w:val="000B7E5C"/>
    <w:rsid w:val="000C0303"/>
    <w:rsid w:val="000C0B8D"/>
    <w:rsid w:val="000C0F6D"/>
    <w:rsid w:val="000C121F"/>
    <w:rsid w:val="000C1487"/>
    <w:rsid w:val="000C1D31"/>
    <w:rsid w:val="000C25A6"/>
    <w:rsid w:val="000C27CD"/>
    <w:rsid w:val="000C2A64"/>
    <w:rsid w:val="000C3B50"/>
    <w:rsid w:val="000C42C7"/>
    <w:rsid w:val="000C42EA"/>
    <w:rsid w:val="000C4546"/>
    <w:rsid w:val="000C4ADA"/>
    <w:rsid w:val="000C50E3"/>
    <w:rsid w:val="000C524C"/>
    <w:rsid w:val="000C5733"/>
    <w:rsid w:val="000C5BFC"/>
    <w:rsid w:val="000C68F7"/>
    <w:rsid w:val="000C6C04"/>
    <w:rsid w:val="000C6CA5"/>
    <w:rsid w:val="000C6E87"/>
    <w:rsid w:val="000C714B"/>
    <w:rsid w:val="000C7F76"/>
    <w:rsid w:val="000D0258"/>
    <w:rsid w:val="000D038C"/>
    <w:rsid w:val="000D048B"/>
    <w:rsid w:val="000D0D02"/>
    <w:rsid w:val="000D1242"/>
    <w:rsid w:val="000D1339"/>
    <w:rsid w:val="000D1F98"/>
    <w:rsid w:val="000D284B"/>
    <w:rsid w:val="000D2A17"/>
    <w:rsid w:val="000D2ABA"/>
    <w:rsid w:val="000D3F9E"/>
    <w:rsid w:val="000D4A67"/>
    <w:rsid w:val="000D4D67"/>
    <w:rsid w:val="000D54EA"/>
    <w:rsid w:val="000D5B7A"/>
    <w:rsid w:val="000D78BC"/>
    <w:rsid w:val="000D7F81"/>
    <w:rsid w:val="000E0970"/>
    <w:rsid w:val="000E0F18"/>
    <w:rsid w:val="000E13A3"/>
    <w:rsid w:val="000E16BA"/>
    <w:rsid w:val="000E2C59"/>
    <w:rsid w:val="000E3164"/>
    <w:rsid w:val="000E3CC7"/>
    <w:rsid w:val="000E4369"/>
    <w:rsid w:val="000E43FE"/>
    <w:rsid w:val="000E4F4D"/>
    <w:rsid w:val="000E532E"/>
    <w:rsid w:val="000E5734"/>
    <w:rsid w:val="000E6BD4"/>
    <w:rsid w:val="000E6D6D"/>
    <w:rsid w:val="000E713E"/>
    <w:rsid w:val="000E7568"/>
    <w:rsid w:val="000F029D"/>
    <w:rsid w:val="000F0D30"/>
    <w:rsid w:val="000F147D"/>
    <w:rsid w:val="000F1F1E"/>
    <w:rsid w:val="000F2259"/>
    <w:rsid w:val="000F2A90"/>
    <w:rsid w:val="000F2DDA"/>
    <w:rsid w:val="000F2EA0"/>
    <w:rsid w:val="000F354E"/>
    <w:rsid w:val="000F3C64"/>
    <w:rsid w:val="000F3EBF"/>
    <w:rsid w:val="000F401D"/>
    <w:rsid w:val="000F5213"/>
    <w:rsid w:val="000F527B"/>
    <w:rsid w:val="000F5382"/>
    <w:rsid w:val="000F565B"/>
    <w:rsid w:val="000F5AFB"/>
    <w:rsid w:val="000F5D9A"/>
    <w:rsid w:val="000F629F"/>
    <w:rsid w:val="000F656D"/>
    <w:rsid w:val="000F6899"/>
    <w:rsid w:val="000F727B"/>
    <w:rsid w:val="000F75D9"/>
    <w:rsid w:val="000F7754"/>
    <w:rsid w:val="000F7DB6"/>
    <w:rsid w:val="0010028C"/>
    <w:rsid w:val="001004EA"/>
    <w:rsid w:val="00100675"/>
    <w:rsid w:val="001008F4"/>
    <w:rsid w:val="00100A34"/>
    <w:rsid w:val="00100B52"/>
    <w:rsid w:val="00101001"/>
    <w:rsid w:val="001015D4"/>
    <w:rsid w:val="00102049"/>
    <w:rsid w:val="0010219B"/>
    <w:rsid w:val="001024DC"/>
    <w:rsid w:val="00102500"/>
    <w:rsid w:val="00102BAB"/>
    <w:rsid w:val="00103276"/>
    <w:rsid w:val="001032FD"/>
    <w:rsid w:val="00103366"/>
    <w:rsid w:val="0010363B"/>
    <w:rsid w:val="0010392D"/>
    <w:rsid w:val="001043AC"/>
    <w:rsid w:val="0010447F"/>
    <w:rsid w:val="001049A1"/>
    <w:rsid w:val="00104FE3"/>
    <w:rsid w:val="00106209"/>
    <w:rsid w:val="00106BC1"/>
    <w:rsid w:val="0010714F"/>
    <w:rsid w:val="00107454"/>
    <w:rsid w:val="00107610"/>
    <w:rsid w:val="00107774"/>
    <w:rsid w:val="00107E9D"/>
    <w:rsid w:val="00107EAB"/>
    <w:rsid w:val="00110A11"/>
    <w:rsid w:val="001120A6"/>
    <w:rsid w:val="001120C5"/>
    <w:rsid w:val="001122D9"/>
    <w:rsid w:val="00112509"/>
    <w:rsid w:val="0011254D"/>
    <w:rsid w:val="001127AF"/>
    <w:rsid w:val="00112A4D"/>
    <w:rsid w:val="00113F96"/>
    <w:rsid w:val="001141E8"/>
    <w:rsid w:val="0011441F"/>
    <w:rsid w:val="001154C2"/>
    <w:rsid w:val="00115B23"/>
    <w:rsid w:val="00116520"/>
    <w:rsid w:val="00116651"/>
    <w:rsid w:val="001166CE"/>
    <w:rsid w:val="0011716B"/>
    <w:rsid w:val="00117745"/>
    <w:rsid w:val="00117D92"/>
    <w:rsid w:val="00120BD3"/>
    <w:rsid w:val="00121CB0"/>
    <w:rsid w:val="00121D9C"/>
    <w:rsid w:val="00122A55"/>
    <w:rsid w:val="00122D00"/>
    <w:rsid w:val="00122FEA"/>
    <w:rsid w:val="00123186"/>
    <w:rsid w:val="001231A4"/>
    <w:rsid w:val="001232BD"/>
    <w:rsid w:val="001233F0"/>
    <w:rsid w:val="001236DC"/>
    <w:rsid w:val="00123776"/>
    <w:rsid w:val="00123785"/>
    <w:rsid w:val="00123D7D"/>
    <w:rsid w:val="0012412E"/>
    <w:rsid w:val="0012454C"/>
    <w:rsid w:val="001246DD"/>
    <w:rsid w:val="00124ED5"/>
    <w:rsid w:val="001256F6"/>
    <w:rsid w:val="001260A7"/>
    <w:rsid w:val="0012715A"/>
    <w:rsid w:val="001276FA"/>
    <w:rsid w:val="00127B07"/>
    <w:rsid w:val="001305C0"/>
    <w:rsid w:val="00130966"/>
    <w:rsid w:val="00130AC4"/>
    <w:rsid w:val="001318C6"/>
    <w:rsid w:val="00131A4B"/>
    <w:rsid w:val="00132331"/>
    <w:rsid w:val="001323A7"/>
    <w:rsid w:val="00132C27"/>
    <w:rsid w:val="00132D7B"/>
    <w:rsid w:val="001338C1"/>
    <w:rsid w:val="001341F0"/>
    <w:rsid w:val="001343BA"/>
    <w:rsid w:val="001349EA"/>
    <w:rsid w:val="00134A40"/>
    <w:rsid w:val="00134CFF"/>
    <w:rsid w:val="00135E9F"/>
    <w:rsid w:val="00136018"/>
    <w:rsid w:val="00136619"/>
    <w:rsid w:val="00136C9D"/>
    <w:rsid w:val="00136DD1"/>
    <w:rsid w:val="00137401"/>
    <w:rsid w:val="00137523"/>
    <w:rsid w:val="0013758A"/>
    <w:rsid w:val="00140356"/>
    <w:rsid w:val="00140E1C"/>
    <w:rsid w:val="00140FEF"/>
    <w:rsid w:val="001411B9"/>
    <w:rsid w:val="001417D0"/>
    <w:rsid w:val="001420B3"/>
    <w:rsid w:val="00142160"/>
    <w:rsid w:val="00142350"/>
    <w:rsid w:val="001423EB"/>
    <w:rsid w:val="001429D4"/>
    <w:rsid w:val="00143272"/>
    <w:rsid w:val="00143446"/>
    <w:rsid w:val="001447B3"/>
    <w:rsid w:val="00144C5E"/>
    <w:rsid w:val="00144C6D"/>
    <w:rsid w:val="0014510D"/>
    <w:rsid w:val="00145652"/>
    <w:rsid w:val="00145992"/>
    <w:rsid w:val="00145CAA"/>
    <w:rsid w:val="00146D56"/>
    <w:rsid w:val="001471F5"/>
    <w:rsid w:val="001502D5"/>
    <w:rsid w:val="00152073"/>
    <w:rsid w:val="00152329"/>
    <w:rsid w:val="00152B10"/>
    <w:rsid w:val="00152E19"/>
    <w:rsid w:val="00153B5F"/>
    <w:rsid w:val="001557CD"/>
    <w:rsid w:val="00156598"/>
    <w:rsid w:val="0015744D"/>
    <w:rsid w:val="0016064A"/>
    <w:rsid w:val="00160FE8"/>
    <w:rsid w:val="00161760"/>
    <w:rsid w:val="00161939"/>
    <w:rsid w:val="00161AA0"/>
    <w:rsid w:val="00161D2E"/>
    <w:rsid w:val="00161F3E"/>
    <w:rsid w:val="00162093"/>
    <w:rsid w:val="001623F1"/>
    <w:rsid w:val="0016276A"/>
    <w:rsid w:val="00162CA9"/>
    <w:rsid w:val="00162D25"/>
    <w:rsid w:val="00162F31"/>
    <w:rsid w:val="001634A8"/>
    <w:rsid w:val="00163950"/>
    <w:rsid w:val="00163A33"/>
    <w:rsid w:val="001640DE"/>
    <w:rsid w:val="00164206"/>
    <w:rsid w:val="001650F2"/>
    <w:rsid w:val="00165459"/>
    <w:rsid w:val="00165738"/>
    <w:rsid w:val="00165A50"/>
    <w:rsid w:val="00165A57"/>
    <w:rsid w:val="0016632E"/>
    <w:rsid w:val="0016664E"/>
    <w:rsid w:val="00166934"/>
    <w:rsid w:val="0016751E"/>
    <w:rsid w:val="00167FF7"/>
    <w:rsid w:val="00170430"/>
    <w:rsid w:val="0017044F"/>
    <w:rsid w:val="001707FA"/>
    <w:rsid w:val="00171290"/>
    <w:rsid w:val="001712C2"/>
    <w:rsid w:val="00171361"/>
    <w:rsid w:val="001713C2"/>
    <w:rsid w:val="00171DAA"/>
    <w:rsid w:val="0017275D"/>
    <w:rsid w:val="00172BAF"/>
    <w:rsid w:val="001733CB"/>
    <w:rsid w:val="00173744"/>
    <w:rsid w:val="00173B29"/>
    <w:rsid w:val="0017489F"/>
    <w:rsid w:val="001751D2"/>
    <w:rsid w:val="001755B0"/>
    <w:rsid w:val="001758E1"/>
    <w:rsid w:val="0017674D"/>
    <w:rsid w:val="001771DD"/>
    <w:rsid w:val="00177995"/>
    <w:rsid w:val="00177A8C"/>
    <w:rsid w:val="00180408"/>
    <w:rsid w:val="00181229"/>
    <w:rsid w:val="0018141C"/>
    <w:rsid w:val="00181D5D"/>
    <w:rsid w:val="0018244E"/>
    <w:rsid w:val="001827CA"/>
    <w:rsid w:val="00182EC4"/>
    <w:rsid w:val="001835E4"/>
    <w:rsid w:val="00183AA5"/>
    <w:rsid w:val="0018445F"/>
    <w:rsid w:val="00184FE0"/>
    <w:rsid w:val="001857A8"/>
    <w:rsid w:val="00185809"/>
    <w:rsid w:val="00185CC4"/>
    <w:rsid w:val="00185E40"/>
    <w:rsid w:val="00186B33"/>
    <w:rsid w:val="00187266"/>
    <w:rsid w:val="0018763F"/>
    <w:rsid w:val="00187E0C"/>
    <w:rsid w:val="00190B41"/>
    <w:rsid w:val="00190D2A"/>
    <w:rsid w:val="001910C0"/>
    <w:rsid w:val="00191760"/>
    <w:rsid w:val="001919C2"/>
    <w:rsid w:val="0019200D"/>
    <w:rsid w:val="00192341"/>
    <w:rsid w:val="00192524"/>
    <w:rsid w:val="00192B68"/>
    <w:rsid w:val="00192F5D"/>
    <w:rsid w:val="00192F9D"/>
    <w:rsid w:val="001936F0"/>
    <w:rsid w:val="00193778"/>
    <w:rsid w:val="0019391A"/>
    <w:rsid w:val="001945B2"/>
    <w:rsid w:val="0019527B"/>
    <w:rsid w:val="00195529"/>
    <w:rsid w:val="00195DC4"/>
    <w:rsid w:val="0019692D"/>
    <w:rsid w:val="00196EB8"/>
    <w:rsid w:val="00196EFB"/>
    <w:rsid w:val="0019753C"/>
    <w:rsid w:val="00197725"/>
    <w:rsid w:val="001979FF"/>
    <w:rsid w:val="00197B17"/>
    <w:rsid w:val="001A0C61"/>
    <w:rsid w:val="001A0ECE"/>
    <w:rsid w:val="001A1199"/>
    <w:rsid w:val="001A1950"/>
    <w:rsid w:val="001A1ABA"/>
    <w:rsid w:val="001A1C54"/>
    <w:rsid w:val="001A2020"/>
    <w:rsid w:val="001A22C6"/>
    <w:rsid w:val="001A29E9"/>
    <w:rsid w:val="001A2DC2"/>
    <w:rsid w:val="001A2F76"/>
    <w:rsid w:val="001A309C"/>
    <w:rsid w:val="001A37C8"/>
    <w:rsid w:val="001A3ACE"/>
    <w:rsid w:val="001A3EAF"/>
    <w:rsid w:val="001A41FC"/>
    <w:rsid w:val="001A43E3"/>
    <w:rsid w:val="001A4606"/>
    <w:rsid w:val="001A6272"/>
    <w:rsid w:val="001A6855"/>
    <w:rsid w:val="001A6AB6"/>
    <w:rsid w:val="001A75AD"/>
    <w:rsid w:val="001A7A35"/>
    <w:rsid w:val="001B04E1"/>
    <w:rsid w:val="001B058F"/>
    <w:rsid w:val="001B16FC"/>
    <w:rsid w:val="001B1D84"/>
    <w:rsid w:val="001B34CF"/>
    <w:rsid w:val="001B3743"/>
    <w:rsid w:val="001B3F54"/>
    <w:rsid w:val="001B40AD"/>
    <w:rsid w:val="001B46F7"/>
    <w:rsid w:val="001B4A75"/>
    <w:rsid w:val="001B528D"/>
    <w:rsid w:val="001B5AD2"/>
    <w:rsid w:val="001B5FCB"/>
    <w:rsid w:val="001B61E5"/>
    <w:rsid w:val="001B6B96"/>
    <w:rsid w:val="001B70CE"/>
    <w:rsid w:val="001B71E1"/>
    <w:rsid w:val="001B738B"/>
    <w:rsid w:val="001B7C61"/>
    <w:rsid w:val="001C00F4"/>
    <w:rsid w:val="001C0407"/>
    <w:rsid w:val="001C0456"/>
    <w:rsid w:val="001C0551"/>
    <w:rsid w:val="001C05E6"/>
    <w:rsid w:val="001C09DB"/>
    <w:rsid w:val="001C0A0F"/>
    <w:rsid w:val="001C0C24"/>
    <w:rsid w:val="001C102F"/>
    <w:rsid w:val="001C1806"/>
    <w:rsid w:val="001C1F55"/>
    <w:rsid w:val="001C277E"/>
    <w:rsid w:val="001C2A72"/>
    <w:rsid w:val="001C2B7B"/>
    <w:rsid w:val="001C2C3F"/>
    <w:rsid w:val="001C31B7"/>
    <w:rsid w:val="001C40C7"/>
    <w:rsid w:val="001C5802"/>
    <w:rsid w:val="001C5C5B"/>
    <w:rsid w:val="001C5C76"/>
    <w:rsid w:val="001C5F1A"/>
    <w:rsid w:val="001C608E"/>
    <w:rsid w:val="001C76D3"/>
    <w:rsid w:val="001D0669"/>
    <w:rsid w:val="001D074F"/>
    <w:rsid w:val="001D0B75"/>
    <w:rsid w:val="001D0DA4"/>
    <w:rsid w:val="001D1174"/>
    <w:rsid w:val="001D12DD"/>
    <w:rsid w:val="001D14A0"/>
    <w:rsid w:val="001D1CAA"/>
    <w:rsid w:val="001D2366"/>
    <w:rsid w:val="001D24BB"/>
    <w:rsid w:val="001D2748"/>
    <w:rsid w:val="001D27EB"/>
    <w:rsid w:val="001D29A8"/>
    <w:rsid w:val="001D30A8"/>
    <w:rsid w:val="001D3901"/>
    <w:rsid w:val="001D39A5"/>
    <w:rsid w:val="001D3C09"/>
    <w:rsid w:val="001D44E8"/>
    <w:rsid w:val="001D45FC"/>
    <w:rsid w:val="001D47D3"/>
    <w:rsid w:val="001D4CA9"/>
    <w:rsid w:val="001D4EE1"/>
    <w:rsid w:val="001D60EC"/>
    <w:rsid w:val="001D6F59"/>
    <w:rsid w:val="001D7605"/>
    <w:rsid w:val="001D7664"/>
    <w:rsid w:val="001D7916"/>
    <w:rsid w:val="001E037D"/>
    <w:rsid w:val="001E0466"/>
    <w:rsid w:val="001E074C"/>
    <w:rsid w:val="001E07EF"/>
    <w:rsid w:val="001E0CCC"/>
    <w:rsid w:val="001E0E60"/>
    <w:rsid w:val="001E114B"/>
    <w:rsid w:val="001E20B0"/>
    <w:rsid w:val="001E21E3"/>
    <w:rsid w:val="001E22BB"/>
    <w:rsid w:val="001E3530"/>
    <w:rsid w:val="001E36D9"/>
    <w:rsid w:val="001E3757"/>
    <w:rsid w:val="001E3F77"/>
    <w:rsid w:val="001E40E7"/>
    <w:rsid w:val="001E4378"/>
    <w:rsid w:val="001E43D4"/>
    <w:rsid w:val="001E44DF"/>
    <w:rsid w:val="001E4817"/>
    <w:rsid w:val="001E51E6"/>
    <w:rsid w:val="001E6337"/>
    <w:rsid w:val="001E68A5"/>
    <w:rsid w:val="001E6BB0"/>
    <w:rsid w:val="001E7282"/>
    <w:rsid w:val="001F004B"/>
    <w:rsid w:val="001F1138"/>
    <w:rsid w:val="001F1B67"/>
    <w:rsid w:val="001F20EB"/>
    <w:rsid w:val="001F3558"/>
    <w:rsid w:val="001F3826"/>
    <w:rsid w:val="001F3B6A"/>
    <w:rsid w:val="001F4A00"/>
    <w:rsid w:val="001F4A98"/>
    <w:rsid w:val="001F6977"/>
    <w:rsid w:val="001F6E46"/>
    <w:rsid w:val="001F7C91"/>
    <w:rsid w:val="001F7E5E"/>
    <w:rsid w:val="002009BD"/>
    <w:rsid w:val="00200C76"/>
    <w:rsid w:val="00201287"/>
    <w:rsid w:val="002013B3"/>
    <w:rsid w:val="0020146E"/>
    <w:rsid w:val="00201E7E"/>
    <w:rsid w:val="00202586"/>
    <w:rsid w:val="0020297E"/>
    <w:rsid w:val="00202FF8"/>
    <w:rsid w:val="002033B7"/>
    <w:rsid w:val="0020359F"/>
    <w:rsid w:val="0020392C"/>
    <w:rsid w:val="00203C94"/>
    <w:rsid w:val="002044C5"/>
    <w:rsid w:val="002046C0"/>
    <w:rsid w:val="00204AED"/>
    <w:rsid w:val="002050F1"/>
    <w:rsid w:val="00206463"/>
    <w:rsid w:val="002065D5"/>
    <w:rsid w:val="00206AF8"/>
    <w:rsid w:val="00206DA3"/>
    <w:rsid w:val="00206F2F"/>
    <w:rsid w:val="00206FAD"/>
    <w:rsid w:val="00207717"/>
    <w:rsid w:val="00207D3D"/>
    <w:rsid w:val="00207EFA"/>
    <w:rsid w:val="0021053D"/>
    <w:rsid w:val="002106A9"/>
    <w:rsid w:val="00210A92"/>
    <w:rsid w:val="00210E1A"/>
    <w:rsid w:val="002114AC"/>
    <w:rsid w:val="002127D1"/>
    <w:rsid w:val="00212B95"/>
    <w:rsid w:val="0021316D"/>
    <w:rsid w:val="00213F87"/>
    <w:rsid w:val="00215172"/>
    <w:rsid w:val="00215844"/>
    <w:rsid w:val="00215CC8"/>
    <w:rsid w:val="00215D03"/>
    <w:rsid w:val="002160FB"/>
    <w:rsid w:val="00216C03"/>
    <w:rsid w:val="00216F6C"/>
    <w:rsid w:val="00217D48"/>
    <w:rsid w:val="002206B2"/>
    <w:rsid w:val="002208B0"/>
    <w:rsid w:val="00220A1A"/>
    <w:rsid w:val="00220C04"/>
    <w:rsid w:val="002212B5"/>
    <w:rsid w:val="00221CDF"/>
    <w:rsid w:val="00221D0A"/>
    <w:rsid w:val="0022278D"/>
    <w:rsid w:val="00222D2D"/>
    <w:rsid w:val="00223189"/>
    <w:rsid w:val="00223A8B"/>
    <w:rsid w:val="00224214"/>
    <w:rsid w:val="0022481E"/>
    <w:rsid w:val="0022497D"/>
    <w:rsid w:val="00224A91"/>
    <w:rsid w:val="0022584E"/>
    <w:rsid w:val="00225FA5"/>
    <w:rsid w:val="002265DC"/>
    <w:rsid w:val="0022686A"/>
    <w:rsid w:val="0022701F"/>
    <w:rsid w:val="00227480"/>
    <w:rsid w:val="00227647"/>
    <w:rsid w:val="0022790F"/>
    <w:rsid w:val="00227C68"/>
    <w:rsid w:val="0023039B"/>
    <w:rsid w:val="0023165C"/>
    <w:rsid w:val="00231C48"/>
    <w:rsid w:val="00231E7E"/>
    <w:rsid w:val="002328CD"/>
    <w:rsid w:val="0023293A"/>
    <w:rsid w:val="00232990"/>
    <w:rsid w:val="00232ADD"/>
    <w:rsid w:val="002333F5"/>
    <w:rsid w:val="00233724"/>
    <w:rsid w:val="0023385F"/>
    <w:rsid w:val="00233958"/>
    <w:rsid w:val="00233C58"/>
    <w:rsid w:val="00233D35"/>
    <w:rsid w:val="00233FFC"/>
    <w:rsid w:val="0023548A"/>
    <w:rsid w:val="002355A8"/>
    <w:rsid w:val="002357FE"/>
    <w:rsid w:val="002359F1"/>
    <w:rsid w:val="002365B4"/>
    <w:rsid w:val="00236CBF"/>
    <w:rsid w:val="00237456"/>
    <w:rsid w:val="002375FF"/>
    <w:rsid w:val="00240001"/>
    <w:rsid w:val="002402C3"/>
    <w:rsid w:val="002427AA"/>
    <w:rsid w:val="002428D1"/>
    <w:rsid w:val="00242AAB"/>
    <w:rsid w:val="00243012"/>
    <w:rsid w:val="002432E1"/>
    <w:rsid w:val="00243C38"/>
    <w:rsid w:val="00245660"/>
    <w:rsid w:val="00245A97"/>
    <w:rsid w:val="00245BC2"/>
    <w:rsid w:val="002460FB"/>
    <w:rsid w:val="00246207"/>
    <w:rsid w:val="00246C5E"/>
    <w:rsid w:val="0024757D"/>
    <w:rsid w:val="00250960"/>
    <w:rsid w:val="00250C9E"/>
    <w:rsid w:val="00250D9C"/>
    <w:rsid w:val="00251037"/>
    <w:rsid w:val="0025118F"/>
    <w:rsid w:val="00251343"/>
    <w:rsid w:val="00251B4B"/>
    <w:rsid w:val="00253249"/>
    <w:rsid w:val="002535F3"/>
    <w:rsid w:val="002536A4"/>
    <w:rsid w:val="00253967"/>
    <w:rsid w:val="00253CFE"/>
    <w:rsid w:val="00253D3A"/>
    <w:rsid w:val="00253DB2"/>
    <w:rsid w:val="00253DD8"/>
    <w:rsid w:val="00253E3D"/>
    <w:rsid w:val="00253F51"/>
    <w:rsid w:val="0025478C"/>
    <w:rsid w:val="00254F58"/>
    <w:rsid w:val="002557BD"/>
    <w:rsid w:val="00255A49"/>
    <w:rsid w:val="00255A80"/>
    <w:rsid w:val="00255E2B"/>
    <w:rsid w:val="00256772"/>
    <w:rsid w:val="002568E1"/>
    <w:rsid w:val="00256994"/>
    <w:rsid w:val="002570A5"/>
    <w:rsid w:val="00257AA3"/>
    <w:rsid w:val="002602E8"/>
    <w:rsid w:val="002604D3"/>
    <w:rsid w:val="002608F6"/>
    <w:rsid w:val="00260BB4"/>
    <w:rsid w:val="00260FCD"/>
    <w:rsid w:val="002611C3"/>
    <w:rsid w:val="00261A40"/>
    <w:rsid w:val="00261E2B"/>
    <w:rsid w:val="002620BC"/>
    <w:rsid w:val="00262322"/>
    <w:rsid w:val="002626E5"/>
    <w:rsid w:val="00262802"/>
    <w:rsid w:val="002628B4"/>
    <w:rsid w:val="0026301F"/>
    <w:rsid w:val="002631BB"/>
    <w:rsid w:val="00263A90"/>
    <w:rsid w:val="0026408B"/>
    <w:rsid w:val="002647B0"/>
    <w:rsid w:val="00264F44"/>
    <w:rsid w:val="00267922"/>
    <w:rsid w:val="00267C3E"/>
    <w:rsid w:val="0027081B"/>
    <w:rsid w:val="002709BB"/>
    <w:rsid w:val="00270CC2"/>
    <w:rsid w:val="00270FC5"/>
    <w:rsid w:val="0027131C"/>
    <w:rsid w:val="00273A2B"/>
    <w:rsid w:val="00273BAC"/>
    <w:rsid w:val="002742C4"/>
    <w:rsid w:val="0027446B"/>
    <w:rsid w:val="002754B3"/>
    <w:rsid w:val="002763B3"/>
    <w:rsid w:val="00277413"/>
    <w:rsid w:val="00277669"/>
    <w:rsid w:val="00277CEE"/>
    <w:rsid w:val="00277EA6"/>
    <w:rsid w:val="002802E3"/>
    <w:rsid w:val="0028067F"/>
    <w:rsid w:val="002807A3"/>
    <w:rsid w:val="00281099"/>
    <w:rsid w:val="0028160C"/>
    <w:rsid w:val="0028182F"/>
    <w:rsid w:val="002818BE"/>
    <w:rsid w:val="00281A39"/>
    <w:rsid w:val="00281FBC"/>
    <w:rsid w:val="0028213D"/>
    <w:rsid w:val="002824AD"/>
    <w:rsid w:val="00282EBF"/>
    <w:rsid w:val="00283410"/>
    <w:rsid w:val="0028341C"/>
    <w:rsid w:val="00283A86"/>
    <w:rsid w:val="00283F8C"/>
    <w:rsid w:val="0028408D"/>
    <w:rsid w:val="002842D9"/>
    <w:rsid w:val="00285119"/>
    <w:rsid w:val="00285849"/>
    <w:rsid w:val="00285899"/>
    <w:rsid w:val="00285DE8"/>
    <w:rsid w:val="002862F1"/>
    <w:rsid w:val="00286B32"/>
    <w:rsid w:val="00286B97"/>
    <w:rsid w:val="002872F2"/>
    <w:rsid w:val="00287BCD"/>
    <w:rsid w:val="0029047F"/>
    <w:rsid w:val="00290CF9"/>
    <w:rsid w:val="00291373"/>
    <w:rsid w:val="0029272C"/>
    <w:rsid w:val="0029282F"/>
    <w:rsid w:val="00292F7C"/>
    <w:rsid w:val="002932AD"/>
    <w:rsid w:val="00293586"/>
    <w:rsid w:val="00294AB3"/>
    <w:rsid w:val="00295083"/>
    <w:rsid w:val="00295795"/>
    <w:rsid w:val="0029597D"/>
    <w:rsid w:val="00295DA7"/>
    <w:rsid w:val="00295FA6"/>
    <w:rsid w:val="002962C3"/>
    <w:rsid w:val="00296376"/>
    <w:rsid w:val="00296614"/>
    <w:rsid w:val="0029752B"/>
    <w:rsid w:val="00297C1E"/>
    <w:rsid w:val="00297F9F"/>
    <w:rsid w:val="002A0177"/>
    <w:rsid w:val="002A0263"/>
    <w:rsid w:val="002A03A2"/>
    <w:rsid w:val="002A04B6"/>
    <w:rsid w:val="002A0A9C"/>
    <w:rsid w:val="002A0C98"/>
    <w:rsid w:val="002A1E80"/>
    <w:rsid w:val="002A1F87"/>
    <w:rsid w:val="002A2AA4"/>
    <w:rsid w:val="002A2F00"/>
    <w:rsid w:val="002A38CA"/>
    <w:rsid w:val="002A3F66"/>
    <w:rsid w:val="002A41AF"/>
    <w:rsid w:val="002A463C"/>
    <w:rsid w:val="002A483C"/>
    <w:rsid w:val="002A5BA2"/>
    <w:rsid w:val="002A600B"/>
    <w:rsid w:val="002A6E69"/>
    <w:rsid w:val="002A7AFA"/>
    <w:rsid w:val="002A7D46"/>
    <w:rsid w:val="002B03DD"/>
    <w:rsid w:val="002B06DE"/>
    <w:rsid w:val="002B08D8"/>
    <w:rsid w:val="002B0A64"/>
    <w:rsid w:val="002B0C7C"/>
    <w:rsid w:val="002B1729"/>
    <w:rsid w:val="002B2115"/>
    <w:rsid w:val="002B2642"/>
    <w:rsid w:val="002B32D8"/>
    <w:rsid w:val="002B3378"/>
    <w:rsid w:val="002B33DB"/>
    <w:rsid w:val="002B36C7"/>
    <w:rsid w:val="002B43CE"/>
    <w:rsid w:val="002B4456"/>
    <w:rsid w:val="002B4DD4"/>
    <w:rsid w:val="002B4FA5"/>
    <w:rsid w:val="002B5277"/>
    <w:rsid w:val="002B5375"/>
    <w:rsid w:val="002B5F1F"/>
    <w:rsid w:val="002B6375"/>
    <w:rsid w:val="002B6A33"/>
    <w:rsid w:val="002B6EC4"/>
    <w:rsid w:val="002B7264"/>
    <w:rsid w:val="002B7354"/>
    <w:rsid w:val="002B7357"/>
    <w:rsid w:val="002B7419"/>
    <w:rsid w:val="002B7690"/>
    <w:rsid w:val="002B77C1"/>
    <w:rsid w:val="002B7D50"/>
    <w:rsid w:val="002C0ED7"/>
    <w:rsid w:val="002C1100"/>
    <w:rsid w:val="002C1687"/>
    <w:rsid w:val="002C1756"/>
    <w:rsid w:val="002C17BF"/>
    <w:rsid w:val="002C2728"/>
    <w:rsid w:val="002C28E1"/>
    <w:rsid w:val="002C28EF"/>
    <w:rsid w:val="002C2C26"/>
    <w:rsid w:val="002C30F4"/>
    <w:rsid w:val="002C487C"/>
    <w:rsid w:val="002C4B7D"/>
    <w:rsid w:val="002C5483"/>
    <w:rsid w:val="002C5544"/>
    <w:rsid w:val="002C5B7C"/>
    <w:rsid w:val="002C6210"/>
    <w:rsid w:val="002C66D9"/>
    <w:rsid w:val="002C7093"/>
    <w:rsid w:val="002C715D"/>
    <w:rsid w:val="002C7AAB"/>
    <w:rsid w:val="002D0314"/>
    <w:rsid w:val="002D0C4D"/>
    <w:rsid w:val="002D164B"/>
    <w:rsid w:val="002D1DD7"/>
    <w:rsid w:val="002D1E0D"/>
    <w:rsid w:val="002D2514"/>
    <w:rsid w:val="002D3508"/>
    <w:rsid w:val="002D44CD"/>
    <w:rsid w:val="002D4A69"/>
    <w:rsid w:val="002D5006"/>
    <w:rsid w:val="002D5B24"/>
    <w:rsid w:val="002D5E4B"/>
    <w:rsid w:val="002D5F31"/>
    <w:rsid w:val="002D655C"/>
    <w:rsid w:val="002D6830"/>
    <w:rsid w:val="002D6D69"/>
    <w:rsid w:val="002D6E65"/>
    <w:rsid w:val="002D76C3"/>
    <w:rsid w:val="002D7C61"/>
    <w:rsid w:val="002D7DF9"/>
    <w:rsid w:val="002E01D0"/>
    <w:rsid w:val="002E060F"/>
    <w:rsid w:val="002E11CA"/>
    <w:rsid w:val="002E15D4"/>
    <w:rsid w:val="002E161D"/>
    <w:rsid w:val="002E28A2"/>
    <w:rsid w:val="002E3100"/>
    <w:rsid w:val="002E4B7D"/>
    <w:rsid w:val="002E506A"/>
    <w:rsid w:val="002E529C"/>
    <w:rsid w:val="002E54C8"/>
    <w:rsid w:val="002E55EA"/>
    <w:rsid w:val="002E5DB7"/>
    <w:rsid w:val="002E69C4"/>
    <w:rsid w:val="002E6C95"/>
    <w:rsid w:val="002E7C36"/>
    <w:rsid w:val="002F08F6"/>
    <w:rsid w:val="002F15C5"/>
    <w:rsid w:val="002F1953"/>
    <w:rsid w:val="002F1CC0"/>
    <w:rsid w:val="002F1DC7"/>
    <w:rsid w:val="002F25B3"/>
    <w:rsid w:val="002F2636"/>
    <w:rsid w:val="002F2B54"/>
    <w:rsid w:val="002F2B9A"/>
    <w:rsid w:val="002F2C91"/>
    <w:rsid w:val="002F2DDD"/>
    <w:rsid w:val="002F3146"/>
    <w:rsid w:val="002F3A7E"/>
    <w:rsid w:val="002F3D32"/>
    <w:rsid w:val="002F467E"/>
    <w:rsid w:val="002F5F31"/>
    <w:rsid w:val="002F5F46"/>
    <w:rsid w:val="002F5F69"/>
    <w:rsid w:val="002F61EB"/>
    <w:rsid w:val="002F676A"/>
    <w:rsid w:val="002F6B49"/>
    <w:rsid w:val="002F7121"/>
    <w:rsid w:val="002F777E"/>
    <w:rsid w:val="002F7F97"/>
    <w:rsid w:val="003002CD"/>
    <w:rsid w:val="0030098D"/>
    <w:rsid w:val="003011AF"/>
    <w:rsid w:val="00301942"/>
    <w:rsid w:val="00301AEB"/>
    <w:rsid w:val="00301E5B"/>
    <w:rsid w:val="00301EC1"/>
    <w:rsid w:val="00302216"/>
    <w:rsid w:val="00303CF1"/>
    <w:rsid w:val="00303E53"/>
    <w:rsid w:val="00304475"/>
    <w:rsid w:val="00305408"/>
    <w:rsid w:val="0030559D"/>
    <w:rsid w:val="003056A6"/>
    <w:rsid w:val="00305A00"/>
    <w:rsid w:val="00305CC1"/>
    <w:rsid w:val="0030622A"/>
    <w:rsid w:val="00306E5F"/>
    <w:rsid w:val="0030745A"/>
    <w:rsid w:val="00307A9B"/>
    <w:rsid w:val="00307B99"/>
    <w:rsid w:val="00307E14"/>
    <w:rsid w:val="003108A1"/>
    <w:rsid w:val="00310A05"/>
    <w:rsid w:val="00311919"/>
    <w:rsid w:val="00311B9C"/>
    <w:rsid w:val="00311DCF"/>
    <w:rsid w:val="003123F3"/>
    <w:rsid w:val="003125A5"/>
    <w:rsid w:val="003127E3"/>
    <w:rsid w:val="00313339"/>
    <w:rsid w:val="003138F6"/>
    <w:rsid w:val="00313F4A"/>
    <w:rsid w:val="00314054"/>
    <w:rsid w:val="00314AFF"/>
    <w:rsid w:val="00314BCE"/>
    <w:rsid w:val="00314D30"/>
    <w:rsid w:val="00314E2E"/>
    <w:rsid w:val="003150F3"/>
    <w:rsid w:val="003157A8"/>
    <w:rsid w:val="003158DD"/>
    <w:rsid w:val="00315A04"/>
    <w:rsid w:val="00315B73"/>
    <w:rsid w:val="00316F27"/>
    <w:rsid w:val="00317280"/>
    <w:rsid w:val="003172A7"/>
    <w:rsid w:val="00317EB8"/>
    <w:rsid w:val="003214F1"/>
    <w:rsid w:val="00321AC0"/>
    <w:rsid w:val="00322E4B"/>
    <w:rsid w:val="00323A2B"/>
    <w:rsid w:val="00323CA6"/>
    <w:rsid w:val="00324072"/>
    <w:rsid w:val="00324403"/>
    <w:rsid w:val="00324A86"/>
    <w:rsid w:val="00324F7B"/>
    <w:rsid w:val="00324F86"/>
    <w:rsid w:val="00326466"/>
    <w:rsid w:val="00326E70"/>
    <w:rsid w:val="0032713B"/>
    <w:rsid w:val="00327870"/>
    <w:rsid w:val="003278E6"/>
    <w:rsid w:val="0033052B"/>
    <w:rsid w:val="00330DED"/>
    <w:rsid w:val="00331CBC"/>
    <w:rsid w:val="0033259D"/>
    <w:rsid w:val="003333D2"/>
    <w:rsid w:val="00333CD4"/>
    <w:rsid w:val="00334686"/>
    <w:rsid w:val="003349FD"/>
    <w:rsid w:val="003353FB"/>
    <w:rsid w:val="003354B5"/>
    <w:rsid w:val="00335DA7"/>
    <w:rsid w:val="00336277"/>
    <w:rsid w:val="00336B90"/>
    <w:rsid w:val="00336C7E"/>
    <w:rsid w:val="00337296"/>
    <w:rsid w:val="00337339"/>
    <w:rsid w:val="003376CA"/>
    <w:rsid w:val="00337E98"/>
    <w:rsid w:val="00340345"/>
    <w:rsid w:val="00340688"/>
    <w:rsid w:val="003406C6"/>
    <w:rsid w:val="00340D5D"/>
    <w:rsid w:val="00340EB6"/>
    <w:rsid w:val="00341244"/>
    <w:rsid w:val="00341669"/>
    <w:rsid w:val="003418CC"/>
    <w:rsid w:val="003427A5"/>
    <w:rsid w:val="00342A4F"/>
    <w:rsid w:val="003433CD"/>
    <w:rsid w:val="00343495"/>
    <w:rsid w:val="003434EE"/>
    <w:rsid w:val="003445E8"/>
    <w:rsid w:val="0034484F"/>
    <w:rsid w:val="003449A0"/>
    <w:rsid w:val="00345734"/>
    <w:rsid w:val="003459BD"/>
    <w:rsid w:val="0034601E"/>
    <w:rsid w:val="003461D1"/>
    <w:rsid w:val="003463FD"/>
    <w:rsid w:val="003470BF"/>
    <w:rsid w:val="003477E4"/>
    <w:rsid w:val="00347C86"/>
    <w:rsid w:val="00350AFC"/>
    <w:rsid w:val="00350B5C"/>
    <w:rsid w:val="00350D38"/>
    <w:rsid w:val="003514BE"/>
    <w:rsid w:val="00351B36"/>
    <w:rsid w:val="00351E1E"/>
    <w:rsid w:val="00351FBB"/>
    <w:rsid w:val="00352644"/>
    <w:rsid w:val="00352A77"/>
    <w:rsid w:val="00352B60"/>
    <w:rsid w:val="00354061"/>
    <w:rsid w:val="0035444B"/>
    <w:rsid w:val="00354883"/>
    <w:rsid w:val="00354A1A"/>
    <w:rsid w:val="00354B52"/>
    <w:rsid w:val="00354F99"/>
    <w:rsid w:val="00355F87"/>
    <w:rsid w:val="00356A02"/>
    <w:rsid w:val="00357605"/>
    <w:rsid w:val="00357722"/>
    <w:rsid w:val="00357B4E"/>
    <w:rsid w:val="00360096"/>
    <w:rsid w:val="003604E4"/>
    <w:rsid w:val="003616FC"/>
    <w:rsid w:val="00361AD6"/>
    <w:rsid w:val="00361C8A"/>
    <w:rsid w:val="00361F89"/>
    <w:rsid w:val="00362571"/>
    <w:rsid w:val="00362A7A"/>
    <w:rsid w:val="00362C29"/>
    <w:rsid w:val="00364147"/>
    <w:rsid w:val="003649B7"/>
    <w:rsid w:val="00364DEF"/>
    <w:rsid w:val="00366C05"/>
    <w:rsid w:val="003671D8"/>
    <w:rsid w:val="00367D74"/>
    <w:rsid w:val="00367EB7"/>
    <w:rsid w:val="0037035F"/>
    <w:rsid w:val="003706CB"/>
    <w:rsid w:val="0037072F"/>
    <w:rsid w:val="0037099C"/>
    <w:rsid w:val="00370A52"/>
    <w:rsid w:val="003716D4"/>
    <w:rsid w:val="003716FD"/>
    <w:rsid w:val="003717BC"/>
    <w:rsid w:val="0037204B"/>
    <w:rsid w:val="0037239D"/>
    <w:rsid w:val="0037260F"/>
    <w:rsid w:val="00372678"/>
    <w:rsid w:val="00373266"/>
    <w:rsid w:val="00374213"/>
    <w:rsid w:val="003743B7"/>
    <w:rsid w:val="003743ED"/>
    <w:rsid w:val="003744CF"/>
    <w:rsid w:val="00374717"/>
    <w:rsid w:val="0037486A"/>
    <w:rsid w:val="0037543D"/>
    <w:rsid w:val="00375F67"/>
    <w:rsid w:val="0037624D"/>
    <w:rsid w:val="0037676C"/>
    <w:rsid w:val="00376A66"/>
    <w:rsid w:val="00376BEA"/>
    <w:rsid w:val="003773A7"/>
    <w:rsid w:val="003773D8"/>
    <w:rsid w:val="0037789D"/>
    <w:rsid w:val="00377E46"/>
    <w:rsid w:val="003808AF"/>
    <w:rsid w:val="00380BBF"/>
    <w:rsid w:val="00380D64"/>
    <w:rsid w:val="00381043"/>
    <w:rsid w:val="003815E2"/>
    <w:rsid w:val="00381D7C"/>
    <w:rsid w:val="00382135"/>
    <w:rsid w:val="00382829"/>
    <w:rsid w:val="003829E5"/>
    <w:rsid w:val="00382C5B"/>
    <w:rsid w:val="0038381C"/>
    <w:rsid w:val="00383F21"/>
    <w:rsid w:val="003842F5"/>
    <w:rsid w:val="003847E0"/>
    <w:rsid w:val="00384BC2"/>
    <w:rsid w:val="00384F22"/>
    <w:rsid w:val="00385211"/>
    <w:rsid w:val="00386109"/>
    <w:rsid w:val="003864F2"/>
    <w:rsid w:val="0038669C"/>
    <w:rsid w:val="00386944"/>
    <w:rsid w:val="003873CE"/>
    <w:rsid w:val="003878C4"/>
    <w:rsid w:val="0039051F"/>
    <w:rsid w:val="00390601"/>
    <w:rsid w:val="00391773"/>
    <w:rsid w:val="003917F7"/>
    <w:rsid w:val="0039248F"/>
    <w:rsid w:val="003926F8"/>
    <w:rsid w:val="003927C2"/>
    <w:rsid w:val="00392AF5"/>
    <w:rsid w:val="003932E1"/>
    <w:rsid w:val="0039344B"/>
    <w:rsid w:val="003944DD"/>
    <w:rsid w:val="00394C44"/>
    <w:rsid w:val="00395049"/>
    <w:rsid w:val="003956CC"/>
    <w:rsid w:val="00395C9A"/>
    <w:rsid w:val="0039608F"/>
    <w:rsid w:val="00396FE2"/>
    <w:rsid w:val="003974FD"/>
    <w:rsid w:val="00397FEA"/>
    <w:rsid w:val="003A0853"/>
    <w:rsid w:val="003A0ED9"/>
    <w:rsid w:val="003A140D"/>
    <w:rsid w:val="003A1751"/>
    <w:rsid w:val="003A1D62"/>
    <w:rsid w:val="003A1D9B"/>
    <w:rsid w:val="003A268F"/>
    <w:rsid w:val="003A2BE2"/>
    <w:rsid w:val="003A2D9D"/>
    <w:rsid w:val="003A3389"/>
    <w:rsid w:val="003A3CBB"/>
    <w:rsid w:val="003A3DC9"/>
    <w:rsid w:val="003A47FE"/>
    <w:rsid w:val="003A4911"/>
    <w:rsid w:val="003A5CCF"/>
    <w:rsid w:val="003A67AD"/>
    <w:rsid w:val="003A69A5"/>
    <w:rsid w:val="003A6A11"/>
    <w:rsid w:val="003A6B67"/>
    <w:rsid w:val="003A6BD4"/>
    <w:rsid w:val="003A7271"/>
    <w:rsid w:val="003A72D0"/>
    <w:rsid w:val="003A7359"/>
    <w:rsid w:val="003A7D39"/>
    <w:rsid w:val="003B05E1"/>
    <w:rsid w:val="003B0699"/>
    <w:rsid w:val="003B06DD"/>
    <w:rsid w:val="003B0BAA"/>
    <w:rsid w:val="003B0FED"/>
    <w:rsid w:val="003B13B6"/>
    <w:rsid w:val="003B14C3"/>
    <w:rsid w:val="003B15E6"/>
    <w:rsid w:val="003B19D5"/>
    <w:rsid w:val="003B1A28"/>
    <w:rsid w:val="003B21C1"/>
    <w:rsid w:val="003B22EF"/>
    <w:rsid w:val="003B27E0"/>
    <w:rsid w:val="003B2809"/>
    <w:rsid w:val="003B2D07"/>
    <w:rsid w:val="003B30D9"/>
    <w:rsid w:val="003B3CC5"/>
    <w:rsid w:val="003B408A"/>
    <w:rsid w:val="003B55BC"/>
    <w:rsid w:val="003B56A4"/>
    <w:rsid w:val="003B5773"/>
    <w:rsid w:val="003B5B02"/>
    <w:rsid w:val="003B5E1A"/>
    <w:rsid w:val="003B5F08"/>
    <w:rsid w:val="003B66CE"/>
    <w:rsid w:val="003B6B3C"/>
    <w:rsid w:val="003B73E7"/>
    <w:rsid w:val="003B7439"/>
    <w:rsid w:val="003B7B70"/>
    <w:rsid w:val="003C08A2"/>
    <w:rsid w:val="003C1CAA"/>
    <w:rsid w:val="003C1F4A"/>
    <w:rsid w:val="003C1FC6"/>
    <w:rsid w:val="003C2045"/>
    <w:rsid w:val="003C2500"/>
    <w:rsid w:val="003C277D"/>
    <w:rsid w:val="003C29CF"/>
    <w:rsid w:val="003C2BF9"/>
    <w:rsid w:val="003C2CB0"/>
    <w:rsid w:val="003C2F0A"/>
    <w:rsid w:val="003C3158"/>
    <w:rsid w:val="003C396C"/>
    <w:rsid w:val="003C3F97"/>
    <w:rsid w:val="003C43A1"/>
    <w:rsid w:val="003C4FC0"/>
    <w:rsid w:val="003C55F4"/>
    <w:rsid w:val="003C5D7D"/>
    <w:rsid w:val="003C660F"/>
    <w:rsid w:val="003C7897"/>
    <w:rsid w:val="003C7A3F"/>
    <w:rsid w:val="003D0228"/>
    <w:rsid w:val="003D12CD"/>
    <w:rsid w:val="003D1725"/>
    <w:rsid w:val="003D1E2E"/>
    <w:rsid w:val="003D1F96"/>
    <w:rsid w:val="003D2766"/>
    <w:rsid w:val="003D27BB"/>
    <w:rsid w:val="003D2A74"/>
    <w:rsid w:val="003D316C"/>
    <w:rsid w:val="003D3ABC"/>
    <w:rsid w:val="003D3AF4"/>
    <w:rsid w:val="003D3B3E"/>
    <w:rsid w:val="003D3D88"/>
    <w:rsid w:val="003D3E8F"/>
    <w:rsid w:val="003D3EBB"/>
    <w:rsid w:val="003D4751"/>
    <w:rsid w:val="003D4E3A"/>
    <w:rsid w:val="003D54F0"/>
    <w:rsid w:val="003D5A3C"/>
    <w:rsid w:val="003D60B0"/>
    <w:rsid w:val="003D63CC"/>
    <w:rsid w:val="003D6475"/>
    <w:rsid w:val="003D65AE"/>
    <w:rsid w:val="003D665E"/>
    <w:rsid w:val="003D6EE6"/>
    <w:rsid w:val="003D75D0"/>
    <w:rsid w:val="003D7BED"/>
    <w:rsid w:val="003E05F3"/>
    <w:rsid w:val="003E1F74"/>
    <w:rsid w:val="003E20B9"/>
    <w:rsid w:val="003E2619"/>
    <w:rsid w:val="003E285E"/>
    <w:rsid w:val="003E2A1A"/>
    <w:rsid w:val="003E3284"/>
    <w:rsid w:val="003E375C"/>
    <w:rsid w:val="003E4086"/>
    <w:rsid w:val="003E4BD5"/>
    <w:rsid w:val="003E5AB1"/>
    <w:rsid w:val="003E5CAC"/>
    <w:rsid w:val="003E5F03"/>
    <w:rsid w:val="003E5F25"/>
    <w:rsid w:val="003E639E"/>
    <w:rsid w:val="003E6C83"/>
    <w:rsid w:val="003E71E5"/>
    <w:rsid w:val="003E78A8"/>
    <w:rsid w:val="003F0445"/>
    <w:rsid w:val="003F0B15"/>
    <w:rsid w:val="003F0CF0"/>
    <w:rsid w:val="003F0DBF"/>
    <w:rsid w:val="003F14B1"/>
    <w:rsid w:val="003F156E"/>
    <w:rsid w:val="003F1605"/>
    <w:rsid w:val="003F1B27"/>
    <w:rsid w:val="003F1C38"/>
    <w:rsid w:val="003F2B20"/>
    <w:rsid w:val="003F2F57"/>
    <w:rsid w:val="003F3289"/>
    <w:rsid w:val="003F3351"/>
    <w:rsid w:val="003F39F2"/>
    <w:rsid w:val="003F3C62"/>
    <w:rsid w:val="003F40CD"/>
    <w:rsid w:val="003F48C4"/>
    <w:rsid w:val="003F5CB9"/>
    <w:rsid w:val="003F5F97"/>
    <w:rsid w:val="003F62CB"/>
    <w:rsid w:val="003F6CF2"/>
    <w:rsid w:val="003F6EE7"/>
    <w:rsid w:val="003F70CA"/>
    <w:rsid w:val="003F71C6"/>
    <w:rsid w:val="003F7782"/>
    <w:rsid w:val="00401028"/>
    <w:rsid w:val="0040126C"/>
    <w:rsid w:val="004012AD"/>
    <w:rsid w:val="004013C7"/>
    <w:rsid w:val="004013EF"/>
    <w:rsid w:val="00401FB9"/>
    <w:rsid w:val="00401FCF"/>
    <w:rsid w:val="00403208"/>
    <w:rsid w:val="00404611"/>
    <w:rsid w:val="004048DE"/>
    <w:rsid w:val="00404DB7"/>
    <w:rsid w:val="00405ADA"/>
    <w:rsid w:val="00405FAF"/>
    <w:rsid w:val="00406285"/>
    <w:rsid w:val="00406B9B"/>
    <w:rsid w:val="00407B88"/>
    <w:rsid w:val="00407DD7"/>
    <w:rsid w:val="004102D7"/>
    <w:rsid w:val="004110B2"/>
    <w:rsid w:val="004113D3"/>
    <w:rsid w:val="004115A2"/>
    <w:rsid w:val="00411620"/>
    <w:rsid w:val="00411A6A"/>
    <w:rsid w:val="00411E35"/>
    <w:rsid w:val="004126CE"/>
    <w:rsid w:val="00412ED1"/>
    <w:rsid w:val="00413FC2"/>
    <w:rsid w:val="00414174"/>
    <w:rsid w:val="004148F9"/>
    <w:rsid w:val="00414C24"/>
    <w:rsid w:val="00414CAD"/>
    <w:rsid w:val="00414F5C"/>
    <w:rsid w:val="00416B80"/>
    <w:rsid w:val="00416DEE"/>
    <w:rsid w:val="00417547"/>
    <w:rsid w:val="004176E1"/>
    <w:rsid w:val="0041779E"/>
    <w:rsid w:val="004204C8"/>
    <w:rsid w:val="0042073D"/>
    <w:rsid w:val="0042084E"/>
    <w:rsid w:val="004209B4"/>
    <w:rsid w:val="00420F86"/>
    <w:rsid w:val="0042110F"/>
    <w:rsid w:val="00421EEF"/>
    <w:rsid w:val="00422099"/>
    <w:rsid w:val="0042263F"/>
    <w:rsid w:val="00423040"/>
    <w:rsid w:val="00423F90"/>
    <w:rsid w:val="00424402"/>
    <w:rsid w:val="00424459"/>
    <w:rsid w:val="004247B4"/>
    <w:rsid w:val="00424D65"/>
    <w:rsid w:val="00425530"/>
    <w:rsid w:val="004265E6"/>
    <w:rsid w:val="00426925"/>
    <w:rsid w:val="0042792F"/>
    <w:rsid w:val="00427CC9"/>
    <w:rsid w:val="00427CCB"/>
    <w:rsid w:val="00430393"/>
    <w:rsid w:val="00430AC8"/>
    <w:rsid w:val="0043105A"/>
    <w:rsid w:val="00431806"/>
    <w:rsid w:val="0043190D"/>
    <w:rsid w:val="00431A70"/>
    <w:rsid w:val="00431AD4"/>
    <w:rsid w:val="00431F42"/>
    <w:rsid w:val="00432086"/>
    <w:rsid w:val="00432313"/>
    <w:rsid w:val="00432FAC"/>
    <w:rsid w:val="004332ED"/>
    <w:rsid w:val="004339DF"/>
    <w:rsid w:val="00433B46"/>
    <w:rsid w:val="0043404A"/>
    <w:rsid w:val="00434676"/>
    <w:rsid w:val="00435310"/>
    <w:rsid w:val="004355DA"/>
    <w:rsid w:val="00435D62"/>
    <w:rsid w:val="004361AB"/>
    <w:rsid w:val="0043698B"/>
    <w:rsid w:val="004374F6"/>
    <w:rsid w:val="0043783C"/>
    <w:rsid w:val="00441F2B"/>
    <w:rsid w:val="00442309"/>
    <w:rsid w:val="00442767"/>
    <w:rsid w:val="00442C6C"/>
    <w:rsid w:val="00443C6E"/>
    <w:rsid w:val="00443CBE"/>
    <w:rsid w:val="00443D45"/>
    <w:rsid w:val="00443E8A"/>
    <w:rsid w:val="004441BC"/>
    <w:rsid w:val="00444649"/>
    <w:rsid w:val="0044538B"/>
    <w:rsid w:val="00445951"/>
    <w:rsid w:val="004468B4"/>
    <w:rsid w:val="00446D86"/>
    <w:rsid w:val="004471F8"/>
    <w:rsid w:val="00450610"/>
    <w:rsid w:val="00450840"/>
    <w:rsid w:val="00450DD0"/>
    <w:rsid w:val="004514A6"/>
    <w:rsid w:val="00451907"/>
    <w:rsid w:val="00451B66"/>
    <w:rsid w:val="0045230A"/>
    <w:rsid w:val="00453353"/>
    <w:rsid w:val="004535A8"/>
    <w:rsid w:val="0045403A"/>
    <w:rsid w:val="00454A7D"/>
    <w:rsid w:val="00454AD0"/>
    <w:rsid w:val="00454C06"/>
    <w:rsid w:val="00454C39"/>
    <w:rsid w:val="00455299"/>
    <w:rsid w:val="004562C9"/>
    <w:rsid w:val="004565D3"/>
    <w:rsid w:val="00457265"/>
    <w:rsid w:val="00457337"/>
    <w:rsid w:val="00457ED7"/>
    <w:rsid w:val="00460076"/>
    <w:rsid w:val="004603CB"/>
    <w:rsid w:val="00460676"/>
    <w:rsid w:val="004618A2"/>
    <w:rsid w:val="00461904"/>
    <w:rsid w:val="004625B4"/>
    <w:rsid w:val="00462923"/>
    <w:rsid w:val="00462E3D"/>
    <w:rsid w:val="0046355B"/>
    <w:rsid w:val="00463709"/>
    <w:rsid w:val="00465070"/>
    <w:rsid w:val="0046522F"/>
    <w:rsid w:val="004652F7"/>
    <w:rsid w:val="004657AC"/>
    <w:rsid w:val="00466380"/>
    <w:rsid w:val="00466E79"/>
    <w:rsid w:val="00470C12"/>
    <w:rsid w:val="00470D7D"/>
    <w:rsid w:val="00471131"/>
    <w:rsid w:val="004717B0"/>
    <w:rsid w:val="00471CCB"/>
    <w:rsid w:val="00472726"/>
    <w:rsid w:val="00473088"/>
    <w:rsid w:val="0047349E"/>
    <w:rsid w:val="00473535"/>
    <w:rsid w:val="0047372D"/>
    <w:rsid w:val="00473BA3"/>
    <w:rsid w:val="004743DD"/>
    <w:rsid w:val="00474CEA"/>
    <w:rsid w:val="0047556C"/>
    <w:rsid w:val="004763A9"/>
    <w:rsid w:val="004763D2"/>
    <w:rsid w:val="00476B8B"/>
    <w:rsid w:val="00476F64"/>
    <w:rsid w:val="00477137"/>
    <w:rsid w:val="00477142"/>
    <w:rsid w:val="004774E9"/>
    <w:rsid w:val="00477CA3"/>
    <w:rsid w:val="00480B00"/>
    <w:rsid w:val="00480F1D"/>
    <w:rsid w:val="00480F92"/>
    <w:rsid w:val="004815CB"/>
    <w:rsid w:val="004815E3"/>
    <w:rsid w:val="00482028"/>
    <w:rsid w:val="004828E7"/>
    <w:rsid w:val="00482B9F"/>
    <w:rsid w:val="00483968"/>
    <w:rsid w:val="004841BE"/>
    <w:rsid w:val="004846CD"/>
    <w:rsid w:val="004846E4"/>
    <w:rsid w:val="00484B67"/>
    <w:rsid w:val="00484D2D"/>
    <w:rsid w:val="00484F86"/>
    <w:rsid w:val="0048543A"/>
    <w:rsid w:val="00485DB8"/>
    <w:rsid w:val="00486638"/>
    <w:rsid w:val="00486B75"/>
    <w:rsid w:val="004872E9"/>
    <w:rsid w:val="00487351"/>
    <w:rsid w:val="004876B1"/>
    <w:rsid w:val="00490139"/>
    <w:rsid w:val="004903B7"/>
    <w:rsid w:val="00490746"/>
    <w:rsid w:val="00490852"/>
    <w:rsid w:val="004916A1"/>
    <w:rsid w:val="00491C6F"/>
    <w:rsid w:val="00491C9C"/>
    <w:rsid w:val="0049240F"/>
    <w:rsid w:val="004925E6"/>
    <w:rsid w:val="00492F30"/>
    <w:rsid w:val="0049354E"/>
    <w:rsid w:val="004940FF"/>
    <w:rsid w:val="00494474"/>
    <w:rsid w:val="004944F7"/>
    <w:rsid w:val="004946F4"/>
    <w:rsid w:val="0049487E"/>
    <w:rsid w:val="00494CE3"/>
    <w:rsid w:val="004950A7"/>
    <w:rsid w:val="004950D2"/>
    <w:rsid w:val="00496849"/>
    <w:rsid w:val="00496B0B"/>
    <w:rsid w:val="00497312"/>
    <w:rsid w:val="00497871"/>
    <w:rsid w:val="004A07A3"/>
    <w:rsid w:val="004A09A3"/>
    <w:rsid w:val="004A150E"/>
    <w:rsid w:val="004A160D"/>
    <w:rsid w:val="004A1881"/>
    <w:rsid w:val="004A1BDC"/>
    <w:rsid w:val="004A1C93"/>
    <w:rsid w:val="004A2484"/>
    <w:rsid w:val="004A2A44"/>
    <w:rsid w:val="004A3E81"/>
    <w:rsid w:val="004A4195"/>
    <w:rsid w:val="004A4B7F"/>
    <w:rsid w:val="004A4C4C"/>
    <w:rsid w:val="004A4C7B"/>
    <w:rsid w:val="004A4E9D"/>
    <w:rsid w:val="004A4FBF"/>
    <w:rsid w:val="004A5C62"/>
    <w:rsid w:val="004A5C97"/>
    <w:rsid w:val="004A5CE5"/>
    <w:rsid w:val="004A5E07"/>
    <w:rsid w:val="004A664F"/>
    <w:rsid w:val="004A707D"/>
    <w:rsid w:val="004A7479"/>
    <w:rsid w:val="004A74AE"/>
    <w:rsid w:val="004A757C"/>
    <w:rsid w:val="004A77DB"/>
    <w:rsid w:val="004B009C"/>
    <w:rsid w:val="004B0204"/>
    <w:rsid w:val="004B0291"/>
    <w:rsid w:val="004B0662"/>
    <w:rsid w:val="004B0974"/>
    <w:rsid w:val="004B19F3"/>
    <w:rsid w:val="004B1E73"/>
    <w:rsid w:val="004B333D"/>
    <w:rsid w:val="004B3786"/>
    <w:rsid w:val="004B4185"/>
    <w:rsid w:val="004B57D8"/>
    <w:rsid w:val="004B5F8C"/>
    <w:rsid w:val="004B6458"/>
    <w:rsid w:val="004B6944"/>
    <w:rsid w:val="004B749D"/>
    <w:rsid w:val="004B7A11"/>
    <w:rsid w:val="004B7A45"/>
    <w:rsid w:val="004C069A"/>
    <w:rsid w:val="004C0B7A"/>
    <w:rsid w:val="004C0C98"/>
    <w:rsid w:val="004C0EED"/>
    <w:rsid w:val="004C16BF"/>
    <w:rsid w:val="004C1820"/>
    <w:rsid w:val="004C1C90"/>
    <w:rsid w:val="004C288E"/>
    <w:rsid w:val="004C2B1E"/>
    <w:rsid w:val="004C3859"/>
    <w:rsid w:val="004C393E"/>
    <w:rsid w:val="004C3C27"/>
    <w:rsid w:val="004C3C2F"/>
    <w:rsid w:val="004C47F0"/>
    <w:rsid w:val="004C5302"/>
    <w:rsid w:val="004C5541"/>
    <w:rsid w:val="004C5BC5"/>
    <w:rsid w:val="004C5F65"/>
    <w:rsid w:val="004C62BD"/>
    <w:rsid w:val="004C65D3"/>
    <w:rsid w:val="004C66C9"/>
    <w:rsid w:val="004C682B"/>
    <w:rsid w:val="004C6832"/>
    <w:rsid w:val="004C6A8E"/>
    <w:rsid w:val="004C6EEE"/>
    <w:rsid w:val="004C702B"/>
    <w:rsid w:val="004C7A10"/>
    <w:rsid w:val="004D0033"/>
    <w:rsid w:val="004D016B"/>
    <w:rsid w:val="004D03FC"/>
    <w:rsid w:val="004D0A44"/>
    <w:rsid w:val="004D1741"/>
    <w:rsid w:val="004D1B22"/>
    <w:rsid w:val="004D1C12"/>
    <w:rsid w:val="004D2317"/>
    <w:rsid w:val="004D23CC"/>
    <w:rsid w:val="004D36F2"/>
    <w:rsid w:val="004D3A66"/>
    <w:rsid w:val="004D3B68"/>
    <w:rsid w:val="004D3FB1"/>
    <w:rsid w:val="004D45F5"/>
    <w:rsid w:val="004D4CBC"/>
    <w:rsid w:val="004D544C"/>
    <w:rsid w:val="004D5539"/>
    <w:rsid w:val="004D566F"/>
    <w:rsid w:val="004D645B"/>
    <w:rsid w:val="004D7886"/>
    <w:rsid w:val="004D7AF7"/>
    <w:rsid w:val="004E0487"/>
    <w:rsid w:val="004E07AE"/>
    <w:rsid w:val="004E08AA"/>
    <w:rsid w:val="004E10B4"/>
    <w:rsid w:val="004E1106"/>
    <w:rsid w:val="004E1370"/>
    <w:rsid w:val="004E138F"/>
    <w:rsid w:val="004E1457"/>
    <w:rsid w:val="004E171F"/>
    <w:rsid w:val="004E252A"/>
    <w:rsid w:val="004E30A5"/>
    <w:rsid w:val="004E3DD2"/>
    <w:rsid w:val="004E43D9"/>
    <w:rsid w:val="004E4649"/>
    <w:rsid w:val="004E48B8"/>
    <w:rsid w:val="004E4A80"/>
    <w:rsid w:val="004E5C2B"/>
    <w:rsid w:val="004E657B"/>
    <w:rsid w:val="004E6FB5"/>
    <w:rsid w:val="004E7146"/>
    <w:rsid w:val="004E7371"/>
    <w:rsid w:val="004E789D"/>
    <w:rsid w:val="004F00DD"/>
    <w:rsid w:val="004F0565"/>
    <w:rsid w:val="004F0FEA"/>
    <w:rsid w:val="004F2133"/>
    <w:rsid w:val="004F350A"/>
    <w:rsid w:val="004F4077"/>
    <w:rsid w:val="004F5398"/>
    <w:rsid w:val="004F54FA"/>
    <w:rsid w:val="004F55F1"/>
    <w:rsid w:val="004F5948"/>
    <w:rsid w:val="004F59AC"/>
    <w:rsid w:val="004F6936"/>
    <w:rsid w:val="004F6D86"/>
    <w:rsid w:val="004F6D88"/>
    <w:rsid w:val="004F70EF"/>
    <w:rsid w:val="004F71D7"/>
    <w:rsid w:val="004F757A"/>
    <w:rsid w:val="004F7A69"/>
    <w:rsid w:val="004F7A92"/>
    <w:rsid w:val="004F7D27"/>
    <w:rsid w:val="00500AC4"/>
    <w:rsid w:val="00500C3F"/>
    <w:rsid w:val="00501779"/>
    <w:rsid w:val="00501C0B"/>
    <w:rsid w:val="0050236B"/>
    <w:rsid w:val="00502C6B"/>
    <w:rsid w:val="00502E16"/>
    <w:rsid w:val="00502EAE"/>
    <w:rsid w:val="00503075"/>
    <w:rsid w:val="00503DC6"/>
    <w:rsid w:val="005043ED"/>
    <w:rsid w:val="00505057"/>
    <w:rsid w:val="00505532"/>
    <w:rsid w:val="005055F0"/>
    <w:rsid w:val="00505920"/>
    <w:rsid w:val="0050647D"/>
    <w:rsid w:val="00506A91"/>
    <w:rsid w:val="00506A94"/>
    <w:rsid w:val="00506A97"/>
    <w:rsid w:val="00506F5D"/>
    <w:rsid w:val="00507499"/>
    <w:rsid w:val="00507E23"/>
    <w:rsid w:val="00507F52"/>
    <w:rsid w:val="005102C6"/>
    <w:rsid w:val="00510C37"/>
    <w:rsid w:val="005114AD"/>
    <w:rsid w:val="00512154"/>
    <w:rsid w:val="005126D0"/>
    <w:rsid w:val="0051391D"/>
    <w:rsid w:val="00514206"/>
    <w:rsid w:val="00514208"/>
    <w:rsid w:val="005142C5"/>
    <w:rsid w:val="00514378"/>
    <w:rsid w:val="00514667"/>
    <w:rsid w:val="005152FB"/>
    <w:rsid w:val="0051568D"/>
    <w:rsid w:val="005159DD"/>
    <w:rsid w:val="00515B65"/>
    <w:rsid w:val="00515BE4"/>
    <w:rsid w:val="00516316"/>
    <w:rsid w:val="00516552"/>
    <w:rsid w:val="005166B4"/>
    <w:rsid w:val="00516C07"/>
    <w:rsid w:val="00516F3A"/>
    <w:rsid w:val="005200E1"/>
    <w:rsid w:val="0052054D"/>
    <w:rsid w:val="00520574"/>
    <w:rsid w:val="005206F5"/>
    <w:rsid w:val="00520BEB"/>
    <w:rsid w:val="00520DA3"/>
    <w:rsid w:val="00521679"/>
    <w:rsid w:val="0052353D"/>
    <w:rsid w:val="00523AF2"/>
    <w:rsid w:val="00523C06"/>
    <w:rsid w:val="00523F06"/>
    <w:rsid w:val="00524C9C"/>
    <w:rsid w:val="00525115"/>
    <w:rsid w:val="00525238"/>
    <w:rsid w:val="00526AC7"/>
    <w:rsid w:val="00526ADB"/>
    <w:rsid w:val="00526C15"/>
    <w:rsid w:val="0053034E"/>
    <w:rsid w:val="005308A7"/>
    <w:rsid w:val="00530E3F"/>
    <w:rsid w:val="00530F3D"/>
    <w:rsid w:val="0053108C"/>
    <w:rsid w:val="00531388"/>
    <w:rsid w:val="005314B1"/>
    <w:rsid w:val="00531E18"/>
    <w:rsid w:val="00531ED0"/>
    <w:rsid w:val="00532005"/>
    <w:rsid w:val="00532608"/>
    <w:rsid w:val="0053273C"/>
    <w:rsid w:val="00533089"/>
    <w:rsid w:val="0053357C"/>
    <w:rsid w:val="00533AAC"/>
    <w:rsid w:val="00533BA7"/>
    <w:rsid w:val="00533DAF"/>
    <w:rsid w:val="00534611"/>
    <w:rsid w:val="0053468D"/>
    <w:rsid w:val="00534C8F"/>
    <w:rsid w:val="005353FD"/>
    <w:rsid w:val="005358A0"/>
    <w:rsid w:val="0053594D"/>
    <w:rsid w:val="0053595C"/>
    <w:rsid w:val="00536048"/>
    <w:rsid w:val="00536289"/>
    <w:rsid w:val="00536387"/>
    <w:rsid w:val="0053647F"/>
    <w:rsid w:val="00536499"/>
    <w:rsid w:val="005368A2"/>
    <w:rsid w:val="00537A24"/>
    <w:rsid w:val="00537DCC"/>
    <w:rsid w:val="0054017E"/>
    <w:rsid w:val="00540242"/>
    <w:rsid w:val="005403EE"/>
    <w:rsid w:val="00540946"/>
    <w:rsid w:val="00540FB7"/>
    <w:rsid w:val="00541681"/>
    <w:rsid w:val="00541D2D"/>
    <w:rsid w:val="00542A03"/>
    <w:rsid w:val="00543903"/>
    <w:rsid w:val="00543BCC"/>
    <w:rsid w:val="00543F11"/>
    <w:rsid w:val="00544135"/>
    <w:rsid w:val="00544477"/>
    <w:rsid w:val="00544E9B"/>
    <w:rsid w:val="0054527A"/>
    <w:rsid w:val="00545F74"/>
    <w:rsid w:val="00546305"/>
    <w:rsid w:val="00546955"/>
    <w:rsid w:val="00546D12"/>
    <w:rsid w:val="0054715E"/>
    <w:rsid w:val="0054731B"/>
    <w:rsid w:val="00547992"/>
    <w:rsid w:val="00547A95"/>
    <w:rsid w:val="00547FDC"/>
    <w:rsid w:val="00550109"/>
    <w:rsid w:val="005506AC"/>
    <w:rsid w:val="005509B5"/>
    <w:rsid w:val="0055119B"/>
    <w:rsid w:val="005511F9"/>
    <w:rsid w:val="005523DF"/>
    <w:rsid w:val="005532A8"/>
    <w:rsid w:val="00553AF9"/>
    <w:rsid w:val="00553FEE"/>
    <w:rsid w:val="005543EB"/>
    <w:rsid w:val="005549F1"/>
    <w:rsid w:val="00554CCB"/>
    <w:rsid w:val="005559B8"/>
    <w:rsid w:val="00556450"/>
    <w:rsid w:val="00556FC6"/>
    <w:rsid w:val="00557047"/>
    <w:rsid w:val="00557507"/>
    <w:rsid w:val="00557ADE"/>
    <w:rsid w:val="00557B44"/>
    <w:rsid w:val="00560EEB"/>
    <w:rsid w:val="00561202"/>
    <w:rsid w:val="0056142F"/>
    <w:rsid w:val="00562507"/>
    <w:rsid w:val="00562811"/>
    <w:rsid w:val="005630AE"/>
    <w:rsid w:val="0056333D"/>
    <w:rsid w:val="005645AB"/>
    <w:rsid w:val="00564D23"/>
    <w:rsid w:val="00565604"/>
    <w:rsid w:val="00566A89"/>
    <w:rsid w:val="005672A2"/>
    <w:rsid w:val="00567319"/>
    <w:rsid w:val="005711AA"/>
    <w:rsid w:val="00571306"/>
    <w:rsid w:val="005719E6"/>
    <w:rsid w:val="00571B58"/>
    <w:rsid w:val="00572031"/>
    <w:rsid w:val="005720E4"/>
    <w:rsid w:val="00572282"/>
    <w:rsid w:val="00572D07"/>
    <w:rsid w:val="00572F76"/>
    <w:rsid w:val="00572FBC"/>
    <w:rsid w:val="0057360E"/>
    <w:rsid w:val="005736D9"/>
    <w:rsid w:val="00573CE3"/>
    <w:rsid w:val="005742B2"/>
    <w:rsid w:val="00574531"/>
    <w:rsid w:val="00574622"/>
    <w:rsid w:val="00574D8B"/>
    <w:rsid w:val="00574E26"/>
    <w:rsid w:val="0057521A"/>
    <w:rsid w:val="00575349"/>
    <w:rsid w:val="00575F5B"/>
    <w:rsid w:val="00576E84"/>
    <w:rsid w:val="00580394"/>
    <w:rsid w:val="00580423"/>
    <w:rsid w:val="00580562"/>
    <w:rsid w:val="005806AA"/>
    <w:rsid w:val="00580930"/>
    <w:rsid w:val="005809CD"/>
    <w:rsid w:val="00580BDB"/>
    <w:rsid w:val="005810AB"/>
    <w:rsid w:val="005810ED"/>
    <w:rsid w:val="00581C18"/>
    <w:rsid w:val="005829AB"/>
    <w:rsid w:val="00582B8C"/>
    <w:rsid w:val="00582F8D"/>
    <w:rsid w:val="00582FA5"/>
    <w:rsid w:val="005830AC"/>
    <w:rsid w:val="005834F2"/>
    <w:rsid w:val="00583791"/>
    <w:rsid w:val="005837AD"/>
    <w:rsid w:val="00583C7A"/>
    <w:rsid w:val="00583E0A"/>
    <w:rsid w:val="0058468E"/>
    <w:rsid w:val="00584BF9"/>
    <w:rsid w:val="00585D10"/>
    <w:rsid w:val="00586CFE"/>
    <w:rsid w:val="0058757E"/>
    <w:rsid w:val="00587A0D"/>
    <w:rsid w:val="00590490"/>
    <w:rsid w:val="0059068A"/>
    <w:rsid w:val="00590890"/>
    <w:rsid w:val="00590A6D"/>
    <w:rsid w:val="00590EBB"/>
    <w:rsid w:val="005917F3"/>
    <w:rsid w:val="0059184D"/>
    <w:rsid w:val="005918B3"/>
    <w:rsid w:val="00591FF9"/>
    <w:rsid w:val="005928D0"/>
    <w:rsid w:val="0059330A"/>
    <w:rsid w:val="0059388F"/>
    <w:rsid w:val="00593899"/>
    <w:rsid w:val="00593B74"/>
    <w:rsid w:val="00593CCE"/>
    <w:rsid w:val="00593D8E"/>
    <w:rsid w:val="0059418C"/>
    <w:rsid w:val="00595453"/>
    <w:rsid w:val="00595F16"/>
    <w:rsid w:val="00596A4B"/>
    <w:rsid w:val="005970DA"/>
    <w:rsid w:val="005971D9"/>
    <w:rsid w:val="00597507"/>
    <w:rsid w:val="005A02C6"/>
    <w:rsid w:val="005A0CFA"/>
    <w:rsid w:val="005A1B36"/>
    <w:rsid w:val="005A2725"/>
    <w:rsid w:val="005A279F"/>
    <w:rsid w:val="005A2BA3"/>
    <w:rsid w:val="005A2CE4"/>
    <w:rsid w:val="005A3071"/>
    <w:rsid w:val="005A3B95"/>
    <w:rsid w:val="005A3C07"/>
    <w:rsid w:val="005A42BB"/>
    <w:rsid w:val="005A479D"/>
    <w:rsid w:val="005A5E3A"/>
    <w:rsid w:val="005A6606"/>
    <w:rsid w:val="005A689F"/>
    <w:rsid w:val="005A692C"/>
    <w:rsid w:val="005A7322"/>
    <w:rsid w:val="005A751A"/>
    <w:rsid w:val="005A75D8"/>
    <w:rsid w:val="005A75E5"/>
    <w:rsid w:val="005A7EA3"/>
    <w:rsid w:val="005B0253"/>
    <w:rsid w:val="005B11C4"/>
    <w:rsid w:val="005B1C6D"/>
    <w:rsid w:val="005B21B6"/>
    <w:rsid w:val="005B2F5A"/>
    <w:rsid w:val="005B335C"/>
    <w:rsid w:val="005B3517"/>
    <w:rsid w:val="005B3A08"/>
    <w:rsid w:val="005B55DC"/>
    <w:rsid w:val="005B597A"/>
    <w:rsid w:val="005B68D7"/>
    <w:rsid w:val="005B7A63"/>
    <w:rsid w:val="005B7DF7"/>
    <w:rsid w:val="005B7F08"/>
    <w:rsid w:val="005C010E"/>
    <w:rsid w:val="005C0723"/>
    <w:rsid w:val="005C0955"/>
    <w:rsid w:val="005C10FE"/>
    <w:rsid w:val="005C1E8C"/>
    <w:rsid w:val="005C1F5C"/>
    <w:rsid w:val="005C23C7"/>
    <w:rsid w:val="005C24B2"/>
    <w:rsid w:val="005C2BB0"/>
    <w:rsid w:val="005C31CC"/>
    <w:rsid w:val="005C3960"/>
    <w:rsid w:val="005C430D"/>
    <w:rsid w:val="005C4343"/>
    <w:rsid w:val="005C45CA"/>
    <w:rsid w:val="005C48DD"/>
    <w:rsid w:val="005C49DA"/>
    <w:rsid w:val="005C4B44"/>
    <w:rsid w:val="005C50F3"/>
    <w:rsid w:val="005C5384"/>
    <w:rsid w:val="005C54B5"/>
    <w:rsid w:val="005C579C"/>
    <w:rsid w:val="005C5C2F"/>
    <w:rsid w:val="005C5D80"/>
    <w:rsid w:val="005C5D91"/>
    <w:rsid w:val="005C659D"/>
    <w:rsid w:val="005C73F5"/>
    <w:rsid w:val="005C7A7F"/>
    <w:rsid w:val="005C7B5C"/>
    <w:rsid w:val="005D07B8"/>
    <w:rsid w:val="005D0E33"/>
    <w:rsid w:val="005D0E81"/>
    <w:rsid w:val="005D109B"/>
    <w:rsid w:val="005D13CB"/>
    <w:rsid w:val="005D1513"/>
    <w:rsid w:val="005D179A"/>
    <w:rsid w:val="005D1D03"/>
    <w:rsid w:val="005D218F"/>
    <w:rsid w:val="005D346A"/>
    <w:rsid w:val="005D35BE"/>
    <w:rsid w:val="005D3689"/>
    <w:rsid w:val="005D40A2"/>
    <w:rsid w:val="005D40D9"/>
    <w:rsid w:val="005D4911"/>
    <w:rsid w:val="005D4AD3"/>
    <w:rsid w:val="005D5DA6"/>
    <w:rsid w:val="005D6586"/>
    <w:rsid w:val="005D6597"/>
    <w:rsid w:val="005D7056"/>
    <w:rsid w:val="005D76E9"/>
    <w:rsid w:val="005D7936"/>
    <w:rsid w:val="005E0565"/>
    <w:rsid w:val="005E0A05"/>
    <w:rsid w:val="005E0E93"/>
    <w:rsid w:val="005E14E7"/>
    <w:rsid w:val="005E183E"/>
    <w:rsid w:val="005E18F9"/>
    <w:rsid w:val="005E26A3"/>
    <w:rsid w:val="005E27EE"/>
    <w:rsid w:val="005E282A"/>
    <w:rsid w:val="005E28EC"/>
    <w:rsid w:val="005E2C35"/>
    <w:rsid w:val="005E2ECB"/>
    <w:rsid w:val="005E3249"/>
    <w:rsid w:val="005E3C7D"/>
    <w:rsid w:val="005E3E8F"/>
    <w:rsid w:val="005E43FF"/>
    <w:rsid w:val="005E447E"/>
    <w:rsid w:val="005E47DF"/>
    <w:rsid w:val="005E4FD1"/>
    <w:rsid w:val="005E5462"/>
    <w:rsid w:val="005E57B6"/>
    <w:rsid w:val="005E6E1E"/>
    <w:rsid w:val="005E7679"/>
    <w:rsid w:val="005E7CD8"/>
    <w:rsid w:val="005E7D7E"/>
    <w:rsid w:val="005E7EA1"/>
    <w:rsid w:val="005F031D"/>
    <w:rsid w:val="005F0775"/>
    <w:rsid w:val="005F0CD5"/>
    <w:rsid w:val="005F0CF5"/>
    <w:rsid w:val="005F0E08"/>
    <w:rsid w:val="005F0EAD"/>
    <w:rsid w:val="005F1935"/>
    <w:rsid w:val="005F1C3F"/>
    <w:rsid w:val="005F21EB"/>
    <w:rsid w:val="005F282C"/>
    <w:rsid w:val="005F315C"/>
    <w:rsid w:val="005F3D5B"/>
    <w:rsid w:val="005F424B"/>
    <w:rsid w:val="005F44BD"/>
    <w:rsid w:val="005F4B4E"/>
    <w:rsid w:val="005F50F6"/>
    <w:rsid w:val="005F5165"/>
    <w:rsid w:val="005F5782"/>
    <w:rsid w:val="005F6377"/>
    <w:rsid w:val="005F64CF"/>
    <w:rsid w:val="005F6795"/>
    <w:rsid w:val="005F6964"/>
    <w:rsid w:val="005F6D9B"/>
    <w:rsid w:val="005F7929"/>
    <w:rsid w:val="005F7B65"/>
    <w:rsid w:val="0060089C"/>
    <w:rsid w:val="006009FA"/>
    <w:rsid w:val="0060154D"/>
    <w:rsid w:val="00601CC8"/>
    <w:rsid w:val="00602213"/>
    <w:rsid w:val="006038A3"/>
    <w:rsid w:val="00604039"/>
    <w:rsid w:val="00604135"/>
    <w:rsid w:val="0060413B"/>
    <w:rsid w:val="006041AD"/>
    <w:rsid w:val="0060449F"/>
    <w:rsid w:val="0060465F"/>
    <w:rsid w:val="00604841"/>
    <w:rsid w:val="00604FA9"/>
    <w:rsid w:val="00605276"/>
    <w:rsid w:val="006054F0"/>
    <w:rsid w:val="00605908"/>
    <w:rsid w:val="00605CB9"/>
    <w:rsid w:val="00605F62"/>
    <w:rsid w:val="006061B4"/>
    <w:rsid w:val="00606258"/>
    <w:rsid w:val="006066C1"/>
    <w:rsid w:val="00606C25"/>
    <w:rsid w:val="00606C72"/>
    <w:rsid w:val="00607850"/>
    <w:rsid w:val="00607E9B"/>
    <w:rsid w:val="00607EF7"/>
    <w:rsid w:val="00607F0A"/>
    <w:rsid w:val="00610426"/>
    <w:rsid w:val="006106EE"/>
    <w:rsid w:val="00610D7C"/>
    <w:rsid w:val="0061261E"/>
    <w:rsid w:val="00613414"/>
    <w:rsid w:val="0061394C"/>
    <w:rsid w:val="006140B5"/>
    <w:rsid w:val="00614343"/>
    <w:rsid w:val="006148E9"/>
    <w:rsid w:val="00615D97"/>
    <w:rsid w:val="006163C1"/>
    <w:rsid w:val="006166A2"/>
    <w:rsid w:val="00616B89"/>
    <w:rsid w:val="0061792D"/>
    <w:rsid w:val="00620154"/>
    <w:rsid w:val="006210C5"/>
    <w:rsid w:val="00621B1D"/>
    <w:rsid w:val="00621CEE"/>
    <w:rsid w:val="00621FF7"/>
    <w:rsid w:val="006225FD"/>
    <w:rsid w:val="0062326D"/>
    <w:rsid w:val="00623A93"/>
    <w:rsid w:val="0062408D"/>
    <w:rsid w:val="006240CC"/>
    <w:rsid w:val="00624185"/>
    <w:rsid w:val="006245FD"/>
    <w:rsid w:val="006248FE"/>
    <w:rsid w:val="00624940"/>
    <w:rsid w:val="00625135"/>
    <w:rsid w:val="006254F8"/>
    <w:rsid w:val="00625550"/>
    <w:rsid w:val="006260D4"/>
    <w:rsid w:val="006265D4"/>
    <w:rsid w:val="00626661"/>
    <w:rsid w:val="006268D1"/>
    <w:rsid w:val="00627D9E"/>
    <w:rsid w:val="00627DA7"/>
    <w:rsid w:val="00630228"/>
    <w:rsid w:val="00630DA4"/>
    <w:rsid w:val="006313F1"/>
    <w:rsid w:val="00631921"/>
    <w:rsid w:val="00631CD4"/>
    <w:rsid w:val="00632597"/>
    <w:rsid w:val="00632A55"/>
    <w:rsid w:val="006337A5"/>
    <w:rsid w:val="0063387C"/>
    <w:rsid w:val="00633936"/>
    <w:rsid w:val="00633F56"/>
    <w:rsid w:val="006342D2"/>
    <w:rsid w:val="00634C17"/>
    <w:rsid w:val="00634CDD"/>
    <w:rsid w:val="00634D13"/>
    <w:rsid w:val="0063529C"/>
    <w:rsid w:val="006358B4"/>
    <w:rsid w:val="006359DB"/>
    <w:rsid w:val="006361C8"/>
    <w:rsid w:val="00636227"/>
    <w:rsid w:val="00636DEF"/>
    <w:rsid w:val="006371F2"/>
    <w:rsid w:val="00637A4B"/>
    <w:rsid w:val="00637D41"/>
    <w:rsid w:val="0064076C"/>
    <w:rsid w:val="00640B1E"/>
    <w:rsid w:val="00641078"/>
    <w:rsid w:val="00641724"/>
    <w:rsid w:val="006419AA"/>
    <w:rsid w:val="006419BE"/>
    <w:rsid w:val="00642326"/>
    <w:rsid w:val="0064293D"/>
    <w:rsid w:val="00642F70"/>
    <w:rsid w:val="00643086"/>
    <w:rsid w:val="00643153"/>
    <w:rsid w:val="00643ACB"/>
    <w:rsid w:val="00644B1F"/>
    <w:rsid w:val="00644B7E"/>
    <w:rsid w:val="006450CC"/>
    <w:rsid w:val="00645373"/>
    <w:rsid w:val="006454E6"/>
    <w:rsid w:val="00645DBC"/>
    <w:rsid w:val="00645F88"/>
    <w:rsid w:val="006460E2"/>
    <w:rsid w:val="0064616C"/>
    <w:rsid w:val="00646235"/>
    <w:rsid w:val="00646A68"/>
    <w:rsid w:val="00647214"/>
    <w:rsid w:val="00647AA8"/>
    <w:rsid w:val="00647ABE"/>
    <w:rsid w:val="00650143"/>
    <w:rsid w:val="006505BD"/>
    <w:rsid w:val="006508EA"/>
    <w:rsid w:val="0065092E"/>
    <w:rsid w:val="006514CA"/>
    <w:rsid w:val="00651A92"/>
    <w:rsid w:val="006532C3"/>
    <w:rsid w:val="00653F78"/>
    <w:rsid w:val="00655752"/>
    <w:rsid w:val="0065578F"/>
    <w:rsid w:val="006557A7"/>
    <w:rsid w:val="006557B9"/>
    <w:rsid w:val="00655FD3"/>
    <w:rsid w:val="006560D5"/>
    <w:rsid w:val="00656290"/>
    <w:rsid w:val="00656461"/>
    <w:rsid w:val="006564D6"/>
    <w:rsid w:val="00656762"/>
    <w:rsid w:val="00657D46"/>
    <w:rsid w:val="00657DF5"/>
    <w:rsid w:val="006601C9"/>
    <w:rsid w:val="006607B0"/>
    <w:rsid w:val="006608D8"/>
    <w:rsid w:val="006609A3"/>
    <w:rsid w:val="00660C7B"/>
    <w:rsid w:val="00660CBB"/>
    <w:rsid w:val="006612C2"/>
    <w:rsid w:val="00661918"/>
    <w:rsid w:val="00661AE1"/>
    <w:rsid w:val="006621D7"/>
    <w:rsid w:val="00662BCF"/>
    <w:rsid w:val="00662BFC"/>
    <w:rsid w:val="0066302A"/>
    <w:rsid w:val="00663974"/>
    <w:rsid w:val="00663982"/>
    <w:rsid w:val="006642AD"/>
    <w:rsid w:val="00664495"/>
    <w:rsid w:val="0066580C"/>
    <w:rsid w:val="00666043"/>
    <w:rsid w:val="00666B0E"/>
    <w:rsid w:val="00666CEC"/>
    <w:rsid w:val="00666D19"/>
    <w:rsid w:val="00666DDA"/>
    <w:rsid w:val="006671EB"/>
    <w:rsid w:val="006673B1"/>
    <w:rsid w:val="00667770"/>
    <w:rsid w:val="006704D2"/>
    <w:rsid w:val="00670597"/>
    <w:rsid w:val="006706D0"/>
    <w:rsid w:val="0067089E"/>
    <w:rsid w:val="006719CA"/>
    <w:rsid w:val="006738FC"/>
    <w:rsid w:val="00673FD4"/>
    <w:rsid w:val="00674570"/>
    <w:rsid w:val="00675E84"/>
    <w:rsid w:val="006765E0"/>
    <w:rsid w:val="00676C2E"/>
    <w:rsid w:val="00677574"/>
    <w:rsid w:val="00680AA8"/>
    <w:rsid w:val="0068124C"/>
    <w:rsid w:val="006812ED"/>
    <w:rsid w:val="00681443"/>
    <w:rsid w:val="0068159C"/>
    <w:rsid w:val="00681C9D"/>
    <w:rsid w:val="006820DC"/>
    <w:rsid w:val="0068218D"/>
    <w:rsid w:val="006824D2"/>
    <w:rsid w:val="00683878"/>
    <w:rsid w:val="00683879"/>
    <w:rsid w:val="00684380"/>
    <w:rsid w:val="0068454C"/>
    <w:rsid w:val="0068556F"/>
    <w:rsid w:val="00685880"/>
    <w:rsid w:val="0068733A"/>
    <w:rsid w:val="006873C0"/>
    <w:rsid w:val="00687CB1"/>
    <w:rsid w:val="0069106B"/>
    <w:rsid w:val="00691427"/>
    <w:rsid w:val="00691B62"/>
    <w:rsid w:val="00692D63"/>
    <w:rsid w:val="006933B5"/>
    <w:rsid w:val="00693D14"/>
    <w:rsid w:val="006943A4"/>
    <w:rsid w:val="00694DF5"/>
    <w:rsid w:val="0069503A"/>
    <w:rsid w:val="006967B9"/>
    <w:rsid w:val="00696F27"/>
    <w:rsid w:val="0069734E"/>
    <w:rsid w:val="00697C92"/>
    <w:rsid w:val="00697F6B"/>
    <w:rsid w:val="006A18C2"/>
    <w:rsid w:val="006A20EB"/>
    <w:rsid w:val="006A3383"/>
    <w:rsid w:val="006A44ED"/>
    <w:rsid w:val="006A47C9"/>
    <w:rsid w:val="006A4A74"/>
    <w:rsid w:val="006A4A76"/>
    <w:rsid w:val="006A4ADA"/>
    <w:rsid w:val="006A517A"/>
    <w:rsid w:val="006A5299"/>
    <w:rsid w:val="006A575C"/>
    <w:rsid w:val="006A646C"/>
    <w:rsid w:val="006A71CB"/>
    <w:rsid w:val="006A7228"/>
    <w:rsid w:val="006A7346"/>
    <w:rsid w:val="006A73CA"/>
    <w:rsid w:val="006A7BDD"/>
    <w:rsid w:val="006A7DAB"/>
    <w:rsid w:val="006B077C"/>
    <w:rsid w:val="006B1442"/>
    <w:rsid w:val="006B1488"/>
    <w:rsid w:val="006B1C00"/>
    <w:rsid w:val="006B2099"/>
    <w:rsid w:val="006B2180"/>
    <w:rsid w:val="006B223D"/>
    <w:rsid w:val="006B2324"/>
    <w:rsid w:val="006B3179"/>
    <w:rsid w:val="006B370B"/>
    <w:rsid w:val="006B3807"/>
    <w:rsid w:val="006B391E"/>
    <w:rsid w:val="006B53D9"/>
    <w:rsid w:val="006B56A5"/>
    <w:rsid w:val="006B5FFC"/>
    <w:rsid w:val="006B6803"/>
    <w:rsid w:val="006B7190"/>
    <w:rsid w:val="006B7734"/>
    <w:rsid w:val="006B79AE"/>
    <w:rsid w:val="006B7E47"/>
    <w:rsid w:val="006C0342"/>
    <w:rsid w:val="006C035F"/>
    <w:rsid w:val="006C0BA9"/>
    <w:rsid w:val="006C12A5"/>
    <w:rsid w:val="006C14D0"/>
    <w:rsid w:val="006C1506"/>
    <w:rsid w:val="006C1CF8"/>
    <w:rsid w:val="006C22B9"/>
    <w:rsid w:val="006C253E"/>
    <w:rsid w:val="006C39A9"/>
    <w:rsid w:val="006C432A"/>
    <w:rsid w:val="006C4D41"/>
    <w:rsid w:val="006C5184"/>
    <w:rsid w:val="006C5AEE"/>
    <w:rsid w:val="006C7C47"/>
    <w:rsid w:val="006D0F16"/>
    <w:rsid w:val="006D28CD"/>
    <w:rsid w:val="006D2928"/>
    <w:rsid w:val="006D2A3F"/>
    <w:rsid w:val="006D2B4D"/>
    <w:rsid w:val="006D2FBC"/>
    <w:rsid w:val="006D303F"/>
    <w:rsid w:val="006D42C0"/>
    <w:rsid w:val="006D4727"/>
    <w:rsid w:val="006D4B1B"/>
    <w:rsid w:val="006D5479"/>
    <w:rsid w:val="006D56A5"/>
    <w:rsid w:val="006D5A1E"/>
    <w:rsid w:val="006D5D3C"/>
    <w:rsid w:val="006D5F1A"/>
    <w:rsid w:val="006D642A"/>
    <w:rsid w:val="006D689D"/>
    <w:rsid w:val="006D6DCE"/>
    <w:rsid w:val="006D6E34"/>
    <w:rsid w:val="006E0876"/>
    <w:rsid w:val="006E0A43"/>
    <w:rsid w:val="006E0BE0"/>
    <w:rsid w:val="006E0FA0"/>
    <w:rsid w:val="006E112D"/>
    <w:rsid w:val="006E138B"/>
    <w:rsid w:val="006E16CC"/>
    <w:rsid w:val="006E177F"/>
    <w:rsid w:val="006E1867"/>
    <w:rsid w:val="006E217C"/>
    <w:rsid w:val="006E2297"/>
    <w:rsid w:val="006E2DC5"/>
    <w:rsid w:val="006E34E7"/>
    <w:rsid w:val="006E406E"/>
    <w:rsid w:val="006E4AF1"/>
    <w:rsid w:val="006E4BED"/>
    <w:rsid w:val="006E56AB"/>
    <w:rsid w:val="006E56F7"/>
    <w:rsid w:val="006E5BE6"/>
    <w:rsid w:val="006E5D09"/>
    <w:rsid w:val="006E62A1"/>
    <w:rsid w:val="006E6FBA"/>
    <w:rsid w:val="006E7DAC"/>
    <w:rsid w:val="006F0330"/>
    <w:rsid w:val="006F14B0"/>
    <w:rsid w:val="006F1509"/>
    <w:rsid w:val="006F1B53"/>
    <w:rsid w:val="006F1E9D"/>
    <w:rsid w:val="006F1FDC"/>
    <w:rsid w:val="006F23B6"/>
    <w:rsid w:val="006F23E1"/>
    <w:rsid w:val="006F244B"/>
    <w:rsid w:val="006F25F5"/>
    <w:rsid w:val="006F343D"/>
    <w:rsid w:val="006F36CC"/>
    <w:rsid w:val="006F4270"/>
    <w:rsid w:val="006F42EE"/>
    <w:rsid w:val="006F433E"/>
    <w:rsid w:val="006F4E54"/>
    <w:rsid w:val="006F51E1"/>
    <w:rsid w:val="006F5797"/>
    <w:rsid w:val="006F57BB"/>
    <w:rsid w:val="006F5D9D"/>
    <w:rsid w:val="006F61E7"/>
    <w:rsid w:val="006F645A"/>
    <w:rsid w:val="006F6B80"/>
    <w:rsid w:val="006F6B8C"/>
    <w:rsid w:val="006F77EB"/>
    <w:rsid w:val="007013EF"/>
    <w:rsid w:val="00701963"/>
    <w:rsid w:val="007024A8"/>
    <w:rsid w:val="007030DC"/>
    <w:rsid w:val="00703D7C"/>
    <w:rsid w:val="00704D5D"/>
    <w:rsid w:val="00704DD4"/>
    <w:rsid w:val="00704EC7"/>
    <w:rsid w:val="007052A9"/>
    <w:rsid w:val="00705589"/>
    <w:rsid w:val="007055BD"/>
    <w:rsid w:val="00705715"/>
    <w:rsid w:val="00706AF3"/>
    <w:rsid w:val="00706E63"/>
    <w:rsid w:val="007074B1"/>
    <w:rsid w:val="00707C29"/>
    <w:rsid w:val="00710453"/>
    <w:rsid w:val="00710479"/>
    <w:rsid w:val="007107C0"/>
    <w:rsid w:val="0071131E"/>
    <w:rsid w:val="00711A76"/>
    <w:rsid w:val="00711B9D"/>
    <w:rsid w:val="00712C79"/>
    <w:rsid w:val="00714EBC"/>
    <w:rsid w:val="00714FB6"/>
    <w:rsid w:val="00715A14"/>
    <w:rsid w:val="00715D68"/>
    <w:rsid w:val="007160D9"/>
    <w:rsid w:val="00716217"/>
    <w:rsid w:val="00716335"/>
    <w:rsid w:val="007166BF"/>
    <w:rsid w:val="00716949"/>
    <w:rsid w:val="00716A60"/>
    <w:rsid w:val="007173CA"/>
    <w:rsid w:val="00717747"/>
    <w:rsid w:val="00720639"/>
    <w:rsid w:val="00720BB5"/>
    <w:rsid w:val="007211E4"/>
    <w:rsid w:val="0072152A"/>
    <w:rsid w:val="007216AA"/>
    <w:rsid w:val="00721944"/>
    <w:rsid w:val="007219E1"/>
    <w:rsid w:val="00721A81"/>
    <w:rsid w:val="00721AB5"/>
    <w:rsid w:val="00721B35"/>
    <w:rsid w:val="00721B4B"/>
    <w:rsid w:val="00721CFB"/>
    <w:rsid w:val="00721DEF"/>
    <w:rsid w:val="007222E0"/>
    <w:rsid w:val="00722395"/>
    <w:rsid w:val="0072274D"/>
    <w:rsid w:val="00722E4A"/>
    <w:rsid w:val="00723324"/>
    <w:rsid w:val="0072332F"/>
    <w:rsid w:val="0072351F"/>
    <w:rsid w:val="0072416F"/>
    <w:rsid w:val="007246D8"/>
    <w:rsid w:val="00724A43"/>
    <w:rsid w:val="00725674"/>
    <w:rsid w:val="00725952"/>
    <w:rsid w:val="00725C83"/>
    <w:rsid w:val="00726157"/>
    <w:rsid w:val="007265C0"/>
    <w:rsid w:val="00727162"/>
    <w:rsid w:val="0072735D"/>
    <w:rsid w:val="007273AC"/>
    <w:rsid w:val="0072745C"/>
    <w:rsid w:val="007277B1"/>
    <w:rsid w:val="00727BDD"/>
    <w:rsid w:val="00727CC5"/>
    <w:rsid w:val="00727E59"/>
    <w:rsid w:val="007301B9"/>
    <w:rsid w:val="007314BF"/>
    <w:rsid w:val="00731AD4"/>
    <w:rsid w:val="00732780"/>
    <w:rsid w:val="00732D4E"/>
    <w:rsid w:val="00732FF4"/>
    <w:rsid w:val="00733CC5"/>
    <w:rsid w:val="007346CA"/>
    <w:rsid w:val="007346E4"/>
    <w:rsid w:val="00734FE7"/>
    <w:rsid w:val="00735564"/>
    <w:rsid w:val="007359FD"/>
    <w:rsid w:val="00735DBD"/>
    <w:rsid w:val="0073665C"/>
    <w:rsid w:val="00736CB9"/>
    <w:rsid w:val="00737A0F"/>
    <w:rsid w:val="00740C63"/>
    <w:rsid w:val="00740F01"/>
    <w:rsid w:val="00740F22"/>
    <w:rsid w:val="0074181D"/>
    <w:rsid w:val="00741CF0"/>
    <w:rsid w:val="00741E3A"/>
    <w:rsid w:val="00741F1A"/>
    <w:rsid w:val="00742029"/>
    <w:rsid w:val="0074293A"/>
    <w:rsid w:val="00742BCA"/>
    <w:rsid w:val="007439FB"/>
    <w:rsid w:val="00743CAF"/>
    <w:rsid w:val="007447DA"/>
    <w:rsid w:val="007450F8"/>
    <w:rsid w:val="007450FB"/>
    <w:rsid w:val="007456EA"/>
    <w:rsid w:val="00745AFC"/>
    <w:rsid w:val="00746969"/>
    <w:rsid w:val="0074696E"/>
    <w:rsid w:val="00746B46"/>
    <w:rsid w:val="00747638"/>
    <w:rsid w:val="00750135"/>
    <w:rsid w:val="0075057B"/>
    <w:rsid w:val="00750CA5"/>
    <w:rsid w:val="00750EC2"/>
    <w:rsid w:val="00751223"/>
    <w:rsid w:val="00751A13"/>
    <w:rsid w:val="00751D7B"/>
    <w:rsid w:val="00751E56"/>
    <w:rsid w:val="00752B26"/>
    <w:rsid w:val="00752B28"/>
    <w:rsid w:val="00752BA7"/>
    <w:rsid w:val="007536BC"/>
    <w:rsid w:val="00753ACA"/>
    <w:rsid w:val="00753B97"/>
    <w:rsid w:val="007541A9"/>
    <w:rsid w:val="00754E36"/>
    <w:rsid w:val="00754EC0"/>
    <w:rsid w:val="00755292"/>
    <w:rsid w:val="00755DDC"/>
    <w:rsid w:val="00756FCE"/>
    <w:rsid w:val="00757033"/>
    <w:rsid w:val="007570AA"/>
    <w:rsid w:val="007576BF"/>
    <w:rsid w:val="00757D8E"/>
    <w:rsid w:val="00757EBF"/>
    <w:rsid w:val="007609E6"/>
    <w:rsid w:val="00760E6C"/>
    <w:rsid w:val="007611A5"/>
    <w:rsid w:val="0076139C"/>
    <w:rsid w:val="00761F51"/>
    <w:rsid w:val="00762B51"/>
    <w:rsid w:val="00762ED8"/>
    <w:rsid w:val="00763139"/>
    <w:rsid w:val="00763812"/>
    <w:rsid w:val="00763EE7"/>
    <w:rsid w:val="00764601"/>
    <w:rsid w:val="00765FB9"/>
    <w:rsid w:val="007663F8"/>
    <w:rsid w:val="00766877"/>
    <w:rsid w:val="0076690A"/>
    <w:rsid w:val="00766A2E"/>
    <w:rsid w:val="00766E31"/>
    <w:rsid w:val="00767334"/>
    <w:rsid w:val="00767B2F"/>
    <w:rsid w:val="00770950"/>
    <w:rsid w:val="00770E87"/>
    <w:rsid w:val="00770F37"/>
    <w:rsid w:val="007711A0"/>
    <w:rsid w:val="0077157D"/>
    <w:rsid w:val="0077161A"/>
    <w:rsid w:val="00771D01"/>
    <w:rsid w:val="0077248E"/>
    <w:rsid w:val="007728D4"/>
    <w:rsid w:val="00772BEB"/>
    <w:rsid w:val="00772C71"/>
    <w:rsid w:val="00772C96"/>
    <w:rsid w:val="00772D5E"/>
    <w:rsid w:val="00772E85"/>
    <w:rsid w:val="00773447"/>
    <w:rsid w:val="00773A5A"/>
    <w:rsid w:val="00773ECC"/>
    <w:rsid w:val="0077437A"/>
    <w:rsid w:val="0077463E"/>
    <w:rsid w:val="00775684"/>
    <w:rsid w:val="00775F38"/>
    <w:rsid w:val="00776218"/>
    <w:rsid w:val="00776928"/>
    <w:rsid w:val="00776D04"/>
    <w:rsid w:val="00776D56"/>
    <w:rsid w:val="00776E0F"/>
    <w:rsid w:val="007772F9"/>
    <w:rsid w:val="007774B1"/>
    <w:rsid w:val="00777BE1"/>
    <w:rsid w:val="00777DCA"/>
    <w:rsid w:val="00777F41"/>
    <w:rsid w:val="00780096"/>
    <w:rsid w:val="00780359"/>
    <w:rsid w:val="00780CDE"/>
    <w:rsid w:val="00781731"/>
    <w:rsid w:val="00781887"/>
    <w:rsid w:val="0078189B"/>
    <w:rsid w:val="007818B3"/>
    <w:rsid w:val="0078217B"/>
    <w:rsid w:val="00782222"/>
    <w:rsid w:val="00782705"/>
    <w:rsid w:val="00782871"/>
    <w:rsid w:val="00782C14"/>
    <w:rsid w:val="007833D8"/>
    <w:rsid w:val="0078384F"/>
    <w:rsid w:val="0078458C"/>
    <w:rsid w:val="007845FF"/>
    <w:rsid w:val="0078491D"/>
    <w:rsid w:val="00785677"/>
    <w:rsid w:val="00785A21"/>
    <w:rsid w:val="0078611F"/>
    <w:rsid w:val="0078613C"/>
    <w:rsid w:val="007863F6"/>
    <w:rsid w:val="00786F16"/>
    <w:rsid w:val="00787FA7"/>
    <w:rsid w:val="00790ABF"/>
    <w:rsid w:val="00791134"/>
    <w:rsid w:val="00791AD1"/>
    <w:rsid w:val="00791BD7"/>
    <w:rsid w:val="00792774"/>
    <w:rsid w:val="007933F7"/>
    <w:rsid w:val="00793605"/>
    <w:rsid w:val="0079364E"/>
    <w:rsid w:val="007950E0"/>
    <w:rsid w:val="0079541C"/>
    <w:rsid w:val="00796536"/>
    <w:rsid w:val="00796649"/>
    <w:rsid w:val="00796E20"/>
    <w:rsid w:val="00797688"/>
    <w:rsid w:val="007976B5"/>
    <w:rsid w:val="00797C32"/>
    <w:rsid w:val="007A0473"/>
    <w:rsid w:val="007A0FF3"/>
    <w:rsid w:val="007A11E8"/>
    <w:rsid w:val="007A29DD"/>
    <w:rsid w:val="007A2D3C"/>
    <w:rsid w:val="007A3104"/>
    <w:rsid w:val="007A3677"/>
    <w:rsid w:val="007A37BB"/>
    <w:rsid w:val="007A42DA"/>
    <w:rsid w:val="007A5450"/>
    <w:rsid w:val="007A556A"/>
    <w:rsid w:val="007A5777"/>
    <w:rsid w:val="007A583B"/>
    <w:rsid w:val="007A5F1E"/>
    <w:rsid w:val="007A60C7"/>
    <w:rsid w:val="007A645F"/>
    <w:rsid w:val="007A654C"/>
    <w:rsid w:val="007A66E7"/>
    <w:rsid w:val="007A6A17"/>
    <w:rsid w:val="007A6B44"/>
    <w:rsid w:val="007A77E6"/>
    <w:rsid w:val="007A7CF6"/>
    <w:rsid w:val="007B031D"/>
    <w:rsid w:val="007B0569"/>
    <w:rsid w:val="007B0914"/>
    <w:rsid w:val="007B0F00"/>
    <w:rsid w:val="007B1374"/>
    <w:rsid w:val="007B1D53"/>
    <w:rsid w:val="007B2DF6"/>
    <w:rsid w:val="007B31E7"/>
    <w:rsid w:val="007B32E5"/>
    <w:rsid w:val="007B3DB9"/>
    <w:rsid w:val="007B42F8"/>
    <w:rsid w:val="007B4A2D"/>
    <w:rsid w:val="007B4B1A"/>
    <w:rsid w:val="007B4BC5"/>
    <w:rsid w:val="007B51D4"/>
    <w:rsid w:val="007B589F"/>
    <w:rsid w:val="007B58E6"/>
    <w:rsid w:val="007B6186"/>
    <w:rsid w:val="007B64C4"/>
    <w:rsid w:val="007B6C98"/>
    <w:rsid w:val="007B6FAE"/>
    <w:rsid w:val="007B73BC"/>
    <w:rsid w:val="007B779D"/>
    <w:rsid w:val="007C0474"/>
    <w:rsid w:val="007C06F0"/>
    <w:rsid w:val="007C0E47"/>
    <w:rsid w:val="007C1838"/>
    <w:rsid w:val="007C1CFF"/>
    <w:rsid w:val="007C20B9"/>
    <w:rsid w:val="007C2955"/>
    <w:rsid w:val="007C2D81"/>
    <w:rsid w:val="007C34C2"/>
    <w:rsid w:val="007C468F"/>
    <w:rsid w:val="007C50B1"/>
    <w:rsid w:val="007C540B"/>
    <w:rsid w:val="007C599E"/>
    <w:rsid w:val="007C5CC7"/>
    <w:rsid w:val="007C68DD"/>
    <w:rsid w:val="007C6E74"/>
    <w:rsid w:val="007C7301"/>
    <w:rsid w:val="007C7859"/>
    <w:rsid w:val="007C788A"/>
    <w:rsid w:val="007C7F28"/>
    <w:rsid w:val="007D0258"/>
    <w:rsid w:val="007D092A"/>
    <w:rsid w:val="007D1230"/>
    <w:rsid w:val="007D1466"/>
    <w:rsid w:val="007D2BDE"/>
    <w:rsid w:val="007D2C2F"/>
    <w:rsid w:val="007D2FB6"/>
    <w:rsid w:val="007D38BA"/>
    <w:rsid w:val="007D419D"/>
    <w:rsid w:val="007D49EB"/>
    <w:rsid w:val="007D4AAC"/>
    <w:rsid w:val="007D500D"/>
    <w:rsid w:val="007D515C"/>
    <w:rsid w:val="007D52E4"/>
    <w:rsid w:val="007D58BA"/>
    <w:rsid w:val="007D5918"/>
    <w:rsid w:val="007D5B6F"/>
    <w:rsid w:val="007D5C4B"/>
    <w:rsid w:val="007D5E1C"/>
    <w:rsid w:val="007D668F"/>
    <w:rsid w:val="007D7045"/>
    <w:rsid w:val="007D73EC"/>
    <w:rsid w:val="007D743D"/>
    <w:rsid w:val="007E04CE"/>
    <w:rsid w:val="007E0DE2"/>
    <w:rsid w:val="007E0E55"/>
    <w:rsid w:val="007E14AA"/>
    <w:rsid w:val="007E2875"/>
    <w:rsid w:val="007E2E3C"/>
    <w:rsid w:val="007E3667"/>
    <w:rsid w:val="007E3B98"/>
    <w:rsid w:val="007E4142"/>
    <w:rsid w:val="007E417A"/>
    <w:rsid w:val="007E4DFF"/>
    <w:rsid w:val="007E548D"/>
    <w:rsid w:val="007E5A10"/>
    <w:rsid w:val="007E5AA0"/>
    <w:rsid w:val="007E7C3E"/>
    <w:rsid w:val="007F101A"/>
    <w:rsid w:val="007F15D8"/>
    <w:rsid w:val="007F18C4"/>
    <w:rsid w:val="007F2A8E"/>
    <w:rsid w:val="007F2BB6"/>
    <w:rsid w:val="007F2C7D"/>
    <w:rsid w:val="007F31B6"/>
    <w:rsid w:val="007F3CDB"/>
    <w:rsid w:val="007F3E09"/>
    <w:rsid w:val="007F3E71"/>
    <w:rsid w:val="007F3E7E"/>
    <w:rsid w:val="007F4938"/>
    <w:rsid w:val="007F4BDC"/>
    <w:rsid w:val="007F5322"/>
    <w:rsid w:val="007F546C"/>
    <w:rsid w:val="007F57FD"/>
    <w:rsid w:val="007F625F"/>
    <w:rsid w:val="007F665E"/>
    <w:rsid w:val="007F6867"/>
    <w:rsid w:val="007F6C8C"/>
    <w:rsid w:val="007F6CA5"/>
    <w:rsid w:val="0080032D"/>
    <w:rsid w:val="00800412"/>
    <w:rsid w:val="00800505"/>
    <w:rsid w:val="008006A5"/>
    <w:rsid w:val="008009E5"/>
    <w:rsid w:val="008014F6"/>
    <w:rsid w:val="008024B4"/>
    <w:rsid w:val="008028B2"/>
    <w:rsid w:val="00802E38"/>
    <w:rsid w:val="00803547"/>
    <w:rsid w:val="0080379A"/>
    <w:rsid w:val="00804619"/>
    <w:rsid w:val="008048ED"/>
    <w:rsid w:val="0080502D"/>
    <w:rsid w:val="008053F2"/>
    <w:rsid w:val="0080587B"/>
    <w:rsid w:val="00805A9F"/>
    <w:rsid w:val="00806468"/>
    <w:rsid w:val="00806654"/>
    <w:rsid w:val="00806C9D"/>
    <w:rsid w:val="008075F9"/>
    <w:rsid w:val="00807B99"/>
    <w:rsid w:val="00807BB5"/>
    <w:rsid w:val="008108D9"/>
    <w:rsid w:val="00810C45"/>
    <w:rsid w:val="0081148E"/>
    <w:rsid w:val="008118F2"/>
    <w:rsid w:val="008119CA"/>
    <w:rsid w:val="00812039"/>
    <w:rsid w:val="00812868"/>
    <w:rsid w:val="00812DC9"/>
    <w:rsid w:val="008130C4"/>
    <w:rsid w:val="00813155"/>
    <w:rsid w:val="00813242"/>
    <w:rsid w:val="0081337A"/>
    <w:rsid w:val="008134C2"/>
    <w:rsid w:val="00813CF0"/>
    <w:rsid w:val="0081443B"/>
    <w:rsid w:val="008152D1"/>
    <w:rsid w:val="008155F0"/>
    <w:rsid w:val="00815CB5"/>
    <w:rsid w:val="00816423"/>
    <w:rsid w:val="00816735"/>
    <w:rsid w:val="0081704F"/>
    <w:rsid w:val="00817104"/>
    <w:rsid w:val="008172F3"/>
    <w:rsid w:val="008176F4"/>
    <w:rsid w:val="008176F8"/>
    <w:rsid w:val="0081786A"/>
    <w:rsid w:val="00817873"/>
    <w:rsid w:val="008178B9"/>
    <w:rsid w:val="00820141"/>
    <w:rsid w:val="00820E0C"/>
    <w:rsid w:val="00821B60"/>
    <w:rsid w:val="00822E53"/>
    <w:rsid w:val="00823275"/>
    <w:rsid w:val="0082366F"/>
    <w:rsid w:val="0082508B"/>
    <w:rsid w:val="00825569"/>
    <w:rsid w:val="00826187"/>
    <w:rsid w:val="008267BB"/>
    <w:rsid w:val="00826CBA"/>
    <w:rsid w:val="00826EB5"/>
    <w:rsid w:val="00826F94"/>
    <w:rsid w:val="0082766C"/>
    <w:rsid w:val="00827DA2"/>
    <w:rsid w:val="00830EA0"/>
    <w:rsid w:val="00831C04"/>
    <w:rsid w:val="00832CAA"/>
    <w:rsid w:val="008331EA"/>
    <w:rsid w:val="008338A2"/>
    <w:rsid w:val="00833B63"/>
    <w:rsid w:val="0083407C"/>
    <w:rsid w:val="0083414A"/>
    <w:rsid w:val="008344A9"/>
    <w:rsid w:val="00834837"/>
    <w:rsid w:val="00836440"/>
    <w:rsid w:val="00836560"/>
    <w:rsid w:val="008365F9"/>
    <w:rsid w:val="00836F29"/>
    <w:rsid w:val="00837615"/>
    <w:rsid w:val="00837714"/>
    <w:rsid w:val="008404F7"/>
    <w:rsid w:val="00840ACB"/>
    <w:rsid w:val="00840B94"/>
    <w:rsid w:val="0084131D"/>
    <w:rsid w:val="00841AA9"/>
    <w:rsid w:val="0084227F"/>
    <w:rsid w:val="00842293"/>
    <w:rsid w:val="008423BC"/>
    <w:rsid w:val="00844671"/>
    <w:rsid w:val="00844730"/>
    <w:rsid w:val="00845587"/>
    <w:rsid w:val="008455EC"/>
    <w:rsid w:val="008457EC"/>
    <w:rsid w:val="008459D0"/>
    <w:rsid w:val="0084608D"/>
    <w:rsid w:val="00846B98"/>
    <w:rsid w:val="008474FE"/>
    <w:rsid w:val="00847573"/>
    <w:rsid w:val="00847C7A"/>
    <w:rsid w:val="00850569"/>
    <w:rsid w:val="00850650"/>
    <w:rsid w:val="00850AD4"/>
    <w:rsid w:val="00850E2D"/>
    <w:rsid w:val="00851213"/>
    <w:rsid w:val="00851A02"/>
    <w:rsid w:val="008520DA"/>
    <w:rsid w:val="00853B15"/>
    <w:rsid w:val="00853EE4"/>
    <w:rsid w:val="00854110"/>
    <w:rsid w:val="00854458"/>
    <w:rsid w:val="00855122"/>
    <w:rsid w:val="00855535"/>
    <w:rsid w:val="008557C6"/>
    <w:rsid w:val="00857129"/>
    <w:rsid w:val="00857C5A"/>
    <w:rsid w:val="0086080F"/>
    <w:rsid w:val="00860CBD"/>
    <w:rsid w:val="008610B9"/>
    <w:rsid w:val="008616F2"/>
    <w:rsid w:val="0086255E"/>
    <w:rsid w:val="008633F0"/>
    <w:rsid w:val="0086340A"/>
    <w:rsid w:val="008638E1"/>
    <w:rsid w:val="008646FB"/>
    <w:rsid w:val="00864BB6"/>
    <w:rsid w:val="00865072"/>
    <w:rsid w:val="00865243"/>
    <w:rsid w:val="008655DF"/>
    <w:rsid w:val="0086587E"/>
    <w:rsid w:val="00866608"/>
    <w:rsid w:val="008669F2"/>
    <w:rsid w:val="00866B80"/>
    <w:rsid w:val="00866DE9"/>
    <w:rsid w:val="00867181"/>
    <w:rsid w:val="00867D9D"/>
    <w:rsid w:val="008701C9"/>
    <w:rsid w:val="008707F8"/>
    <w:rsid w:val="008710F8"/>
    <w:rsid w:val="008714A2"/>
    <w:rsid w:val="00871C8D"/>
    <w:rsid w:val="0087204B"/>
    <w:rsid w:val="00872282"/>
    <w:rsid w:val="008728EC"/>
    <w:rsid w:val="00872E0A"/>
    <w:rsid w:val="00872EC3"/>
    <w:rsid w:val="0087333C"/>
    <w:rsid w:val="00873594"/>
    <w:rsid w:val="00874019"/>
    <w:rsid w:val="0087471C"/>
    <w:rsid w:val="00874873"/>
    <w:rsid w:val="00874DDC"/>
    <w:rsid w:val="00874FCE"/>
    <w:rsid w:val="008750AD"/>
    <w:rsid w:val="00875285"/>
    <w:rsid w:val="00875E2E"/>
    <w:rsid w:val="00875E6E"/>
    <w:rsid w:val="00876009"/>
    <w:rsid w:val="008761F5"/>
    <w:rsid w:val="008765C8"/>
    <w:rsid w:val="00876D8F"/>
    <w:rsid w:val="00876DE7"/>
    <w:rsid w:val="00876EA2"/>
    <w:rsid w:val="00877FAF"/>
    <w:rsid w:val="008812CD"/>
    <w:rsid w:val="0088179A"/>
    <w:rsid w:val="00881F29"/>
    <w:rsid w:val="00882B2E"/>
    <w:rsid w:val="00882DBC"/>
    <w:rsid w:val="00882F4F"/>
    <w:rsid w:val="008834D8"/>
    <w:rsid w:val="00883559"/>
    <w:rsid w:val="00883888"/>
    <w:rsid w:val="008847AA"/>
    <w:rsid w:val="00884B62"/>
    <w:rsid w:val="00884DC6"/>
    <w:rsid w:val="0088529C"/>
    <w:rsid w:val="00885ADE"/>
    <w:rsid w:val="00885E2E"/>
    <w:rsid w:val="00886062"/>
    <w:rsid w:val="00886329"/>
    <w:rsid w:val="00886CC4"/>
    <w:rsid w:val="00886DB1"/>
    <w:rsid w:val="008871B5"/>
    <w:rsid w:val="00887682"/>
    <w:rsid w:val="00887903"/>
    <w:rsid w:val="00887983"/>
    <w:rsid w:val="00887D46"/>
    <w:rsid w:val="00887DF6"/>
    <w:rsid w:val="00890A34"/>
    <w:rsid w:val="008917CF"/>
    <w:rsid w:val="0089270A"/>
    <w:rsid w:val="0089280A"/>
    <w:rsid w:val="00892B79"/>
    <w:rsid w:val="008937F3"/>
    <w:rsid w:val="00893AF6"/>
    <w:rsid w:val="00893B03"/>
    <w:rsid w:val="0089426F"/>
    <w:rsid w:val="008947AA"/>
    <w:rsid w:val="008949C2"/>
    <w:rsid w:val="00894BC4"/>
    <w:rsid w:val="00896001"/>
    <w:rsid w:val="00896890"/>
    <w:rsid w:val="008971BA"/>
    <w:rsid w:val="008977D1"/>
    <w:rsid w:val="008979A5"/>
    <w:rsid w:val="008979CF"/>
    <w:rsid w:val="008979E8"/>
    <w:rsid w:val="008A04C2"/>
    <w:rsid w:val="008A0622"/>
    <w:rsid w:val="008A0FCB"/>
    <w:rsid w:val="008A1326"/>
    <w:rsid w:val="008A1898"/>
    <w:rsid w:val="008A226F"/>
    <w:rsid w:val="008A2507"/>
    <w:rsid w:val="008A28A8"/>
    <w:rsid w:val="008A2A95"/>
    <w:rsid w:val="008A2AC5"/>
    <w:rsid w:val="008A3498"/>
    <w:rsid w:val="008A36D5"/>
    <w:rsid w:val="008A4626"/>
    <w:rsid w:val="008A473D"/>
    <w:rsid w:val="008A54AC"/>
    <w:rsid w:val="008A56F1"/>
    <w:rsid w:val="008A5B32"/>
    <w:rsid w:val="008A5B54"/>
    <w:rsid w:val="008A5DB4"/>
    <w:rsid w:val="008A6020"/>
    <w:rsid w:val="008A78BC"/>
    <w:rsid w:val="008B097D"/>
    <w:rsid w:val="008B1326"/>
    <w:rsid w:val="008B1A11"/>
    <w:rsid w:val="008B1AE4"/>
    <w:rsid w:val="008B2029"/>
    <w:rsid w:val="008B27F4"/>
    <w:rsid w:val="008B2EE4"/>
    <w:rsid w:val="008B325B"/>
    <w:rsid w:val="008B34D1"/>
    <w:rsid w:val="008B3766"/>
    <w:rsid w:val="008B3821"/>
    <w:rsid w:val="008B38F4"/>
    <w:rsid w:val="008B4D3D"/>
    <w:rsid w:val="008B5683"/>
    <w:rsid w:val="008B57C7"/>
    <w:rsid w:val="008B5967"/>
    <w:rsid w:val="008B7A6E"/>
    <w:rsid w:val="008C035F"/>
    <w:rsid w:val="008C0730"/>
    <w:rsid w:val="008C128E"/>
    <w:rsid w:val="008C1ADD"/>
    <w:rsid w:val="008C1D73"/>
    <w:rsid w:val="008C2610"/>
    <w:rsid w:val="008C26AF"/>
    <w:rsid w:val="008C2F92"/>
    <w:rsid w:val="008C3546"/>
    <w:rsid w:val="008C3933"/>
    <w:rsid w:val="008C3C9E"/>
    <w:rsid w:val="008C4610"/>
    <w:rsid w:val="008C4E14"/>
    <w:rsid w:val="008C4E1B"/>
    <w:rsid w:val="008C535F"/>
    <w:rsid w:val="008C589D"/>
    <w:rsid w:val="008C6D51"/>
    <w:rsid w:val="008C6D9C"/>
    <w:rsid w:val="008C6EAF"/>
    <w:rsid w:val="008C6F59"/>
    <w:rsid w:val="008C764A"/>
    <w:rsid w:val="008D07E5"/>
    <w:rsid w:val="008D159C"/>
    <w:rsid w:val="008D177D"/>
    <w:rsid w:val="008D1787"/>
    <w:rsid w:val="008D22C3"/>
    <w:rsid w:val="008D2846"/>
    <w:rsid w:val="008D2877"/>
    <w:rsid w:val="008D2DFA"/>
    <w:rsid w:val="008D30FE"/>
    <w:rsid w:val="008D3532"/>
    <w:rsid w:val="008D393C"/>
    <w:rsid w:val="008D4236"/>
    <w:rsid w:val="008D45A5"/>
    <w:rsid w:val="008D462F"/>
    <w:rsid w:val="008D4842"/>
    <w:rsid w:val="008D54AE"/>
    <w:rsid w:val="008D5538"/>
    <w:rsid w:val="008D5629"/>
    <w:rsid w:val="008D5986"/>
    <w:rsid w:val="008D5C25"/>
    <w:rsid w:val="008D675E"/>
    <w:rsid w:val="008D6859"/>
    <w:rsid w:val="008D6DCF"/>
    <w:rsid w:val="008D6E0C"/>
    <w:rsid w:val="008D71AD"/>
    <w:rsid w:val="008E0D6B"/>
    <w:rsid w:val="008E1048"/>
    <w:rsid w:val="008E25D6"/>
    <w:rsid w:val="008E2CB5"/>
    <w:rsid w:val="008E30F9"/>
    <w:rsid w:val="008E36B9"/>
    <w:rsid w:val="008E4266"/>
    <w:rsid w:val="008E4376"/>
    <w:rsid w:val="008E46AE"/>
    <w:rsid w:val="008E48B1"/>
    <w:rsid w:val="008E4AB8"/>
    <w:rsid w:val="008E52A3"/>
    <w:rsid w:val="008E57B8"/>
    <w:rsid w:val="008E5ACF"/>
    <w:rsid w:val="008E5EFF"/>
    <w:rsid w:val="008E6BDA"/>
    <w:rsid w:val="008E6E91"/>
    <w:rsid w:val="008E713C"/>
    <w:rsid w:val="008E7297"/>
    <w:rsid w:val="008E7666"/>
    <w:rsid w:val="008E7864"/>
    <w:rsid w:val="008E7A0A"/>
    <w:rsid w:val="008E7B49"/>
    <w:rsid w:val="008E7FE3"/>
    <w:rsid w:val="008F013A"/>
    <w:rsid w:val="008F064C"/>
    <w:rsid w:val="008F1695"/>
    <w:rsid w:val="008F1AA1"/>
    <w:rsid w:val="008F20A6"/>
    <w:rsid w:val="008F23FB"/>
    <w:rsid w:val="008F2E2A"/>
    <w:rsid w:val="008F3CA4"/>
    <w:rsid w:val="008F46A4"/>
    <w:rsid w:val="008F5391"/>
    <w:rsid w:val="008F59F6"/>
    <w:rsid w:val="008F6223"/>
    <w:rsid w:val="008F62E3"/>
    <w:rsid w:val="008F62F1"/>
    <w:rsid w:val="008F668F"/>
    <w:rsid w:val="008F7035"/>
    <w:rsid w:val="008F7574"/>
    <w:rsid w:val="00900128"/>
    <w:rsid w:val="00900719"/>
    <w:rsid w:val="00900E15"/>
    <w:rsid w:val="0090116A"/>
    <w:rsid w:val="009017AC"/>
    <w:rsid w:val="00901AB2"/>
    <w:rsid w:val="00901C95"/>
    <w:rsid w:val="00902A9A"/>
    <w:rsid w:val="00903264"/>
    <w:rsid w:val="009033B5"/>
    <w:rsid w:val="00903BAD"/>
    <w:rsid w:val="00903DFB"/>
    <w:rsid w:val="009049EF"/>
    <w:rsid w:val="00904A1C"/>
    <w:rsid w:val="00904FA9"/>
    <w:rsid w:val="00904FDF"/>
    <w:rsid w:val="00905030"/>
    <w:rsid w:val="009052A5"/>
    <w:rsid w:val="00905798"/>
    <w:rsid w:val="0090597A"/>
    <w:rsid w:val="00905DBA"/>
    <w:rsid w:val="00906409"/>
    <w:rsid w:val="00906490"/>
    <w:rsid w:val="009064F6"/>
    <w:rsid w:val="00906FC7"/>
    <w:rsid w:val="009075D2"/>
    <w:rsid w:val="00907AC0"/>
    <w:rsid w:val="00907E1A"/>
    <w:rsid w:val="00910054"/>
    <w:rsid w:val="00910D85"/>
    <w:rsid w:val="009111B2"/>
    <w:rsid w:val="009122FD"/>
    <w:rsid w:val="00912461"/>
    <w:rsid w:val="0091257F"/>
    <w:rsid w:val="009139EA"/>
    <w:rsid w:val="00913FD2"/>
    <w:rsid w:val="009144EA"/>
    <w:rsid w:val="009151F5"/>
    <w:rsid w:val="009152AE"/>
    <w:rsid w:val="009152AF"/>
    <w:rsid w:val="00915718"/>
    <w:rsid w:val="00915A99"/>
    <w:rsid w:val="0091654F"/>
    <w:rsid w:val="0091784F"/>
    <w:rsid w:val="009200A6"/>
    <w:rsid w:val="00920116"/>
    <w:rsid w:val="009205F8"/>
    <w:rsid w:val="009210B4"/>
    <w:rsid w:val="00922090"/>
    <w:rsid w:val="00922372"/>
    <w:rsid w:val="009233E2"/>
    <w:rsid w:val="009238E9"/>
    <w:rsid w:val="009244CF"/>
    <w:rsid w:val="00924AE1"/>
    <w:rsid w:val="0092521C"/>
    <w:rsid w:val="009252C4"/>
    <w:rsid w:val="009252E1"/>
    <w:rsid w:val="009254C0"/>
    <w:rsid w:val="0092662D"/>
    <w:rsid w:val="0092680C"/>
    <w:rsid w:val="0092698A"/>
    <w:rsid w:val="009269B1"/>
    <w:rsid w:val="00926E60"/>
    <w:rsid w:val="0092724D"/>
    <w:rsid w:val="009272B3"/>
    <w:rsid w:val="009315BE"/>
    <w:rsid w:val="0093169F"/>
    <w:rsid w:val="00931BEF"/>
    <w:rsid w:val="00932693"/>
    <w:rsid w:val="009326DD"/>
    <w:rsid w:val="0093338F"/>
    <w:rsid w:val="00933A99"/>
    <w:rsid w:val="009340F5"/>
    <w:rsid w:val="0093439C"/>
    <w:rsid w:val="0093455F"/>
    <w:rsid w:val="0093539A"/>
    <w:rsid w:val="00936E99"/>
    <w:rsid w:val="00937421"/>
    <w:rsid w:val="00937BC9"/>
    <w:rsid w:val="00937BD9"/>
    <w:rsid w:val="00937E7E"/>
    <w:rsid w:val="009406E2"/>
    <w:rsid w:val="00940D0D"/>
    <w:rsid w:val="00940E8C"/>
    <w:rsid w:val="0094119F"/>
    <w:rsid w:val="009428EF"/>
    <w:rsid w:val="00942B6D"/>
    <w:rsid w:val="00943296"/>
    <w:rsid w:val="00943310"/>
    <w:rsid w:val="0094391B"/>
    <w:rsid w:val="00944B17"/>
    <w:rsid w:val="00944FF8"/>
    <w:rsid w:val="00945219"/>
    <w:rsid w:val="009458F4"/>
    <w:rsid w:val="00945DAB"/>
    <w:rsid w:val="009464D0"/>
    <w:rsid w:val="009468A6"/>
    <w:rsid w:val="009469F4"/>
    <w:rsid w:val="00947161"/>
    <w:rsid w:val="00947281"/>
    <w:rsid w:val="009474DF"/>
    <w:rsid w:val="009475FF"/>
    <w:rsid w:val="00947805"/>
    <w:rsid w:val="00947EE5"/>
    <w:rsid w:val="009505DD"/>
    <w:rsid w:val="0095069E"/>
    <w:rsid w:val="00950E2C"/>
    <w:rsid w:val="00950FFE"/>
    <w:rsid w:val="00951B34"/>
    <w:rsid w:val="00951D50"/>
    <w:rsid w:val="0095246B"/>
    <w:rsid w:val="009525EB"/>
    <w:rsid w:val="00953C09"/>
    <w:rsid w:val="009544DC"/>
    <w:rsid w:val="00954600"/>
    <w:rsid w:val="00954673"/>
    <w:rsid w:val="0095470B"/>
    <w:rsid w:val="00954763"/>
    <w:rsid w:val="00954874"/>
    <w:rsid w:val="00954AB1"/>
    <w:rsid w:val="00954E74"/>
    <w:rsid w:val="00955469"/>
    <w:rsid w:val="009554AE"/>
    <w:rsid w:val="0095615A"/>
    <w:rsid w:val="00956B70"/>
    <w:rsid w:val="009570FC"/>
    <w:rsid w:val="00957828"/>
    <w:rsid w:val="00957C9F"/>
    <w:rsid w:val="00961400"/>
    <w:rsid w:val="00962AFA"/>
    <w:rsid w:val="0096308C"/>
    <w:rsid w:val="00963646"/>
    <w:rsid w:val="00963A6A"/>
    <w:rsid w:val="00963BF2"/>
    <w:rsid w:val="00963C90"/>
    <w:rsid w:val="009648F3"/>
    <w:rsid w:val="0096536A"/>
    <w:rsid w:val="0096591F"/>
    <w:rsid w:val="0096632D"/>
    <w:rsid w:val="00966CBF"/>
    <w:rsid w:val="00966E04"/>
    <w:rsid w:val="00966F21"/>
    <w:rsid w:val="00967124"/>
    <w:rsid w:val="009678A7"/>
    <w:rsid w:val="009704AE"/>
    <w:rsid w:val="00970B4B"/>
    <w:rsid w:val="00970D9F"/>
    <w:rsid w:val="0097166C"/>
    <w:rsid w:val="009716E6"/>
    <w:rsid w:val="009718C7"/>
    <w:rsid w:val="00971A67"/>
    <w:rsid w:val="009734B4"/>
    <w:rsid w:val="00973DFC"/>
    <w:rsid w:val="00973F11"/>
    <w:rsid w:val="0097415C"/>
    <w:rsid w:val="009744CB"/>
    <w:rsid w:val="0097559F"/>
    <w:rsid w:val="009755BC"/>
    <w:rsid w:val="009756F1"/>
    <w:rsid w:val="00975DAA"/>
    <w:rsid w:val="0097606D"/>
    <w:rsid w:val="009761EA"/>
    <w:rsid w:val="0097649C"/>
    <w:rsid w:val="0097667D"/>
    <w:rsid w:val="009766F7"/>
    <w:rsid w:val="0097761E"/>
    <w:rsid w:val="00977645"/>
    <w:rsid w:val="00977FA8"/>
    <w:rsid w:val="00981784"/>
    <w:rsid w:val="009823DA"/>
    <w:rsid w:val="00982454"/>
    <w:rsid w:val="00982691"/>
    <w:rsid w:val="00982CF0"/>
    <w:rsid w:val="00982F81"/>
    <w:rsid w:val="0098331E"/>
    <w:rsid w:val="009833D4"/>
    <w:rsid w:val="00983526"/>
    <w:rsid w:val="00983715"/>
    <w:rsid w:val="00983EF1"/>
    <w:rsid w:val="00985303"/>
    <w:rsid w:val="009853E1"/>
    <w:rsid w:val="00985EBD"/>
    <w:rsid w:val="009860D2"/>
    <w:rsid w:val="00986E6B"/>
    <w:rsid w:val="00987280"/>
    <w:rsid w:val="009874A4"/>
    <w:rsid w:val="00990032"/>
    <w:rsid w:val="009904C3"/>
    <w:rsid w:val="00990B19"/>
    <w:rsid w:val="0099153B"/>
    <w:rsid w:val="00991769"/>
    <w:rsid w:val="0099232C"/>
    <w:rsid w:val="00992B91"/>
    <w:rsid w:val="00992C62"/>
    <w:rsid w:val="00992E6A"/>
    <w:rsid w:val="00994386"/>
    <w:rsid w:val="00994E53"/>
    <w:rsid w:val="00995258"/>
    <w:rsid w:val="00995C6C"/>
    <w:rsid w:val="00995D58"/>
    <w:rsid w:val="00996024"/>
    <w:rsid w:val="00996126"/>
    <w:rsid w:val="00996297"/>
    <w:rsid w:val="00996602"/>
    <w:rsid w:val="009968AA"/>
    <w:rsid w:val="00997B4B"/>
    <w:rsid w:val="00997B86"/>
    <w:rsid w:val="009A0988"/>
    <w:rsid w:val="009A13D8"/>
    <w:rsid w:val="009A15EC"/>
    <w:rsid w:val="009A22EA"/>
    <w:rsid w:val="009A279E"/>
    <w:rsid w:val="009A2F04"/>
    <w:rsid w:val="009A2F1A"/>
    <w:rsid w:val="009A3015"/>
    <w:rsid w:val="009A3490"/>
    <w:rsid w:val="009A34CC"/>
    <w:rsid w:val="009A3F26"/>
    <w:rsid w:val="009A4146"/>
    <w:rsid w:val="009A4589"/>
    <w:rsid w:val="009A4809"/>
    <w:rsid w:val="009A4886"/>
    <w:rsid w:val="009A49A8"/>
    <w:rsid w:val="009A51AC"/>
    <w:rsid w:val="009A7BDD"/>
    <w:rsid w:val="009B0A6F"/>
    <w:rsid w:val="009B0A94"/>
    <w:rsid w:val="009B0C62"/>
    <w:rsid w:val="009B1625"/>
    <w:rsid w:val="009B17A6"/>
    <w:rsid w:val="009B1B32"/>
    <w:rsid w:val="009B21FD"/>
    <w:rsid w:val="009B2334"/>
    <w:rsid w:val="009B2409"/>
    <w:rsid w:val="009B28A0"/>
    <w:rsid w:val="009B2AE8"/>
    <w:rsid w:val="009B2D73"/>
    <w:rsid w:val="009B2ED6"/>
    <w:rsid w:val="009B32D7"/>
    <w:rsid w:val="009B3B3C"/>
    <w:rsid w:val="009B3E2D"/>
    <w:rsid w:val="009B4680"/>
    <w:rsid w:val="009B5622"/>
    <w:rsid w:val="009B59E9"/>
    <w:rsid w:val="009B5FC3"/>
    <w:rsid w:val="009B6FC3"/>
    <w:rsid w:val="009B70AA"/>
    <w:rsid w:val="009B79A5"/>
    <w:rsid w:val="009C15C7"/>
    <w:rsid w:val="009C1E27"/>
    <w:rsid w:val="009C245E"/>
    <w:rsid w:val="009C246D"/>
    <w:rsid w:val="009C2474"/>
    <w:rsid w:val="009C2729"/>
    <w:rsid w:val="009C2EB4"/>
    <w:rsid w:val="009C52FD"/>
    <w:rsid w:val="009C59BF"/>
    <w:rsid w:val="009C5D17"/>
    <w:rsid w:val="009C5E77"/>
    <w:rsid w:val="009C60C4"/>
    <w:rsid w:val="009C6109"/>
    <w:rsid w:val="009C6A7E"/>
    <w:rsid w:val="009C6C61"/>
    <w:rsid w:val="009C6E5A"/>
    <w:rsid w:val="009C7A7E"/>
    <w:rsid w:val="009D02E8"/>
    <w:rsid w:val="009D04FB"/>
    <w:rsid w:val="009D1285"/>
    <w:rsid w:val="009D20CD"/>
    <w:rsid w:val="009D2D0F"/>
    <w:rsid w:val="009D2D4D"/>
    <w:rsid w:val="009D4DB9"/>
    <w:rsid w:val="009D51D0"/>
    <w:rsid w:val="009D5A04"/>
    <w:rsid w:val="009D5C95"/>
    <w:rsid w:val="009D61DF"/>
    <w:rsid w:val="009D6297"/>
    <w:rsid w:val="009D674C"/>
    <w:rsid w:val="009D6952"/>
    <w:rsid w:val="009D70A4"/>
    <w:rsid w:val="009D7146"/>
    <w:rsid w:val="009D77F0"/>
    <w:rsid w:val="009D7AA9"/>
    <w:rsid w:val="009D7B14"/>
    <w:rsid w:val="009D7D2C"/>
    <w:rsid w:val="009E06A9"/>
    <w:rsid w:val="009E08D1"/>
    <w:rsid w:val="009E0D96"/>
    <w:rsid w:val="009E13AD"/>
    <w:rsid w:val="009E154F"/>
    <w:rsid w:val="009E1B95"/>
    <w:rsid w:val="009E3CEB"/>
    <w:rsid w:val="009E3EC3"/>
    <w:rsid w:val="009E3FF6"/>
    <w:rsid w:val="009E4304"/>
    <w:rsid w:val="009E492F"/>
    <w:rsid w:val="009E496F"/>
    <w:rsid w:val="009E4B0D"/>
    <w:rsid w:val="009E4C68"/>
    <w:rsid w:val="009E5250"/>
    <w:rsid w:val="009E56B2"/>
    <w:rsid w:val="009E5885"/>
    <w:rsid w:val="009E5AAF"/>
    <w:rsid w:val="009E5C6F"/>
    <w:rsid w:val="009E6A50"/>
    <w:rsid w:val="009E6E5B"/>
    <w:rsid w:val="009E7018"/>
    <w:rsid w:val="009E719A"/>
    <w:rsid w:val="009E7749"/>
    <w:rsid w:val="009E79BE"/>
    <w:rsid w:val="009E7A69"/>
    <w:rsid w:val="009E7F92"/>
    <w:rsid w:val="009F02A3"/>
    <w:rsid w:val="009F0763"/>
    <w:rsid w:val="009F085C"/>
    <w:rsid w:val="009F0E24"/>
    <w:rsid w:val="009F1C85"/>
    <w:rsid w:val="009F2169"/>
    <w:rsid w:val="009F2182"/>
    <w:rsid w:val="009F2770"/>
    <w:rsid w:val="009F2A25"/>
    <w:rsid w:val="009F2B4B"/>
    <w:rsid w:val="009F2D72"/>
    <w:rsid w:val="009F2F27"/>
    <w:rsid w:val="009F34AA"/>
    <w:rsid w:val="009F3661"/>
    <w:rsid w:val="009F3D51"/>
    <w:rsid w:val="009F448E"/>
    <w:rsid w:val="009F45DC"/>
    <w:rsid w:val="009F4A37"/>
    <w:rsid w:val="009F4E9E"/>
    <w:rsid w:val="009F5D50"/>
    <w:rsid w:val="009F5D6B"/>
    <w:rsid w:val="009F6A1A"/>
    <w:rsid w:val="009F6BCB"/>
    <w:rsid w:val="009F6E42"/>
    <w:rsid w:val="009F7500"/>
    <w:rsid w:val="009F7B4C"/>
    <w:rsid w:val="009F7B78"/>
    <w:rsid w:val="00A0015C"/>
    <w:rsid w:val="00A0057A"/>
    <w:rsid w:val="00A00853"/>
    <w:rsid w:val="00A00FE5"/>
    <w:rsid w:val="00A01794"/>
    <w:rsid w:val="00A01D3B"/>
    <w:rsid w:val="00A02FA1"/>
    <w:rsid w:val="00A033C1"/>
    <w:rsid w:val="00A038E4"/>
    <w:rsid w:val="00A04060"/>
    <w:rsid w:val="00A0462C"/>
    <w:rsid w:val="00A04B7A"/>
    <w:rsid w:val="00A04CCE"/>
    <w:rsid w:val="00A04CF9"/>
    <w:rsid w:val="00A06093"/>
    <w:rsid w:val="00A0625A"/>
    <w:rsid w:val="00A07342"/>
    <w:rsid w:val="00A07421"/>
    <w:rsid w:val="00A0745C"/>
    <w:rsid w:val="00A0776B"/>
    <w:rsid w:val="00A07F5D"/>
    <w:rsid w:val="00A10CA8"/>
    <w:rsid w:val="00A10FB9"/>
    <w:rsid w:val="00A110C5"/>
    <w:rsid w:val="00A11421"/>
    <w:rsid w:val="00A11651"/>
    <w:rsid w:val="00A11817"/>
    <w:rsid w:val="00A12121"/>
    <w:rsid w:val="00A1266E"/>
    <w:rsid w:val="00A13851"/>
    <w:rsid w:val="00A1389F"/>
    <w:rsid w:val="00A13B7A"/>
    <w:rsid w:val="00A13C28"/>
    <w:rsid w:val="00A1422E"/>
    <w:rsid w:val="00A1426C"/>
    <w:rsid w:val="00A14430"/>
    <w:rsid w:val="00A14866"/>
    <w:rsid w:val="00A1574E"/>
    <w:rsid w:val="00A157B1"/>
    <w:rsid w:val="00A16208"/>
    <w:rsid w:val="00A166D1"/>
    <w:rsid w:val="00A166E5"/>
    <w:rsid w:val="00A1686C"/>
    <w:rsid w:val="00A1692E"/>
    <w:rsid w:val="00A16BAE"/>
    <w:rsid w:val="00A1707A"/>
    <w:rsid w:val="00A177AB"/>
    <w:rsid w:val="00A17E85"/>
    <w:rsid w:val="00A20B87"/>
    <w:rsid w:val="00A20BB6"/>
    <w:rsid w:val="00A20F6A"/>
    <w:rsid w:val="00A2152A"/>
    <w:rsid w:val="00A2164B"/>
    <w:rsid w:val="00A21700"/>
    <w:rsid w:val="00A21CB2"/>
    <w:rsid w:val="00A21ED7"/>
    <w:rsid w:val="00A22229"/>
    <w:rsid w:val="00A2234B"/>
    <w:rsid w:val="00A22450"/>
    <w:rsid w:val="00A2262D"/>
    <w:rsid w:val="00A22B09"/>
    <w:rsid w:val="00A22D47"/>
    <w:rsid w:val="00A22F33"/>
    <w:rsid w:val="00A23249"/>
    <w:rsid w:val="00A23533"/>
    <w:rsid w:val="00A23770"/>
    <w:rsid w:val="00A24442"/>
    <w:rsid w:val="00A24ADA"/>
    <w:rsid w:val="00A24FE6"/>
    <w:rsid w:val="00A25F23"/>
    <w:rsid w:val="00A269C7"/>
    <w:rsid w:val="00A26E5E"/>
    <w:rsid w:val="00A2758B"/>
    <w:rsid w:val="00A27E0E"/>
    <w:rsid w:val="00A27F1C"/>
    <w:rsid w:val="00A311EE"/>
    <w:rsid w:val="00A3126E"/>
    <w:rsid w:val="00A312DC"/>
    <w:rsid w:val="00A319C3"/>
    <w:rsid w:val="00A31F7B"/>
    <w:rsid w:val="00A32577"/>
    <w:rsid w:val="00A32EB8"/>
    <w:rsid w:val="00A330BB"/>
    <w:rsid w:val="00A330E0"/>
    <w:rsid w:val="00A33408"/>
    <w:rsid w:val="00A33B21"/>
    <w:rsid w:val="00A33BFB"/>
    <w:rsid w:val="00A34153"/>
    <w:rsid w:val="00A3464D"/>
    <w:rsid w:val="00A34CAC"/>
    <w:rsid w:val="00A365F6"/>
    <w:rsid w:val="00A37C9D"/>
    <w:rsid w:val="00A4019F"/>
    <w:rsid w:val="00A40B42"/>
    <w:rsid w:val="00A4148D"/>
    <w:rsid w:val="00A415E2"/>
    <w:rsid w:val="00A41B28"/>
    <w:rsid w:val="00A42BDE"/>
    <w:rsid w:val="00A42CC6"/>
    <w:rsid w:val="00A43636"/>
    <w:rsid w:val="00A44534"/>
    <w:rsid w:val="00A446F5"/>
    <w:rsid w:val="00A447D6"/>
    <w:rsid w:val="00A44882"/>
    <w:rsid w:val="00A45125"/>
    <w:rsid w:val="00A4643E"/>
    <w:rsid w:val="00A475F6"/>
    <w:rsid w:val="00A476BF"/>
    <w:rsid w:val="00A47A31"/>
    <w:rsid w:val="00A47A53"/>
    <w:rsid w:val="00A50898"/>
    <w:rsid w:val="00A509E5"/>
    <w:rsid w:val="00A51AE6"/>
    <w:rsid w:val="00A5206E"/>
    <w:rsid w:val="00A528A2"/>
    <w:rsid w:val="00A52954"/>
    <w:rsid w:val="00A52F61"/>
    <w:rsid w:val="00A531FB"/>
    <w:rsid w:val="00A53222"/>
    <w:rsid w:val="00A535AF"/>
    <w:rsid w:val="00A53FC0"/>
    <w:rsid w:val="00A54635"/>
    <w:rsid w:val="00A54715"/>
    <w:rsid w:val="00A555B3"/>
    <w:rsid w:val="00A558A4"/>
    <w:rsid w:val="00A55C49"/>
    <w:rsid w:val="00A567CC"/>
    <w:rsid w:val="00A6061C"/>
    <w:rsid w:val="00A60ADB"/>
    <w:rsid w:val="00A61402"/>
    <w:rsid w:val="00A618D6"/>
    <w:rsid w:val="00A6282B"/>
    <w:rsid w:val="00A62D44"/>
    <w:rsid w:val="00A63C0D"/>
    <w:rsid w:val="00A63D77"/>
    <w:rsid w:val="00A64612"/>
    <w:rsid w:val="00A655A7"/>
    <w:rsid w:val="00A660B9"/>
    <w:rsid w:val="00A66179"/>
    <w:rsid w:val="00A669BF"/>
    <w:rsid w:val="00A67263"/>
    <w:rsid w:val="00A67C24"/>
    <w:rsid w:val="00A70130"/>
    <w:rsid w:val="00A704E8"/>
    <w:rsid w:val="00A70754"/>
    <w:rsid w:val="00A709FF"/>
    <w:rsid w:val="00A71322"/>
    <w:rsid w:val="00A713F4"/>
    <w:rsid w:val="00A7161C"/>
    <w:rsid w:val="00A71CE4"/>
    <w:rsid w:val="00A71D3F"/>
    <w:rsid w:val="00A725EE"/>
    <w:rsid w:val="00A7299B"/>
    <w:rsid w:val="00A72D86"/>
    <w:rsid w:val="00A73BA7"/>
    <w:rsid w:val="00A73C51"/>
    <w:rsid w:val="00A74A8E"/>
    <w:rsid w:val="00A761A1"/>
    <w:rsid w:val="00A7693F"/>
    <w:rsid w:val="00A769B3"/>
    <w:rsid w:val="00A7713A"/>
    <w:rsid w:val="00A77360"/>
    <w:rsid w:val="00A779F3"/>
    <w:rsid w:val="00A77A3E"/>
    <w:rsid w:val="00A77A52"/>
    <w:rsid w:val="00A77AA3"/>
    <w:rsid w:val="00A80A99"/>
    <w:rsid w:val="00A80BE7"/>
    <w:rsid w:val="00A81726"/>
    <w:rsid w:val="00A81CC7"/>
    <w:rsid w:val="00A8236D"/>
    <w:rsid w:val="00A82AC2"/>
    <w:rsid w:val="00A832E0"/>
    <w:rsid w:val="00A837A7"/>
    <w:rsid w:val="00A83D00"/>
    <w:rsid w:val="00A8442E"/>
    <w:rsid w:val="00A84436"/>
    <w:rsid w:val="00A84475"/>
    <w:rsid w:val="00A854EB"/>
    <w:rsid w:val="00A85510"/>
    <w:rsid w:val="00A85C38"/>
    <w:rsid w:val="00A86987"/>
    <w:rsid w:val="00A87080"/>
    <w:rsid w:val="00A872E5"/>
    <w:rsid w:val="00A873A1"/>
    <w:rsid w:val="00A8758F"/>
    <w:rsid w:val="00A878D6"/>
    <w:rsid w:val="00A91345"/>
    <w:rsid w:val="00A91406"/>
    <w:rsid w:val="00A91956"/>
    <w:rsid w:val="00A91A15"/>
    <w:rsid w:val="00A92B84"/>
    <w:rsid w:val="00A92D27"/>
    <w:rsid w:val="00A93366"/>
    <w:rsid w:val="00A938AB"/>
    <w:rsid w:val="00A93A82"/>
    <w:rsid w:val="00A93AC7"/>
    <w:rsid w:val="00A93BDF"/>
    <w:rsid w:val="00A93D5C"/>
    <w:rsid w:val="00A93ED3"/>
    <w:rsid w:val="00A940D8"/>
    <w:rsid w:val="00A943C6"/>
    <w:rsid w:val="00A9631A"/>
    <w:rsid w:val="00A96377"/>
    <w:rsid w:val="00A968A2"/>
    <w:rsid w:val="00A96D8B"/>
    <w:rsid w:val="00A96E65"/>
    <w:rsid w:val="00A96ECE"/>
    <w:rsid w:val="00A977C7"/>
    <w:rsid w:val="00A97C72"/>
    <w:rsid w:val="00A97EC7"/>
    <w:rsid w:val="00AA0AEC"/>
    <w:rsid w:val="00AA115F"/>
    <w:rsid w:val="00AA310B"/>
    <w:rsid w:val="00AA34CA"/>
    <w:rsid w:val="00AA36BA"/>
    <w:rsid w:val="00AA4884"/>
    <w:rsid w:val="00AA59DE"/>
    <w:rsid w:val="00AA63D4"/>
    <w:rsid w:val="00AA6756"/>
    <w:rsid w:val="00AA6925"/>
    <w:rsid w:val="00AA7419"/>
    <w:rsid w:val="00AA7505"/>
    <w:rsid w:val="00AA7D32"/>
    <w:rsid w:val="00AB055D"/>
    <w:rsid w:val="00AB055F"/>
    <w:rsid w:val="00AB06E8"/>
    <w:rsid w:val="00AB0D4B"/>
    <w:rsid w:val="00AB15FD"/>
    <w:rsid w:val="00AB1B58"/>
    <w:rsid w:val="00AB1CD3"/>
    <w:rsid w:val="00AB23EB"/>
    <w:rsid w:val="00AB2752"/>
    <w:rsid w:val="00AB2B8F"/>
    <w:rsid w:val="00AB2EF4"/>
    <w:rsid w:val="00AB352F"/>
    <w:rsid w:val="00AB38B1"/>
    <w:rsid w:val="00AB3AF6"/>
    <w:rsid w:val="00AB41FA"/>
    <w:rsid w:val="00AB4FD5"/>
    <w:rsid w:val="00AB5244"/>
    <w:rsid w:val="00AB5902"/>
    <w:rsid w:val="00AB6158"/>
    <w:rsid w:val="00AB7403"/>
    <w:rsid w:val="00AB7B73"/>
    <w:rsid w:val="00AB7B94"/>
    <w:rsid w:val="00AC0595"/>
    <w:rsid w:val="00AC0607"/>
    <w:rsid w:val="00AC066C"/>
    <w:rsid w:val="00AC08F0"/>
    <w:rsid w:val="00AC0F5D"/>
    <w:rsid w:val="00AC1478"/>
    <w:rsid w:val="00AC21D3"/>
    <w:rsid w:val="00AC21D6"/>
    <w:rsid w:val="00AC274B"/>
    <w:rsid w:val="00AC3C1C"/>
    <w:rsid w:val="00AC4250"/>
    <w:rsid w:val="00AC4371"/>
    <w:rsid w:val="00AC4764"/>
    <w:rsid w:val="00AC50EA"/>
    <w:rsid w:val="00AC539D"/>
    <w:rsid w:val="00AC5C4F"/>
    <w:rsid w:val="00AC5ECC"/>
    <w:rsid w:val="00AC6D36"/>
    <w:rsid w:val="00AC6F09"/>
    <w:rsid w:val="00AC70A7"/>
    <w:rsid w:val="00AC75DB"/>
    <w:rsid w:val="00AC7D88"/>
    <w:rsid w:val="00AC7FBE"/>
    <w:rsid w:val="00AD00B5"/>
    <w:rsid w:val="00AD0CBA"/>
    <w:rsid w:val="00AD1075"/>
    <w:rsid w:val="00AD11D3"/>
    <w:rsid w:val="00AD1921"/>
    <w:rsid w:val="00AD20A1"/>
    <w:rsid w:val="00AD22FE"/>
    <w:rsid w:val="00AD2418"/>
    <w:rsid w:val="00AD26E2"/>
    <w:rsid w:val="00AD2BEB"/>
    <w:rsid w:val="00AD2E34"/>
    <w:rsid w:val="00AD32CD"/>
    <w:rsid w:val="00AD3BBC"/>
    <w:rsid w:val="00AD40BF"/>
    <w:rsid w:val="00AD4448"/>
    <w:rsid w:val="00AD4D49"/>
    <w:rsid w:val="00AD522E"/>
    <w:rsid w:val="00AD55D9"/>
    <w:rsid w:val="00AD57F2"/>
    <w:rsid w:val="00AD580D"/>
    <w:rsid w:val="00AD6372"/>
    <w:rsid w:val="00AD6512"/>
    <w:rsid w:val="00AD784C"/>
    <w:rsid w:val="00AE0128"/>
    <w:rsid w:val="00AE0F4D"/>
    <w:rsid w:val="00AE126A"/>
    <w:rsid w:val="00AE1BAE"/>
    <w:rsid w:val="00AE1E7A"/>
    <w:rsid w:val="00AE2275"/>
    <w:rsid w:val="00AE24AA"/>
    <w:rsid w:val="00AE2602"/>
    <w:rsid w:val="00AE2918"/>
    <w:rsid w:val="00AE3005"/>
    <w:rsid w:val="00AE3161"/>
    <w:rsid w:val="00AE32AE"/>
    <w:rsid w:val="00AE3BD5"/>
    <w:rsid w:val="00AE3E9D"/>
    <w:rsid w:val="00AE3F7E"/>
    <w:rsid w:val="00AE4541"/>
    <w:rsid w:val="00AE4FAA"/>
    <w:rsid w:val="00AE53A4"/>
    <w:rsid w:val="00AE59A0"/>
    <w:rsid w:val="00AE5A2D"/>
    <w:rsid w:val="00AE5C48"/>
    <w:rsid w:val="00AE5EB0"/>
    <w:rsid w:val="00AE60AD"/>
    <w:rsid w:val="00AE6A26"/>
    <w:rsid w:val="00AE798A"/>
    <w:rsid w:val="00AE7CB9"/>
    <w:rsid w:val="00AE7CC8"/>
    <w:rsid w:val="00AF05F8"/>
    <w:rsid w:val="00AF0824"/>
    <w:rsid w:val="00AF0AC4"/>
    <w:rsid w:val="00AF0C57"/>
    <w:rsid w:val="00AF1EBA"/>
    <w:rsid w:val="00AF26F3"/>
    <w:rsid w:val="00AF4043"/>
    <w:rsid w:val="00AF414E"/>
    <w:rsid w:val="00AF45DA"/>
    <w:rsid w:val="00AF4D42"/>
    <w:rsid w:val="00AF5C68"/>
    <w:rsid w:val="00AF5F04"/>
    <w:rsid w:val="00AF5F4D"/>
    <w:rsid w:val="00AF628A"/>
    <w:rsid w:val="00AF661A"/>
    <w:rsid w:val="00AF6D78"/>
    <w:rsid w:val="00AF6E93"/>
    <w:rsid w:val="00AF72E1"/>
    <w:rsid w:val="00B0014D"/>
    <w:rsid w:val="00B0041B"/>
    <w:rsid w:val="00B00672"/>
    <w:rsid w:val="00B0096C"/>
    <w:rsid w:val="00B00B26"/>
    <w:rsid w:val="00B014C0"/>
    <w:rsid w:val="00B01722"/>
    <w:rsid w:val="00B0192B"/>
    <w:rsid w:val="00B01B06"/>
    <w:rsid w:val="00B01B41"/>
    <w:rsid w:val="00B01B4D"/>
    <w:rsid w:val="00B01F3A"/>
    <w:rsid w:val="00B02789"/>
    <w:rsid w:val="00B0404B"/>
    <w:rsid w:val="00B040CC"/>
    <w:rsid w:val="00B04489"/>
    <w:rsid w:val="00B045D1"/>
    <w:rsid w:val="00B049AA"/>
    <w:rsid w:val="00B05FB9"/>
    <w:rsid w:val="00B063EE"/>
    <w:rsid w:val="00B06571"/>
    <w:rsid w:val="00B068BA"/>
    <w:rsid w:val="00B06E8E"/>
    <w:rsid w:val="00B07217"/>
    <w:rsid w:val="00B0764A"/>
    <w:rsid w:val="00B076B0"/>
    <w:rsid w:val="00B07B23"/>
    <w:rsid w:val="00B105D2"/>
    <w:rsid w:val="00B1082D"/>
    <w:rsid w:val="00B11187"/>
    <w:rsid w:val="00B114FD"/>
    <w:rsid w:val="00B11AC0"/>
    <w:rsid w:val="00B11FAB"/>
    <w:rsid w:val="00B12348"/>
    <w:rsid w:val="00B12F7A"/>
    <w:rsid w:val="00B1325B"/>
    <w:rsid w:val="00B133F5"/>
    <w:rsid w:val="00B13851"/>
    <w:rsid w:val="00B13B1C"/>
    <w:rsid w:val="00B13DC7"/>
    <w:rsid w:val="00B14B34"/>
    <w:rsid w:val="00B14B5F"/>
    <w:rsid w:val="00B14BB6"/>
    <w:rsid w:val="00B150A3"/>
    <w:rsid w:val="00B1524E"/>
    <w:rsid w:val="00B15875"/>
    <w:rsid w:val="00B15B11"/>
    <w:rsid w:val="00B16716"/>
    <w:rsid w:val="00B1687E"/>
    <w:rsid w:val="00B16A62"/>
    <w:rsid w:val="00B17908"/>
    <w:rsid w:val="00B20246"/>
    <w:rsid w:val="00B20654"/>
    <w:rsid w:val="00B206C6"/>
    <w:rsid w:val="00B21880"/>
    <w:rsid w:val="00B21F3E"/>
    <w:rsid w:val="00B21F90"/>
    <w:rsid w:val="00B22291"/>
    <w:rsid w:val="00B2242C"/>
    <w:rsid w:val="00B23608"/>
    <w:rsid w:val="00B23F9A"/>
    <w:rsid w:val="00B2409C"/>
    <w:rsid w:val="00B2417B"/>
    <w:rsid w:val="00B24518"/>
    <w:rsid w:val="00B24A04"/>
    <w:rsid w:val="00B24E6F"/>
    <w:rsid w:val="00B26CB5"/>
    <w:rsid w:val="00B26D50"/>
    <w:rsid w:val="00B26F42"/>
    <w:rsid w:val="00B26F9A"/>
    <w:rsid w:val="00B2752E"/>
    <w:rsid w:val="00B27B1A"/>
    <w:rsid w:val="00B3011F"/>
    <w:rsid w:val="00B30381"/>
    <w:rsid w:val="00B3057D"/>
    <w:rsid w:val="00B306B6"/>
    <w:rsid w:val="00B307CC"/>
    <w:rsid w:val="00B309C3"/>
    <w:rsid w:val="00B30F39"/>
    <w:rsid w:val="00B314CD"/>
    <w:rsid w:val="00B31D4A"/>
    <w:rsid w:val="00B32116"/>
    <w:rsid w:val="00B324E5"/>
    <w:rsid w:val="00B326B7"/>
    <w:rsid w:val="00B332B7"/>
    <w:rsid w:val="00B3348D"/>
    <w:rsid w:val="00B3351A"/>
    <w:rsid w:val="00B338D1"/>
    <w:rsid w:val="00B34C1C"/>
    <w:rsid w:val="00B352FB"/>
    <w:rsid w:val="00B3588E"/>
    <w:rsid w:val="00B36294"/>
    <w:rsid w:val="00B36AC8"/>
    <w:rsid w:val="00B4069E"/>
    <w:rsid w:val="00B40B00"/>
    <w:rsid w:val="00B41966"/>
    <w:rsid w:val="00B4198F"/>
    <w:rsid w:val="00B41F3D"/>
    <w:rsid w:val="00B42230"/>
    <w:rsid w:val="00B42F34"/>
    <w:rsid w:val="00B431E8"/>
    <w:rsid w:val="00B43BC2"/>
    <w:rsid w:val="00B444A8"/>
    <w:rsid w:val="00B44B5A"/>
    <w:rsid w:val="00B45004"/>
    <w:rsid w:val="00B45141"/>
    <w:rsid w:val="00B45796"/>
    <w:rsid w:val="00B45CEC"/>
    <w:rsid w:val="00B4650C"/>
    <w:rsid w:val="00B46B24"/>
    <w:rsid w:val="00B47A07"/>
    <w:rsid w:val="00B47A6B"/>
    <w:rsid w:val="00B503C8"/>
    <w:rsid w:val="00B50818"/>
    <w:rsid w:val="00B51282"/>
    <w:rsid w:val="00B519CD"/>
    <w:rsid w:val="00B51AAB"/>
    <w:rsid w:val="00B5273A"/>
    <w:rsid w:val="00B52A79"/>
    <w:rsid w:val="00B52F5B"/>
    <w:rsid w:val="00B5301A"/>
    <w:rsid w:val="00B533EC"/>
    <w:rsid w:val="00B53415"/>
    <w:rsid w:val="00B53B3B"/>
    <w:rsid w:val="00B555B1"/>
    <w:rsid w:val="00B5573B"/>
    <w:rsid w:val="00B561FA"/>
    <w:rsid w:val="00B564CA"/>
    <w:rsid w:val="00B57329"/>
    <w:rsid w:val="00B57BE3"/>
    <w:rsid w:val="00B60E2C"/>
    <w:rsid w:val="00B60E61"/>
    <w:rsid w:val="00B61246"/>
    <w:rsid w:val="00B61B50"/>
    <w:rsid w:val="00B61CFE"/>
    <w:rsid w:val="00B62B50"/>
    <w:rsid w:val="00B62E96"/>
    <w:rsid w:val="00B635B7"/>
    <w:rsid w:val="00B637AE"/>
    <w:rsid w:val="00B637B7"/>
    <w:rsid w:val="00B63AE8"/>
    <w:rsid w:val="00B63D71"/>
    <w:rsid w:val="00B63EBA"/>
    <w:rsid w:val="00B63F9C"/>
    <w:rsid w:val="00B65357"/>
    <w:rsid w:val="00B6545A"/>
    <w:rsid w:val="00B65768"/>
    <w:rsid w:val="00B65922"/>
    <w:rsid w:val="00B65950"/>
    <w:rsid w:val="00B65E4B"/>
    <w:rsid w:val="00B66D83"/>
    <w:rsid w:val="00B67209"/>
    <w:rsid w:val="00B672C0"/>
    <w:rsid w:val="00B676FD"/>
    <w:rsid w:val="00B678B6"/>
    <w:rsid w:val="00B67CF9"/>
    <w:rsid w:val="00B7098D"/>
    <w:rsid w:val="00B710E1"/>
    <w:rsid w:val="00B7188E"/>
    <w:rsid w:val="00B7204F"/>
    <w:rsid w:val="00B72361"/>
    <w:rsid w:val="00B72555"/>
    <w:rsid w:val="00B72FE0"/>
    <w:rsid w:val="00B73398"/>
    <w:rsid w:val="00B73481"/>
    <w:rsid w:val="00B73A84"/>
    <w:rsid w:val="00B741C0"/>
    <w:rsid w:val="00B7420C"/>
    <w:rsid w:val="00B74334"/>
    <w:rsid w:val="00B749FD"/>
    <w:rsid w:val="00B75091"/>
    <w:rsid w:val="00B754B4"/>
    <w:rsid w:val="00B75646"/>
    <w:rsid w:val="00B75CE5"/>
    <w:rsid w:val="00B7629E"/>
    <w:rsid w:val="00B7660C"/>
    <w:rsid w:val="00B76696"/>
    <w:rsid w:val="00B76C37"/>
    <w:rsid w:val="00B76FAA"/>
    <w:rsid w:val="00B77115"/>
    <w:rsid w:val="00B7797F"/>
    <w:rsid w:val="00B77B6C"/>
    <w:rsid w:val="00B77D62"/>
    <w:rsid w:val="00B8011F"/>
    <w:rsid w:val="00B8018C"/>
    <w:rsid w:val="00B80480"/>
    <w:rsid w:val="00B80599"/>
    <w:rsid w:val="00B80D42"/>
    <w:rsid w:val="00B81AA3"/>
    <w:rsid w:val="00B81BD7"/>
    <w:rsid w:val="00B8208C"/>
    <w:rsid w:val="00B8277D"/>
    <w:rsid w:val="00B82781"/>
    <w:rsid w:val="00B82BEE"/>
    <w:rsid w:val="00B831A6"/>
    <w:rsid w:val="00B83B98"/>
    <w:rsid w:val="00B83CB2"/>
    <w:rsid w:val="00B84117"/>
    <w:rsid w:val="00B84195"/>
    <w:rsid w:val="00B84BFD"/>
    <w:rsid w:val="00B84C56"/>
    <w:rsid w:val="00B84DB0"/>
    <w:rsid w:val="00B86CA1"/>
    <w:rsid w:val="00B86EB3"/>
    <w:rsid w:val="00B86FAA"/>
    <w:rsid w:val="00B8720E"/>
    <w:rsid w:val="00B87678"/>
    <w:rsid w:val="00B8784F"/>
    <w:rsid w:val="00B87954"/>
    <w:rsid w:val="00B90729"/>
    <w:rsid w:val="00B907DA"/>
    <w:rsid w:val="00B90B09"/>
    <w:rsid w:val="00B911C8"/>
    <w:rsid w:val="00B9187D"/>
    <w:rsid w:val="00B922A3"/>
    <w:rsid w:val="00B934E4"/>
    <w:rsid w:val="00B934F5"/>
    <w:rsid w:val="00B9421C"/>
    <w:rsid w:val="00B94C5E"/>
    <w:rsid w:val="00B950BC"/>
    <w:rsid w:val="00B95592"/>
    <w:rsid w:val="00B96019"/>
    <w:rsid w:val="00B96340"/>
    <w:rsid w:val="00B96752"/>
    <w:rsid w:val="00B96C37"/>
    <w:rsid w:val="00B9714C"/>
    <w:rsid w:val="00B97620"/>
    <w:rsid w:val="00B97A9E"/>
    <w:rsid w:val="00B97C89"/>
    <w:rsid w:val="00BA023C"/>
    <w:rsid w:val="00BA02C9"/>
    <w:rsid w:val="00BA0347"/>
    <w:rsid w:val="00BA08B4"/>
    <w:rsid w:val="00BA0A59"/>
    <w:rsid w:val="00BA0DCD"/>
    <w:rsid w:val="00BA23EA"/>
    <w:rsid w:val="00BA26F6"/>
    <w:rsid w:val="00BA29AD"/>
    <w:rsid w:val="00BA2AD7"/>
    <w:rsid w:val="00BA33CF"/>
    <w:rsid w:val="00BA3F8D"/>
    <w:rsid w:val="00BA5B33"/>
    <w:rsid w:val="00BA5FA9"/>
    <w:rsid w:val="00BA6113"/>
    <w:rsid w:val="00BA71C7"/>
    <w:rsid w:val="00BA77EC"/>
    <w:rsid w:val="00BB0853"/>
    <w:rsid w:val="00BB1656"/>
    <w:rsid w:val="00BB1CEB"/>
    <w:rsid w:val="00BB27F8"/>
    <w:rsid w:val="00BB2E27"/>
    <w:rsid w:val="00BB3B47"/>
    <w:rsid w:val="00BB445A"/>
    <w:rsid w:val="00BB48CA"/>
    <w:rsid w:val="00BB4B16"/>
    <w:rsid w:val="00BB559C"/>
    <w:rsid w:val="00BB60F7"/>
    <w:rsid w:val="00BB64B9"/>
    <w:rsid w:val="00BB65DA"/>
    <w:rsid w:val="00BB67A5"/>
    <w:rsid w:val="00BB7015"/>
    <w:rsid w:val="00BB7411"/>
    <w:rsid w:val="00BB74AC"/>
    <w:rsid w:val="00BB75EC"/>
    <w:rsid w:val="00BB7A10"/>
    <w:rsid w:val="00BC0154"/>
    <w:rsid w:val="00BC127B"/>
    <w:rsid w:val="00BC30E9"/>
    <w:rsid w:val="00BC323E"/>
    <w:rsid w:val="00BC4BC3"/>
    <w:rsid w:val="00BC5FB5"/>
    <w:rsid w:val="00BC60BE"/>
    <w:rsid w:val="00BC6239"/>
    <w:rsid w:val="00BC63FE"/>
    <w:rsid w:val="00BC6482"/>
    <w:rsid w:val="00BC670F"/>
    <w:rsid w:val="00BC6BC5"/>
    <w:rsid w:val="00BC7288"/>
    <w:rsid w:val="00BC7467"/>
    <w:rsid w:val="00BC7468"/>
    <w:rsid w:val="00BC7D4F"/>
    <w:rsid w:val="00BC7ED7"/>
    <w:rsid w:val="00BD007A"/>
    <w:rsid w:val="00BD019F"/>
    <w:rsid w:val="00BD0ED7"/>
    <w:rsid w:val="00BD1103"/>
    <w:rsid w:val="00BD11AA"/>
    <w:rsid w:val="00BD191B"/>
    <w:rsid w:val="00BD250C"/>
    <w:rsid w:val="00BD2850"/>
    <w:rsid w:val="00BD2CAA"/>
    <w:rsid w:val="00BD2EA7"/>
    <w:rsid w:val="00BD3737"/>
    <w:rsid w:val="00BD4140"/>
    <w:rsid w:val="00BD433D"/>
    <w:rsid w:val="00BD46FD"/>
    <w:rsid w:val="00BD4B4A"/>
    <w:rsid w:val="00BD4FDE"/>
    <w:rsid w:val="00BD5164"/>
    <w:rsid w:val="00BD594D"/>
    <w:rsid w:val="00BD5D32"/>
    <w:rsid w:val="00BD5FE5"/>
    <w:rsid w:val="00BD6070"/>
    <w:rsid w:val="00BD6B9D"/>
    <w:rsid w:val="00BD71A5"/>
    <w:rsid w:val="00BD76B6"/>
    <w:rsid w:val="00BD7797"/>
    <w:rsid w:val="00BE00D8"/>
    <w:rsid w:val="00BE039E"/>
    <w:rsid w:val="00BE10A8"/>
    <w:rsid w:val="00BE1124"/>
    <w:rsid w:val="00BE19B0"/>
    <w:rsid w:val="00BE1C94"/>
    <w:rsid w:val="00BE28D2"/>
    <w:rsid w:val="00BE3072"/>
    <w:rsid w:val="00BE34E4"/>
    <w:rsid w:val="00BE3A68"/>
    <w:rsid w:val="00BE3F2F"/>
    <w:rsid w:val="00BE4A64"/>
    <w:rsid w:val="00BE4AD5"/>
    <w:rsid w:val="00BE5E43"/>
    <w:rsid w:val="00BE64B3"/>
    <w:rsid w:val="00BE6AF0"/>
    <w:rsid w:val="00BF05AB"/>
    <w:rsid w:val="00BF13B3"/>
    <w:rsid w:val="00BF1AF6"/>
    <w:rsid w:val="00BF1BAD"/>
    <w:rsid w:val="00BF21EF"/>
    <w:rsid w:val="00BF2748"/>
    <w:rsid w:val="00BF2E19"/>
    <w:rsid w:val="00BF392A"/>
    <w:rsid w:val="00BF508A"/>
    <w:rsid w:val="00BF557D"/>
    <w:rsid w:val="00BF5B35"/>
    <w:rsid w:val="00BF5DF3"/>
    <w:rsid w:val="00BF6073"/>
    <w:rsid w:val="00BF658D"/>
    <w:rsid w:val="00BF6C2D"/>
    <w:rsid w:val="00BF70DA"/>
    <w:rsid w:val="00BF7417"/>
    <w:rsid w:val="00BF7611"/>
    <w:rsid w:val="00BF7A52"/>
    <w:rsid w:val="00BF7F58"/>
    <w:rsid w:val="00C0046A"/>
    <w:rsid w:val="00C0047C"/>
    <w:rsid w:val="00C01381"/>
    <w:rsid w:val="00C017E4"/>
    <w:rsid w:val="00C01AB1"/>
    <w:rsid w:val="00C02434"/>
    <w:rsid w:val="00C026A0"/>
    <w:rsid w:val="00C0295A"/>
    <w:rsid w:val="00C02CDF"/>
    <w:rsid w:val="00C048AB"/>
    <w:rsid w:val="00C04E98"/>
    <w:rsid w:val="00C06137"/>
    <w:rsid w:val="00C0636A"/>
    <w:rsid w:val="00C0650F"/>
    <w:rsid w:val="00C06929"/>
    <w:rsid w:val="00C07708"/>
    <w:rsid w:val="00C077E5"/>
    <w:rsid w:val="00C079B8"/>
    <w:rsid w:val="00C07A39"/>
    <w:rsid w:val="00C07B4E"/>
    <w:rsid w:val="00C10037"/>
    <w:rsid w:val="00C1048A"/>
    <w:rsid w:val="00C104A4"/>
    <w:rsid w:val="00C1054D"/>
    <w:rsid w:val="00C10B09"/>
    <w:rsid w:val="00C115E1"/>
    <w:rsid w:val="00C11B6A"/>
    <w:rsid w:val="00C11BDE"/>
    <w:rsid w:val="00C123EA"/>
    <w:rsid w:val="00C126EE"/>
    <w:rsid w:val="00C12A49"/>
    <w:rsid w:val="00C12A9B"/>
    <w:rsid w:val="00C133EE"/>
    <w:rsid w:val="00C1363E"/>
    <w:rsid w:val="00C13FF9"/>
    <w:rsid w:val="00C14111"/>
    <w:rsid w:val="00C146D5"/>
    <w:rsid w:val="00C146DB"/>
    <w:rsid w:val="00C1472E"/>
    <w:rsid w:val="00C1474D"/>
    <w:rsid w:val="00C148D2"/>
    <w:rsid w:val="00C149D0"/>
    <w:rsid w:val="00C15B64"/>
    <w:rsid w:val="00C15D1F"/>
    <w:rsid w:val="00C16437"/>
    <w:rsid w:val="00C17109"/>
    <w:rsid w:val="00C1739B"/>
    <w:rsid w:val="00C173D3"/>
    <w:rsid w:val="00C2031F"/>
    <w:rsid w:val="00C20C3F"/>
    <w:rsid w:val="00C212EB"/>
    <w:rsid w:val="00C21353"/>
    <w:rsid w:val="00C221C7"/>
    <w:rsid w:val="00C23B06"/>
    <w:rsid w:val="00C24641"/>
    <w:rsid w:val="00C24FDD"/>
    <w:rsid w:val="00C25293"/>
    <w:rsid w:val="00C2632B"/>
    <w:rsid w:val="00C26588"/>
    <w:rsid w:val="00C267D2"/>
    <w:rsid w:val="00C26F7F"/>
    <w:rsid w:val="00C2744B"/>
    <w:rsid w:val="00C27DE9"/>
    <w:rsid w:val="00C31646"/>
    <w:rsid w:val="00C317F9"/>
    <w:rsid w:val="00C31852"/>
    <w:rsid w:val="00C31A0B"/>
    <w:rsid w:val="00C32405"/>
    <w:rsid w:val="00C32596"/>
    <w:rsid w:val="00C32989"/>
    <w:rsid w:val="00C32A96"/>
    <w:rsid w:val="00C32B94"/>
    <w:rsid w:val="00C32BCF"/>
    <w:rsid w:val="00C33388"/>
    <w:rsid w:val="00C33E08"/>
    <w:rsid w:val="00C3402E"/>
    <w:rsid w:val="00C340EA"/>
    <w:rsid w:val="00C34812"/>
    <w:rsid w:val="00C34B08"/>
    <w:rsid w:val="00C34BB2"/>
    <w:rsid w:val="00C35484"/>
    <w:rsid w:val="00C354CE"/>
    <w:rsid w:val="00C36419"/>
    <w:rsid w:val="00C365D1"/>
    <w:rsid w:val="00C36C7F"/>
    <w:rsid w:val="00C36DCB"/>
    <w:rsid w:val="00C3706B"/>
    <w:rsid w:val="00C378D0"/>
    <w:rsid w:val="00C4076C"/>
    <w:rsid w:val="00C407F9"/>
    <w:rsid w:val="00C409B2"/>
    <w:rsid w:val="00C411A2"/>
    <w:rsid w:val="00C4155C"/>
    <w:rsid w:val="00C4173A"/>
    <w:rsid w:val="00C420B5"/>
    <w:rsid w:val="00C42619"/>
    <w:rsid w:val="00C42682"/>
    <w:rsid w:val="00C4302C"/>
    <w:rsid w:val="00C4404F"/>
    <w:rsid w:val="00C4453F"/>
    <w:rsid w:val="00C44545"/>
    <w:rsid w:val="00C44E60"/>
    <w:rsid w:val="00C44ED8"/>
    <w:rsid w:val="00C45B1C"/>
    <w:rsid w:val="00C45BAD"/>
    <w:rsid w:val="00C45DDF"/>
    <w:rsid w:val="00C45F02"/>
    <w:rsid w:val="00C466DD"/>
    <w:rsid w:val="00C47005"/>
    <w:rsid w:val="00C47898"/>
    <w:rsid w:val="00C47D82"/>
    <w:rsid w:val="00C502D1"/>
    <w:rsid w:val="00C506FD"/>
    <w:rsid w:val="00C5081A"/>
    <w:rsid w:val="00C50CD3"/>
    <w:rsid w:val="00C50DED"/>
    <w:rsid w:val="00C515BB"/>
    <w:rsid w:val="00C5181D"/>
    <w:rsid w:val="00C51913"/>
    <w:rsid w:val="00C51E26"/>
    <w:rsid w:val="00C52217"/>
    <w:rsid w:val="00C53513"/>
    <w:rsid w:val="00C53C54"/>
    <w:rsid w:val="00C54D84"/>
    <w:rsid w:val="00C55147"/>
    <w:rsid w:val="00C5633D"/>
    <w:rsid w:val="00C57A25"/>
    <w:rsid w:val="00C57AAB"/>
    <w:rsid w:val="00C602FF"/>
    <w:rsid w:val="00C60411"/>
    <w:rsid w:val="00C61174"/>
    <w:rsid w:val="00C6148F"/>
    <w:rsid w:val="00C618A5"/>
    <w:rsid w:val="00C619D0"/>
    <w:rsid w:val="00C619F0"/>
    <w:rsid w:val="00C61CB1"/>
    <w:rsid w:val="00C61CF5"/>
    <w:rsid w:val="00C621B1"/>
    <w:rsid w:val="00C62402"/>
    <w:rsid w:val="00C62597"/>
    <w:rsid w:val="00C62F7A"/>
    <w:rsid w:val="00C632D4"/>
    <w:rsid w:val="00C63B9C"/>
    <w:rsid w:val="00C6503B"/>
    <w:rsid w:val="00C653A7"/>
    <w:rsid w:val="00C653B2"/>
    <w:rsid w:val="00C659D8"/>
    <w:rsid w:val="00C65D9B"/>
    <w:rsid w:val="00C6682F"/>
    <w:rsid w:val="00C66EFF"/>
    <w:rsid w:val="00C67095"/>
    <w:rsid w:val="00C67958"/>
    <w:rsid w:val="00C67B10"/>
    <w:rsid w:val="00C67BF4"/>
    <w:rsid w:val="00C7040D"/>
    <w:rsid w:val="00C70A54"/>
    <w:rsid w:val="00C7131E"/>
    <w:rsid w:val="00C71693"/>
    <w:rsid w:val="00C723AF"/>
    <w:rsid w:val="00C7275E"/>
    <w:rsid w:val="00C731AF"/>
    <w:rsid w:val="00C7375E"/>
    <w:rsid w:val="00C7403B"/>
    <w:rsid w:val="00C742BA"/>
    <w:rsid w:val="00C74C5D"/>
    <w:rsid w:val="00C75A4B"/>
    <w:rsid w:val="00C75B1B"/>
    <w:rsid w:val="00C75E08"/>
    <w:rsid w:val="00C761A2"/>
    <w:rsid w:val="00C765AF"/>
    <w:rsid w:val="00C76653"/>
    <w:rsid w:val="00C769FF"/>
    <w:rsid w:val="00C76FA9"/>
    <w:rsid w:val="00C77BFC"/>
    <w:rsid w:val="00C80104"/>
    <w:rsid w:val="00C8154F"/>
    <w:rsid w:val="00C81D68"/>
    <w:rsid w:val="00C81D9C"/>
    <w:rsid w:val="00C829FC"/>
    <w:rsid w:val="00C83404"/>
    <w:rsid w:val="00C83DD0"/>
    <w:rsid w:val="00C852B2"/>
    <w:rsid w:val="00C85ED3"/>
    <w:rsid w:val="00C862A9"/>
    <w:rsid w:val="00C863C4"/>
    <w:rsid w:val="00C90088"/>
    <w:rsid w:val="00C90115"/>
    <w:rsid w:val="00C90DAB"/>
    <w:rsid w:val="00C91507"/>
    <w:rsid w:val="00C9178B"/>
    <w:rsid w:val="00C917C6"/>
    <w:rsid w:val="00C91B2D"/>
    <w:rsid w:val="00C920EA"/>
    <w:rsid w:val="00C9212E"/>
    <w:rsid w:val="00C921E5"/>
    <w:rsid w:val="00C92364"/>
    <w:rsid w:val="00C92AE1"/>
    <w:rsid w:val="00C9342D"/>
    <w:rsid w:val="00C9358B"/>
    <w:rsid w:val="00C937C7"/>
    <w:rsid w:val="00C93C3E"/>
    <w:rsid w:val="00C944C1"/>
    <w:rsid w:val="00C96DD6"/>
    <w:rsid w:val="00C96F8B"/>
    <w:rsid w:val="00C972D3"/>
    <w:rsid w:val="00C97532"/>
    <w:rsid w:val="00C9757F"/>
    <w:rsid w:val="00CA00C5"/>
    <w:rsid w:val="00CA112D"/>
    <w:rsid w:val="00CA12E3"/>
    <w:rsid w:val="00CA1353"/>
    <w:rsid w:val="00CA1476"/>
    <w:rsid w:val="00CA1D8A"/>
    <w:rsid w:val="00CA1E35"/>
    <w:rsid w:val="00CA2BAA"/>
    <w:rsid w:val="00CA2BEE"/>
    <w:rsid w:val="00CA2C18"/>
    <w:rsid w:val="00CA4192"/>
    <w:rsid w:val="00CA422C"/>
    <w:rsid w:val="00CA46B8"/>
    <w:rsid w:val="00CA49B7"/>
    <w:rsid w:val="00CA4BFD"/>
    <w:rsid w:val="00CA5110"/>
    <w:rsid w:val="00CA5624"/>
    <w:rsid w:val="00CA6611"/>
    <w:rsid w:val="00CA6AE6"/>
    <w:rsid w:val="00CA6D49"/>
    <w:rsid w:val="00CA7451"/>
    <w:rsid w:val="00CA74FD"/>
    <w:rsid w:val="00CA782F"/>
    <w:rsid w:val="00CA7A1C"/>
    <w:rsid w:val="00CB0692"/>
    <w:rsid w:val="00CB0795"/>
    <w:rsid w:val="00CB08A8"/>
    <w:rsid w:val="00CB0EA7"/>
    <w:rsid w:val="00CB0ECF"/>
    <w:rsid w:val="00CB1100"/>
    <w:rsid w:val="00CB181A"/>
    <w:rsid w:val="00CB187B"/>
    <w:rsid w:val="00CB18B8"/>
    <w:rsid w:val="00CB19B5"/>
    <w:rsid w:val="00CB1D26"/>
    <w:rsid w:val="00CB1DD8"/>
    <w:rsid w:val="00CB2835"/>
    <w:rsid w:val="00CB3285"/>
    <w:rsid w:val="00CB32CB"/>
    <w:rsid w:val="00CB3430"/>
    <w:rsid w:val="00CB37A8"/>
    <w:rsid w:val="00CB4500"/>
    <w:rsid w:val="00CB47F5"/>
    <w:rsid w:val="00CB4BD3"/>
    <w:rsid w:val="00CB51A3"/>
    <w:rsid w:val="00CB5A5A"/>
    <w:rsid w:val="00CB60E8"/>
    <w:rsid w:val="00CB62B5"/>
    <w:rsid w:val="00CB7791"/>
    <w:rsid w:val="00CC013F"/>
    <w:rsid w:val="00CC0785"/>
    <w:rsid w:val="00CC0C72"/>
    <w:rsid w:val="00CC0D53"/>
    <w:rsid w:val="00CC0F04"/>
    <w:rsid w:val="00CC146F"/>
    <w:rsid w:val="00CC14DA"/>
    <w:rsid w:val="00CC1816"/>
    <w:rsid w:val="00CC1BCB"/>
    <w:rsid w:val="00CC2902"/>
    <w:rsid w:val="00CC2BFD"/>
    <w:rsid w:val="00CC338C"/>
    <w:rsid w:val="00CC3BB0"/>
    <w:rsid w:val="00CC401C"/>
    <w:rsid w:val="00CC415D"/>
    <w:rsid w:val="00CC463F"/>
    <w:rsid w:val="00CC5250"/>
    <w:rsid w:val="00CC5941"/>
    <w:rsid w:val="00CC610A"/>
    <w:rsid w:val="00CC6743"/>
    <w:rsid w:val="00CC6826"/>
    <w:rsid w:val="00CC6A3C"/>
    <w:rsid w:val="00CC6F40"/>
    <w:rsid w:val="00CD149C"/>
    <w:rsid w:val="00CD14CA"/>
    <w:rsid w:val="00CD1BF2"/>
    <w:rsid w:val="00CD2F66"/>
    <w:rsid w:val="00CD32C0"/>
    <w:rsid w:val="00CD32DD"/>
    <w:rsid w:val="00CD33AF"/>
    <w:rsid w:val="00CD3476"/>
    <w:rsid w:val="00CD4485"/>
    <w:rsid w:val="00CD44C8"/>
    <w:rsid w:val="00CD4A8F"/>
    <w:rsid w:val="00CD5C61"/>
    <w:rsid w:val="00CD5F4B"/>
    <w:rsid w:val="00CD600C"/>
    <w:rsid w:val="00CD60D7"/>
    <w:rsid w:val="00CD64DF"/>
    <w:rsid w:val="00CD6B1C"/>
    <w:rsid w:val="00CD70D6"/>
    <w:rsid w:val="00CE099E"/>
    <w:rsid w:val="00CE225F"/>
    <w:rsid w:val="00CE2396"/>
    <w:rsid w:val="00CE2680"/>
    <w:rsid w:val="00CE2B05"/>
    <w:rsid w:val="00CE2BE6"/>
    <w:rsid w:val="00CE3810"/>
    <w:rsid w:val="00CE398A"/>
    <w:rsid w:val="00CE3D45"/>
    <w:rsid w:val="00CE3DAE"/>
    <w:rsid w:val="00CE4071"/>
    <w:rsid w:val="00CE51CF"/>
    <w:rsid w:val="00CE5463"/>
    <w:rsid w:val="00CE567E"/>
    <w:rsid w:val="00CE59E5"/>
    <w:rsid w:val="00CE5A7A"/>
    <w:rsid w:val="00CE670C"/>
    <w:rsid w:val="00CE6B53"/>
    <w:rsid w:val="00CE7239"/>
    <w:rsid w:val="00CF0BF4"/>
    <w:rsid w:val="00CF1988"/>
    <w:rsid w:val="00CF1FD1"/>
    <w:rsid w:val="00CF2085"/>
    <w:rsid w:val="00CF2A2B"/>
    <w:rsid w:val="00CF2B84"/>
    <w:rsid w:val="00CF2D1E"/>
    <w:rsid w:val="00CF2F50"/>
    <w:rsid w:val="00CF3048"/>
    <w:rsid w:val="00CF363B"/>
    <w:rsid w:val="00CF3993"/>
    <w:rsid w:val="00CF42C9"/>
    <w:rsid w:val="00CF44D4"/>
    <w:rsid w:val="00CF48CF"/>
    <w:rsid w:val="00CF56F1"/>
    <w:rsid w:val="00CF6198"/>
    <w:rsid w:val="00CF6251"/>
    <w:rsid w:val="00CF65F4"/>
    <w:rsid w:val="00CF769C"/>
    <w:rsid w:val="00CF78C7"/>
    <w:rsid w:val="00CF7BA8"/>
    <w:rsid w:val="00D01336"/>
    <w:rsid w:val="00D013CA"/>
    <w:rsid w:val="00D01997"/>
    <w:rsid w:val="00D01F25"/>
    <w:rsid w:val="00D02919"/>
    <w:rsid w:val="00D02B12"/>
    <w:rsid w:val="00D02C59"/>
    <w:rsid w:val="00D03481"/>
    <w:rsid w:val="00D03694"/>
    <w:rsid w:val="00D04C61"/>
    <w:rsid w:val="00D05222"/>
    <w:rsid w:val="00D05B1B"/>
    <w:rsid w:val="00D05B8D"/>
    <w:rsid w:val="00D05B9B"/>
    <w:rsid w:val="00D060BD"/>
    <w:rsid w:val="00D065A2"/>
    <w:rsid w:val="00D06AD2"/>
    <w:rsid w:val="00D06C6E"/>
    <w:rsid w:val="00D06CF4"/>
    <w:rsid w:val="00D079AA"/>
    <w:rsid w:val="00D07F00"/>
    <w:rsid w:val="00D07FA2"/>
    <w:rsid w:val="00D10A16"/>
    <w:rsid w:val="00D10D56"/>
    <w:rsid w:val="00D1130F"/>
    <w:rsid w:val="00D1149F"/>
    <w:rsid w:val="00D118DB"/>
    <w:rsid w:val="00D11D40"/>
    <w:rsid w:val="00D1275A"/>
    <w:rsid w:val="00D13907"/>
    <w:rsid w:val="00D13DDB"/>
    <w:rsid w:val="00D149DB"/>
    <w:rsid w:val="00D15103"/>
    <w:rsid w:val="00D15581"/>
    <w:rsid w:val="00D16000"/>
    <w:rsid w:val="00D17063"/>
    <w:rsid w:val="00D171DD"/>
    <w:rsid w:val="00D172D9"/>
    <w:rsid w:val="00D17752"/>
    <w:rsid w:val="00D17B72"/>
    <w:rsid w:val="00D2092A"/>
    <w:rsid w:val="00D20EF1"/>
    <w:rsid w:val="00D20FFC"/>
    <w:rsid w:val="00D2265D"/>
    <w:rsid w:val="00D22B89"/>
    <w:rsid w:val="00D2315E"/>
    <w:rsid w:val="00D2375B"/>
    <w:rsid w:val="00D23DE8"/>
    <w:rsid w:val="00D2421A"/>
    <w:rsid w:val="00D243E0"/>
    <w:rsid w:val="00D245BD"/>
    <w:rsid w:val="00D24A46"/>
    <w:rsid w:val="00D25B10"/>
    <w:rsid w:val="00D262D9"/>
    <w:rsid w:val="00D26676"/>
    <w:rsid w:val="00D26816"/>
    <w:rsid w:val="00D27211"/>
    <w:rsid w:val="00D274B7"/>
    <w:rsid w:val="00D27AB2"/>
    <w:rsid w:val="00D3009B"/>
    <w:rsid w:val="00D30AAF"/>
    <w:rsid w:val="00D31426"/>
    <w:rsid w:val="00D3185C"/>
    <w:rsid w:val="00D3205F"/>
    <w:rsid w:val="00D32F29"/>
    <w:rsid w:val="00D32F57"/>
    <w:rsid w:val="00D3318E"/>
    <w:rsid w:val="00D33380"/>
    <w:rsid w:val="00D334DC"/>
    <w:rsid w:val="00D33837"/>
    <w:rsid w:val="00D33AA9"/>
    <w:rsid w:val="00D33E72"/>
    <w:rsid w:val="00D35150"/>
    <w:rsid w:val="00D35BD6"/>
    <w:rsid w:val="00D35BF7"/>
    <w:rsid w:val="00D35C38"/>
    <w:rsid w:val="00D36113"/>
    <w:rsid w:val="00D361B5"/>
    <w:rsid w:val="00D36386"/>
    <w:rsid w:val="00D369DD"/>
    <w:rsid w:val="00D37CD3"/>
    <w:rsid w:val="00D404A5"/>
    <w:rsid w:val="00D406AF"/>
    <w:rsid w:val="00D411A2"/>
    <w:rsid w:val="00D4166F"/>
    <w:rsid w:val="00D436AC"/>
    <w:rsid w:val="00D43767"/>
    <w:rsid w:val="00D43A69"/>
    <w:rsid w:val="00D43FAD"/>
    <w:rsid w:val="00D4419D"/>
    <w:rsid w:val="00D44753"/>
    <w:rsid w:val="00D45C40"/>
    <w:rsid w:val="00D4606D"/>
    <w:rsid w:val="00D46CB7"/>
    <w:rsid w:val="00D46D73"/>
    <w:rsid w:val="00D470A5"/>
    <w:rsid w:val="00D472A5"/>
    <w:rsid w:val="00D47A20"/>
    <w:rsid w:val="00D47B37"/>
    <w:rsid w:val="00D47DAB"/>
    <w:rsid w:val="00D47F39"/>
    <w:rsid w:val="00D47FDF"/>
    <w:rsid w:val="00D50B9C"/>
    <w:rsid w:val="00D513AF"/>
    <w:rsid w:val="00D5197B"/>
    <w:rsid w:val="00D51BEE"/>
    <w:rsid w:val="00D51C8C"/>
    <w:rsid w:val="00D529A9"/>
    <w:rsid w:val="00D52A5F"/>
    <w:rsid w:val="00D52D67"/>
    <w:rsid w:val="00D52D73"/>
    <w:rsid w:val="00D52E58"/>
    <w:rsid w:val="00D5334D"/>
    <w:rsid w:val="00D53449"/>
    <w:rsid w:val="00D53797"/>
    <w:rsid w:val="00D55074"/>
    <w:rsid w:val="00D55175"/>
    <w:rsid w:val="00D554C5"/>
    <w:rsid w:val="00D557AA"/>
    <w:rsid w:val="00D55C02"/>
    <w:rsid w:val="00D5693E"/>
    <w:rsid w:val="00D56B20"/>
    <w:rsid w:val="00D578B3"/>
    <w:rsid w:val="00D602F1"/>
    <w:rsid w:val="00D6035C"/>
    <w:rsid w:val="00D60774"/>
    <w:rsid w:val="00D609CE"/>
    <w:rsid w:val="00D60B69"/>
    <w:rsid w:val="00D618F4"/>
    <w:rsid w:val="00D61C1D"/>
    <w:rsid w:val="00D61F05"/>
    <w:rsid w:val="00D622CD"/>
    <w:rsid w:val="00D62392"/>
    <w:rsid w:val="00D62B37"/>
    <w:rsid w:val="00D630F8"/>
    <w:rsid w:val="00D634F1"/>
    <w:rsid w:val="00D63636"/>
    <w:rsid w:val="00D637B8"/>
    <w:rsid w:val="00D63B70"/>
    <w:rsid w:val="00D63BF0"/>
    <w:rsid w:val="00D647F3"/>
    <w:rsid w:val="00D64FA6"/>
    <w:rsid w:val="00D653A0"/>
    <w:rsid w:val="00D65830"/>
    <w:rsid w:val="00D66D4C"/>
    <w:rsid w:val="00D67793"/>
    <w:rsid w:val="00D67B1D"/>
    <w:rsid w:val="00D67B5E"/>
    <w:rsid w:val="00D70C61"/>
    <w:rsid w:val="00D710DC"/>
    <w:rsid w:val="00D714CC"/>
    <w:rsid w:val="00D71705"/>
    <w:rsid w:val="00D71A50"/>
    <w:rsid w:val="00D71D06"/>
    <w:rsid w:val="00D725B5"/>
    <w:rsid w:val="00D72BAE"/>
    <w:rsid w:val="00D737E9"/>
    <w:rsid w:val="00D74CCE"/>
    <w:rsid w:val="00D753A9"/>
    <w:rsid w:val="00D75C58"/>
    <w:rsid w:val="00D75EA7"/>
    <w:rsid w:val="00D76374"/>
    <w:rsid w:val="00D76DE7"/>
    <w:rsid w:val="00D76ECC"/>
    <w:rsid w:val="00D77BAD"/>
    <w:rsid w:val="00D802C2"/>
    <w:rsid w:val="00D81397"/>
    <w:rsid w:val="00D81945"/>
    <w:rsid w:val="00D81A4B"/>
    <w:rsid w:val="00D81A86"/>
    <w:rsid w:val="00D81ADF"/>
    <w:rsid w:val="00D81F21"/>
    <w:rsid w:val="00D81F88"/>
    <w:rsid w:val="00D844CC"/>
    <w:rsid w:val="00D84817"/>
    <w:rsid w:val="00D8493E"/>
    <w:rsid w:val="00D855CF"/>
    <w:rsid w:val="00D8572F"/>
    <w:rsid w:val="00D85FC2"/>
    <w:rsid w:val="00D864F2"/>
    <w:rsid w:val="00D86934"/>
    <w:rsid w:val="00D86C04"/>
    <w:rsid w:val="00D87151"/>
    <w:rsid w:val="00D87882"/>
    <w:rsid w:val="00D90B92"/>
    <w:rsid w:val="00D9154B"/>
    <w:rsid w:val="00D91BA5"/>
    <w:rsid w:val="00D91CC3"/>
    <w:rsid w:val="00D91D35"/>
    <w:rsid w:val="00D922D4"/>
    <w:rsid w:val="00D93CAE"/>
    <w:rsid w:val="00D93D43"/>
    <w:rsid w:val="00D94077"/>
    <w:rsid w:val="00D9434B"/>
    <w:rsid w:val="00D9434F"/>
    <w:rsid w:val="00D943F8"/>
    <w:rsid w:val="00D9481F"/>
    <w:rsid w:val="00D94B16"/>
    <w:rsid w:val="00D95470"/>
    <w:rsid w:val="00D95A58"/>
    <w:rsid w:val="00D95CC4"/>
    <w:rsid w:val="00D95EBF"/>
    <w:rsid w:val="00D96B55"/>
    <w:rsid w:val="00D96C99"/>
    <w:rsid w:val="00D97CB9"/>
    <w:rsid w:val="00DA003F"/>
    <w:rsid w:val="00DA0439"/>
    <w:rsid w:val="00DA093F"/>
    <w:rsid w:val="00DA0C74"/>
    <w:rsid w:val="00DA1537"/>
    <w:rsid w:val="00DA1EF7"/>
    <w:rsid w:val="00DA2348"/>
    <w:rsid w:val="00DA249E"/>
    <w:rsid w:val="00DA25D5"/>
    <w:rsid w:val="00DA2619"/>
    <w:rsid w:val="00DA28AE"/>
    <w:rsid w:val="00DA2E45"/>
    <w:rsid w:val="00DA3A45"/>
    <w:rsid w:val="00DA4239"/>
    <w:rsid w:val="00DA430D"/>
    <w:rsid w:val="00DA4621"/>
    <w:rsid w:val="00DA588C"/>
    <w:rsid w:val="00DA65DE"/>
    <w:rsid w:val="00DB047A"/>
    <w:rsid w:val="00DB06F9"/>
    <w:rsid w:val="00DB0B61"/>
    <w:rsid w:val="00DB0EDA"/>
    <w:rsid w:val="00DB102C"/>
    <w:rsid w:val="00DB1104"/>
    <w:rsid w:val="00DB1474"/>
    <w:rsid w:val="00DB1D56"/>
    <w:rsid w:val="00DB1E52"/>
    <w:rsid w:val="00DB2962"/>
    <w:rsid w:val="00DB3876"/>
    <w:rsid w:val="00DB4427"/>
    <w:rsid w:val="00DB4B47"/>
    <w:rsid w:val="00DB4C11"/>
    <w:rsid w:val="00DB519F"/>
    <w:rsid w:val="00DB52FB"/>
    <w:rsid w:val="00DB5636"/>
    <w:rsid w:val="00DB7642"/>
    <w:rsid w:val="00DB77E2"/>
    <w:rsid w:val="00DB7DF6"/>
    <w:rsid w:val="00DC013B"/>
    <w:rsid w:val="00DC090B"/>
    <w:rsid w:val="00DC0B85"/>
    <w:rsid w:val="00DC13F2"/>
    <w:rsid w:val="00DC1679"/>
    <w:rsid w:val="00DC1894"/>
    <w:rsid w:val="00DC1AB6"/>
    <w:rsid w:val="00DC219B"/>
    <w:rsid w:val="00DC2328"/>
    <w:rsid w:val="00DC2CF1"/>
    <w:rsid w:val="00DC2DC7"/>
    <w:rsid w:val="00DC2EA0"/>
    <w:rsid w:val="00DC3380"/>
    <w:rsid w:val="00DC37F8"/>
    <w:rsid w:val="00DC3A7C"/>
    <w:rsid w:val="00DC3C99"/>
    <w:rsid w:val="00DC3F02"/>
    <w:rsid w:val="00DC4FCF"/>
    <w:rsid w:val="00DC507E"/>
    <w:rsid w:val="00DC50E0"/>
    <w:rsid w:val="00DC537F"/>
    <w:rsid w:val="00DC5907"/>
    <w:rsid w:val="00DC5944"/>
    <w:rsid w:val="00DC5BBB"/>
    <w:rsid w:val="00DC5CFE"/>
    <w:rsid w:val="00DC6364"/>
    <w:rsid w:val="00DC6386"/>
    <w:rsid w:val="00DC7275"/>
    <w:rsid w:val="00DC7887"/>
    <w:rsid w:val="00DD04E8"/>
    <w:rsid w:val="00DD0EED"/>
    <w:rsid w:val="00DD1130"/>
    <w:rsid w:val="00DD1323"/>
    <w:rsid w:val="00DD1951"/>
    <w:rsid w:val="00DD2867"/>
    <w:rsid w:val="00DD2D65"/>
    <w:rsid w:val="00DD33B1"/>
    <w:rsid w:val="00DD3745"/>
    <w:rsid w:val="00DD41FF"/>
    <w:rsid w:val="00DD4392"/>
    <w:rsid w:val="00DD47DB"/>
    <w:rsid w:val="00DD487D"/>
    <w:rsid w:val="00DD49B8"/>
    <w:rsid w:val="00DD4E4B"/>
    <w:rsid w:val="00DD4E83"/>
    <w:rsid w:val="00DD5852"/>
    <w:rsid w:val="00DD6027"/>
    <w:rsid w:val="00DD6404"/>
    <w:rsid w:val="00DD6628"/>
    <w:rsid w:val="00DD67C8"/>
    <w:rsid w:val="00DD6945"/>
    <w:rsid w:val="00DD7E5C"/>
    <w:rsid w:val="00DE05D1"/>
    <w:rsid w:val="00DE08CA"/>
    <w:rsid w:val="00DE09B6"/>
    <w:rsid w:val="00DE11D9"/>
    <w:rsid w:val="00DE12A1"/>
    <w:rsid w:val="00DE12E1"/>
    <w:rsid w:val="00DE15BD"/>
    <w:rsid w:val="00DE2087"/>
    <w:rsid w:val="00DE2107"/>
    <w:rsid w:val="00DE217E"/>
    <w:rsid w:val="00DE2D04"/>
    <w:rsid w:val="00DE2EFA"/>
    <w:rsid w:val="00DE3250"/>
    <w:rsid w:val="00DE3497"/>
    <w:rsid w:val="00DE3855"/>
    <w:rsid w:val="00DE3B4B"/>
    <w:rsid w:val="00DE3DDC"/>
    <w:rsid w:val="00DE4093"/>
    <w:rsid w:val="00DE43A8"/>
    <w:rsid w:val="00DE44D1"/>
    <w:rsid w:val="00DE4AB0"/>
    <w:rsid w:val="00DE6028"/>
    <w:rsid w:val="00DE69CC"/>
    <w:rsid w:val="00DE6B2F"/>
    <w:rsid w:val="00DE6C85"/>
    <w:rsid w:val="00DE6D9A"/>
    <w:rsid w:val="00DE7282"/>
    <w:rsid w:val="00DE78A3"/>
    <w:rsid w:val="00DE7B09"/>
    <w:rsid w:val="00DF015A"/>
    <w:rsid w:val="00DF099C"/>
    <w:rsid w:val="00DF0A6E"/>
    <w:rsid w:val="00DF0E6E"/>
    <w:rsid w:val="00DF1141"/>
    <w:rsid w:val="00DF197D"/>
    <w:rsid w:val="00DF1A71"/>
    <w:rsid w:val="00DF1E56"/>
    <w:rsid w:val="00DF21C3"/>
    <w:rsid w:val="00DF252F"/>
    <w:rsid w:val="00DF25F2"/>
    <w:rsid w:val="00DF29C3"/>
    <w:rsid w:val="00DF3892"/>
    <w:rsid w:val="00DF3A84"/>
    <w:rsid w:val="00DF3C2F"/>
    <w:rsid w:val="00DF42F1"/>
    <w:rsid w:val="00DF460B"/>
    <w:rsid w:val="00DF48F5"/>
    <w:rsid w:val="00DF4E8B"/>
    <w:rsid w:val="00DF50FC"/>
    <w:rsid w:val="00DF5AD9"/>
    <w:rsid w:val="00DF655D"/>
    <w:rsid w:val="00DF68C7"/>
    <w:rsid w:val="00DF68E8"/>
    <w:rsid w:val="00DF695E"/>
    <w:rsid w:val="00DF6A19"/>
    <w:rsid w:val="00DF731A"/>
    <w:rsid w:val="00DF7513"/>
    <w:rsid w:val="00DF7A3C"/>
    <w:rsid w:val="00DF7D87"/>
    <w:rsid w:val="00E00B16"/>
    <w:rsid w:val="00E013D7"/>
    <w:rsid w:val="00E017EA"/>
    <w:rsid w:val="00E01A54"/>
    <w:rsid w:val="00E02CFC"/>
    <w:rsid w:val="00E03261"/>
    <w:rsid w:val="00E03317"/>
    <w:rsid w:val="00E04670"/>
    <w:rsid w:val="00E050DD"/>
    <w:rsid w:val="00E05582"/>
    <w:rsid w:val="00E059BA"/>
    <w:rsid w:val="00E059F9"/>
    <w:rsid w:val="00E05B71"/>
    <w:rsid w:val="00E06B75"/>
    <w:rsid w:val="00E072AD"/>
    <w:rsid w:val="00E072F9"/>
    <w:rsid w:val="00E0770E"/>
    <w:rsid w:val="00E07B81"/>
    <w:rsid w:val="00E10123"/>
    <w:rsid w:val="00E1018E"/>
    <w:rsid w:val="00E10ECE"/>
    <w:rsid w:val="00E11332"/>
    <w:rsid w:val="00E11352"/>
    <w:rsid w:val="00E11D44"/>
    <w:rsid w:val="00E124FA"/>
    <w:rsid w:val="00E12842"/>
    <w:rsid w:val="00E14141"/>
    <w:rsid w:val="00E1436F"/>
    <w:rsid w:val="00E14597"/>
    <w:rsid w:val="00E145D8"/>
    <w:rsid w:val="00E14CE3"/>
    <w:rsid w:val="00E14FF1"/>
    <w:rsid w:val="00E157B6"/>
    <w:rsid w:val="00E1607C"/>
    <w:rsid w:val="00E1624E"/>
    <w:rsid w:val="00E170DC"/>
    <w:rsid w:val="00E171E3"/>
    <w:rsid w:val="00E1751A"/>
    <w:rsid w:val="00E17546"/>
    <w:rsid w:val="00E17845"/>
    <w:rsid w:val="00E17FA7"/>
    <w:rsid w:val="00E20C53"/>
    <w:rsid w:val="00E21083"/>
    <w:rsid w:val="00E210B5"/>
    <w:rsid w:val="00E213D8"/>
    <w:rsid w:val="00E21504"/>
    <w:rsid w:val="00E21590"/>
    <w:rsid w:val="00E21775"/>
    <w:rsid w:val="00E22DB1"/>
    <w:rsid w:val="00E22F5A"/>
    <w:rsid w:val="00E235A6"/>
    <w:rsid w:val="00E2444A"/>
    <w:rsid w:val="00E24861"/>
    <w:rsid w:val="00E24A2C"/>
    <w:rsid w:val="00E251AF"/>
    <w:rsid w:val="00E25665"/>
    <w:rsid w:val="00E25879"/>
    <w:rsid w:val="00E2592F"/>
    <w:rsid w:val="00E261B3"/>
    <w:rsid w:val="00E266D0"/>
    <w:rsid w:val="00E26818"/>
    <w:rsid w:val="00E2750B"/>
    <w:rsid w:val="00E27715"/>
    <w:rsid w:val="00E27C7D"/>
    <w:rsid w:val="00E27FFC"/>
    <w:rsid w:val="00E3056A"/>
    <w:rsid w:val="00E30785"/>
    <w:rsid w:val="00E30B15"/>
    <w:rsid w:val="00E30ECD"/>
    <w:rsid w:val="00E313D8"/>
    <w:rsid w:val="00E3162D"/>
    <w:rsid w:val="00E3182E"/>
    <w:rsid w:val="00E31C94"/>
    <w:rsid w:val="00E31FE5"/>
    <w:rsid w:val="00E321AD"/>
    <w:rsid w:val="00E329B3"/>
    <w:rsid w:val="00E33237"/>
    <w:rsid w:val="00E33D3B"/>
    <w:rsid w:val="00E33F40"/>
    <w:rsid w:val="00E342C9"/>
    <w:rsid w:val="00E342DC"/>
    <w:rsid w:val="00E347BE"/>
    <w:rsid w:val="00E34853"/>
    <w:rsid w:val="00E34C59"/>
    <w:rsid w:val="00E34EFB"/>
    <w:rsid w:val="00E35308"/>
    <w:rsid w:val="00E355C9"/>
    <w:rsid w:val="00E3581F"/>
    <w:rsid w:val="00E35C44"/>
    <w:rsid w:val="00E35E73"/>
    <w:rsid w:val="00E37412"/>
    <w:rsid w:val="00E377EC"/>
    <w:rsid w:val="00E40181"/>
    <w:rsid w:val="00E40280"/>
    <w:rsid w:val="00E402E5"/>
    <w:rsid w:val="00E40900"/>
    <w:rsid w:val="00E40D89"/>
    <w:rsid w:val="00E4262E"/>
    <w:rsid w:val="00E42964"/>
    <w:rsid w:val="00E42AAF"/>
    <w:rsid w:val="00E42D67"/>
    <w:rsid w:val="00E43316"/>
    <w:rsid w:val="00E43496"/>
    <w:rsid w:val="00E436D5"/>
    <w:rsid w:val="00E44235"/>
    <w:rsid w:val="00E444DE"/>
    <w:rsid w:val="00E44B3C"/>
    <w:rsid w:val="00E450C5"/>
    <w:rsid w:val="00E45648"/>
    <w:rsid w:val="00E45B57"/>
    <w:rsid w:val="00E470A2"/>
    <w:rsid w:val="00E479D0"/>
    <w:rsid w:val="00E5200F"/>
    <w:rsid w:val="00E52401"/>
    <w:rsid w:val="00E524B7"/>
    <w:rsid w:val="00E524EF"/>
    <w:rsid w:val="00E52B4B"/>
    <w:rsid w:val="00E52E09"/>
    <w:rsid w:val="00E53196"/>
    <w:rsid w:val="00E531B8"/>
    <w:rsid w:val="00E5361B"/>
    <w:rsid w:val="00E53985"/>
    <w:rsid w:val="00E543A6"/>
    <w:rsid w:val="00E543E7"/>
    <w:rsid w:val="00E54950"/>
    <w:rsid w:val="00E54B71"/>
    <w:rsid w:val="00E54C9C"/>
    <w:rsid w:val="00E54CFB"/>
    <w:rsid w:val="00E550EB"/>
    <w:rsid w:val="00E55152"/>
    <w:rsid w:val="00E55FB3"/>
    <w:rsid w:val="00E56082"/>
    <w:rsid w:val="00E56A01"/>
    <w:rsid w:val="00E575C6"/>
    <w:rsid w:val="00E603B7"/>
    <w:rsid w:val="00E6041B"/>
    <w:rsid w:val="00E61DEE"/>
    <w:rsid w:val="00E623A6"/>
    <w:rsid w:val="00E62619"/>
    <w:rsid w:val="00E629A1"/>
    <w:rsid w:val="00E62D89"/>
    <w:rsid w:val="00E63050"/>
    <w:rsid w:val="00E63912"/>
    <w:rsid w:val="00E63928"/>
    <w:rsid w:val="00E63D2E"/>
    <w:rsid w:val="00E64BDA"/>
    <w:rsid w:val="00E64EDE"/>
    <w:rsid w:val="00E64EE2"/>
    <w:rsid w:val="00E6557C"/>
    <w:rsid w:val="00E659F2"/>
    <w:rsid w:val="00E663C3"/>
    <w:rsid w:val="00E669D8"/>
    <w:rsid w:val="00E673BA"/>
    <w:rsid w:val="00E6794C"/>
    <w:rsid w:val="00E67C8C"/>
    <w:rsid w:val="00E67F8B"/>
    <w:rsid w:val="00E70508"/>
    <w:rsid w:val="00E70698"/>
    <w:rsid w:val="00E70AD3"/>
    <w:rsid w:val="00E71591"/>
    <w:rsid w:val="00E71ABF"/>
    <w:rsid w:val="00E71CEB"/>
    <w:rsid w:val="00E723A4"/>
    <w:rsid w:val="00E72792"/>
    <w:rsid w:val="00E72986"/>
    <w:rsid w:val="00E73216"/>
    <w:rsid w:val="00E735E0"/>
    <w:rsid w:val="00E73CA0"/>
    <w:rsid w:val="00E744E6"/>
    <w:rsid w:val="00E745E0"/>
    <w:rsid w:val="00E7474F"/>
    <w:rsid w:val="00E7491A"/>
    <w:rsid w:val="00E74AAC"/>
    <w:rsid w:val="00E74D41"/>
    <w:rsid w:val="00E75148"/>
    <w:rsid w:val="00E75524"/>
    <w:rsid w:val="00E75534"/>
    <w:rsid w:val="00E75EFB"/>
    <w:rsid w:val="00E763B5"/>
    <w:rsid w:val="00E766D9"/>
    <w:rsid w:val="00E77072"/>
    <w:rsid w:val="00E775AD"/>
    <w:rsid w:val="00E801DE"/>
    <w:rsid w:val="00E80901"/>
    <w:rsid w:val="00E80DE3"/>
    <w:rsid w:val="00E81048"/>
    <w:rsid w:val="00E81594"/>
    <w:rsid w:val="00E81F01"/>
    <w:rsid w:val="00E8251D"/>
    <w:rsid w:val="00E8293B"/>
    <w:rsid w:val="00E8297A"/>
    <w:rsid w:val="00E82A34"/>
    <w:rsid w:val="00E82C55"/>
    <w:rsid w:val="00E82CBD"/>
    <w:rsid w:val="00E82F16"/>
    <w:rsid w:val="00E8321D"/>
    <w:rsid w:val="00E83C4F"/>
    <w:rsid w:val="00E855D1"/>
    <w:rsid w:val="00E8561A"/>
    <w:rsid w:val="00E85667"/>
    <w:rsid w:val="00E85865"/>
    <w:rsid w:val="00E85DFE"/>
    <w:rsid w:val="00E861D3"/>
    <w:rsid w:val="00E86B26"/>
    <w:rsid w:val="00E87662"/>
    <w:rsid w:val="00E8785A"/>
    <w:rsid w:val="00E8787E"/>
    <w:rsid w:val="00E87C73"/>
    <w:rsid w:val="00E87F77"/>
    <w:rsid w:val="00E9042A"/>
    <w:rsid w:val="00E90688"/>
    <w:rsid w:val="00E906F8"/>
    <w:rsid w:val="00E90E59"/>
    <w:rsid w:val="00E914AA"/>
    <w:rsid w:val="00E917B4"/>
    <w:rsid w:val="00E92AC3"/>
    <w:rsid w:val="00E92D12"/>
    <w:rsid w:val="00E92FDB"/>
    <w:rsid w:val="00E93C0E"/>
    <w:rsid w:val="00E9450A"/>
    <w:rsid w:val="00E94703"/>
    <w:rsid w:val="00E947D7"/>
    <w:rsid w:val="00E9660D"/>
    <w:rsid w:val="00E979D9"/>
    <w:rsid w:val="00E97FBA"/>
    <w:rsid w:val="00EA05AA"/>
    <w:rsid w:val="00EA0C21"/>
    <w:rsid w:val="00EA0E78"/>
    <w:rsid w:val="00EA11E7"/>
    <w:rsid w:val="00EA173E"/>
    <w:rsid w:val="00EA1A1A"/>
    <w:rsid w:val="00EA1AE7"/>
    <w:rsid w:val="00EA26B1"/>
    <w:rsid w:val="00EA28F1"/>
    <w:rsid w:val="00EA2AF7"/>
    <w:rsid w:val="00EA2F6A"/>
    <w:rsid w:val="00EA3394"/>
    <w:rsid w:val="00EA375D"/>
    <w:rsid w:val="00EA3AA4"/>
    <w:rsid w:val="00EA3EE7"/>
    <w:rsid w:val="00EA3F2C"/>
    <w:rsid w:val="00EA43BD"/>
    <w:rsid w:val="00EA516A"/>
    <w:rsid w:val="00EA521B"/>
    <w:rsid w:val="00EA6BB1"/>
    <w:rsid w:val="00EA6CCC"/>
    <w:rsid w:val="00EB00E0"/>
    <w:rsid w:val="00EB04C4"/>
    <w:rsid w:val="00EB05B1"/>
    <w:rsid w:val="00EB05D5"/>
    <w:rsid w:val="00EB097A"/>
    <w:rsid w:val="00EB0BF3"/>
    <w:rsid w:val="00EB0D15"/>
    <w:rsid w:val="00EB1495"/>
    <w:rsid w:val="00EB188A"/>
    <w:rsid w:val="00EB23B7"/>
    <w:rsid w:val="00EB3595"/>
    <w:rsid w:val="00EB4BC7"/>
    <w:rsid w:val="00EB4D28"/>
    <w:rsid w:val="00EB56B9"/>
    <w:rsid w:val="00EB685F"/>
    <w:rsid w:val="00EB6A72"/>
    <w:rsid w:val="00EB6E4C"/>
    <w:rsid w:val="00EB6F47"/>
    <w:rsid w:val="00EB71A1"/>
    <w:rsid w:val="00EB730F"/>
    <w:rsid w:val="00EC01E6"/>
    <w:rsid w:val="00EC059F"/>
    <w:rsid w:val="00EC0873"/>
    <w:rsid w:val="00EC096A"/>
    <w:rsid w:val="00EC0C68"/>
    <w:rsid w:val="00EC0EBE"/>
    <w:rsid w:val="00EC13C4"/>
    <w:rsid w:val="00EC1A16"/>
    <w:rsid w:val="00EC1F24"/>
    <w:rsid w:val="00EC22F6"/>
    <w:rsid w:val="00EC3DB9"/>
    <w:rsid w:val="00EC407B"/>
    <w:rsid w:val="00EC4CA8"/>
    <w:rsid w:val="00EC5334"/>
    <w:rsid w:val="00EC5DBC"/>
    <w:rsid w:val="00EC69D9"/>
    <w:rsid w:val="00EC6BA8"/>
    <w:rsid w:val="00EC6FE0"/>
    <w:rsid w:val="00EC70D5"/>
    <w:rsid w:val="00EC7E5E"/>
    <w:rsid w:val="00ED0B9B"/>
    <w:rsid w:val="00ED0C91"/>
    <w:rsid w:val="00ED1348"/>
    <w:rsid w:val="00ED1B13"/>
    <w:rsid w:val="00ED28AD"/>
    <w:rsid w:val="00ED4A88"/>
    <w:rsid w:val="00ED4E20"/>
    <w:rsid w:val="00ED5B9B"/>
    <w:rsid w:val="00ED6083"/>
    <w:rsid w:val="00ED6A16"/>
    <w:rsid w:val="00ED6BAD"/>
    <w:rsid w:val="00ED7029"/>
    <w:rsid w:val="00ED7447"/>
    <w:rsid w:val="00ED75B1"/>
    <w:rsid w:val="00ED7762"/>
    <w:rsid w:val="00EE00D6"/>
    <w:rsid w:val="00EE0159"/>
    <w:rsid w:val="00EE0BCB"/>
    <w:rsid w:val="00EE1078"/>
    <w:rsid w:val="00EE11CA"/>
    <w:rsid w:val="00EE11E7"/>
    <w:rsid w:val="00EE1309"/>
    <w:rsid w:val="00EE1488"/>
    <w:rsid w:val="00EE1602"/>
    <w:rsid w:val="00EE1E16"/>
    <w:rsid w:val="00EE208D"/>
    <w:rsid w:val="00EE20EB"/>
    <w:rsid w:val="00EE2100"/>
    <w:rsid w:val="00EE2216"/>
    <w:rsid w:val="00EE2970"/>
    <w:rsid w:val="00EE29AD"/>
    <w:rsid w:val="00EE3E24"/>
    <w:rsid w:val="00EE4ADF"/>
    <w:rsid w:val="00EE4AF4"/>
    <w:rsid w:val="00EE4D5D"/>
    <w:rsid w:val="00EE4E7F"/>
    <w:rsid w:val="00EE5131"/>
    <w:rsid w:val="00EE52DB"/>
    <w:rsid w:val="00EE5B8D"/>
    <w:rsid w:val="00EE5DEA"/>
    <w:rsid w:val="00EE5E5B"/>
    <w:rsid w:val="00EE5EC3"/>
    <w:rsid w:val="00EE5FA3"/>
    <w:rsid w:val="00EE6196"/>
    <w:rsid w:val="00EE7B9C"/>
    <w:rsid w:val="00EE7C2B"/>
    <w:rsid w:val="00EF0BD0"/>
    <w:rsid w:val="00EF109B"/>
    <w:rsid w:val="00EF166F"/>
    <w:rsid w:val="00EF17D4"/>
    <w:rsid w:val="00EF201C"/>
    <w:rsid w:val="00EF2287"/>
    <w:rsid w:val="00EF24F7"/>
    <w:rsid w:val="00EF2C72"/>
    <w:rsid w:val="00EF2F1A"/>
    <w:rsid w:val="00EF34CF"/>
    <w:rsid w:val="00EF36AF"/>
    <w:rsid w:val="00EF3950"/>
    <w:rsid w:val="00EF39D3"/>
    <w:rsid w:val="00EF45D2"/>
    <w:rsid w:val="00EF53B1"/>
    <w:rsid w:val="00EF5858"/>
    <w:rsid w:val="00EF59A3"/>
    <w:rsid w:val="00EF5D20"/>
    <w:rsid w:val="00EF5D6A"/>
    <w:rsid w:val="00EF6675"/>
    <w:rsid w:val="00EF6A4F"/>
    <w:rsid w:val="00EF6F75"/>
    <w:rsid w:val="00EF71D8"/>
    <w:rsid w:val="00F00504"/>
    <w:rsid w:val="00F0063D"/>
    <w:rsid w:val="00F00665"/>
    <w:rsid w:val="00F00F9C"/>
    <w:rsid w:val="00F01727"/>
    <w:rsid w:val="00F01E5F"/>
    <w:rsid w:val="00F024F3"/>
    <w:rsid w:val="00F02ABA"/>
    <w:rsid w:val="00F02B85"/>
    <w:rsid w:val="00F02CB3"/>
    <w:rsid w:val="00F02D16"/>
    <w:rsid w:val="00F0437A"/>
    <w:rsid w:val="00F048C3"/>
    <w:rsid w:val="00F05201"/>
    <w:rsid w:val="00F053E6"/>
    <w:rsid w:val="00F05EFC"/>
    <w:rsid w:val="00F070BC"/>
    <w:rsid w:val="00F07483"/>
    <w:rsid w:val="00F07678"/>
    <w:rsid w:val="00F101B8"/>
    <w:rsid w:val="00F103DC"/>
    <w:rsid w:val="00F11037"/>
    <w:rsid w:val="00F112D9"/>
    <w:rsid w:val="00F11714"/>
    <w:rsid w:val="00F12099"/>
    <w:rsid w:val="00F125EE"/>
    <w:rsid w:val="00F128F9"/>
    <w:rsid w:val="00F139E7"/>
    <w:rsid w:val="00F13CED"/>
    <w:rsid w:val="00F13D94"/>
    <w:rsid w:val="00F148CD"/>
    <w:rsid w:val="00F15183"/>
    <w:rsid w:val="00F1518E"/>
    <w:rsid w:val="00F15700"/>
    <w:rsid w:val="00F157D1"/>
    <w:rsid w:val="00F15C5F"/>
    <w:rsid w:val="00F15F5A"/>
    <w:rsid w:val="00F16C8D"/>
    <w:rsid w:val="00F16F1B"/>
    <w:rsid w:val="00F2057E"/>
    <w:rsid w:val="00F20A64"/>
    <w:rsid w:val="00F20D5D"/>
    <w:rsid w:val="00F20FA9"/>
    <w:rsid w:val="00F21005"/>
    <w:rsid w:val="00F21564"/>
    <w:rsid w:val="00F21BDB"/>
    <w:rsid w:val="00F22A10"/>
    <w:rsid w:val="00F2366D"/>
    <w:rsid w:val="00F23AE7"/>
    <w:rsid w:val="00F23B44"/>
    <w:rsid w:val="00F23BD2"/>
    <w:rsid w:val="00F23FCE"/>
    <w:rsid w:val="00F245C2"/>
    <w:rsid w:val="00F24B82"/>
    <w:rsid w:val="00F250A9"/>
    <w:rsid w:val="00F25382"/>
    <w:rsid w:val="00F25C28"/>
    <w:rsid w:val="00F2631C"/>
    <w:rsid w:val="00F267AF"/>
    <w:rsid w:val="00F27615"/>
    <w:rsid w:val="00F27C2B"/>
    <w:rsid w:val="00F27DF3"/>
    <w:rsid w:val="00F27E29"/>
    <w:rsid w:val="00F301B2"/>
    <w:rsid w:val="00F30FF4"/>
    <w:rsid w:val="00F3102B"/>
    <w:rsid w:val="00F3122E"/>
    <w:rsid w:val="00F315A9"/>
    <w:rsid w:val="00F31E4C"/>
    <w:rsid w:val="00F31E63"/>
    <w:rsid w:val="00F32043"/>
    <w:rsid w:val="00F32368"/>
    <w:rsid w:val="00F3285A"/>
    <w:rsid w:val="00F32E5E"/>
    <w:rsid w:val="00F3308B"/>
    <w:rsid w:val="00F331AD"/>
    <w:rsid w:val="00F3342A"/>
    <w:rsid w:val="00F3371F"/>
    <w:rsid w:val="00F33D65"/>
    <w:rsid w:val="00F34153"/>
    <w:rsid w:val="00F345E3"/>
    <w:rsid w:val="00F34888"/>
    <w:rsid w:val="00F35287"/>
    <w:rsid w:val="00F35520"/>
    <w:rsid w:val="00F35902"/>
    <w:rsid w:val="00F35FBF"/>
    <w:rsid w:val="00F35FDF"/>
    <w:rsid w:val="00F361DA"/>
    <w:rsid w:val="00F379E9"/>
    <w:rsid w:val="00F405BA"/>
    <w:rsid w:val="00F40A70"/>
    <w:rsid w:val="00F41B1B"/>
    <w:rsid w:val="00F43A37"/>
    <w:rsid w:val="00F43BB2"/>
    <w:rsid w:val="00F43D02"/>
    <w:rsid w:val="00F43E2E"/>
    <w:rsid w:val="00F455DF"/>
    <w:rsid w:val="00F4641B"/>
    <w:rsid w:val="00F46CF9"/>
    <w:rsid w:val="00F46EB8"/>
    <w:rsid w:val="00F47D3A"/>
    <w:rsid w:val="00F50334"/>
    <w:rsid w:val="00F505F2"/>
    <w:rsid w:val="00F5086F"/>
    <w:rsid w:val="00F50CD1"/>
    <w:rsid w:val="00F511E4"/>
    <w:rsid w:val="00F51432"/>
    <w:rsid w:val="00F51C12"/>
    <w:rsid w:val="00F51CB4"/>
    <w:rsid w:val="00F52C5A"/>
    <w:rsid w:val="00F52D09"/>
    <w:rsid w:val="00F52E08"/>
    <w:rsid w:val="00F5300E"/>
    <w:rsid w:val="00F53096"/>
    <w:rsid w:val="00F53165"/>
    <w:rsid w:val="00F53A66"/>
    <w:rsid w:val="00F53A90"/>
    <w:rsid w:val="00F5423F"/>
    <w:rsid w:val="00F5462D"/>
    <w:rsid w:val="00F5494F"/>
    <w:rsid w:val="00F55B21"/>
    <w:rsid w:val="00F5615E"/>
    <w:rsid w:val="00F5628E"/>
    <w:rsid w:val="00F56533"/>
    <w:rsid w:val="00F56EF6"/>
    <w:rsid w:val="00F575E4"/>
    <w:rsid w:val="00F60082"/>
    <w:rsid w:val="00F60488"/>
    <w:rsid w:val="00F6051B"/>
    <w:rsid w:val="00F61A9F"/>
    <w:rsid w:val="00F61B5F"/>
    <w:rsid w:val="00F6264D"/>
    <w:rsid w:val="00F62F8A"/>
    <w:rsid w:val="00F63518"/>
    <w:rsid w:val="00F6447D"/>
    <w:rsid w:val="00F64696"/>
    <w:rsid w:val="00F646BA"/>
    <w:rsid w:val="00F64B82"/>
    <w:rsid w:val="00F64BCC"/>
    <w:rsid w:val="00F64C5B"/>
    <w:rsid w:val="00F64DB0"/>
    <w:rsid w:val="00F65AA9"/>
    <w:rsid w:val="00F65DBE"/>
    <w:rsid w:val="00F66355"/>
    <w:rsid w:val="00F66C3B"/>
    <w:rsid w:val="00F6768F"/>
    <w:rsid w:val="00F70987"/>
    <w:rsid w:val="00F70F7E"/>
    <w:rsid w:val="00F724B9"/>
    <w:rsid w:val="00F72C2C"/>
    <w:rsid w:val="00F74041"/>
    <w:rsid w:val="00F741F2"/>
    <w:rsid w:val="00F7427D"/>
    <w:rsid w:val="00F74B1E"/>
    <w:rsid w:val="00F74C95"/>
    <w:rsid w:val="00F75577"/>
    <w:rsid w:val="00F75828"/>
    <w:rsid w:val="00F75D5D"/>
    <w:rsid w:val="00F7620B"/>
    <w:rsid w:val="00F76C49"/>
    <w:rsid w:val="00F76CAB"/>
    <w:rsid w:val="00F772C6"/>
    <w:rsid w:val="00F77F9F"/>
    <w:rsid w:val="00F80642"/>
    <w:rsid w:val="00F80BF2"/>
    <w:rsid w:val="00F815B5"/>
    <w:rsid w:val="00F824C4"/>
    <w:rsid w:val="00F829BF"/>
    <w:rsid w:val="00F830D4"/>
    <w:rsid w:val="00F83956"/>
    <w:rsid w:val="00F83BEA"/>
    <w:rsid w:val="00F8403F"/>
    <w:rsid w:val="00F840CE"/>
    <w:rsid w:val="00F84699"/>
    <w:rsid w:val="00F8472A"/>
    <w:rsid w:val="00F84965"/>
    <w:rsid w:val="00F849FC"/>
    <w:rsid w:val="00F84CC5"/>
    <w:rsid w:val="00F850D3"/>
    <w:rsid w:val="00F85195"/>
    <w:rsid w:val="00F858B4"/>
    <w:rsid w:val="00F858F1"/>
    <w:rsid w:val="00F85AE1"/>
    <w:rsid w:val="00F85D94"/>
    <w:rsid w:val="00F85F35"/>
    <w:rsid w:val="00F868E3"/>
    <w:rsid w:val="00F873B1"/>
    <w:rsid w:val="00F9081C"/>
    <w:rsid w:val="00F9092A"/>
    <w:rsid w:val="00F91CE6"/>
    <w:rsid w:val="00F922BF"/>
    <w:rsid w:val="00F9314F"/>
    <w:rsid w:val="00F933BD"/>
    <w:rsid w:val="00F934C1"/>
    <w:rsid w:val="00F938BA"/>
    <w:rsid w:val="00F94329"/>
    <w:rsid w:val="00F94499"/>
    <w:rsid w:val="00F95600"/>
    <w:rsid w:val="00F959A3"/>
    <w:rsid w:val="00F97919"/>
    <w:rsid w:val="00FA01F5"/>
    <w:rsid w:val="00FA0CD2"/>
    <w:rsid w:val="00FA0FF2"/>
    <w:rsid w:val="00FA1394"/>
    <w:rsid w:val="00FA1486"/>
    <w:rsid w:val="00FA1678"/>
    <w:rsid w:val="00FA25C7"/>
    <w:rsid w:val="00FA2C46"/>
    <w:rsid w:val="00FA3525"/>
    <w:rsid w:val="00FA3636"/>
    <w:rsid w:val="00FA3B82"/>
    <w:rsid w:val="00FA402D"/>
    <w:rsid w:val="00FA4037"/>
    <w:rsid w:val="00FA463A"/>
    <w:rsid w:val="00FA5697"/>
    <w:rsid w:val="00FA5A53"/>
    <w:rsid w:val="00FA5F93"/>
    <w:rsid w:val="00FA6FD6"/>
    <w:rsid w:val="00FA74B0"/>
    <w:rsid w:val="00FA7569"/>
    <w:rsid w:val="00FA7726"/>
    <w:rsid w:val="00FB0D8A"/>
    <w:rsid w:val="00FB1F6E"/>
    <w:rsid w:val="00FB285F"/>
    <w:rsid w:val="00FB3FF2"/>
    <w:rsid w:val="00FB4769"/>
    <w:rsid w:val="00FB4945"/>
    <w:rsid w:val="00FB4C58"/>
    <w:rsid w:val="00FB4CDA"/>
    <w:rsid w:val="00FB50E7"/>
    <w:rsid w:val="00FB52C5"/>
    <w:rsid w:val="00FB5446"/>
    <w:rsid w:val="00FB5DB3"/>
    <w:rsid w:val="00FB5FC8"/>
    <w:rsid w:val="00FB6481"/>
    <w:rsid w:val="00FB67E5"/>
    <w:rsid w:val="00FB6BBD"/>
    <w:rsid w:val="00FB6C0C"/>
    <w:rsid w:val="00FB6C93"/>
    <w:rsid w:val="00FB6D36"/>
    <w:rsid w:val="00FB6FBD"/>
    <w:rsid w:val="00FB7073"/>
    <w:rsid w:val="00FB7AA1"/>
    <w:rsid w:val="00FB7C0F"/>
    <w:rsid w:val="00FC033C"/>
    <w:rsid w:val="00FC0965"/>
    <w:rsid w:val="00FC0F81"/>
    <w:rsid w:val="00FC1273"/>
    <w:rsid w:val="00FC1F26"/>
    <w:rsid w:val="00FC252F"/>
    <w:rsid w:val="00FC395C"/>
    <w:rsid w:val="00FC4064"/>
    <w:rsid w:val="00FC5028"/>
    <w:rsid w:val="00FC5B42"/>
    <w:rsid w:val="00FC5B54"/>
    <w:rsid w:val="00FC5E8E"/>
    <w:rsid w:val="00FC6282"/>
    <w:rsid w:val="00FC6BE5"/>
    <w:rsid w:val="00FC7661"/>
    <w:rsid w:val="00FC77FE"/>
    <w:rsid w:val="00FC7BAA"/>
    <w:rsid w:val="00FD023F"/>
    <w:rsid w:val="00FD0770"/>
    <w:rsid w:val="00FD0974"/>
    <w:rsid w:val="00FD1D78"/>
    <w:rsid w:val="00FD1F66"/>
    <w:rsid w:val="00FD287E"/>
    <w:rsid w:val="00FD2C0B"/>
    <w:rsid w:val="00FD2DDC"/>
    <w:rsid w:val="00FD3336"/>
    <w:rsid w:val="00FD34EB"/>
    <w:rsid w:val="00FD3766"/>
    <w:rsid w:val="00FD3D05"/>
    <w:rsid w:val="00FD3F65"/>
    <w:rsid w:val="00FD4084"/>
    <w:rsid w:val="00FD4158"/>
    <w:rsid w:val="00FD44F9"/>
    <w:rsid w:val="00FD47C4"/>
    <w:rsid w:val="00FD51D2"/>
    <w:rsid w:val="00FD6449"/>
    <w:rsid w:val="00FD646F"/>
    <w:rsid w:val="00FD6802"/>
    <w:rsid w:val="00FD6D79"/>
    <w:rsid w:val="00FD6E66"/>
    <w:rsid w:val="00FD7F68"/>
    <w:rsid w:val="00FD7FB0"/>
    <w:rsid w:val="00FE0201"/>
    <w:rsid w:val="00FE15F9"/>
    <w:rsid w:val="00FE2DCF"/>
    <w:rsid w:val="00FE2DD6"/>
    <w:rsid w:val="00FE2DEA"/>
    <w:rsid w:val="00FE3FA7"/>
    <w:rsid w:val="00FE4081"/>
    <w:rsid w:val="00FE46D2"/>
    <w:rsid w:val="00FE484D"/>
    <w:rsid w:val="00FE4BB2"/>
    <w:rsid w:val="00FE4C3A"/>
    <w:rsid w:val="00FE4EBA"/>
    <w:rsid w:val="00FE4FF0"/>
    <w:rsid w:val="00FE50BE"/>
    <w:rsid w:val="00FE6380"/>
    <w:rsid w:val="00FE72F6"/>
    <w:rsid w:val="00FE731B"/>
    <w:rsid w:val="00FF0435"/>
    <w:rsid w:val="00FF0558"/>
    <w:rsid w:val="00FF165F"/>
    <w:rsid w:val="00FF20ED"/>
    <w:rsid w:val="00FF27D2"/>
    <w:rsid w:val="00FF27FA"/>
    <w:rsid w:val="00FF2A4E"/>
    <w:rsid w:val="00FF2F3A"/>
    <w:rsid w:val="00FF2FCE"/>
    <w:rsid w:val="00FF368D"/>
    <w:rsid w:val="00FF36E6"/>
    <w:rsid w:val="00FF4B43"/>
    <w:rsid w:val="00FF4DCB"/>
    <w:rsid w:val="00FF4F02"/>
    <w:rsid w:val="00FF4F7D"/>
    <w:rsid w:val="00FF5086"/>
    <w:rsid w:val="00FF5146"/>
    <w:rsid w:val="00FF5CD7"/>
    <w:rsid w:val="00FF6D9D"/>
    <w:rsid w:val="00FF7620"/>
    <w:rsid w:val="00FF7B56"/>
    <w:rsid w:val="00FF7DD5"/>
    <w:rsid w:val="026FDDB3"/>
    <w:rsid w:val="078F318D"/>
    <w:rsid w:val="0A158D94"/>
    <w:rsid w:val="0BB33C5F"/>
    <w:rsid w:val="0BEF3D81"/>
    <w:rsid w:val="0ED5EB45"/>
    <w:rsid w:val="1140B07A"/>
    <w:rsid w:val="129FD5AA"/>
    <w:rsid w:val="17B10257"/>
    <w:rsid w:val="188AB798"/>
    <w:rsid w:val="192E5383"/>
    <w:rsid w:val="1A0B25DC"/>
    <w:rsid w:val="1FD2FF50"/>
    <w:rsid w:val="201D5861"/>
    <w:rsid w:val="20946C8E"/>
    <w:rsid w:val="20C65E9D"/>
    <w:rsid w:val="21D90B81"/>
    <w:rsid w:val="26969552"/>
    <w:rsid w:val="275BD42A"/>
    <w:rsid w:val="2AE5DD6B"/>
    <w:rsid w:val="2C500840"/>
    <w:rsid w:val="2F64ADC0"/>
    <w:rsid w:val="323B9657"/>
    <w:rsid w:val="33C930C7"/>
    <w:rsid w:val="346279C3"/>
    <w:rsid w:val="35E66A79"/>
    <w:rsid w:val="3762A7B9"/>
    <w:rsid w:val="38287820"/>
    <w:rsid w:val="38580AE7"/>
    <w:rsid w:val="392CAC57"/>
    <w:rsid w:val="3CD836B3"/>
    <w:rsid w:val="3D90613A"/>
    <w:rsid w:val="3FA59AA2"/>
    <w:rsid w:val="3FA5EA17"/>
    <w:rsid w:val="4173B191"/>
    <w:rsid w:val="41BBEABD"/>
    <w:rsid w:val="427A17AB"/>
    <w:rsid w:val="48F9B74A"/>
    <w:rsid w:val="4B26B10E"/>
    <w:rsid w:val="4DC9A851"/>
    <w:rsid w:val="4F1211EE"/>
    <w:rsid w:val="4F69BFD5"/>
    <w:rsid w:val="4F7E4CF7"/>
    <w:rsid w:val="544BB552"/>
    <w:rsid w:val="548F6C5C"/>
    <w:rsid w:val="5AB9E0D3"/>
    <w:rsid w:val="5BB87DE5"/>
    <w:rsid w:val="5D727CFD"/>
    <w:rsid w:val="5E60C625"/>
    <w:rsid w:val="5EF27E6B"/>
    <w:rsid w:val="5F48BCFC"/>
    <w:rsid w:val="6095C87A"/>
    <w:rsid w:val="613F8BD7"/>
    <w:rsid w:val="6208BF6C"/>
    <w:rsid w:val="62300E77"/>
    <w:rsid w:val="660E411A"/>
    <w:rsid w:val="665B4068"/>
    <w:rsid w:val="666EC9A8"/>
    <w:rsid w:val="68BFD8BE"/>
    <w:rsid w:val="6B24C245"/>
    <w:rsid w:val="6D9E1CD8"/>
    <w:rsid w:val="6E468FF9"/>
    <w:rsid w:val="6EE1DE83"/>
    <w:rsid w:val="6F923473"/>
    <w:rsid w:val="71BD1F64"/>
    <w:rsid w:val="7647CD58"/>
    <w:rsid w:val="7660B82A"/>
    <w:rsid w:val="79113AE9"/>
    <w:rsid w:val="7A752978"/>
    <w:rsid w:val="7B297E24"/>
    <w:rsid w:val="7C89876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2BFE59"/>
  <w15:docId w15:val="{DCEE3E5F-E499-4AFC-A818-A0559EA5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9" w:qFormat="1"/>
    <w:lsdException w:name="heading 3" w:uiPriority="9" w:qFormat="1"/>
    <w:lsdException w:name="heading 4" w:uiPriority="1" w:qFormat="1"/>
    <w:lsdException w:name="heading 5" w:uiPriority="9" w:qFormat="1"/>
    <w:lsdException w:name="heading 6" w:semiHidden="1" w:uiPriority="0"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6D5D3C"/>
    <w:pPr>
      <w:keepNext/>
      <w:keepLines/>
      <w:pageBreakBefore/>
      <w:numPr>
        <w:numId w:val="9"/>
      </w:numPr>
      <w:spacing w:before="360" w:after="240" w:line="480" w:lineRule="atLeast"/>
      <w:ind w:left="1134" w:hanging="1134"/>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9"/>
    <w:qFormat/>
    <w:rsid w:val="00163A33"/>
    <w:pPr>
      <w:keepNext/>
      <w:keepLines/>
      <w:numPr>
        <w:ilvl w:val="1"/>
        <w:numId w:val="9"/>
      </w:numPr>
      <w:spacing w:before="360" w:after="120" w:line="340" w:lineRule="atLeast"/>
      <w:ind w:left="1134" w:hanging="1134"/>
      <w:outlineLvl w:val="1"/>
    </w:pPr>
    <w:rPr>
      <w:rFonts w:ascii="Arial" w:hAnsi="Arial"/>
      <w:b/>
      <w:color w:val="53565A"/>
      <w:sz w:val="32"/>
      <w:szCs w:val="28"/>
      <w:lang w:eastAsia="en-US"/>
    </w:rPr>
  </w:style>
  <w:style w:type="paragraph" w:styleId="Heading3">
    <w:name w:val="heading 3"/>
    <w:next w:val="Body"/>
    <w:link w:val="Heading3Char"/>
    <w:uiPriority w:val="9"/>
    <w:qFormat/>
    <w:rsid w:val="007D5B6F"/>
    <w:pPr>
      <w:keepNext/>
      <w:keepLines/>
      <w:numPr>
        <w:ilvl w:val="2"/>
        <w:numId w:val="9"/>
      </w:numPr>
      <w:spacing w:before="360" w:after="120" w:line="320" w:lineRule="atLeast"/>
      <w:ind w:left="1134" w:hanging="1134"/>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1D2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1D24BB"/>
    <w:pPr>
      <w:keepNext/>
      <w:keepLines/>
      <w:spacing w:before="240" w:after="0"/>
      <w:outlineLvl w:val="4"/>
    </w:pPr>
    <w:rPr>
      <w:rFonts w:eastAsia="MS Mincho"/>
      <w:b/>
      <w:bCs/>
      <w:iCs/>
      <w:color w:val="000000" w:themeColor="text1"/>
      <w:szCs w:val="26"/>
    </w:rPr>
  </w:style>
  <w:style w:type="paragraph" w:styleId="Heading6">
    <w:name w:val="heading 6"/>
    <w:next w:val="Normal"/>
    <w:link w:val="Heading6Char"/>
    <w:unhideWhenUsed/>
    <w:qFormat/>
    <w:rsid w:val="001D24BB"/>
    <w:pPr>
      <w:keepNext/>
      <w:keepLines/>
      <w:numPr>
        <w:ilvl w:val="5"/>
        <w:numId w:val="9"/>
      </w:numPr>
      <w:suppressAutoHyphens/>
      <w:spacing w:before="240" w:after="60"/>
      <w:outlineLvl w:val="5"/>
    </w:pPr>
    <w:rPr>
      <w:rFonts w:ascii="Arial" w:eastAsia="Meiryo" w:hAnsi="Arial" w:cs="Arial"/>
      <w:b/>
      <w:bCs/>
      <w:lang w:eastAsia="en-US"/>
    </w:rPr>
  </w:style>
  <w:style w:type="paragraph" w:styleId="Heading7">
    <w:name w:val="heading 7"/>
    <w:basedOn w:val="Normal"/>
    <w:next w:val="Normal"/>
    <w:link w:val="Heading7Char"/>
    <w:uiPriority w:val="98"/>
    <w:qFormat/>
    <w:rsid w:val="001D24BB"/>
    <w:pPr>
      <w:numPr>
        <w:ilvl w:val="6"/>
        <w:numId w:val="9"/>
      </w:numPr>
      <w:spacing w:before="240" w:after="60"/>
      <w:outlineLvl w:val="6"/>
    </w:pPr>
    <w:rPr>
      <w:rFonts w:ascii="Calibri" w:hAnsi="Calibri"/>
      <w:sz w:val="24"/>
      <w:szCs w:val="24"/>
    </w:rPr>
  </w:style>
  <w:style w:type="paragraph" w:styleId="Heading8">
    <w:name w:val="heading 8"/>
    <w:basedOn w:val="Normal"/>
    <w:next w:val="Normal"/>
    <w:link w:val="Heading8Char"/>
    <w:uiPriority w:val="98"/>
    <w:semiHidden/>
    <w:qFormat/>
    <w:rsid w:val="001D24BB"/>
    <w:pPr>
      <w:numPr>
        <w:ilvl w:val="7"/>
        <w:numId w:val="9"/>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8"/>
    <w:semiHidden/>
    <w:qFormat/>
    <w:rsid w:val="001D24BB"/>
    <w:pPr>
      <w:numPr>
        <w:ilvl w:val="8"/>
        <w:numId w:val="9"/>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D5D3C"/>
    <w:rPr>
      <w:rFonts w:ascii="Arial" w:eastAsia="MS Gothic" w:hAnsi="Arial" w:cs="Arial"/>
      <w:bCs/>
      <w:color w:val="201547"/>
      <w:kern w:val="32"/>
      <w:sz w:val="40"/>
      <w:szCs w:val="40"/>
      <w:lang w:eastAsia="en-US"/>
    </w:rPr>
  </w:style>
  <w:style w:type="character" w:customStyle="1" w:styleId="Heading2Char">
    <w:name w:val="Heading 2 Char"/>
    <w:link w:val="Heading2"/>
    <w:uiPriority w:val="9"/>
    <w:rsid w:val="00163A33"/>
    <w:rPr>
      <w:rFonts w:ascii="Arial" w:hAnsi="Arial"/>
      <w:b/>
      <w:color w:val="53565A"/>
      <w:sz w:val="32"/>
      <w:szCs w:val="28"/>
      <w:lang w:eastAsia="en-US"/>
    </w:rPr>
  </w:style>
  <w:style w:type="character" w:customStyle="1" w:styleId="Heading3Char">
    <w:name w:val="Heading 3 Char"/>
    <w:link w:val="Heading3"/>
    <w:uiPriority w:val="9"/>
    <w:rsid w:val="007D5B6F"/>
    <w:rPr>
      <w:rFonts w:ascii="Arial" w:eastAsia="MS Gothic" w:hAnsi="Arial"/>
      <w:bCs/>
      <w:color w:val="53565A"/>
      <w:sz w:val="30"/>
      <w:szCs w:val="26"/>
      <w:lang w:eastAsia="en-US"/>
    </w:rPr>
  </w:style>
  <w:style w:type="character" w:customStyle="1" w:styleId="Heading4Char">
    <w:name w:val="Heading 4 Char"/>
    <w:link w:val="Heading4"/>
    <w:uiPriority w:val="1"/>
    <w:rsid w:val="001D24BB"/>
    <w:rPr>
      <w:rFonts w:ascii="Arial" w:eastAsia="MS Mincho" w:hAnsi="Arial"/>
      <w:b/>
      <w:bCs/>
      <w:color w:val="53565A"/>
      <w:sz w:val="24"/>
      <w:szCs w:val="22"/>
      <w:lang w:eastAsia="en-US"/>
    </w:rPr>
  </w:style>
  <w:style w:type="paragraph" w:styleId="Header">
    <w:name w:val="header"/>
    <w:link w:val="HeaderCha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A177AB"/>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1D24BB"/>
    <w:pPr>
      <w:keepNext/>
      <w:keepLines/>
      <w:tabs>
        <w:tab w:val="right" w:leader="dot" w:pos="9299"/>
      </w:tabs>
      <w:spacing w:before="160" w:after="60"/>
    </w:pPr>
    <w:rPr>
      <w:b/>
      <w:noProof/>
    </w:rPr>
  </w:style>
  <w:style w:type="character" w:customStyle="1" w:styleId="Heading5Char">
    <w:name w:val="Heading 5 Char"/>
    <w:link w:val="Heading5"/>
    <w:uiPriority w:val="98"/>
    <w:rsid w:val="001D24BB"/>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1D24BB"/>
    <w:pPr>
      <w:spacing w:before="0"/>
      <w:outlineLvl w:val="9"/>
    </w:pPr>
  </w:style>
  <w:style w:type="character" w:customStyle="1" w:styleId="TOCheadingreportChar">
    <w:name w:val="TOC heading report Char"/>
    <w:link w:val="TOCheadingreport"/>
    <w:uiPriority w:val="4"/>
    <w:rsid w:val="001D24BB"/>
    <w:rPr>
      <w:rFonts w:ascii="Arial" w:eastAsia="MS Gothic" w:hAnsi="Arial" w:cs="Arial"/>
      <w:bCs/>
      <w:color w:val="201547"/>
      <w:kern w:val="32"/>
      <w:sz w:val="40"/>
      <w:szCs w:val="40"/>
      <w:lang w:eastAsia="en-US"/>
    </w:rPr>
  </w:style>
  <w:style w:type="paragraph" w:styleId="TOC2">
    <w:name w:val="toc 2"/>
    <w:basedOn w:val="Normal"/>
    <w:next w:val="Normal"/>
    <w:uiPriority w:val="39"/>
    <w:rsid w:val="001D24BB"/>
    <w:pPr>
      <w:keepLines/>
      <w:tabs>
        <w:tab w:val="right" w:leader="dot" w:pos="9299"/>
      </w:tabs>
      <w:spacing w:after="60"/>
    </w:pPr>
    <w:rPr>
      <w:noProof/>
    </w:rPr>
  </w:style>
  <w:style w:type="paragraph" w:styleId="TOC3">
    <w:name w:val="toc 3"/>
    <w:basedOn w:val="Normal"/>
    <w:next w:val="Normal"/>
    <w:uiPriority w:val="39"/>
    <w:rsid w:val="001D24BB"/>
    <w:pPr>
      <w:keepLines/>
      <w:tabs>
        <w:tab w:val="right" w:leader="dot" w:pos="9299"/>
      </w:tabs>
      <w:spacing w:after="60"/>
      <w:ind w:left="284"/>
    </w:pPr>
    <w:rPr>
      <w:rFonts w:cs="Arial"/>
    </w:rPr>
  </w:style>
  <w:style w:type="paragraph" w:styleId="TOC4">
    <w:name w:val="toc 4"/>
    <w:basedOn w:val="TOC3"/>
    <w:uiPriority w:val="39"/>
    <w:rsid w:val="001D24BB"/>
    <w:pPr>
      <w:ind w:left="567"/>
    </w:pPr>
  </w:style>
  <w:style w:type="paragraph" w:styleId="TOC5">
    <w:name w:val="toc 5"/>
    <w:basedOn w:val="TOC4"/>
    <w:uiPriority w:val="39"/>
    <w:rsid w:val="001D24BB"/>
    <w:pPr>
      <w:ind w:left="851"/>
    </w:pPr>
  </w:style>
  <w:style w:type="paragraph" w:styleId="TOC6">
    <w:name w:val="toc 6"/>
    <w:basedOn w:val="Normal"/>
    <w:next w:val="Normal"/>
    <w:autoRedefine/>
    <w:uiPriority w:val="39"/>
    <w:rsid w:val="001D24BB"/>
    <w:pPr>
      <w:ind w:left="1000"/>
    </w:pPr>
  </w:style>
  <w:style w:type="paragraph" w:styleId="TOC7">
    <w:name w:val="toc 7"/>
    <w:basedOn w:val="Normal"/>
    <w:next w:val="Normal"/>
    <w:autoRedefine/>
    <w:uiPriority w:val="39"/>
    <w:rsid w:val="001D24BB"/>
    <w:pPr>
      <w:ind w:left="1200"/>
    </w:pPr>
  </w:style>
  <w:style w:type="paragraph" w:styleId="TOC8">
    <w:name w:val="toc 8"/>
    <w:basedOn w:val="Normal"/>
    <w:next w:val="Normal"/>
    <w:autoRedefine/>
    <w:uiPriority w:val="39"/>
    <w:rsid w:val="001D24BB"/>
    <w:pPr>
      <w:ind w:left="1400"/>
    </w:pPr>
  </w:style>
  <w:style w:type="paragraph" w:styleId="TOC9">
    <w:name w:val="toc 9"/>
    <w:basedOn w:val="Normal"/>
    <w:next w:val="Normal"/>
    <w:autoRedefine/>
    <w:uiPriority w:val="39"/>
    <w:rsid w:val="001D24BB"/>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5E3C7D"/>
    <w:pPr>
      <w:spacing w:before="80" w:after="60"/>
    </w:pPr>
    <w:rPr>
      <w:rFonts w:ascii="Arial" w:hAnsi="Arial"/>
      <w:sz w:val="18"/>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A177AB"/>
    <w:pPr>
      <w:numPr>
        <w:ilvl w:val="1"/>
        <w:numId w:val="1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tabs>
        <w:tab w:val="num" w:pos="227"/>
      </w:tabs>
      <w:ind w:left="964" w:hanging="284"/>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ind w:left="227" w:hanging="227"/>
    </w:pPr>
  </w:style>
  <w:style w:type="numbering" w:customStyle="1" w:styleId="ZZTablebullets">
    <w:name w:val="ZZ Table bullets"/>
    <w:basedOn w:val="NoList"/>
    <w:rsid w:val="00C60411"/>
    <w:pPr>
      <w:numPr>
        <w:numId w:val="3"/>
      </w:numPr>
    </w:pPr>
  </w:style>
  <w:style w:type="paragraph" w:customStyle="1" w:styleId="Tablecolhead">
    <w:name w:val="Table col head"/>
    <w:autoRedefine/>
    <w:uiPriority w:val="3"/>
    <w:qFormat/>
    <w:rsid w:val="00785A21"/>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1"/>
      </w:numPr>
    </w:pPr>
  </w:style>
  <w:style w:type="paragraph" w:customStyle="1" w:styleId="Numberloweralphaindent">
    <w:name w:val="Number lower alpha indent"/>
    <w:basedOn w:val="Body"/>
    <w:uiPriority w:val="3"/>
    <w:rsid w:val="00C60411"/>
    <w:pPr>
      <w:numPr>
        <w:ilvl w:val="1"/>
        <w:numId w:val="12"/>
      </w:numPr>
    </w:pPr>
  </w:style>
  <w:style w:type="paragraph" w:customStyle="1" w:styleId="Numberdigitindent">
    <w:name w:val="Number digit indent"/>
    <w:basedOn w:val="Numberloweralphaindent"/>
    <w:uiPriority w:val="3"/>
    <w:rsid w:val="00C60411"/>
    <w:pPr>
      <w:numPr>
        <w:numId w:val="11"/>
      </w:numPr>
    </w:pPr>
  </w:style>
  <w:style w:type="paragraph" w:customStyle="1" w:styleId="Numberloweralpha">
    <w:name w:val="Number lower alpha"/>
    <w:basedOn w:val="Body"/>
    <w:uiPriority w:val="3"/>
    <w:rsid w:val="00C60411"/>
    <w:pPr>
      <w:numPr>
        <w:numId w:val="12"/>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tabs>
        <w:tab w:val="clear" w:pos="794"/>
      </w:tabs>
      <w:ind w:left="964" w:hanging="284"/>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tabs>
        <w:tab w:val="num" w:pos="227"/>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ing6Char">
    <w:name w:val="Heading 6 Char"/>
    <w:link w:val="Heading6"/>
    <w:rsid w:val="001D24BB"/>
    <w:rPr>
      <w:rFonts w:ascii="Arial" w:eastAsia="Meiryo" w:hAnsi="Arial" w:cs="Arial"/>
      <w:b/>
      <w:bCs/>
      <w:lang w:eastAsia="en-US"/>
    </w:rPr>
  </w:style>
  <w:style w:type="character" w:customStyle="1" w:styleId="Heading7Char">
    <w:name w:val="Heading 7 Char"/>
    <w:link w:val="Heading7"/>
    <w:uiPriority w:val="98"/>
    <w:rsid w:val="001D24BB"/>
    <w:rPr>
      <w:rFonts w:ascii="Calibri" w:hAnsi="Calibri"/>
      <w:sz w:val="24"/>
      <w:szCs w:val="24"/>
      <w:lang w:eastAsia="en-US"/>
    </w:rPr>
  </w:style>
  <w:style w:type="character" w:customStyle="1" w:styleId="Heading8Char">
    <w:name w:val="Heading 8 Char"/>
    <w:link w:val="Heading8"/>
    <w:uiPriority w:val="98"/>
    <w:semiHidden/>
    <w:rsid w:val="001D24BB"/>
    <w:rPr>
      <w:rFonts w:ascii="Calibri" w:hAnsi="Calibri"/>
      <w:i/>
      <w:iCs/>
      <w:sz w:val="24"/>
      <w:szCs w:val="24"/>
      <w:lang w:eastAsia="en-US"/>
    </w:rPr>
  </w:style>
  <w:style w:type="character" w:customStyle="1" w:styleId="Heading9Char">
    <w:name w:val="Heading 9 Char"/>
    <w:link w:val="Heading9"/>
    <w:uiPriority w:val="98"/>
    <w:semiHidden/>
    <w:rsid w:val="001D24BB"/>
    <w:rPr>
      <w:rFonts w:ascii="Arial" w:hAnsi="Arial"/>
      <w:sz w:val="22"/>
      <w:szCs w:val="22"/>
      <w:lang w:eastAsia="en-US"/>
    </w:rPr>
  </w:style>
  <w:style w:type="paragraph" w:styleId="Caption">
    <w:name w:val="caption"/>
    <w:basedOn w:val="Normal"/>
    <w:next w:val="Normal"/>
    <w:uiPriority w:val="5"/>
    <w:unhideWhenUsed/>
    <w:qFormat/>
    <w:rsid w:val="00B80D42"/>
    <w:pPr>
      <w:spacing w:after="200" w:line="240" w:lineRule="auto"/>
    </w:pPr>
    <w:rPr>
      <w:i/>
      <w:iCs/>
      <w:color w:val="1F497D" w:themeColor="text2"/>
      <w:sz w:val="18"/>
      <w:szCs w:val="18"/>
    </w:rPr>
  </w:style>
  <w:style w:type="character" w:styleId="Emphasis">
    <w:name w:val="Emphasis"/>
    <w:uiPriority w:val="20"/>
    <w:qFormat/>
    <w:rsid w:val="00B80D42"/>
    <w:rPr>
      <w:i/>
      <w:iCs/>
    </w:rPr>
  </w:style>
  <w:style w:type="paragraph" w:styleId="TableofFigures">
    <w:name w:val="table of figures"/>
    <w:basedOn w:val="Body"/>
    <w:next w:val="Normal"/>
    <w:link w:val="TableofFiguresChar"/>
    <w:uiPriority w:val="99"/>
    <w:qFormat/>
    <w:rsid w:val="005E3C7D"/>
    <w:rPr>
      <w:szCs w:val="18"/>
    </w:rPr>
  </w:style>
  <w:style w:type="character" w:customStyle="1" w:styleId="TableofFiguresChar">
    <w:name w:val="Table of Figures Char"/>
    <w:link w:val="TableofFigures"/>
    <w:uiPriority w:val="99"/>
    <w:rsid w:val="005E3C7D"/>
    <w:rPr>
      <w:rFonts w:ascii="Arial" w:eastAsia="Times" w:hAnsi="Arial"/>
      <w:sz w:val="21"/>
      <w:szCs w:val="18"/>
      <w:lang w:eastAsia="en-US"/>
    </w:rPr>
  </w:style>
  <w:style w:type="character" w:customStyle="1" w:styleId="HeaderChar">
    <w:name w:val="Header Char"/>
    <w:link w:val="Header"/>
    <w:uiPriority w:val="10"/>
    <w:locked/>
    <w:rsid w:val="00B80D42"/>
    <w:rPr>
      <w:rFonts w:ascii="Arial" w:hAnsi="Arial" w:cs="Arial"/>
      <w:b/>
      <w:color w:val="53565A"/>
      <w:sz w:val="18"/>
      <w:szCs w:val="18"/>
      <w:lang w:eastAsia="en-US"/>
    </w:rPr>
  </w:style>
  <w:style w:type="character" w:customStyle="1" w:styleId="FooterChar">
    <w:name w:val="Footer Char"/>
    <w:link w:val="Footer"/>
    <w:uiPriority w:val="8"/>
    <w:locked/>
    <w:rsid w:val="00B80D42"/>
    <w:rPr>
      <w:rFonts w:ascii="Arial" w:hAnsi="Arial" w:cs="Arial"/>
      <w:szCs w:val="18"/>
      <w:lang w:eastAsia="en-US"/>
    </w:rPr>
  </w:style>
  <w:style w:type="paragraph" w:customStyle="1" w:styleId="ColorfulShading-Accent11">
    <w:name w:val="Colorful Shading - Accent 11"/>
    <w:hidden/>
    <w:uiPriority w:val="99"/>
    <w:rsid w:val="00B80D42"/>
    <w:rPr>
      <w:rFonts w:ascii="Cambria" w:hAnsi="Cambria"/>
      <w:lang w:eastAsia="en-US"/>
    </w:rPr>
  </w:style>
  <w:style w:type="paragraph" w:customStyle="1" w:styleId="LightList-Accent31">
    <w:name w:val="Light List - Accent 31"/>
    <w:hidden/>
    <w:uiPriority w:val="99"/>
    <w:semiHidden/>
    <w:rsid w:val="00B80D42"/>
    <w:rPr>
      <w:rFonts w:ascii="Cambria" w:hAnsi="Cambria"/>
      <w:lang w:eastAsia="en-US"/>
    </w:rPr>
  </w:style>
  <w:style w:type="paragraph" w:customStyle="1" w:styleId="ColorfulGrid-Accent61">
    <w:name w:val="Colorful Grid - Accent 61"/>
    <w:hidden/>
    <w:uiPriority w:val="99"/>
    <w:rsid w:val="00B80D42"/>
    <w:rPr>
      <w:rFonts w:ascii="Verdana" w:hAnsi="Verdana"/>
      <w:lang w:eastAsia="en-US"/>
    </w:rPr>
  </w:style>
  <w:style w:type="table" w:styleId="TableSimple1">
    <w:name w:val="Table Simple 1"/>
    <w:basedOn w:val="TableNormal"/>
    <w:uiPriority w:val="99"/>
    <w:rsid w:val="00B80D42"/>
    <w:pPr>
      <w:autoSpaceDE w:val="0"/>
      <w:autoSpaceDN w:val="0"/>
      <w:adjustRightInd w:val="0"/>
    </w:pPr>
    <w:rPr>
      <w:rFonts w:ascii="Calibri" w:hAnsi="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B80D42"/>
    <w:pPr>
      <w:autoSpaceDE w:val="0"/>
      <w:autoSpaceDN w:val="0"/>
      <w:adjustRightInd w:val="0"/>
    </w:pPr>
    <w:rPr>
      <w:rFonts w:ascii="Calibri" w:hAnsi="Calibri"/>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B80D42"/>
    <w:pPr>
      <w:autoSpaceDE w:val="0"/>
      <w:autoSpaceDN w:val="0"/>
      <w:adjustRightInd w:val="0"/>
    </w:pPr>
    <w:rPr>
      <w:rFonts w:ascii="Calibri" w:hAnsi="Calibri"/>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B80D42"/>
    <w:pPr>
      <w:autoSpaceDE w:val="0"/>
      <w:autoSpaceDN w:val="0"/>
      <w:adjustRightInd w:val="0"/>
    </w:pPr>
    <w:rPr>
      <w:rFonts w:ascii="Calibri" w:hAnsi="Calibri"/>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B80D42"/>
    <w:pPr>
      <w:autoSpaceDE w:val="0"/>
      <w:autoSpaceDN w:val="0"/>
      <w:adjustRightInd w:val="0"/>
    </w:pPr>
    <w:rPr>
      <w:rFonts w:ascii="Calibri" w:hAnsi="Calibri"/>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MediumList2-Accent21">
    <w:name w:val="Medium List 2 - Accent 21"/>
    <w:hidden/>
    <w:uiPriority w:val="99"/>
    <w:rsid w:val="00B80D42"/>
    <w:rPr>
      <w:rFonts w:ascii="Cambria" w:hAnsi="Cambria"/>
      <w:lang w:eastAsia="en-US"/>
    </w:rPr>
  </w:style>
  <w:style w:type="paragraph" w:customStyle="1" w:styleId="ColorfulGrid-Accent62">
    <w:name w:val="Colorful Grid - Accent 62"/>
    <w:hidden/>
    <w:uiPriority w:val="99"/>
    <w:rsid w:val="00B80D42"/>
    <w:rPr>
      <w:rFonts w:ascii="Verdana" w:hAnsi="Verdana"/>
      <w:lang w:eastAsia="en-US"/>
    </w:rPr>
  </w:style>
  <w:style w:type="paragraph" w:customStyle="1" w:styleId="ColorfulShading-Accent110">
    <w:name w:val="Colorful Shading - Accent 110"/>
    <w:hidden/>
    <w:uiPriority w:val="99"/>
    <w:semiHidden/>
    <w:rsid w:val="00B80D42"/>
    <w:rPr>
      <w:rFonts w:ascii="Cambria" w:hAnsi="Cambria"/>
      <w:lang w:eastAsia="en-US"/>
    </w:rPr>
  </w:style>
  <w:style w:type="paragraph" w:customStyle="1" w:styleId="ColorfulShading-Accent12">
    <w:name w:val="Colorful Shading - Accent 12"/>
    <w:hidden/>
    <w:uiPriority w:val="71"/>
    <w:rsid w:val="00B80D42"/>
    <w:rPr>
      <w:rFonts w:ascii="Cambria" w:hAnsi="Cambria"/>
      <w:lang w:eastAsia="en-US"/>
    </w:rPr>
  </w:style>
  <w:style w:type="paragraph" w:customStyle="1" w:styleId="ColorfulShading-Accent111">
    <w:name w:val="Colorful Shading - Accent 111"/>
    <w:hidden/>
    <w:uiPriority w:val="99"/>
    <w:rsid w:val="00B80D42"/>
    <w:rPr>
      <w:rFonts w:ascii="Cambria" w:hAnsi="Cambria"/>
      <w:lang w:eastAsia="en-US"/>
    </w:rPr>
  </w:style>
  <w:style w:type="paragraph" w:customStyle="1" w:styleId="Heading2nonumber">
    <w:name w:val="Heading 2 no number"/>
    <w:next w:val="Normal"/>
    <w:rsid w:val="001D24BB"/>
    <w:pPr>
      <w:keepNext/>
      <w:keepLines/>
      <w:suppressAutoHyphens/>
      <w:spacing w:before="240" w:after="90" w:line="320" w:lineRule="atLeast"/>
      <w:outlineLvl w:val="1"/>
    </w:pPr>
    <w:rPr>
      <w:rFonts w:ascii="Arial" w:hAnsi="Arial" w:cs="Arial"/>
      <w:b/>
      <w:color w:val="201547"/>
      <w:sz w:val="28"/>
      <w:szCs w:val="28"/>
      <w:lang w:eastAsia="en-US"/>
    </w:rPr>
  </w:style>
  <w:style w:type="paragraph" w:customStyle="1" w:styleId="Heading3nonumber">
    <w:name w:val="Heading 3 no number"/>
    <w:rsid w:val="001D24BB"/>
    <w:pPr>
      <w:keepNext/>
      <w:keepLines/>
      <w:spacing w:before="240" w:after="120"/>
      <w:outlineLvl w:val="2"/>
    </w:pPr>
    <w:rPr>
      <w:rFonts w:ascii="Arial" w:eastAsia="MS Mincho" w:hAnsi="Arial" w:cs="Arial"/>
      <w:b/>
      <w:bCs/>
      <w:color w:val="201547"/>
      <w:sz w:val="22"/>
      <w:lang w:eastAsia="en-US"/>
    </w:rPr>
  </w:style>
  <w:style w:type="paragraph" w:customStyle="1" w:styleId="Heading1partopener">
    <w:name w:val="Heading 1 part opener"/>
    <w:basedOn w:val="Normal"/>
    <w:rsid w:val="001D24BB"/>
    <w:pPr>
      <w:keepNext/>
      <w:keepLines/>
      <w:pageBreakBefore/>
      <w:suppressAutoHyphens/>
      <w:spacing w:before="4500" w:after="440" w:line="440" w:lineRule="atLeast"/>
      <w:ind w:left="1701"/>
      <w:outlineLvl w:val="0"/>
    </w:pPr>
    <w:rPr>
      <w:bCs/>
      <w:color w:val="201547"/>
      <w:sz w:val="44"/>
      <w:szCs w:val="44"/>
    </w:rPr>
  </w:style>
  <w:style w:type="paragraph" w:styleId="TOCHeading">
    <w:name w:val="TOC Heading"/>
    <w:basedOn w:val="Heading1"/>
    <w:next w:val="Normal"/>
    <w:uiPriority w:val="39"/>
    <w:unhideWhenUsed/>
    <w:qFormat/>
    <w:rsid w:val="00B80D42"/>
    <w:pPr>
      <w:spacing w:before="240" w:after="0" w:line="259" w:lineRule="auto"/>
      <w:outlineLvl w:val="9"/>
    </w:pPr>
    <w:rPr>
      <w:rFonts w:asciiTheme="majorHAnsi" w:eastAsiaTheme="majorEastAsia" w:hAnsiTheme="majorHAnsi" w:cstheme="majorBidi"/>
      <w:bCs w:val="0"/>
      <w:color w:val="365F91" w:themeColor="accent1" w:themeShade="BF"/>
      <w:sz w:val="32"/>
      <w:szCs w:val="32"/>
      <w:lang w:val="en-US"/>
    </w:rPr>
  </w:style>
  <w:style w:type="paragraph" w:customStyle="1" w:styleId="TableParagraph">
    <w:name w:val="Table Paragraph"/>
    <w:basedOn w:val="Normal"/>
    <w:uiPriority w:val="1"/>
    <w:qFormat/>
    <w:rsid w:val="00B80D42"/>
    <w:pPr>
      <w:widowControl w:val="0"/>
      <w:autoSpaceDE w:val="0"/>
      <w:autoSpaceDN w:val="0"/>
      <w:spacing w:before="99"/>
    </w:pPr>
    <w:rPr>
      <w:rFonts w:ascii="Calibri" w:eastAsia="Calibri" w:hAnsi="Calibri" w:cs="Calibri"/>
      <w:sz w:val="22"/>
      <w:szCs w:val="22"/>
    </w:rPr>
  </w:style>
  <w:style w:type="numbering" w:customStyle="1" w:styleId="Heading31">
    <w:name w:val="Heading 31"/>
    <w:uiPriority w:val="99"/>
    <w:rsid w:val="001D24BB"/>
    <w:pPr>
      <w:numPr>
        <w:numId w:val="7"/>
      </w:numPr>
    </w:pPr>
  </w:style>
  <w:style w:type="character" w:customStyle="1" w:styleId="DHHSbodyChar">
    <w:name w:val="DHHS body Char"/>
    <w:basedOn w:val="DefaultParagraphFont"/>
    <w:link w:val="DHHSbody"/>
    <w:locked/>
    <w:rsid w:val="00E623A6"/>
    <w:rPr>
      <w:rFonts w:ascii="Arial" w:hAnsi="Arial" w:cs="Arial"/>
    </w:rPr>
  </w:style>
  <w:style w:type="paragraph" w:customStyle="1" w:styleId="DHHSbody">
    <w:name w:val="DHHS body"/>
    <w:basedOn w:val="Normal"/>
    <w:link w:val="DHHSbodyChar"/>
    <w:rsid w:val="00E623A6"/>
    <w:pPr>
      <w:spacing w:line="270" w:lineRule="atLeast"/>
    </w:pPr>
    <w:rPr>
      <w:rFonts w:cs="Arial"/>
      <w:sz w:val="20"/>
      <w:lang w:eastAsia="en-AU"/>
    </w:rPr>
  </w:style>
  <w:style w:type="character" w:styleId="Mention">
    <w:name w:val="Mention"/>
    <w:basedOn w:val="DefaultParagraphFont"/>
    <w:uiPriority w:val="99"/>
    <w:unhideWhenUsed/>
    <w:rsid w:val="0079364E"/>
    <w:rPr>
      <w:color w:val="2B579A"/>
      <w:shd w:val="clear" w:color="auto" w:fill="E1DFDD"/>
    </w:rPr>
  </w:style>
  <w:style w:type="paragraph" w:customStyle="1" w:styleId="Default">
    <w:name w:val="Default"/>
    <w:basedOn w:val="Normal"/>
    <w:rsid w:val="0086340A"/>
    <w:pPr>
      <w:autoSpaceDE w:val="0"/>
      <w:autoSpaceDN w:val="0"/>
      <w:spacing w:after="0" w:line="240" w:lineRule="auto"/>
    </w:pPr>
    <w:rPr>
      <w:rFonts w:eastAsiaTheme="minorHAnsi" w:cs="Arial"/>
      <w:color w:val="000000"/>
      <w:sz w:val="24"/>
      <w:szCs w:val="24"/>
      <w:lang w:eastAsia="en-AU"/>
    </w:rPr>
  </w:style>
  <w:style w:type="character" w:styleId="FootnoteReference">
    <w:name w:val="footnote reference"/>
    <w:uiPriority w:val="99"/>
    <w:rsid w:val="000F5D9A"/>
    <w:rPr>
      <w:vertAlign w:val="superscript"/>
    </w:rPr>
  </w:style>
  <w:style w:type="paragraph" w:styleId="ListParagraph">
    <w:name w:val="List Paragraph"/>
    <w:basedOn w:val="Normal"/>
    <w:uiPriority w:val="34"/>
    <w:qFormat/>
    <w:rsid w:val="006C5A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BodyText">
    <w:name w:val="Body Text"/>
    <w:basedOn w:val="Normal"/>
    <w:link w:val="BodyTextChar"/>
    <w:uiPriority w:val="1"/>
    <w:qFormat/>
    <w:rsid w:val="00CB08A8"/>
    <w:pPr>
      <w:widowControl w:val="0"/>
      <w:autoSpaceDE w:val="0"/>
      <w:autoSpaceDN w:val="0"/>
      <w:spacing w:after="0" w:line="240" w:lineRule="auto"/>
    </w:pPr>
    <w:rPr>
      <w:rFonts w:eastAsia="Arial" w:cs="Arial"/>
      <w:sz w:val="22"/>
      <w:szCs w:val="22"/>
      <w:lang w:val="en-US"/>
    </w:rPr>
  </w:style>
  <w:style w:type="character" w:customStyle="1" w:styleId="BodyTextChar">
    <w:name w:val="Body Text Char"/>
    <w:basedOn w:val="DefaultParagraphFont"/>
    <w:link w:val="BodyText"/>
    <w:uiPriority w:val="1"/>
    <w:rsid w:val="00CB08A8"/>
    <w:rPr>
      <w:rFonts w:ascii="Arial" w:eastAsia="Arial" w:hAnsi="Arial" w:cs="Arial"/>
      <w:sz w:val="22"/>
      <w:szCs w:val="22"/>
      <w:lang w:val="en-US" w:eastAsia="en-US"/>
    </w:rPr>
  </w:style>
  <w:style w:type="paragraph" w:customStyle="1" w:styleId="paragraph">
    <w:name w:val="paragraph"/>
    <w:basedOn w:val="Normal"/>
    <w:rsid w:val="00606C72"/>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606C72"/>
  </w:style>
  <w:style w:type="paragraph" w:customStyle="1" w:styleId="Tablecolheadlandscape">
    <w:name w:val="Table col head landscape"/>
    <w:basedOn w:val="Tablecolhead"/>
    <w:uiPriority w:val="11"/>
    <w:rsid w:val="003D1F96"/>
    <w:rPr>
      <w:sz w:val="16"/>
      <w:szCs w:val="16"/>
    </w:rPr>
  </w:style>
  <w:style w:type="table" w:customStyle="1" w:styleId="TableGrid1">
    <w:name w:val="Table Grid1"/>
    <w:basedOn w:val="TableNormal"/>
    <w:next w:val="TableGrid"/>
    <w:uiPriority w:val="59"/>
    <w:rsid w:val="003D1F96"/>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tblPr/>
      <w:tcPr>
        <w:shd w:val="clear" w:color="auto" w:fill="201547"/>
      </w:tcPr>
    </w:tblStylePr>
  </w:style>
  <w:style w:type="paragraph" w:customStyle="1" w:styleId="DHHSbullet2">
    <w:name w:val="DHHS bullet 2"/>
    <w:basedOn w:val="Normal"/>
    <w:uiPriority w:val="99"/>
    <w:qFormat/>
    <w:rsid w:val="003D1F96"/>
    <w:pPr>
      <w:spacing w:after="40"/>
    </w:pPr>
    <w:rPr>
      <w:rFonts w:eastAsia="Times"/>
    </w:rPr>
  </w:style>
  <w:style w:type="paragraph" w:customStyle="1" w:styleId="Tabletext9pt">
    <w:name w:val="Table text 9pt"/>
    <w:uiPriority w:val="3"/>
    <w:qFormat/>
    <w:rsid w:val="00B1687E"/>
    <w:pPr>
      <w:spacing w:before="80" w:after="60"/>
    </w:pPr>
    <w:rPr>
      <w:rFonts w:ascii="Arial" w:hAnsi="Arial"/>
      <w:sz w:val="18"/>
      <w:lang w:eastAsia="en-US"/>
    </w:rPr>
  </w:style>
  <w:style w:type="table" w:styleId="ListTable3-Accent1">
    <w:name w:val="List Table 3 Accent 1"/>
    <w:basedOn w:val="TableNormal"/>
    <w:uiPriority w:val="48"/>
    <w:rsid w:val="004815E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6Colorful-Accent1">
    <w:name w:val="List Table 6 Colorful Accent 1"/>
    <w:basedOn w:val="TableNormal"/>
    <w:uiPriority w:val="51"/>
    <w:rsid w:val="00366C0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C048AB"/>
    <w:pPr>
      <w:spacing w:before="80" w:after="60"/>
    </w:pPr>
    <w:rPr>
      <w:rFonts w:ascii="Arial" w:hAnsi="Arial"/>
      <w:sz w:val="18"/>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Tablecolhead12ptBackground1">
    <w:name w:val="Style Table col head + 12 pt Background 1"/>
    <w:basedOn w:val="Tablecolhead"/>
    <w:autoRedefine/>
    <w:rsid w:val="00C7131E"/>
    <w:rPr>
      <w:bCs/>
      <w:color w:val="FFFFFF" w:themeColor="background1"/>
      <w:sz w:val="24"/>
    </w:rPr>
  </w:style>
  <w:style w:type="paragraph" w:customStyle="1" w:styleId="StyleTablecolhead10ptBackground1">
    <w:name w:val="Style Table col head + 10 pt Background 1"/>
    <w:basedOn w:val="Tablecolhead"/>
    <w:autoRedefine/>
    <w:rsid w:val="00A27F1C"/>
    <w:rPr>
      <w:bCs/>
      <w:color w:val="FFFFFF" w:themeColor="background1"/>
      <w:sz w:val="20"/>
    </w:rPr>
  </w:style>
  <w:style w:type="paragraph" w:styleId="NormalWeb">
    <w:name w:val="Normal (Web)"/>
    <w:basedOn w:val="Normal"/>
    <w:uiPriority w:val="99"/>
    <w:semiHidden/>
    <w:unhideWhenUsed/>
    <w:rsid w:val="00817104"/>
    <w:rPr>
      <w:rFonts w:ascii="Times New Roman" w:hAnsi="Times New Roman"/>
      <w:sz w:val="24"/>
      <w:szCs w:val="24"/>
    </w:rPr>
  </w:style>
  <w:style w:type="character" w:customStyle="1" w:styleId="msoins0">
    <w:name w:val="msoins"/>
    <w:basedOn w:val="DefaultParagraphFont"/>
    <w:rsid w:val="00817104"/>
  </w:style>
  <w:style w:type="table" w:styleId="GridTable4">
    <w:name w:val="Grid Table 4"/>
    <w:basedOn w:val="TableNormal"/>
    <w:uiPriority w:val="49"/>
    <w:rsid w:val="0081710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op">
    <w:name w:val="eop"/>
    <w:basedOn w:val="DefaultParagraphFont"/>
    <w:rsid w:val="00817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4304416">
      <w:bodyDiv w:val="1"/>
      <w:marLeft w:val="0"/>
      <w:marRight w:val="0"/>
      <w:marTop w:val="0"/>
      <w:marBottom w:val="0"/>
      <w:divBdr>
        <w:top w:val="none" w:sz="0" w:space="0" w:color="auto"/>
        <w:left w:val="none" w:sz="0" w:space="0" w:color="auto"/>
        <w:bottom w:val="none" w:sz="0" w:space="0" w:color="auto"/>
        <w:right w:val="none" w:sz="0" w:space="0" w:color="auto"/>
      </w:divBdr>
    </w:div>
    <w:div w:id="16509449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0714958">
      <w:bodyDiv w:val="1"/>
      <w:marLeft w:val="0"/>
      <w:marRight w:val="0"/>
      <w:marTop w:val="0"/>
      <w:marBottom w:val="0"/>
      <w:divBdr>
        <w:top w:val="none" w:sz="0" w:space="0" w:color="auto"/>
        <w:left w:val="none" w:sz="0" w:space="0" w:color="auto"/>
        <w:bottom w:val="none" w:sz="0" w:space="0" w:color="auto"/>
        <w:right w:val="none" w:sz="0" w:space="0" w:color="auto"/>
      </w:divBdr>
    </w:div>
    <w:div w:id="451829539">
      <w:bodyDiv w:val="1"/>
      <w:marLeft w:val="0"/>
      <w:marRight w:val="0"/>
      <w:marTop w:val="0"/>
      <w:marBottom w:val="0"/>
      <w:divBdr>
        <w:top w:val="none" w:sz="0" w:space="0" w:color="auto"/>
        <w:left w:val="none" w:sz="0" w:space="0" w:color="auto"/>
        <w:bottom w:val="none" w:sz="0" w:space="0" w:color="auto"/>
        <w:right w:val="none" w:sz="0" w:space="0" w:color="auto"/>
      </w:divBdr>
    </w:div>
    <w:div w:id="83807922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1021215">
      <w:bodyDiv w:val="1"/>
      <w:marLeft w:val="0"/>
      <w:marRight w:val="0"/>
      <w:marTop w:val="0"/>
      <w:marBottom w:val="0"/>
      <w:divBdr>
        <w:top w:val="none" w:sz="0" w:space="0" w:color="auto"/>
        <w:left w:val="none" w:sz="0" w:space="0" w:color="auto"/>
        <w:bottom w:val="none" w:sz="0" w:space="0" w:color="auto"/>
        <w:right w:val="none" w:sz="0" w:space="0" w:color="auto"/>
      </w:divBdr>
    </w:div>
    <w:div w:id="135642306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978367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429546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178118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vic.gov.au/in-force/acts/safe-patient-care-nurse-patient-and-midwife-patient-ratios-act-2015/011" TargetMode="External"/><Relationship Id="rId21" Type="http://schemas.openxmlformats.org/officeDocument/2006/relationships/hyperlink" Target="https://www.health.vic.gov.au/policy-and-funding-guidelines-for-health-services" TargetMode="External"/><Relationship Id="rId324" Type="http://schemas.openxmlformats.org/officeDocument/2006/relationships/hyperlink" Target="https://www.health.vic.gov.au/aod-service-standards-guidelines/alcohol-and-other-drug-program-guidelines" TargetMode="External"/><Relationship Id="rId531" Type="http://schemas.openxmlformats.org/officeDocument/2006/relationships/hyperlink" Target="https://www.health.vic.gov.au/hospitals-and-health-services/rural-health" TargetMode="External"/><Relationship Id="rId170" Type="http://schemas.openxmlformats.org/officeDocument/2006/relationships/hyperlink" Target="https://www.vic.gov.au/inclusive-language-guide" TargetMode="External"/><Relationship Id="rId268" Type="http://schemas.openxmlformats.org/officeDocument/2006/relationships/hyperlink" Target="https://www.vic.gov.au/family-violence-multi-agency-risk-assessment-and-management" TargetMode="External"/><Relationship Id="rId475" Type="http://schemas.openxmlformats.org/officeDocument/2006/relationships/hyperlink" Target="mailto:HDSS.helpdesk@health.vic.gov.au" TargetMode="External"/><Relationship Id="rId32" Type="http://schemas.openxmlformats.org/officeDocument/2006/relationships/hyperlink" Target="https://www.thewomens.org.au/health-professionals/health-professionals-vpas" TargetMode="External"/><Relationship Id="rId128" Type="http://schemas.openxmlformats.org/officeDocument/2006/relationships/hyperlink" Target="https://www.health.vic.gov.au/immunisation/vaccination-for-healthcare-workers" TargetMode="External"/><Relationship Id="rId335" Type="http://schemas.openxmlformats.org/officeDocument/2006/relationships/hyperlink" Target="https://www.agedcarequality.gov.au/" TargetMode="External"/><Relationship Id="rId542" Type="http://schemas.openxmlformats.org/officeDocument/2006/relationships/hyperlink" Target="https://www.health.vic.gov.au/ageing-and-aged-care" TargetMode="External"/><Relationship Id="rId181" Type="http://schemas.openxmlformats.org/officeDocument/2006/relationships/hyperlink" Target="https://www.health.vic.gov.au/publications/healthcare-that-counts" TargetMode="External"/><Relationship Id="rId402" Type="http://schemas.openxmlformats.org/officeDocument/2006/relationships/hyperlink" Target="https://www.vic.gov.au/cyber-incident-management-plan" TargetMode="External"/><Relationship Id="rId279" Type="http://schemas.openxmlformats.org/officeDocument/2006/relationships/hyperlink" Target="https://www.safercare.vic.gov.au/improvement/projects/safer-care-for-kids-victor" TargetMode="External"/><Relationship Id="rId486" Type="http://schemas.openxmlformats.org/officeDocument/2006/relationships/hyperlink" Target="https://dhhsvicgovau-my.sharepoint.com/OCP" TargetMode="External"/><Relationship Id="rId43" Type="http://schemas.openxmlformats.org/officeDocument/2006/relationships/hyperlink" Target="https://www.pbs.gov.au/info/browse/section-100/s100-highly-specialised-drugs" TargetMode="External"/><Relationship Id="rId139" Type="http://schemas.openxmlformats.org/officeDocument/2006/relationships/hyperlink" Target="https://providers.dffh.vic.gov.au/cims" TargetMode="External"/><Relationship Id="rId346" Type="http://schemas.openxmlformats.org/officeDocument/2006/relationships/hyperlink" Target="https://www.safercare.vic.gov.au/support-training/adverse-event-review-and-response/duty-of-candour" TargetMode="External"/><Relationship Id="rId553" Type="http://schemas.openxmlformats.org/officeDocument/2006/relationships/hyperlink" Target="https://www.health.vic.gov.au/primary-care/victorian-eyecare-service" TargetMode="External"/><Relationship Id="rId192" Type="http://schemas.openxmlformats.org/officeDocument/2006/relationships/hyperlink" Target="https://vtmh.org.au" TargetMode="External"/><Relationship Id="rId206" Type="http://schemas.openxmlformats.org/officeDocument/2006/relationships/hyperlink" Target="https://www.health.vic.gov.au/publications/language-services-policy" TargetMode="External"/><Relationship Id="rId413" Type="http://schemas.openxmlformats.org/officeDocument/2006/relationships/hyperlink" Target="mailto:fireservicesteam@homes.vic.gov.au" TargetMode="External"/><Relationship Id="rId497" Type="http://schemas.openxmlformats.org/officeDocument/2006/relationships/hyperlink" Target="https://www.health.vic.gov.au/chief-psychiatrist/improving-sexual-safety" TargetMode="External"/><Relationship Id="rId357" Type="http://schemas.openxmlformats.org/officeDocument/2006/relationships/hyperlink" Target="https://www.health.vic.gov.au/immunisation/vaccination-for-healthcare-workers" TargetMode="External"/><Relationship Id="rId54" Type="http://schemas.openxmlformats.org/officeDocument/2006/relationships/hyperlink" Target="https://www.health.vic.gov.au/patient-care/guideline-mental-health-aod-emergency-department-hubs" TargetMode="External"/><Relationship Id="rId217" Type="http://schemas.openxmlformats.org/officeDocument/2006/relationships/hyperlink" Target="https://www.health.vic.gov.au/end-of-life-care/victorias-end-of-life-and-palliative-care-framework" TargetMode="External"/><Relationship Id="rId564" Type="http://schemas.openxmlformats.org/officeDocument/2006/relationships/hyperlink" Target="https://www.health.gov.au/our-work/aged-care-act?language=en" TargetMode="External"/><Relationship Id="rId424" Type="http://schemas.openxmlformats.org/officeDocument/2006/relationships/hyperlink" Target="https://www.health.vic.gov.au/data-reporting/agency-information-management-system-aims" TargetMode="External"/><Relationship Id="rId270" Type="http://schemas.openxmlformats.org/officeDocument/2006/relationships/hyperlink" Target="https://www.vic.gov.au/information-sharing-schemes-and-the-maram-framework" TargetMode="External"/><Relationship Id="rId65" Type="http://schemas.openxmlformats.org/officeDocument/2006/relationships/hyperlink" Target="https://standbysupport.com.au/find-support/vic/" TargetMode="External"/><Relationship Id="rId130" Type="http://schemas.openxmlformats.org/officeDocument/2006/relationships/hyperlink" Target="https://services.dffh.vic.gov.au/child-protection" TargetMode="External"/><Relationship Id="rId368" Type="http://schemas.openxmlformats.org/officeDocument/2006/relationships/hyperlink" Target="https://www.bettersafercare.vic.gov.au/publications/a-guide-for-health-service-community-advisory-committees" TargetMode="External"/><Relationship Id="rId575" Type="http://schemas.openxmlformats.org/officeDocument/2006/relationships/hyperlink" Target="https://www.health.vic.gov.au/community-health/community-health-integrated-program-chip-guidelines" TargetMode="External"/><Relationship Id="rId228" Type="http://schemas.openxmlformats.org/officeDocument/2006/relationships/hyperlink" Target="https://www.genv.org.au" TargetMode="External"/><Relationship Id="rId435" Type="http://schemas.openxmlformats.org/officeDocument/2006/relationships/hyperlink" Target="mailto:hdss.helpdeks@health.vic.gov.au" TargetMode="External"/><Relationship Id="rId281" Type="http://schemas.openxmlformats.org/officeDocument/2006/relationships/hyperlink" Target="https://www.vved.org.au/" TargetMode="External"/><Relationship Id="rId502" Type="http://schemas.openxmlformats.org/officeDocument/2006/relationships/hyperlink" Target="mailto:AOD.enquiries@health.vic.gov.au" TargetMode="External"/><Relationship Id="rId76" Type="http://schemas.openxmlformats.org/officeDocument/2006/relationships/hyperlink" Target="https://www.health.vic.gov.au/supporting-independent-living/low-cost-accommodation-support-programs" TargetMode="External"/><Relationship Id="rId141" Type="http://schemas.openxmlformats.org/officeDocument/2006/relationships/hyperlink" Target="https://www.vic.gov.au/victorias-anti-racism-strategy-2024-2029" TargetMode="External"/><Relationship Id="rId379" Type="http://schemas.openxmlformats.org/officeDocument/2006/relationships/hyperlink" Target="https://www.health.vic.gov.au/environmental-health/climate-change-strategy" TargetMode="External"/><Relationship Id="rId586" Type="http://schemas.openxmlformats.org/officeDocument/2006/relationships/hyperlink" Target="http://www.healthtranslations.vic.gov.au" TargetMode="External"/><Relationship Id="rId7" Type="http://schemas.openxmlformats.org/officeDocument/2006/relationships/settings" Target="settings.xml"/><Relationship Id="rId239" Type="http://schemas.openxmlformats.org/officeDocument/2006/relationships/hyperlink" Target="https://www.health.vic.gov.au/publications/managing-referrals-to-non-admitted-specialist-services-in-victorian-public-health" TargetMode="External"/><Relationship Id="rId446" Type="http://schemas.openxmlformats.org/officeDocument/2006/relationships/hyperlink" Target="mailto:%3chdss.helpdeks@health.vic.gov.au" TargetMode="External"/><Relationship Id="rId292" Type="http://schemas.openxmlformats.org/officeDocument/2006/relationships/hyperlink" Target="https://www.blood.gov.au/sites/default/files/documents/2025-03/National%20Statement%20for%20the%20Emergency%20Use%20of%20Group%20A%20Clinical%20Plasma_final.pdf" TargetMode="External"/><Relationship Id="rId306" Type="http://schemas.openxmlformats.org/officeDocument/2006/relationships/hyperlink" Target="https://www.health.vic.gov.au/mental-health-and-wellbeing-act-handbook/safeguards-protection-of-rights-complaints/complaints" TargetMode="External"/><Relationship Id="rId87" Type="http://schemas.openxmlformats.org/officeDocument/2006/relationships/hyperlink" Target="https://www.betterhealth.vic.gov.au/health/serviceprofiles/nurse-on-call-service" TargetMode="External"/><Relationship Id="rId513" Type="http://schemas.openxmlformats.org/officeDocument/2006/relationships/hyperlink" Target="https://www.health.vic.gov.au/publications/public-environmental-reporting-guidelines" TargetMode="External"/><Relationship Id="rId597" Type="http://schemas.openxmlformats.org/officeDocument/2006/relationships/hyperlink" Target="https://www.health.vic.gov.au/community-health/children-youth-and-families" TargetMode="External"/><Relationship Id="rId152" Type="http://schemas.openxmlformats.org/officeDocument/2006/relationships/hyperlink" Target="https://www.health.vic.gov.au/health-strategies/aboriginal-and-torres-strait-islander-cultural-safety" TargetMode="External"/><Relationship Id="rId457" Type="http://schemas.openxmlformats.org/officeDocument/2006/relationships/hyperlink" Target="https://www.health.vic.gov.au/quality-safety-service/victorian-perinatal-data-collection" TargetMode="External"/><Relationship Id="rId14" Type="http://schemas.openxmlformats.org/officeDocument/2006/relationships/header" Target="header1.xml"/><Relationship Id="rId317" Type="http://schemas.openxmlformats.org/officeDocument/2006/relationships/hyperlink" Target="https://www.health.vic.gov.au/practice-and-service-quality/chief-psychiatrist" TargetMode="External"/><Relationship Id="rId524" Type="http://schemas.openxmlformats.org/officeDocument/2006/relationships/hyperlink" Target="https://www.myagedcare.gov.au" TargetMode="External"/><Relationship Id="rId98" Type="http://schemas.openxmlformats.org/officeDocument/2006/relationships/hyperlink" Target="https://www.achievementprogram.health.vic.gov.au/" TargetMode="External"/><Relationship Id="rId163" Type="http://schemas.openxmlformats.org/officeDocument/2006/relationships/hyperlink" Target="mailto:culturalsafety@health.vic.gov.au" TargetMode="External"/><Relationship Id="rId370" Type="http://schemas.openxmlformats.org/officeDocument/2006/relationships/hyperlink" Target="https://healthsharevic.org.au/hsv-purchasing-policies/" TargetMode="External"/><Relationship Id="rId230" Type="http://schemas.openxmlformats.org/officeDocument/2006/relationships/hyperlink" Target="https://reach.vic.gov.au/" TargetMode="External"/><Relationship Id="rId468" Type="http://schemas.openxmlformats.org/officeDocument/2006/relationships/hyperlink" Target="https://www.monash.edu/medicine/sphpm/vcor" TargetMode="External"/><Relationship Id="rId25" Type="http://schemas.openxmlformats.org/officeDocument/2006/relationships/hyperlink" Target="https://federalfinancialrelations.gov.au/agreements/national-health-reform-agreement" TargetMode="External"/><Relationship Id="rId67" Type="http://schemas.openxmlformats.org/officeDocument/2006/relationships/hyperlink" Target="https://www.health.vic.gov.au/mental-health-wellbeing-reform/victorian-suicide-prevention-and-response-strategy" TargetMode="External"/><Relationship Id="rId272" Type="http://schemas.openxmlformats.org/officeDocument/2006/relationships/hyperlink" Target="https://www.thewomens.org.au/health-professionals/clinical-resources/strengthening-hospitals-response-to-family-violence" TargetMode="External"/><Relationship Id="rId328" Type="http://schemas.openxmlformats.org/officeDocument/2006/relationships/hyperlink" Target="https://vahi.vic.gov.au/" TargetMode="External"/><Relationship Id="rId535" Type="http://schemas.openxmlformats.org/officeDocument/2006/relationships/hyperlink" Target="https://www.health.gov.au/resources/publications/my-aged-care-integrated-assessment-tool-iat-user-guide?language=en" TargetMode="External"/><Relationship Id="rId577" Type="http://schemas.openxmlformats.org/officeDocument/2006/relationships/hyperlink" Target="https://www.firstpeoplesrelations.vic.gov.au/victorian-aboriginal-affairs-framework" TargetMode="External"/><Relationship Id="rId132" Type="http://schemas.openxmlformats.org/officeDocument/2006/relationships/hyperlink" Target="https://services.dffh.vic.gov.au/child-protection" TargetMode="External"/><Relationship Id="rId174" Type="http://schemas.openxmlformats.org/officeDocument/2006/relationships/hyperlink" Target="https://www.health.vic.gov.au/publications/inclusive-collection-and-reporting-of-sex-and-gender-data" TargetMode="External"/><Relationship Id="rId381" Type="http://schemas.openxmlformats.org/officeDocument/2006/relationships/hyperlink" Target="https://www.buyingfor.vic.gov.au/social-procurement-framework" TargetMode="External"/><Relationship Id="rId602" Type="http://schemas.openxmlformats.org/officeDocument/2006/relationships/hyperlink" Target="https://www.health.vic.gov.au/publications/healthy-choices-policy-directive-and-guidelines-for-health-services" TargetMode="External"/><Relationship Id="rId241" Type="http://schemas.openxmlformats.org/officeDocument/2006/relationships/hyperlink" Target="https://www.health.vic.gov.au/patient-care/specialist-care-reform" TargetMode="External"/><Relationship Id="rId437" Type="http://schemas.openxmlformats.org/officeDocument/2006/relationships/hyperlink" Target="https://www.health.vic.gov.au/data-reporting/health-data-standards-and-systems-hdss-forms" TargetMode="External"/><Relationship Id="rId479" Type="http://schemas.openxmlformats.org/officeDocument/2006/relationships/hyperlink" Target="https://www.healthcollect.vic.gov.au" TargetMode="External"/><Relationship Id="rId36" Type="http://schemas.openxmlformats.org/officeDocument/2006/relationships/hyperlink" Target="https://www.health.vic.gov.au/patient-care/blood-and-blood-products" TargetMode="External"/><Relationship Id="rId283" Type="http://schemas.openxmlformats.org/officeDocument/2006/relationships/hyperlink" Target="https://www.safercare.vic.gov.au/safer-care-for-kids" TargetMode="External"/><Relationship Id="rId339" Type="http://schemas.openxmlformats.org/officeDocument/2006/relationships/hyperlink" Target="https://www.safercare.vic.gov.au/report-manage-issues/adverse-events/policy" TargetMode="External"/><Relationship Id="rId490" Type="http://schemas.openxmlformats.org/officeDocument/2006/relationships/hyperlink" Target="https://fac.dffh.vic.gov.au/incident-reporting" TargetMode="External"/><Relationship Id="rId504" Type="http://schemas.openxmlformats.org/officeDocument/2006/relationships/hyperlink" Target="https://www.health.vic.gov.au/publications/victorian-needle-and-syringe-program-operating-policy-and-guidelines" TargetMode="External"/><Relationship Id="rId546" Type="http://schemas.openxmlformats.org/officeDocument/2006/relationships/hyperlink" Target="https://www.health.vic.gov.au/health-strategies/aboriginal-health" TargetMode="External"/><Relationship Id="rId78" Type="http://schemas.openxmlformats.org/officeDocument/2006/relationships/hyperlink" Target="https://www.health.vic.gov.au/community-health/community-health-minimum-data-set-chmds" TargetMode="External"/><Relationship Id="rId101" Type="http://schemas.openxmlformats.org/officeDocument/2006/relationships/hyperlink" Target="https://www.health.vic.gov.au/surgical-services/planned-surgery-access-policy-2024" TargetMode="External"/><Relationship Id="rId143" Type="http://schemas.openxmlformats.org/officeDocument/2006/relationships/hyperlink" Target="https://www.vic.gov.au/multicultural-policy-statement" TargetMode="External"/><Relationship Id="rId185" Type="http://schemas.openxmlformats.org/officeDocument/2006/relationships/hyperlink" Target="https://www.vic.gov.au/victorias-anti-racism-strategy-2024-2029" TargetMode="External"/><Relationship Id="rId350" Type="http://schemas.openxmlformats.org/officeDocument/2006/relationships/hyperlink" Target="https://vahi.vic.gov.au/reports/victorian-health-services-performance" TargetMode="External"/><Relationship Id="rId406" Type="http://schemas.openxmlformats.org/officeDocument/2006/relationships/hyperlink" Target="https://www.health.vic.gov.au/funding-performance-accountability/integrity-governance-framework-and-assessment-tool" TargetMode="External"/><Relationship Id="rId588" Type="http://schemas.openxmlformats.org/officeDocument/2006/relationships/hyperlink" Target="https://www.health.vic.gov.au/primary-care/working-with-general-practice" TargetMode="External"/><Relationship Id="rId9" Type="http://schemas.openxmlformats.org/officeDocument/2006/relationships/footnotes" Target="footnotes.xml"/><Relationship Id="rId210" Type="http://schemas.openxmlformats.org/officeDocument/2006/relationships/hyperlink" Target="https://www.health.vic.gov.au/public-health/womens-health-wellbeing-program" TargetMode="External"/><Relationship Id="rId392" Type="http://schemas.openxmlformats.org/officeDocument/2006/relationships/hyperlink" Target="https://www.safetyandquality.gov.au/national-standards/healthcare-sustainability-and-resilience-module" TargetMode="External"/><Relationship Id="rId448" Type="http://schemas.openxmlformats.org/officeDocument/2006/relationships/hyperlink" Target="https://www.health.vic.gov.au/data-reporting/health-data-standards-and-systems-hdss-forms" TargetMode="External"/><Relationship Id="rId252" Type="http://schemas.openxmlformats.org/officeDocument/2006/relationships/hyperlink" Target="https://www.health.gov.au/resources/publications/transition-care-program-guidelines" TargetMode="External"/><Relationship Id="rId294" Type="http://schemas.openxmlformats.org/officeDocument/2006/relationships/hyperlink" Target="https://www.blood.gov.au/national-blood-management-improvement-strategy-2018-2024" TargetMode="External"/><Relationship Id="rId308" Type="http://schemas.openxmlformats.org/officeDocument/2006/relationships/hyperlink" Target="https://www.health.vic.gov.au/mental-health-and-wellbeing-act-handbook/supported-decision-making/nominated-support-persons" TargetMode="External"/><Relationship Id="rId515" Type="http://schemas.openxmlformats.org/officeDocument/2006/relationships/hyperlink" Target="https://www.vhba.vic.gov.au/reporting-solar-photovoltaic-data" TargetMode="External"/><Relationship Id="rId47" Type="http://schemas.openxmlformats.org/officeDocument/2006/relationships/hyperlink" Target="https://www.mhwc.vic.gov.au/" TargetMode="External"/><Relationship Id="rId89" Type="http://schemas.openxmlformats.org/officeDocument/2006/relationships/hyperlink" Target="https://www.servicesaustralia.gov.au/child-dental-benefits-schedule" TargetMode="External"/><Relationship Id="rId112" Type="http://schemas.openxmlformats.org/officeDocument/2006/relationships/hyperlink" Target="https://www.health.vic.gov.au/public-health/chief-health-officer" TargetMode="External"/><Relationship Id="rId154" Type="http://schemas.openxmlformats.org/officeDocument/2006/relationships/hyperlink" Target="https://www.health.vic.gov.au/publications/healthcare-that-counts" TargetMode="External"/><Relationship Id="rId361" Type="http://schemas.openxmlformats.org/officeDocument/2006/relationships/hyperlink" Target="https://www.vaccho.org.au/accord/" TargetMode="External"/><Relationship Id="rId557" Type="http://schemas.openxmlformats.org/officeDocument/2006/relationships/hyperlink" Target="https://www.health.gov.au/resources/publications/aged-care-assessment-quality-framework?language=en" TargetMode="External"/><Relationship Id="rId599" Type="http://schemas.openxmlformats.org/officeDocument/2006/relationships/hyperlink" Target="https://www.health.vic.gov.au/victorian-health-and-wellbeing-plan" TargetMode="External"/><Relationship Id="rId196" Type="http://schemas.openxmlformats.org/officeDocument/2006/relationships/hyperlink" Target="https://www.health.vic.gov.au/populations/victorias-multicultural-health-advisory-committee" TargetMode="External"/><Relationship Id="rId417" Type="http://schemas.openxmlformats.org/officeDocument/2006/relationships/hyperlink" Target="https://www.vic.gov.au/intellectual-property-policy" TargetMode="External"/><Relationship Id="rId459" Type="http://schemas.openxmlformats.org/officeDocument/2006/relationships/hyperlink" Target="https://www.vicniss.org.au/about/about-surveillance/" TargetMode="External"/><Relationship Id="rId16" Type="http://schemas.openxmlformats.org/officeDocument/2006/relationships/footer" Target="footer4.xml"/><Relationship Id="rId221" Type="http://schemas.openxmlformats.org/officeDocument/2006/relationships/hyperlink" Target="https://www.health.vic.gov.au/planned-surgery-reform-blueprint" TargetMode="External"/><Relationship Id="rId263" Type="http://schemas.openxmlformats.org/officeDocument/2006/relationships/hyperlink" Target="https://www.health.vic.gov.au/patient-care/conditions-of-funding-for-palliative-care" TargetMode="External"/><Relationship Id="rId319" Type="http://schemas.openxmlformats.org/officeDocument/2006/relationships/hyperlink" Target="https://www.health.vic.gov.au/chief-psychiatrist" TargetMode="External"/><Relationship Id="rId470" Type="http://schemas.openxmlformats.org/officeDocument/2006/relationships/hyperlink" Target="https://www.vhes.com.au/Account/Login?ReturnUrl=%2f" TargetMode="External"/><Relationship Id="rId526" Type="http://schemas.openxmlformats.org/officeDocument/2006/relationships/hyperlink" Target="https://www.health.vic.gov.au/hospitals-and-health-services/rural-health" TargetMode="External"/><Relationship Id="rId58" Type="http://schemas.openxmlformats.org/officeDocument/2006/relationships/hyperlink" Target="https://www.health.vic.gov.au/mental-health-services/the-hamilton-centre" TargetMode="External"/><Relationship Id="rId123" Type="http://schemas.openxmlformats.org/officeDocument/2006/relationships/hyperlink" Target="https://www.health.vic.gov.au/public-health/hospital-provision-of-tuberculosis-and-leprosy-services" TargetMode="External"/><Relationship Id="rId330" Type="http://schemas.openxmlformats.org/officeDocument/2006/relationships/hyperlink" Target="https://www.health.vic.gov.au/victorian-virtual-care-strategy/overview" TargetMode="External"/><Relationship Id="rId568" Type="http://schemas.openxmlformats.org/officeDocument/2006/relationships/hyperlink" Target="https://www.health.vic.gov.au/primary-and-community-health/dental-health" TargetMode="External"/><Relationship Id="rId165" Type="http://schemas.openxmlformats.org/officeDocument/2006/relationships/hyperlink" Target="https://www.health.vic.gov.au/health-strategies/aboriginal-and-torres-strait-islander-cultural-safety" TargetMode="External"/><Relationship Id="rId372" Type="http://schemas.openxmlformats.org/officeDocument/2006/relationships/hyperlink" Target="https://www.dtf.vic.gov.au/planning-budgeting-and-financial-reporting-frameworks/victorian-risk-management-framework-and-insurance-management-policy" TargetMode="External"/><Relationship Id="rId428" Type="http://schemas.openxmlformats.org/officeDocument/2006/relationships/hyperlink" Target="https://www.health.vic.gov.au/data-reporting/health-data-standards-and-systems-hdss-forms" TargetMode="External"/><Relationship Id="rId232" Type="http://schemas.openxmlformats.org/officeDocument/2006/relationships/hyperlink" Target="https://www.health.vic.gov.au/patient-care/aboriginal-maternity-services" TargetMode="External"/><Relationship Id="rId274" Type="http://schemas.openxmlformats.org/officeDocument/2006/relationships/hyperlink" Target="https://www.health.vic.gov.au/publications/framework-for-preventing-and-managing-occupational-violence-and-aggression-2017" TargetMode="External"/><Relationship Id="rId481" Type="http://schemas.openxmlformats.org/officeDocument/2006/relationships/hyperlink" Target="mailto:mhcss@health.vic.gov.au" TargetMode="External"/><Relationship Id="rId27" Type="http://schemas.openxmlformats.org/officeDocument/2006/relationships/hyperlink" Target="https://www.health.vic.gov.au/patient-care/ambulance-fees" TargetMode="External"/><Relationship Id="rId69" Type="http://schemas.openxmlformats.org/officeDocument/2006/relationships/hyperlink" Target="https://www.health.vic.gov.au/publications/balit-murrup-aboriginal-social-emotional-wellbeing-framework-2017-2027" TargetMode="External"/><Relationship Id="rId134" Type="http://schemas.openxmlformats.org/officeDocument/2006/relationships/hyperlink" Target="https://www.vic.gov.au/family-violence-information-sharing-scheme" TargetMode="External"/><Relationship Id="rId537" Type="http://schemas.openxmlformats.org/officeDocument/2006/relationships/hyperlink" Target="https://www.health.gov.au/resources/publications/my-aged-care-workforce-learning-strategy-2025?language=en" TargetMode="External"/><Relationship Id="rId579" Type="http://schemas.openxmlformats.org/officeDocument/2006/relationships/hyperlink" Target="https://www.health.vic.gov.au/community-health/registration-and-governance-of-community-health-centres" TargetMode="External"/><Relationship Id="rId80" Type="http://schemas.openxmlformats.org/officeDocument/2006/relationships/hyperlink" Target="https://www.health.vic.gov.au/rural-health/victorian-patient-transport-assistance-scheme-vptas" TargetMode="External"/><Relationship Id="rId176" Type="http://schemas.openxmlformats.org/officeDocument/2006/relationships/hyperlink" Target="https://www.health.vic.gov.au/populations/health-of-people-with-intersex-variations" TargetMode="External"/><Relationship Id="rId341" Type="http://schemas.openxmlformats.org/officeDocument/2006/relationships/hyperlink" Target="https://www.safercare.vic.gov.au/report-manage-issues/sentinel-events" TargetMode="External"/><Relationship Id="rId383" Type="http://schemas.openxmlformats.org/officeDocument/2006/relationships/hyperlink" Target="mailto:chv@health.vic.gov.au" TargetMode="External"/><Relationship Id="rId439" Type="http://schemas.openxmlformats.org/officeDocument/2006/relationships/hyperlink" Target="https://www.health.vic.gov.au/data-reporting/health-data-standards-and-systems-hdss-forms" TargetMode="External"/><Relationship Id="rId590" Type="http://schemas.openxmlformats.org/officeDocument/2006/relationships/hyperlink" Target="https://www.health.vic.gov.au/health-strategies/aboriginal-health" TargetMode="External"/><Relationship Id="rId604" Type="http://schemas.openxmlformats.org/officeDocument/2006/relationships/header" Target="header2.xml"/><Relationship Id="rId201" Type="http://schemas.openxmlformats.org/officeDocument/2006/relationships/hyperlink" Target="https://foundationhouse.org.au" TargetMode="External"/><Relationship Id="rId243" Type="http://schemas.openxmlformats.org/officeDocument/2006/relationships/hyperlink" Target="https://www.legislation.gov.au/Details/F2022C00177" TargetMode="External"/><Relationship Id="rId285" Type="http://schemas.openxmlformats.org/officeDocument/2006/relationships/hyperlink" Target="mailto:culture.capability@safercare.vic.gov.au" TargetMode="External"/><Relationship Id="rId450" Type="http://schemas.openxmlformats.org/officeDocument/2006/relationships/hyperlink" Target="mailto:hdss.helpdesk@health.vic.gov.au" TargetMode="External"/><Relationship Id="rId506" Type="http://schemas.openxmlformats.org/officeDocument/2006/relationships/hyperlink" Target="https://www.health.gov.au/resources/publications/my-aged-care-workforce-learning-strategy-2025?language=en" TargetMode="External"/><Relationship Id="rId38" Type="http://schemas.openxmlformats.org/officeDocument/2006/relationships/hyperlink" Target="https://www.health.vic.gov.au/patient-care/subcutaneous-immunoglobulin-scig-access-program" TargetMode="External"/><Relationship Id="rId103" Type="http://schemas.openxmlformats.org/officeDocument/2006/relationships/hyperlink" Target="https://endocatvic.net.au/endoscopy-categorisation" TargetMode="External"/><Relationship Id="rId310" Type="http://schemas.openxmlformats.org/officeDocument/2006/relationships/hyperlink" Target="https://www.health.vic.gov.au/mental-health-and-wellbeing-act-handbook/statement-of-rights" TargetMode="External"/><Relationship Id="rId492" Type="http://schemas.openxmlformats.org/officeDocument/2006/relationships/hyperlink" Target="https://www.health.vic.gov.au/key-staff/reducing-restrictive-interventions" TargetMode="External"/><Relationship Id="rId548" Type="http://schemas.openxmlformats.org/officeDocument/2006/relationships/hyperlink" Target="https://www.health.gov.au/our-work/aged-care-act?language=en" TargetMode="External"/><Relationship Id="rId91" Type="http://schemas.openxmlformats.org/officeDocument/2006/relationships/hyperlink" Target="mailto:https://www.health.vic.gov.au/victorian-public-health-and-wellbeing-outcomes-dashboard" TargetMode="External"/><Relationship Id="rId145" Type="http://schemas.openxmlformats.org/officeDocument/2006/relationships/hyperlink" Target="https://www.vic.gov.au/victorian-autism-plan" TargetMode="External"/><Relationship Id="rId187" Type="http://schemas.openxmlformats.org/officeDocument/2006/relationships/hyperlink" Target="https://www.legislation.vic.gov.au/in-force/acts/multicultural-victoria-act-2011/002" TargetMode="External"/><Relationship Id="rId352" Type="http://schemas.openxmlformats.org/officeDocument/2006/relationships/hyperlink" Target="https://anzscts.org/database/" TargetMode="External"/><Relationship Id="rId394" Type="http://schemas.openxmlformats.org/officeDocument/2006/relationships/hyperlink" Target="https://www.digitalhealth.gov.au/national-digital-health-strategy" TargetMode="External"/><Relationship Id="rId408" Type="http://schemas.openxmlformats.org/officeDocument/2006/relationships/hyperlink" Target="https://www.emv.vic.gov.au/responsibilities/state-emergency-management-plan-sub-plans/semp-health-emergencies-sub-plan" TargetMode="External"/><Relationship Id="rId212" Type="http://schemas.openxmlformats.org/officeDocument/2006/relationships/hyperlink" Target="https://www.health.vic.gov.au/patient-care/capability-frameworks-for-maternity-and-newborn-care-in-victoria" TargetMode="External"/><Relationship Id="rId254" Type="http://schemas.openxmlformats.org/officeDocument/2006/relationships/hyperlink" Target="https://www.safetyandquality.gov.au/standards/nsqhs-standards" TargetMode="External"/><Relationship Id="rId49" Type="http://schemas.openxmlformats.org/officeDocument/2006/relationships/hyperlink" Target="https://www.health.vic.gov.au/publications/statewide-mental-health-and-wellbeing-service-and-capital-plan" TargetMode="External"/><Relationship Id="rId114" Type="http://schemas.openxmlformats.org/officeDocument/2006/relationships/hyperlink" Target="https://www.health.vic.gov.au/local-public-health-units" TargetMode="External"/><Relationship Id="rId296" Type="http://schemas.openxmlformats.org/officeDocument/2006/relationships/hyperlink" Target="https://www.health.vic.gov.au/hospitals-and-health-services/pathology-reform" TargetMode="External"/><Relationship Id="rId461" Type="http://schemas.openxmlformats.org/officeDocument/2006/relationships/hyperlink" Target="https://www.aihw.gov.au/hospitals" TargetMode="External"/><Relationship Id="rId517" Type="http://schemas.openxmlformats.org/officeDocument/2006/relationships/hyperlink" Target="https://www.health.vic.gov.au/publications/public-environmental-reporting-guidelines" TargetMode="External"/><Relationship Id="rId559" Type="http://schemas.openxmlformats.org/officeDocument/2006/relationships/hyperlink" Target="https://www.health.gov.au/resources/publications/my-aged-care-workforce-learning-strategy-2025?language=en" TargetMode="External"/><Relationship Id="rId60" Type="http://schemas.openxmlformats.org/officeDocument/2006/relationships/hyperlink" Target="https://www.health.vic.gov.au/publications/alcohol-and-other-drug-performance-management-framework" TargetMode="External"/><Relationship Id="rId156" Type="http://schemas.openxmlformats.org/officeDocument/2006/relationships/hyperlink" Target="https://www.health.vic.gov.au/populations/designing-for-diversity" TargetMode="External"/><Relationship Id="rId198" Type="http://schemas.openxmlformats.org/officeDocument/2006/relationships/hyperlink" Target="https://www.health.vic.gov.au/community-health/refugee-health-program" TargetMode="External"/><Relationship Id="rId321" Type="http://schemas.openxmlformats.org/officeDocument/2006/relationships/hyperlink" Target="https://www.health.vic.gov.au/mental-health" TargetMode="External"/><Relationship Id="rId363" Type="http://schemas.openxmlformats.org/officeDocument/2006/relationships/hyperlink" Target="https://www.health.vic.gov.au/community-health/registration-and-governance-of-community-health-centres" TargetMode="External"/><Relationship Id="rId419" Type="http://schemas.openxmlformats.org/officeDocument/2006/relationships/hyperlink" Target="https://fac.dffh.vic.gov.au" TargetMode="External"/><Relationship Id="rId570" Type="http://schemas.openxmlformats.org/officeDocument/2006/relationships/hyperlink" Target="https://www.health.vic.gov.au/population-health-systems/health-promotion" TargetMode="External"/><Relationship Id="rId223" Type="http://schemas.openxmlformats.org/officeDocument/2006/relationships/hyperlink" Target="https://www.health.vic.gov.au/patient-care/conditions-of-funding-for-palliative-care" TargetMode="External"/><Relationship Id="rId430" Type="http://schemas.openxmlformats.org/officeDocument/2006/relationships/hyperlink" Target="mailto:hdss.helpdesk@health.vic.gov.au" TargetMode="External"/><Relationship Id="rId18" Type="http://schemas.openxmlformats.org/officeDocument/2006/relationships/footer" Target="footer6.xml"/><Relationship Id="rId265" Type="http://schemas.openxmlformats.org/officeDocument/2006/relationships/hyperlink" Target="https://www.health.vic.gov.au/patient-care/palliative-care-program" TargetMode="External"/><Relationship Id="rId472" Type="http://schemas.openxmlformats.org/officeDocument/2006/relationships/hyperlink" Target="https://vahi.vic.gov.au/ourwork/health-data-integrity-program/data-integrity-guidelines-health-services" TargetMode="External"/><Relationship Id="rId528" Type="http://schemas.openxmlformats.org/officeDocument/2006/relationships/hyperlink" Target="https://www.health.vic.gov.au/hospitals-and-health-services/rural-health" TargetMode="External"/><Relationship Id="rId125" Type="http://schemas.openxmlformats.org/officeDocument/2006/relationships/hyperlink" Target="https://www.legislation.vic.gov.au/in-force/acts/public-administration-act-2004/079" TargetMode="External"/><Relationship Id="rId167" Type="http://schemas.openxmlformats.org/officeDocument/2006/relationships/hyperlink" Target="https://www.vic.gov.au/victorian-lgbtiq-strategy" TargetMode="External"/><Relationship Id="rId332" Type="http://schemas.openxmlformats.org/officeDocument/2006/relationships/hyperlink" Target="https://www.mbsonline.gov.au/internet/mbsonline/publishing.nsf/Content/Factsheet-Telehealth-Updates-April%202023" TargetMode="External"/><Relationship Id="rId374" Type="http://schemas.openxmlformats.org/officeDocument/2006/relationships/hyperlink" Target="https://healthsharevic.org.au" TargetMode="External"/><Relationship Id="rId581" Type="http://schemas.openxmlformats.org/officeDocument/2006/relationships/hyperlink" Target="https://www.health.vic.gov.au/community-health/community-health-program-access-policy" TargetMode="External"/><Relationship Id="rId71" Type="http://schemas.openxmlformats.org/officeDocument/2006/relationships/hyperlink" Target="https://www.health.vic.gov.au/ageing-and-aged-care/my-aged-care-assessment-services" TargetMode="External"/><Relationship Id="rId234" Type="http://schemas.openxmlformats.org/officeDocument/2006/relationships/hyperlink" Target="https://www.vaccho.org.au/members/" TargetMode="External"/><Relationship Id="rId2" Type="http://schemas.openxmlformats.org/officeDocument/2006/relationships/customXml" Target="../customXml/item2.xml"/><Relationship Id="rId29" Type="http://schemas.openxmlformats.org/officeDocument/2006/relationships/hyperlink" Target="https://www.health.vic.gov.au/patient-care/ambulance-services-payment-guidelines" TargetMode="External"/><Relationship Id="rId276" Type="http://schemas.openxmlformats.org/officeDocument/2006/relationships/hyperlink" Target="https://www.health.vic.gov.au/patient-care/advance-care-planning-1" TargetMode="External"/><Relationship Id="rId441" Type="http://schemas.openxmlformats.org/officeDocument/2006/relationships/hyperlink" Target="https://www.health.vic.gov.au/data-reporting/elective-surgery-information-system-esis" TargetMode="External"/><Relationship Id="rId483" Type="http://schemas.openxmlformats.org/officeDocument/2006/relationships/hyperlink" Target="mailto:ocp@health.vic.gov.au" TargetMode="External"/><Relationship Id="rId539" Type="http://schemas.openxmlformats.org/officeDocument/2006/relationships/hyperlink" Target="https://www.health.gov.au/resources/collections/my-aged-care-assessor-portal-resources" TargetMode="External"/><Relationship Id="rId40" Type="http://schemas.openxmlformats.org/officeDocument/2006/relationships/hyperlink" Target="https://www.health.vic.gov.au/patient-care/blood-matters-program" TargetMode="External"/><Relationship Id="rId136" Type="http://schemas.openxmlformats.org/officeDocument/2006/relationships/hyperlink" Target="https://childsafe.humanrights.gov.au/national-principles" TargetMode="External"/><Relationship Id="rId178" Type="http://schemas.openxmlformats.org/officeDocument/2006/relationships/hyperlink" Target="https://www.vic.gov.au/victorian-autism-plan" TargetMode="External"/><Relationship Id="rId301" Type="http://schemas.openxmlformats.org/officeDocument/2006/relationships/hyperlink" Target="https://www.health.vic.gov.au/mental-health-and-wellbeing-act-handbook/resources" TargetMode="External"/><Relationship Id="rId343" Type="http://schemas.openxmlformats.org/officeDocument/2006/relationships/hyperlink" Target="https://www.safercare.vic.gov.au/support-training/adverse-event-review-and-response/duty-of-candour" TargetMode="External"/><Relationship Id="rId550" Type="http://schemas.openxmlformats.org/officeDocument/2006/relationships/hyperlink" Target="https://www.agedcarequality.gov.au/" TargetMode="External"/><Relationship Id="rId82" Type="http://schemas.openxmlformats.org/officeDocument/2006/relationships/hyperlink" Target="https://www.health.vic.gov.au/improving-access-to-primary-care-in-rural-and-remote-areas" TargetMode="External"/><Relationship Id="rId203" Type="http://schemas.openxmlformats.org/officeDocument/2006/relationships/hyperlink" Target="https://www.health.vic.gov.au/publications/hospital-access-for-people-seeking-asylum" TargetMode="External"/><Relationship Id="rId385" Type="http://schemas.openxmlformats.org/officeDocument/2006/relationships/hyperlink" Target="mailto:chv@health.vic.gov.au" TargetMode="External"/><Relationship Id="rId592" Type="http://schemas.openxmlformats.org/officeDocument/2006/relationships/hyperlink" Target="https://www.health.vic.gov.au/community-health/community-health-integrated-program-chip-guidelines" TargetMode="External"/><Relationship Id="rId606" Type="http://schemas.openxmlformats.org/officeDocument/2006/relationships/footer" Target="footer7.xml"/><Relationship Id="rId245" Type="http://schemas.openxmlformats.org/officeDocument/2006/relationships/hyperlink" Target="mailto:hdss.helpdesk@health.vic.gov.au" TargetMode="External"/><Relationship Id="rId287" Type="http://schemas.openxmlformats.org/officeDocument/2006/relationships/hyperlink" Target="https://www.health.vic.gov.au/health-strategies/integrated-cancer-services" TargetMode="External"/><Relationship Id="rId410" Type="http://schemas.openxmlformats.org/officeDocument/2006/relationships/hyperlink" Target="https://providers.dffh.vic.gov.au/fire-risk-management-accreditation" TargetMode="External"/><Relationship Id="rId452" Type="http://schemas.openxmlformats.org/officeDocument/2006/relationships/hyperlink" Target="mailto:hdss.helpdesk@health.vic.gov.au" TargetMode="External"/><Relationship Id="rId494" Type="http://schemas.openxmlformats.org/officeDocument/2006/relationships/hyperlink" Target="https://www.health.vic.gov.au/chief-psychiatrist/chief-psychiatrists-restrictive-interventions" TargetMode="External"/><Relationship Id="rId508" Type="http://schemas.openxmlformats.org/officeDocument/2006/relationships/hyperlink" Target="https://www.health.vic.gov.au/primary-and-community-health/community-health-minimum-data-set-chmds" TargetMode="External"/><Relationship Id="rId105" Type="http://schemas.openxmlformats.org/officeDocument/2006/relationships/hyperlink" Target="http://www.ncsr.gov.au/content/ncsr/en/healthcare-providers/RegisterAccess.html" TargetMode="External"/><Relationship Id="rId147" Type="http://schemas.openxmlformats.org/officeDocument/2006/relationships/hyperlink" Target="https://www.vic.gov.au/victorias-youth-strategy-2022-2027" TargetMode="External"/><Relationship Id="rId312" Type="http://schemas.openxmlformats.org/officeDocument/2006/relationships/hyperlink" Target="https://www.mht.vic.gov.au/" TargetMode="External"/><Relationship Id="rId354" Type="http://schemas.openxmlformats.org/officeDocument/2006/relationships/hyperlink" Target="https://www.monash.edu/medicine/sphpm/vcor" TargetMode="External"/><Relationship Id="rId51" Type="http://schemas.openxmlformats.org/officeDocument/2006/relationships/hyperlink" Target="https://www.betterhealth.vic.gov.au/mental-health-wellbeing-locals" TargetMode="External"/><Relationship Id="rId93" Type="http://schemas.openxmlformats.org/officeDocument/2006/relationships/hyperlink" Target="https://www.health.vic.gov.au/victorian-public-health-and-wellbeing-plan-2023-27" TargetMode="External"/><Relationship Id="rId189" Type="http://schemas.openxmlformats.org/officeDocument/2006/relationships/hyperlink" Target="https://www.legislation.vic.gov.au/in-force/acts/charter-human-rights-and-responsibilities-act-2006/014" TargetMode="External"/><Relationship Id="rId396" Type="http://schemas.openxmlformats.org/officeDocument/2006/relationships/hyperlink" Target="mailto:HIEprogram@health.vic.gov.au" TargetMode="External"/><Relationship Id="rId561" Type="http://schemas.openxmlformats.org/officeDocument/2006/relationships/hyperlink" Target="https://www.health.gov.au/resources/collections/my-aged-care-assessor-portal-resources" TargetMode="External"/><Relationship Id="rId214" Type="http://schemas.openxmlformats.org/officeDocument/2006/relationships/hyperlink" Target="https://www.health.vic.gov.au/publications/palliative-care-service-capability-framework" TargetMode="External"/><Relationship Id="rId256" Type="http://schemas.openxmlformats.org/officeDocument/2006/relationships/hyperlink" Target="https://www.health.vic.gov.au/data-reporting/agency-information-management-system-aims" TargetMode="External"/><Relationship Id="rId298" Type="http://schemas.openxmlformats.org/officeDocument/2006/relationships/hyperlink" Target="https://www.health.vic.gov.au/health-services-plan-reform/local-health-service-networks" TargetMode="External"/><Relationship Id="rId421" Type="http://schemas.openxmlformats.org/officeDocument/2006/relationships/hyperlink" Target="https://www.health.vic.gov.au/data-reporting/annual-changes" TargetMode="External"/><Relationship Id="rId463" Type="http://schemas.openxmlformats.org/officeDocument/2006/relationships/hyperlink" Target="https://www.health.vic.gov.au/publications/targeting-zero-the-review-of-hospital-safety-and-quality-assurance-in-victoria" TargetMode="External"/><Relationship Id="rId519" Type="http://schemas.openxmlformats.org/officeDocument/2006/relationships/hyperlink" Target="https://fac.dffh.vic.gov.au/service-agreement" TargetMode="External"/><Relationship Id="rId116" Type="http://schemas.openxmlformats.org/officeDocument/2006/relationships/hyperlink" Target="https://www.health.vic.gov.au/education-and-training/training-and-development-funding" TargetMode="External"/><Relationship Id="rId158" Type="http://schemas.openxmlformats.org/officeDocument/2006/relationships/hyperlink" Target="https://www.vaccho.org.au/ahwpf" TargetMode="External"/><Relationship Id="rId323" Type="http://schemas.openxmlformats.org/officeDocument/2006/relationships/hyperlink" Target="https://fac.dffh.vic.gov.au" TargetMode="External"/><Relationship Id="rId530" Type="http://schemas.openxmlformats.org/officeDocument/2006/relationships/hyperlink" Target="https://www.health.vic.gov.au/home-and-community-care/hacc-pyp-fees-policy-and-schedule-of-fees" TargetMode="External"/><Relationship Id="rId20" Type="http://schemas.openxmlformats.org/officeDocument/2006/relationships/hyperlink" Target="https://www.health.vic.gov.au/policy-and-funding-guidelines-for-health-services" TargetMode="External"/><Relationship Id="rId62" Type="http://schemas.openxmlformats.org/officeDocument/2006/relationships/hyperlink" Target="https://www.mindaustralia.org.au/services/aftercare" TargetMode="External"/><Relationship Id="rId365" Type="http://schemas.openxmlformats.org/officeDocument/2006/relationships/hyperlink" Target="https://www.bettersafercare.vic.gov.au/support-and-training/partnering-with-consumers/pih" TargetMode="External"/><Relationship Id="rId572" Type="http://schemas.openxmlformats.org/officeDocument/2006/relationships/hyperlink" Target="https://www.health.vic.gov.au/community-health/community-health-integrated-program-chip-guidelines" TargetMode="External"/><Relationship Id="rId225" Type="http://schemas.openxmlformats.org/officeDocument/2006/relationships/hyperlink" Target="https://www.safercare.vic.gov.au/publications/respectful-maternity-and-newborn-care-framework" TargetMode="External"/><Relationship Id="rId267" Type="http://schemas.openxmlformats.org/officeDocument/2006/relationships/hyperlink" Target="https://www.vic.gov.au/family-violence-information-sharing-scheme" TargetMode="External"/><Relationship Id="rId432" Type="http://schemas.openxmlformats.org/officeDocument/2006/relationships/hyperlink" Target="https://www.health.vic.gov.au/data-reporting/health-data-standards-and-systems-hdss-forms" TargetMode="External"/><Relationship Id="rId474" Type="http://schemas.openxmlformats.org/officeDocument/2006/relationships/hyperlink" Target="https://www.health.vic.gov.au/data-reporting/subscribe" TargetMode="External"/><Relationship Id="rId127" Type="http://schemas.openxmlformats.org/officeDocument/2006/relationships/hyperlink" Target="https://www.bettersafercare.vic.gov.au/publications/credentialing-and-scope-of-clinical-practice-for-senior-medical-practitioners-policy" TargetMode="External"/><Relationship Id="rId31" Type="http://schemas.openxmlformats.org/officeDocument/2006/relationships/hyperlink" Target="https://www.thewomens.org.au/health-professionals/victorian-perinatal-autopsy-service" TargetMode="External"/><Relationship Id="rId73" Type="http://schemas.openxmlformats.org/officeDocument/2006/relationships/hyperlink" Target="https://www.health.vic.gov.au/home-and-community-care/hacc-pyp-fees-policy-and-schedule-of-fees" TargetMode="External"/><Relationship Id="rId169" Type="http://schemas.openxmlformats.org/officeDocument/2006/relationships/hyperlink" Target="https://www.health.vic.gov.au/publications/inclusive-collection-and-reporting-of-sex-and-gender-data" TargetMode="External"/><Relationship Id="rId334" Type="http://schemas.openxmlformats.org/officeDocument/2006/relationships/hyperlink" Target="https://www.health.vic.gov.au/funding-performance-accountability/performance-monitoring-framework" TargetMode="External"/><Relationship Id="rId376" Type="http://schemas.openxmlformats.org/officeDocument/2006/relationships/hyperlink" Target="mailto:assetmanagement@health.vic.gov.au" TargetMode="External"/><Relationship Id="rId541" Type="http://schemas.openxmlformats.org/officeDocument/2006/relationships/hyperlink" Target="https://www.myagedcare.gov.au/resources" TargetMode="External"/><Relationship Id="rId583" Type="http://schemas.openxmlformats.org/officeDocument/2006/relationships/hyperlink" Target="https://www.health.vic.gov.au/populations/refugee-and-asylum-seeker-health-and-wellbeing" TargetMode="External"/><Relationship Id="rId4" Type="http://schemas.openxmlformats.org/officeDocument/2006/relationships/customXml" Target="../customXml/item4.xml"/><Relationship Id="rId180" Type="http://schemas.openxmlformats.org/officeDocument/2006/relationships/hyperlink" Target="mailto:DLOcoordinator@dhhs.vic.gov.au" TargetMode="External"/><Relationship Id="rId236" Type="http://schemas.openxmlformats.org/officeDocument/2006/relationships/hyperlink" Target="https://www.health.vic.gov.au/patient-care/aboriginal-maternity-services" TargetMode="External"/><Relationship Id="rId278" Type="http://schemas.openxmlformats.org/officeDocument/2006/relationships/hyperlink" Target="https://www.safercare.vic.gov.au/publications/victorian-perinatal-services-performance-indicators-2020-21" TargetMode="External"/><Relationship Id="rId401" Type="http://schemas.openxmlformats.org/officeDocument/2006/relationships/hyperlink" Target="mailto:Digital.Health.Incident.Notification@health.vic.gov.au" TargetMode="External"/><Relationship Id="rId443" Type="http://schemas.openxmlformats.org/officeDocument/2006/relationships/hyperlink" Target="https://www.health.vic.gov.au/data-reporting/health-data-standards-and-systems-hdss-forms" TargetMode="External"/><Relationship Id="rId303" Type="http://schemas.openxmlformats.org/officeDocument/2006/relationships/hyperlink" Target="https://www.health.vic.gov.au/mental-health-and-wellbeing-act-handbook/treatments-and-interventions/restrictive-interventions" TargetMode="External"/><Relationship Id="rId485" Type="http://schemas.openxmlformats.org/officeDocument/2006/relationships/hyperlink" Target="https://dhhsvicgovau.sharepoint.com/sites/OCP" TargetMode="External"/><Relationship Id="rId42" Type="http://schemas.openxmlformats.org/officeDocument/2006/relationships/hyperlink" Target="https://www.health.vic.gov.au/patient-care/pharmaceuticals-benefits-scheme-victorias-public-hospitals" TargetMode="External"/><Relationship Id="rId84" Type="http://schemas.openxmlformats.org/officeDocument/2006/relationships/hyperlink" Target="https://www.health.vic.gov.au/community-health/community-health-integrated-program-chip-guidelines" TargetMode="External"/><Relationship Id="rId138" Type="http://schemas.openxmlformats.org/officeDocument/2006/relationships/hyperlink" Target="https://www.bettersafercare.vic.gov.au/publications/policy-adverse-patient-safety-events" TargetMode="External"/><Relationship Id="rId345" Type="http://schemas.openxmlformats.org/officeDocument/2006/relationships/hyperlink" Target="https://www.health.vic.gov.au/data-reporting/agency-information-management-system-aims" TargetMode="External"/><Relationship Id="rId387" Type="http://schemas.openxmlformats.org/officeDocument/2006/relationships/hyperlink" Target="https://www.boards.vic.gov.au/directors-duties-respect-climate-risk" TargetMode="External"/><Relationship Id="rId510" Type="http://schemas.openxmlformats.org/officeDocument/2006/relationships/hyperlink" Target="https://www.health.vic.gov.au/publications/community-health-health-promotion-2025-29" TargetMode="External"/><Relationship Id="rId552" Type="http://schemas.openxmlformats.org/officeDocument/2006/relationships/hyperlink" Target="https://www.health.vic.gov.au/home-and-community-care/hacc-program-for-younger-people" TargetMode="External"/><Relationship Id="rId594" Type="http://schemas.openxmlformats.org/officeDocument/2006/relationships/hyperlink" Target="https://www.health.vic.gov.au/community-health/healthy-mothers-healthy-babies" TargetMode="External"/><Relationship Id="rId608" Type="http://schemas.openxmlformats.org/officeDocument/2006/relationships/fontTable" Target="fontTable.xml"/><Relationship Id="rId191" Type="http://schemas.openxmlformats.org/officeDocument/2006/relationships/hyperlink" Target="https://www.ceh.org.au" TargetMode="External"/><Relationship Id="rId205" Type="http://schemas.openxmlformats.org/officeDocument/2006/relationships/hyperlink" Target="https://www.health.vic.gov.au/populations/refugee-and-asylum-seeker-health-and-wellbeing" TargetMode="External"/><Relationship Id="rId247" Type="http://schemas.openxmlformats.org/officeDocument/2006/relationships/hyperlink" Target="https://www.ndiscommission.gov.au/providers/becoming-registered-provider" TargetMode="External"/><Relationship Id="rId412" Type="http://schemas.openxmlformats.org/officeDocument/2006/relationships/hyperlink" Target="https://providers.dffh.vic.gov.au/fire-risk-management-procedures-and-guidelines" TargetMode="External"/><Relationship Id="rId107" Type="http://schemas.openxmlformats.org/officeDocument/2006/relationships/hyperlink" Target="https://www.health.vic.gov.au/statewide-referral-criteria/dysplasiaabnormal-cervical-screening-test" TargetMode="External"/><Relationship Id="rId289" Type="http://schemas.openxmlformats.org/officeDocument/2006/relationships/hyperlink" Target="https://www.blood.gov.au/clinical-guidance/patient-blood-management" TargetMode="External"/><Relationship Id="rId454" Type="http://schemas.openxmlformats.org/officeDocument/2006/relationships/hyperlink" Target="https://www.health.vic.gov.au/data-reporting/victorian-cost-data-collection-vcdc" TargetMode="External"/><Relationship Id="rId496" Type="http://schemas.openxmlformats.org/officeDocument/2006/relationships/hyperlink" Target="https://dhhsvicgovau.sharepoint.com/sites/OCP" TargetMode="External"/><Relationship Id="rId11" Type="http://schemas.openxmlformats.org/officeDocument/2006/relationships/image" Target="media/image1.jpg"/><Relationship Id="rId53" Type="http://schemas.openxmlformats.org/officeDocument/2006/relationships/hyperlink" Target="https://www.health.vic.gov.au/mental-health-services/mental-health-and-wellbeing-locals" TargetMode="External"/><Relationship Id="rId149" Type="http://schemas.openxmlformats.org/officeDocument/2006/relationships/hyperlink" Target="https://www.vic.gov.au/ageing-well-action-plan" TargetMode="External"/><Relationship Id="rId314" Type="http://schemas.openxmlformats.org/officeDocument/2006/relationships/hyperlink" Target="https://www.health.vic.gov.au/mental-health-and-wellbeing-act-handbook/treatments-and-interventions/restrictive-interventions" TargetMode="External"/><Relationship Id="rId356" Type="http://schemas.openxmlformats.org/officeDocument/2006/relationships/hyperlink" Target="https://uat.vicniss.org.au/about/surveillance-activities-in-our-hospitals/vicniss-surveillance-activities-in-our-hospitals/" TargetMode="External"/><Relationship Id="rId398" Type="http://schemas.openxmlformats.org/officeDocument/2006/relationships/hyperlink" Target="mailto:HIEprogram@health.vic.gov.au" TargetMode="External"/><Relationship Id="rId521" Type="http://schemas.openxmlformats.org/officeDocument/2006/relationships/hyperlink" Target="https://www.health.vic.gov.au/local-public-health-units" TargetMode="External"/><Relationship Id="rId563" Type="http://schemas.openxmlformats.org/officeDocument/2006/relationships/hyperlink" Target="https://www.health.vic.gov.au/ageing-and-aged-care" TargetMode="External"/><Relationship Id="rId95" Type="http://schemas.openxmlformats.org/officeDocument/2006/relationships/hyperlink" Target="https://www.health.vic.gov.au/preventive-health/healthy-choices" TargetMode="External"/><Relationship Id="rId160" Type="http://schemas.openxmlformats.org/officeDocument/2006/relationships/hyperlink" Target="https://www.health.vic.gov.au/publications/aboriginal-cultural-safety-fixed-grant-guidelines-cultural-safety-planning-and" TargetMode="External"/><Relationship Id="rId216" Type="http://schemas.openxmlformats.org/officeDocument/2006/relationships/hyperlink" Target="https://www.health.vic.gov.au/patient-care/capability-frameworks-for-maternity-and-newborn-care-in-victoria" TargetMode="External"/><Relationship Id="rId423" Type="http://schemas.openxmlformats.org/officeDocument/2006/relationships/hyperlink" Target="https://www.health.vic.gov.au/data-reporting/annual-changes" TargetMode="External"/><Relationship Id="rId258" Type="http://schemas.openxmlformats.org/officeDocument/2006/relationships/hyperlink" Target="https://www.health.vic.gov.au/patient-care/transition-care-program" TargetMode="External"/><Relationship Id="rId465" Type="http://schemas.openxmlformats.org/officeDocument/2006/relationships/hyperlink" Target="https://www.safercare.vic.gov.au/councils/CCOPMM" TargetMode="External"/><Relationship Id="rId22" Type="http://schemas.openxmlformats.org/officeDocument/2006/relationships/hyperlink" Target="https://fac.dffh.vic.gov.au/service-agreement" TargetMode="External"/><Relationship Id="rId64" Type="http://schemas.openxmlformats.org/officeDocument/2006/relationships/hyperlink" Target="https://www.health.vic.gov.au/suicide-prevention/distress-support-service" TargetMode="External"/><Relationship Id="rId118" Type="http://schemas.openxmlformats.org/officeDocument/2006/relationships/hyperlink" Target="https://www.ahpra.gov.au/" TargetMode="External"/><Relationship Id="rId325" Type="http://schemas.openxmlformats.org/officeDocument/2006/relationships/hyperlink" Target="https://www.health.vic.gov.au/aod-service-standards-guidelines/alcohol-and-other-drug-client-charter-and-resources" TargetMode="External"/><Relationship Id="rId367" Type="http://schemas.openxmlformats.org/officeDocument/2006/relationships/hyperlink" Target="https://www.health.vic.gov.au/supporting-independent-living/supporting-people-in-care-relationships" TargetMode="External"/><Relationship Id="rId532" Type="http://schemas.openxmlformats.org/officeDocument/2006/relationships/hyperlink" Target="https://www.health.vic.gov.au/victorian-health-and-wellbeing-plan" TargetMode="External"/><Relationship Id="rId574" Type="http://schemas.openxmlformats.org/officeDocument/2006/relationships/hyperlink" Target="https://www.health.vic.gov.au/community-health/young-people-who-are-homeless-or-at-risk" TargetMode="External"/><Relationship Id="rId171" Type="http://schemas.openxmlformats.org/officeDocument/2006/relationships/hyperlink" Target="https://www.health.vic.gov.au/populations/understanding-lesbian-gay-bisexual-transgender-and-intersex-health" TargetMode="External"/><Relationship Id="rId227" Type="http://schemas.openxmlformats.org/officeDocument/2006/relationships/hyperlink" Target="https://www.health.vic.gov.au/patient-care/capability-frameworks-for-maternity-and-newborn-care-in-victoria" TargetMode="External"/><Relationship Id="rId269" Type="http://schemas.openxmlformats.org/officeDocument/2006/relationships/hyperlink" Target="https://www.vic.gov.au/information-sharing-schemes-and-the-maram-framework" TargetMode="External"/><Relationship Id="rId434" Type="http://schemas.openxmlformats.org/officeDocument/2006/relationships/hyperlink" Target="mailto:hdss.helpdesk@health.vic.gov.au" TargetMode="External"/><Relationship Id="rId476" Type="http://schemas.openxmlformats.org/officeDocument/2006/relationships/hyperlink" Target="https://vahi.vic.gov.au/reports/victorian-health-services-performance/mental-health" TargetMode="External"/><Relationship Id="rId33" Type="http://schemas.openxmlformats.org/officeDocument/2006/relationships/hyperlink" Target="https://www.rch.org.au/vihsp/" TargetMode="External"/><Relationship Id="rId129" Type="http://schemas.openxmlformats.org/officeDocument/2006/relationships/hyperlink" Target="https://www.legislation.vic.gov.au/in-force/acts/occupational-health-and-safety-act-2004/044" TargetMode="External"/><Relationship Id="rId280" Type="http://schemas.openxmlformats.org/officeDocument/2006/relationships/hyperlink" Target="mailto:victor@safercare.vic.gov.au" TargetMode="External"/><Relationship Id="rId336" Type="http://schemas.openxmlformats.org/officeDocument/2006/relationships/hyperlink" Target="https://www.vic.gov.au/social-services-regulator-social-services-standards" TargetMode="External"/><Relationship Id="rId501" Type="http://schemas.openxmlformats.org/officeDocument/2006/relationships/hyperlink" Target="https://www.health.vic.gov.au/funding-and-reporting-aod-services/victorian-alcohol-and-drug-collection-vadc" TargetMode="External"/><Relationship Id="rId543" Type="http://schemas.openxmlformats.org/officeDocument/2006/relationships/hyperlink" Target="https://www.health.vic.gov.au/ageing-and-aged-care" TargetMode="External"/><Relationship Id="rId75" Type="http://schemas.openxmlformats.org/officeDocument/2006/relationships/hyperlink" Target="https://www.health.vic.gov.au/supporting-independent-living/personal-alert-victoria" TargetMode="External"/><Relationship Id="rId140" Type="http://schemas.openxmlformats.org/officeDocument/2006/relationships/hyperlink" Target="https://www.vic.gov.au/safe-and-strong-victorian-gender-equality" TargetMode="External"/><Relationship Id="rId182" Type="http://schemas.openxmlformats.org/officeDocument/2006/relationships/hyperlink" Target="https://vulnerablechildren.kineoportal.com.au" TargetMode="External"/><Relationship Id="rId378" Type="http://schemas.openxmlformats.org/officeDocument/2006/relationships/hyperlink" Target="https://www.climatechange.vic.gov.au/victorian-government-action-on-climate-change" TargetMode="External"/><Relationship Id="rId403" Type="http://schemas.openxmlformats.org/officeDocument/2006/relationships/hyperlink" Target="https://developer.digitalhealth.gov.au/?from=corporate" TargetMode="External"/><Relationship Id="rId585" Type="http://schemas.openxmlformats.org/officeDocument/2006/relationships/hyperlink" Target="https://www.health.vic.gov.au/publications/language-services-policy" TargetMode="External"/><Relationship Id="rId6" Type="http://schemas.openxmlformats.org/officeDocument/2006/relationships/styles" Target="styles.xml"/><Relationship Id="rId238" Type="http://schemas.openxmlformats.org/officeDocument/2006/relationships/hyperlink" Target="https://www.health.vic.gov.au/patient-care/hospital-in-the-home" TargetMode="External"/><Relationship Id="rId445" Type="http://schemas.openxmlformats.org/officeDocument/2006/relationships/hyperlink" Target="mailto:hdss.helpdesk@health.vic.gov.au" TargetMode="External"/><Relationship Id="rId487" Type="http://schemas.openxmlformats.org/officeDocument/2006/relationships/hyperlink" Target="https://www.health.vic.gov.au/chief-psychiatrist/reportable-deaths-mental-health-and-wellbeing-act-2022" TargetMode="External"/><Relationship Id="rId610" Type="http://schemas.microsoft.com/office/2019/05/relationships/documenttasks" Target="documenttasks/documenttasks1.xml"/><Relationship Id="rId291" Type="http://schemas.openxmlformats.org/officeDocument/2006/relationships/hyperlink" Target="https://www.blood.gov.au/sites/default/files/documents/2025-09/National%20Guidance%20for%20the%20Management%20of%20Red%20Blood%20Cell%20Inventory.pdf" TargetMode="External"/><Relationship Id="rId305" Type="http://schemas.openxmlformats.org/officeDocument/2006/relationships/hyperlink" Target="https://www.health.vic.gov.au/mental-health/working-with-consumers-and-carers" TargetMode="External"/><Relationship Id="rId347" Type="http://schemas.openxmlformats.org/officeDocument/2006/relationships/hyperlink" Target="mailto:dutyofcandour@health.vic.gov.au" TargetMode="External"/><Relationship Id="rId512" Type="http://schemas.openxmlformats.org/officeDocument/2006/relationships/hyperlink" Target="https://www.health.vic.gov.au/education-and-training/training-and-development-funding" TargetMode="External"/><Relationship Id="rId44" Type="http://schemas.openxmlformats.org/officeDocument/2006/relationships/hyperlink" Target="https://www.pbs.gov.au/info/publication/factsheets/hep-c/hepc-factsheet-hospital-prescribers-dispensers" TargetMode="External"/><Relationship Id="rId86" Type="http://schemas.openxmlformats.org/officeDocument/2006/relationships/hyperlink" Target="https://www.health.vic.gov.au/community-health/community-health-fees-schedule-and-income-ranges" TargetMode="External"/><Relationship Id="rId151" Type="http://schemas.openxmlformats.org/officeDocument/2006/relationships/hyperlink" Target="https://www.vaccho.org.au/ahwpf/" TargetMode="External"/><Relationship Id="rId389" Type="http://schemas.openxmlformats.org/officeDocument/2006/relationships/hyperlink" Target="https://www.vmia.vic.gov.au/understanding-victorian-climate-change-risk-management-expectations" TargetMode="External"/><Relationship Id="rId554" Type="http://schemas.openxmlformats.org/officeDocument/2006/relationships/hyperlink" Target="https://www.health.vic.gov.au/home-and-community-care/hacc-program-for-younger-people" TargetMode="External"/><Relationship Id="rId596" Type="http://schemas.openxmlformats.org/officeDocument/2006/relationships/hyperlink" Target="https://www.health.vic.gov.au/community-health/community-health-integrated-program-chip-guidelines" TargetMode="External"/><Relationship Id="rId193" Type="http://schemas.openxmlformats.org/officeDocument/2006/relationships/hyperlink" Target="https://vtmh.org.au" TargetMode="External"/><Relationship Id="rId207" Type="http://schemas.openxmlformats.org/officeDocument/2006/relationships/hyperlink" Target="https://www.healthtranslations.vic.gov.au" TargetMode="External"/><Relationship Id="rId249" Type="http://schemas.openxmlformats.org/officeDocument/2006/relationships/hyperlink" Target="https://www.health.vic.gov.au/hospitals-and-health-services/patient-fees-and-charges-for-public-health-services" TargetMode="External"/><Relationship Id="rId414" Type="http://schemas.openxmlformats.org/officeDocument/2006/relationships/hyperlink" Target="mailto:Digital.Health.Incident.Notification@health.vic.gov.au" TargetMode="External"/><Relationship Id="rId456" Type="http://schemas.openxmlformats.org/officeDocument/2006/relationships/hyperlink" Target="https://www.health.vic.gov.au/data-reporting/victorian-cost-data-collection-vcdc" TargetMode="External"/><Relationship Id="rId498" Type="http://schemas.openxmlformats.org/officeDocument/2006/relationships/hyperlink" Target="https://www.health.vic.gov.au/publications/chief-psychiatrists-guideline-on-electroconvulsive-treatment" TargetMode="External"/><Relationship Id="rId13" Type="http://schemas.openxmlformats.org/officeDocument/2006/relationships/footer" Target="footer2.xml"/><Relationship Id="rId109" Type="http://schemas.openxmlformats.org/officeDocument/2006/relationships/hyperlink" Target="https://www.health.gov.au/our-work/nlcsp?language=en" TargetMode="External"/><Relationship Id="rId260" Type="http://schemas.openxmlformats.org/officeDocument/2006/relationships/hyperlink" Target="https://www.health.vic.gov.au/publications/managing-referrals-to-non-admitted-specialist-services-in-victorian-public-health" TargetMode="External"/><Relationship Id="rId316" Type="http://schemas.openxmlformats.org/officeDocument/2006/relationships/hyperlink" Target="https://www.health.vic.gov.au/chief-psychiatrist" TargetMode="External"/><Relationship Id="rId523" Type="http://schemas.openxmlformats.org/officeDocument/2006/relationships/hyperlink" Target="https://www.emv.vic.gov.au/responsibilities/semp-sub-plans/semp-viral-respiratory-pandemic-sub-plan" TargetMode="External"/><Relationship Id="rId55" Type="http://schemas.openxmlformats.org/officeDocument/2006/relationships/hyperlink" Target="https://www.health.vic.gov.au/mental-health-services/secure-extended-care-units" TargetMode="External"/><Relationship Id="rId97" Type="http://schemas.openxmlformats.org/officeDocument/2006/relationships/hyperlink" Target="https://heas.health.vic.gov.au" TargetMode="External"/><Relationship Id="rId120" Type="http://schemas.openxmlformats.org/officeDocument/2006/relationships/hyperlink" Target="https://www.health.vic.gov.au/health-workforce/education-and-training" TargetMode="External"/><Relationship Id="rId358" Type="http://schemas.openxmlformats.org/officeDocument/2006/relationships/hyperlink" Target="https://www.safetyandquality.gov.au/clinical-topics/infection-prevention-and-control/national-hand-hygiene-initiative" TargetMode="External"/><Relationship Id="rId565" Type="http://schemas.openxmlformats.org/officeDocument/2006/relationships/hyperlink" Target="https://www.health.gov.au/health-topics/aged-care" TargetMode="External"/><Relationship Id="rId162" Type="http://schemas.openxmlformats.org/officeDocument/2006/relationships/hyperlink" Target="https://www.health.vic.gov.au/publications/aboriginal-and-torres-strait-islander-cultural-safety-framework-part-1" TargetMode="External"/><Relationship Id="rId218" Type="http://schemas.openxmlformats.org/officeDocument/2006/relationships/hyperlink" Target="https://www.health.vic.gov.au/patient-care/surgical-services" TargetMode="External"/><Relationship Id="rId425" Type="http://schemas.openxmlformats.org/officeDocument/2006/relationships/hyperlink" Target="https://www.health.vic.gov.au/data-reporting/annual-changes" TargetMode="External"/><Relationship Id="rId467" Type="http://schemas.openxmlformats.org/officeDocument/2006/relationships/hyperlink" Target="https://anzscts.org/database/about/" TargetMode="External"/><Relationship Id="rId271" Type="http://schemas.openxmlformats.org/officeDocument/2006/relationships/hyperlink" Target="https://www.vic.gov.au/report-implementation-family-violence-risk-assessment-and-management-framework-2021-22/appendix-1" TargetMode="External"/><Relationship Id="rId24" Type="http://schemas.openxmlformats.org/officeDocument/2006/relationships/hyperlink" Target="https://www.health.vic.gov.au/patient-care/nationally-funded-centres" TargetMode="External"/><Relationship Id="rId66" Type="http://schemas.openxmlformats.org/officeDocument/2006/relationships/hyperlink" Target="https://suicideline.org.au" TargetMode="External"/><Relationship Id="rId131" Type="http://schemas.openxmlformats.org/officeDocument/2006/relationships/hyperlink" Target="https://www.vic.gov.au/social-services-regulator" TargetMode="External"/><Relationship Id="rId327" Type="http://schemas.openxmlformats.org/officeDocument/2006/relationships/hyperlink" Target="https://www.health.vic.gov.au/alcohol-other-drugs" TargetMode="External"/><Relationship Id="rId369" Type="http://schemas.openxmlformats.org/officeDocument/2006/relationships/hyperlink" Target="https://hcc.vic.gov.au/" TargetMode="External"/><Relationship Id="rId534" Type="http://schemas.openxmlformats.org/officeDocument/2006/relationships/hyperlink" Target="https://www.health.gov.au/resources/publications/my-aged-care-assessment-manual?language=en" TargetMode="External"/><Relationship Id="rId576" Type="http://schemas.openxmlformats.org/officeDocument/2006/relationships/hyperlink" Target="https://www.health.vic.gov.au/victorian-health-and-wellbeing-plan" TargetMode="External"/><Relationship Id="rId173" Type="http://schemas.openxmlformats.org/officeDocument/2006/relationships/hyperlink" Target="mailto:LGBTIQSecretariat@health.vic.gov.au" TargetMode="External"/><Relationship Id="rId229" Type="http://schemas.openxmlformats.org/officeDocument/2006/relationships/hyperlink" Target="https://www.vmia.vic.gov.au/risk-advisory/harm-prevention/incentivising-better-patient-safety" TargetMode="External"/><Relationship Id="rId380" Type="http://schemas.openxmlformats.org/officeDocument/2006/relationships/hyperlink" Target="https://www.climatechange.vic.gov.au/victorian-government-action-on-climate-change/government-environmental-reporting" TargetMode="External"/><Relationship Id="rId436" Type="http://schemas.openxmlformats.org/officeDocument/2006/relationships/hyperlink" Target="https://www.health.vic.gov.au/data-reporting/victorian-emergency-minimum-dataset-vemd" TargetMode="External"/><Relationship Id="rId601" Type="http://schemas.openxmlformats.org/officeDocument/2006/relationships/hyperlink" Target="https://dhhsvicgovau-my.sharepoint.com/personal/alysha_murphy_health_vic_gov_au/Documents/Desktop/Healthy%20Choices" TargetMode="External"/><Relationship Id="rId240" Type="http://schemas.openxmlformats.org/officeDocument/2006/relationships/hyperlink" Target="https://www.health.vic.gov.au/patient-care/access-to-specialist-clinics-in-victoria" TargetMode="External"/><Relationship Id="rId478" Type="http://schemas.openxmlformats.org/officeDocument/2006/relationships/hyperlink" Target="https://www.health.vic.gov.au/research-and-reporting/reporting-requirements-and-business-rules-for-clinical-mental-health" TargetMode="External"/><Relationship Id="rId35" Type="http://schemas.openxmlformats.org/officeDocument/2006/relationships/hyperlink" Target="https://www.blood.gov.au/australian-health-ministers-conference-statement-national-stewardship-expectations-supply-blood-and-blood-products" TargetMode="External"/><Relationship Id="rId77" Type="http://schemas.openxmlformats.org/officeDocument/2006/relationships/hyperlink" Target="https://www.health.vic.gov.au/community-health/community-health-data-reporting" TargetMode="External"/><Relationship Id="rId100" Type="http://schemas.openxmlformats.org/officeDocument/2006/relationships/hyperlink" Target="https://www.health.vic.gov.au/primary-care/victorian-eyecare-service" TargetMode="External"/><Relationship Id="rId282" Type="http://schemas.openxmlformats.org/officeDocument/2006/relationships/hyperlink" Target="https://www.health.vic.gov.au/patient-care/emergency-referral-and-retrieval-for-pregnant-women-newborns-and-children" TargetMode="External"/><Relationship Id="rId338" Type="http://schemas.openxmlformats.org/officeDocument/2006/relationships/hyperlink" Target="http://www.vhimscentral.vic.gov.au" TargetMode="External"/><Relationship Id="rId503" Type="http://schemas.openxmlformats.org/officeDocument/2006/relationships/hyperlink" Target="mailto:AOD.enquiries@health.vic.gov.au" TargetMode="External"/><Relationship Id="rId545" Type="http://schemas.openxmlformats.org/officeDocument/2006/relationships/hyperlink" Target="https://www.health.vic.gov.au/publications/language-services-policy" TargetMode="External"/><Relationship Id="rId587" Type="http://schemas.openxmlformats.org/officeDocument/2006/relationships/hyperlink" Target="https://www.health.vic.gov.au/community-health/community-health-integrated-program-chip-guidelines" TargetMode="External"/><Relationship Id="rId8" Type="http://schemas.openxmlformats.org/officeDocument/2006/relationships/webSettings" Target="webSettings.xml"/><Relationship Id="rId142" Type="http://schemas.openxmlformats.org/officeDocument/2006/relationships/hyperlink" Target="https://www.health.vic.gov.au/multicultural-health-action-plan-2023-27" TargetMode="External"/><Relationship Id="rId184" Type="http://schemas.openxmlformats.org/officeDocument/2006/relationships/hyperlink" Target="https://www.health.vic.gov.au/multicultural-health-action-plan-2023-27" TargetMode="External"/><Relationship Id="rId391" Type="http://schemas.openxmlformats.org/officeDocument/2006/relationships/hyperlink" Target="https://www.nabers.gov.au/news/nabers-sustainable-portfolios-index-2024-confirms-top-performers" TargetMode="External"/><Relationship Id="rId405" Type="http://schemas.openxmlformats.org/officeDocument/2006/relationships/hyperlink" Target="https://infostore.saiglobal.com/en-au/Standards/HB-158-2010-129591_SAIG_AS_AS_274229" TargetMode="External"/><Relationship Id="rId447" Type="http://schemas.openxmlformats.org/officeDocument/2006/relationships/hyperlink" Target="https://www.health.vic.gov.au/data-reporting/victorian-integrated-non-admitted-health-vinah-dataset" TargetMode="External"/><Relationship Id="rId251" Type="http://schemas.openxmlformats.org/officeDocument/2006/relationships/hyperlink" Target="https://www.health.vic.gov.au/patient-care/rehabilitation-and-complex-care" TargetMode="External"/><Relationship Id="rId489" Type="http://schemas.openxmlformats.org/officeDocument/2006/relationships/hyperlink" Target="https://www.safercare.vic.gov.au/publications/policy-adverse-patient-safety-events" TargetMode="External"/><Relationship Id="rId46" Type="http://schemas.openxmlformats.org/officeDocument/2006/relationships/hyperlink" Target="https://www.health.vic.gov.au/mental-health-wellbeing-reform/our-next-phase" TargetMode="External"/><Relationship Id="rId293" Type="http://schemas.openxmlformats.org/officeDocument/2006/relationships/hyperlink" Target="https://www.safetyandquality.gov.au/standards/nsqhs-standards" TargetMode="External"/><Relationship Id="rId307" Type="http://schemas.openxmlformats.org/officeDocument/2006/relationships/hyperlink" Target="https://www.health.vic.gov.au/mental-health-and-wellbeing-act-handbook/supported-decision-making/mental-health-advocacy-non-legal" TargetMode="External"/><Relationship Id="rId349" Type="http://schemas.openxmlformats.org/officeDocument/2006/relationships/hyperlink" Target="https://vahi.vic.gov.au/" TargetMode="External"/><Relationship Id="rId514" Type="http://schemas.openxmlformats.org/officeDocument/2006/relationships/hyperlink" Target="https://www.climatechange.vic.gov.au/victorian-government-action-on-climate-change/government-environmental-reporting" TargetMode="External"/><Relationship Id="rId556" Type="http://schemas.openxmlformats.org/officeDocument/2006/relationships/hyperlink" Target="https://www.health.gov.au/resources/publications/my-aged-care-integrated-assessment-tool-iat-user-guide?language=en" TargetMode="External"/><Relationship Id="rId88" Type="http://schemas.openxmlformats.org/officeDocument/2006/relationships/hyperlink" Target="https://www.health.vic.gov.au/primary-and-community-health/dental-health" TargetMode="External"/><Relationship Id="rId111" Type="http://schemas.openxmlformats.org/officeDocument/2006/relationships/hyperlink" Target="http://www.breastscreen.org.au" TargetMode="External"/><Relationship Id="rId153" Type="http://schemas.openxmlformats.org/officeDocument/2006/relationships/hyperlink" Target="https://www.health.vic.gov.au/health-strategies/aboriginal-and-torres-strait-islander-cultural-safety" TargetMode="External"/><Relationship Id="rId195" Type="http://schemas.openxmlformats.org/officeDocument/2006/relationships/hyperlink" Target="https://www.rch.org.au/immigranthealth" TargetMode="External"/><Relationship Id="rId209" Type="http://schemas.openxmlformats.org/officeDocument/2006/relationships/hyperlink" Target="https://ceh.org.au" TargetMode="External"/><Relationship Id="rId360" Type="http://schemas.openxmlformats.org/officeDocument/2006/relationships/hyperlink" Target="https://www.australianclinicaltrials.gov.au/about/igprg" TargetMode="External"/><Relationship Id="rId416" Type="http://schemas.openxmlformats.org/officeDocument/2006/relationships/hyperlink" Target="https://www.ibac.vic.gov.au/mandatory-notifications" TargetMode="External"/><Relationship Id="rId598" Type="http://schemas.openxmlformats.org/officeDocument/2006/relationships/hyperlink" Target="https://www.health.vic.gov.au/preventive-health/programs-and-services-for-sexual-health-and-viral-hepatitis" TargetMode="External"/><Relationship Id="rId220" Type="http://schemas.openxmlformats.org/officeDocument/2006/relationships/hyperlink" Target="https://www.health.vic.gov.au/data-reporting/elective-surgery-information-system-esis" TargetMode="External"/><Relationship Id="rId458" Type="http://schemas.openxmlformats.org/officeDocument/2006/relationships/hyperlink" Target="https://www.health.vic.gov.au/publications/victorian-health-incident-management-system-minimum-dataset" TargetMode="External"/><Relationship Id="rId15" Type="http://schemas.openxmlformats.org/officeDocument/2006/relationships/footer" Target="footer3.xml"/><Relationship Id="rId57" Type="http://schemas.openxmlformats.org/officeDocument/2006/relationships/hyperlink" Target="https://www.wren.org.au/" TargetMode="External"/><Relationship Id="rId262" Type="http://schemas.openxmlformats.org/officeDocument/2006/relationships/hyperlink" Target="https://www.health.vic.gov.au/publications/planning-the-future-of-victorias-subacute-service-system-a-capability-and-access" TargetMode="External"/><Relationship Id="rId318" Type="http://schemas.openxmlformats.org/officeDocument/2006/relationships/hyperlink" Target="https://fac.dffh.vic.gov.au" TargetMode="External"/><Relationship Id="rId525" Type="http://schemas.openxmlformats.org/officeDocument/2006/relationships/hyperlink" Target="https://www.health.gov.au/health-topics/aged-care/aged-care-resources" TargetMode="External"/><Relationship Id="rId567" Type="http://schemas.openxmlformats.org/officeDocument/2006/relationships/hyperlink" Target="https://www.agedcarequality.gov.au/" TargetMode="External"/><Relationship Id="rId99" Type="http://schemas.openxmlformats.org/officeDocument/2006/relationships/hyperlink" Target="https://www.vickidseatwell.health.vic.gov.au" TargetMode="External"/><Relationship Id="rId122" Type="http://schemas.openxmlformats.org/officeDocument/2006/relationships/hyperlink" Target="https://www.health.vic.gov.au/publications/hospital-access-for-people-seeking-asylum" TargetMode="External"/><Relationship Id="rId164" Type="http://schemas.openxmlformats.org/officeDocument/2006/relationships/hyperlink" Target="https://www.health.vic.gov.au/victorian-health-workforce-strategy" TargetMode="External"/><Relationship Id="rId371" Type="http://schemas.openxmlformats.org/officeDocument/2006/relationships/hyperlink" Target="https://www.austlii.edu.au/cgi-bin/viewdoc/au/other/VicOmbPRp/2008/4.html" TargetMode="External"/><Relationship Id="rId427" Type="http://schemas.openxmlformats.org/officeDocument/2006/relationships/hyperlink" Target="mailto:hdss.helpdesk@health.vic.gov.au" TargetMode="External"/><Relationship Id="rId469" Type="http://schemas.openxmlformats.org/officeDocument/2006/relationships/hyperlink" Target="https://auscr.com.au/" TargetMode="External"/><Relationship Id="rId26" Type="http://schemas.openxmlformats.org/officeDocument/2006/relationships/hyperlink" Target="https://www.health.vic.gov.au/highly-specialised-therapies-program" TargetMode="External"/><Relationship Id="rId231" Type="http://schemas.openxmlformats.org/officeDocument/2006/relationships/hyperlink" Target="https://reach.vic.gov.au/" TargetMode="External"/><Relationship Id="rId273" Type="http://schemas.openxmlformats.org/officeDocument/2006/relationships/hyperlink" Target="https://www.health.vic.gov.au/health-workforce/worker-health-and-wellbeing-in-victorian-health-services" TargetMode="External"/><Relationship Id="rId329" Type="http://schemas.openxmlformats.org/officeDocument/2006/relationships/hyperlink" Target="https://www.health.vic.gov.au/local-public-health-units" TargetMode="External"/><Relationship Id="rId480" Type="http://schemas.openxmlformats.org/officeDocument/2006/relationships/hyperlink" Target="https://www.health.vic.gov.au/practice-and-service-quality/mental-health-triage-service" TargetMode="External"/><Relationship Id="rId536" Type="http://schemas.openxmlformats.org/officeDocument/2006/relationships/hyperlink" Target="https://www.health.gov.au/resources/publications/aged-care-assessment-quality-framework?language=en" TargetMode="External"/><Relationship Id="rId68" Type="http://schemas.openxmlformats.org/officeDocument/2006/relationships/hyperlink" Target="https://www.health.vic.gov.au/mental-health-wellbeing-reform/a-shared-vision-for-aboriginal-social-and-emotional-wellbeing-in" TargetMode="External"/><Relationship Id="rId133" Type="http://schemas.openxmlformats.org/officeDocument/2006/relationships/hyperlink" Target="https://www.vic.gov.au/child-information-sharing-scheme" TargetMode="External"/><Relationship Id="rId175" Type="http://schemas.openxmlformats.org/officeDocument/2006/relationships/hyperlink" Target="https://www.yourch.org.au/service-access/trans-and-gender-diverse-health" TargetMode="External"/><Relationship Id="rId340" Type="http://schemas.openxmlformats.org/officeDocument/2006/relationships/hyperlink" Target="https://www.safercare.vic.gov.au/notify-us/sentinel-events/notify-and-review-a-sentinel-event" TargetMode="External"/><Relationship Id="rId578" Type="http://schemas.openxmlformats.org/officeDocument/2006/relationships/hyperlink" Target="https://www.health.vic.gov.au/publications/healthy-choices-policy-directive-and-guidelines-for-health-services" TargetMode="External"/><Relationship Id="rId200" Type="http://schemas.openxmlformats.org/officeDocument/2006/relationships/hyperlink" Target="https://foundationhouse.org.au" TargetMode="External"/><Relationship Id="rId382" Type="http://schemas.openxmlformats.org/officeDocument/2006/relationships/hyperlink" Target="https://cer.gov.au/schemes/national-greenhouse-and-energy-reporting-scheme" TargetMode="External"/><Relationship Id="rId438" Type="http://schemas.openxmlformats.org/officeDocument/2006/relationships/hyperlink" Target="https://www.health.vic.gov.au/data-reporting/health-data-standards-and-systems-hdss-forms" TargetMode="External"/><Relationship Id="rId603" Type="http://schemas.openxmlformats.org/officeDocument/2006/relationships/hyperlink" Target="https://www.health.vic.gov.au/publications/community-health-health-promotion-2021-25" TargetMode="External"/><Relationship Id="rId242" Type="http://schemas.openxmlformats.org/officeDocument/2006/relationships/hyperlink" Target="https://www.rch.org.au/vfpms" TargetMode="External"/><Relationship Id="rId284" Type="http://schemas.openxmlformats.org/officeDocument/2006/relationships/hyperlink" Target="mailto:culture.capability@safercare.vic.gov.au" TargetMode="External"/><Relationship Id="rId491" Type="http://schemas.openxmlformats.org/officeDocument/2006/relationships/hyperlink" Target="https://fac.dffh.vic.gov.au/incident-report-form-complete-hand" TargetMode="External"/><Relationship Id="rId505" Type="http://schemas.openxmlformats.org/officeDocument/2006/relationships/hyperlink" Target="https://www.health.vic.gov.au/local-public-health-units" TargetMode="External"/><Relationship Id="rId37" Type="http://schemas.openxmlformats.org/officeDocument/2006/relationships/hyperlink" Target="https://www.criteria.blood.gov.au" TargetMode="External"/><Relationship Id="rId79" Type="http://schemas.openxmlformats.org/officeDocument/2006/relationships/hyperlink" Target="https://www.safetyandquality.gov.au/standards/primary-and-community-healthcare" TargetMode="External"/><Relationship Id="rId102" Type="http://schemas.openxmlformats.org/officeDocument/2006/relationships/hyperlink" Target="https://www.health.vic.gov.au/publications/colonoscopy-categorisation-guidelines" TargetMode="External"/><Relationship Id="rId144" Type="http://schemas.openxmlformats.org/officeDocument/2006/relationships/hyperlink" Target="https://www.vic.gov.au/state-disability-plan" TargetMode="External"/><Relationship Id="rId547" Type="http://schemas.openxmlformats.org/officeDocument/2006/relationships/hyperlink" Target="https://www.firstpeoplesrelations.vic.gov.au/victorian-aboriginal-affairs-framework" TargetMode="External"/><Relationship Id="rId589" Type="http://schemas.openxmlformats.org/officeDocument/2006/relationships/hyperlink" Target="https://www.health.vic.gov.au/community-health/community-health-integrated-program-chip-guidelines" TargetMode="External"/><Relationship Id="rId90" Type="http://schemas.openxmlformats.org/officeDocument/2006/relationships/hyperlink" Target="https://www.health.vic.gov.au/smile-squad" TargetMode="External"/><Relationship Id="rId186" Type="http://schemas.openxmlformats.org/officeDocument/2006/relationships/hyperlink" Target="https://www.legislation.vic.gov.au/in-force/acts/multicultural-victoria-act-2011/002" TargetMode="External"/><Relationship Id="rId351" Type="http://schemas.openxmlformats.org/officeDocument/2006/relationships/hyperlink" Target="https://www.health.vic.gov.au/victorian-state-trauma-system/about-the-victorian-state-trauma-system" TargetMode="External"/><Relationship Id="rId393" Type="http://schemas.openxmlformats.org/officeDocument/2006/relationships/hyperlink" Target="https://www.cdc.gov.au/topics/climate-and-health" TargetMode="External"/><Relationship Id="rId407" Type="http://schemas.openxmlformats.org/officeDocument/2006/relationships/hyperlink" Target="https://www.vgls.vic.gov.au/client/en_AU/search/asset/1303701/0" TargetMode="External"/><Relationship Id="rId449" Type="http://schemas.openxmlformats.org/officeDocument/2006/relationships/hyperlink" Target="mailto:hdss.helpdesk@health.vic.gov.au" TargetMode="External"/><Relationship Id="rId211" Type="http://schemas.openxmlformats.org/officeDocument/2006/relationships/hyperlink" Target="https://www.health.vic.gov.au/health-system-design-planning/service-capability-frameworks-for-victoria" TargetMode="External"/><Relationship Id="rId253" Type="http://schemas.openxmlformats.org/officeDocument/2006/relationships/hyperlink" Target="https://www.agedcarequality.gov.au/strengthened-quality-standards" TargetMode="External"/><Relationship Id="rId295" Type="http://schemas.openxmlformats.org/officeDocument/2006/relationships/hyperlink" Target="https://www.health.vic.gov.au/patient-care/about-the-blood-matters-program" TargetMode="External"/><Relationship Id="rId309" Type="http://schemas.openxmlformats.org/officeDocument/2006/relationships/hyperlink" Target="https://www.health.vic.gov.au/mental-health-and-wellbeing-act-handbook/advance-statements-of-preferences" TargetMode="External"/><Relationship Id="rId460" Type="http://schemas.openxmlformats.org/officeDocument/2006/relationships/hyperlink" Target="https://vahi.vic.gov.au/reports/victorian-health-services-performance" TargetMode="External"/><Relationship Id="rId516" Type="http://schemas.openxmlformats.org/officeDocument/2006/relationships/hyperlink" Target="https://dse.edensuite.com.au/cas/login?service=https%3A%2F%2Fdse.edensuite.com.au%2FCarbonInsight%2Fj_spring_cas_security_check" TargetMode="External"/><Relationship Id="rId48" Type="http://schemas.openxmlformats.org/officeDocument/2006/relationships/hyperlink" Target="https://www.health.vic.gov.au/mental-health-wellbeing-reform/a-new-mental-health-and-wellbeing-outcomes-and-performance-framework" TargetMode="External"/><Relationship Id="rId113" Type="http://schemas.openxmlformats.org/officeDocument/2006/relationships/hyperlink" Target="https://www.health.vic.gov.au/maternal-child-health/early-parenting-centres" TargetMode="External"/><Relationship Id="rId320" Type="http://schemas.openxmlformats.org/officeDocument/2006/relationships/hyperlink" Target="https://www.health.vic.gov.au/key-staff/chief-psychiatrist-guidelines" TargetMode="External"/><Relationship Id="rId558" Type="http://schemas.openxmlformats.org/officeDocument/2006/relationships/hyperlink" Target="https://www.health.gov.au/resources/publications/guide-to-aged-care-law/chapter-2-entry-to-the-commonwealth-aged-care-system/who-is-eligible-for-aged-care-services?language=en" TargetMode="External"/><Relationship Id="rId155" Type="http://schemas.openxmlformats.org/officeDocument/2006/relationships/hyperlink" Target="https://www.vic.gov.au/diversity-victorian-government-board-guidelines" TargetMode="External"/><Relationship Id="rId197" Type="http://schemas.openxmlformats.org/officeDocument/2006/relationships/hyperlink" Target="https://www.health.vic.gov.au/populations/improving-health-for-victorians-from-culturally-and-linguistically-diverse-backgrounds" TargetMode="External"/><Relationship Id="rId362" Type="http://schemas.openxmlformats.org/officeDocument/2006/relationships/hyperlink" Target="https://www.safetyandquality.gov.au/national-standards/national-clinical-trials-governance-framework" TargetMode="External"/><Relationship Id="rId418" Type="http://schemas.openxmlformats.org/officeDocument/2006/relationships/hyperlink" Target="https://tableau.reporting.dhhs.vic.gov.au" TargetMode="External"/><Relationship Id="rId222" Type="http://schemas.openxmlformats.org/officeDocument/2006/relationships/hyperlink" Target="https://www.health.vic.gov.au/patient-care/specialist-clinics-resources" TargetMode="External"/><Relationship Id="rId264" Type="http://schemas.openxmlformats.org/officeDocument/2006/relationships/hyperlink" Target="https://www.health.vic.gov.au/patient-care/palliative-care-program" TargetMode="External"/><Relationship Id="rId471" Type="http://schemas.openxmlformats.org/officeDocument/2006/relationships/hyperlink" Target="https://results.vhes.com.au" TargetMode="External"/><Relationship Id="rId17" Type="http://schemas.openxmlformats.org/officeDocument/2006/relationships/footer" Target="footer5.xml"/><Relationship Id="rId59" Type="http://schemas.openxmlformats.org/officeDocument/2006/relationships/hyperlink" Target="https://www.hamiltoncentre.org.au/" TargetMode="External"/><Relationship Id="rId124" Type="http://schemas.openxmlformats.org/officeDocument/2006/relationships/hyperlink" Target="https://www.health.vic.gov.au/local-public-health-units" TargetMode="External"/><Relationship Id="rId527" Type="http://schemas.openxmlformats.org/officeDocument/2006/relationships/hyperlink" Target="https://www.health.vic.gov.au/hospitals-and-health-services/rural-health" TargetMode="External"/><Relationship Id="rId569" Type="http://schemas.openxmlformats.org/officeDocument/2006/relationships/hyperlink" Target="https://www.health.vic.gov.au/populations/improving-womens-health" TargetMode="External"/><Relationship Id="rId70" Type="http://schemas.openxmlformats.org/officeDocument/2006/relationships/hyperlink" Target="https://www.health.vic.gov.au/publications/gamblers-help-program-guidelines" TargetMode="External"/><Relationship Id="rId166" Type="http://schemas.openxmlformats.org/officeDocument/2006/relationships/hyperlink" Target="https://www.vaccho.org.au/cultural-safety-services/accreditation-programs/" TargetMode="External"/><Relationship Id="rId331" Type="http://schemas.openxmlformats.org/officeDocument/2006/relationships/hyperlink" Target="https://www.health.vic.gov.au/virtual-care-operational-framework" TargetMode="External"/><Relationship Id="rId373" Type="http://schemas.openxmlformats.org/officeDocument/2006/relationships/hyperlink" Target="https://www.dtf.vic.gov.au/infrastructure-investment/asset-management-accountability-framework" TargetMode="External"/><Relationship Id="rId429" Type="http://schemas.openxmlformats.org/officeDocument/2006/relationships/hyperlink" Target="mailto:HDSS%20helpdesk" TargetMode="External"/><Relationship Id="rId580" Type="http://schemas.openxmlformats.org/officeDocument/2006/relationships/hyperlink" Target="https://www.health.vic.gov.au/community-health/managing-demand-for-community-health-services" TargetMode="External"/><Relationship Id="rId1" Type="http://schemas.openxmlformats.org/officeDocument/2006/relationships/customXml" Target="../customXml/item1.xml"/><Relationship Id="rId233" Type="http://schemas.openxmlformats.org/officeDocument/2006/relationships/hyperlink" Target="https://www.health.vic.gov.au/patient-care/capability-frameworks-for-maternity-and-newborn-care-in-victoria" TargetMode="External"/><Relationship Id="rId440" Type="http://schemas.openxmlformats.org/officeDocument/2006/relationships/hyperlink" Target="mailto:emailing%20the%20HDSS%20helpdesk" TargetMode="External"/><Relationship Id="rId28" Type="http://schemas.openxmlformats.org/officeDocument/2006/relationships/hyperlink" Target="https://www.ambulance.vic.gov.au/membership" TargetMode="External"/><Relationship Id="rId275" Type="http://schemas.openxmlformats.org/officeDocument/2006/relationships/hyperlink" Target="https://www.health.vic.gov.au/publications/framework-for-promoting-a-positive-workplace-culture-preventing-bullying-harassment" TargetMode="External"/><Relationship Id="rId300" Type="http://schemas.openxmlformats.org/officeDocument/2006/relationships/hyperlink" Target="mailto:tec@health.vic.gov.au" TargetMode="External"/><Relationship Id="rId482" Type="http://schemas.openxmlformats.org/officeDocument/2006/relationships/hyperlink" Target="mailto:mhcssdata@health.vic.gov.au" TargetMode="External"/><Relationship Id="rId538" Type="http://schemas.openxmlformats.org/officeDocument/2006/relationships/hyperlink" Target="https://www.health.gov.au/resources/publications/guide-to-aged-care-law/chapter-2-entry-to-the-commonwealth-aged-care-system/who-is-eligible-for-aged-care-services?language=en" TargetMode="External"/><Relationship Id="rId81" Type="http://schemas.openxmlformats.org/officeDocument/2006/relationships/hyperlink" Target="https://www.health.gov.au/our-work/coag-section-192-exemptions-initiative/about" TargetMode="External"/><Relationship Id="rId135" Type="http://schemas.openxmlformats.org/officeDocument/2006/relationships/hyperlink" Target="https://www.vic.gov.au/child-link" TargetMode="External"/><Relationship Id="rId177" Type="http://schemas.openxmlformats.org/officeDocument/2006/relationships/hyperlink" Target="https://www.vic.gov.au/state-disability-plan" TargetMode="External"/><Relationship Id="rId342" Type="http://schemas.openxmlformats.org/officeDocument/2006/relationships/hyperlink" Target="mailto:Sentinel%20events%20team" TargetMode="External"/><Relationship Id="rId384" Type="http://schemas.openxmlformats.org/officeDocument/2006/relationships/hyperlink" Target="mailto:chv@health.vic.gov.au" TargetMode="External"/><Relationship Id="rId591" Type="http://schemas.openxmlformats.org/officeDocument/2006/relationships/hyperlink" Target="https://www.firstpeoplesrelations.vic.gov.au/victorian-aboriginal-affairs-framework" TargetMode="External"/><Relationship Id="rId605" Type="http://schemas.openxmlformats.org/officeDocument/2006/relationships/header" Target="header3.xml"/><Relationship Id="rId202" Type="http://schemas.openxmlformats.org/officeDocument/2006/relationships/hyperlink" Target="https://refugeehealthnetwork.org.au/resource/refugee-health-fellows-program/" TargetMode="External"/><Relationship Id="rId244" Type="http://schemas.openxmlformats.org/officeDocument/2006/relationships/hyperlink" Target="https://www.pbs.gov.au/info/publication/factsheets/hep-c/hepc-factsheet-hospital-prescribers-dispensers" TargetMode="External"/><Relationship Id="rId39" Type="http://schemas.openxmlformats.org/officeDocument/2006/relationships/hyperlink" Target="https://www.blood.gov.au/blood-products/immunoglobulin-products/normal-human-immunoglobulin-nhig" TargetMode="External"/><Relationship Id="rId286" Type="http://schemas.openxmlformats.org/officeDocument/2006/relationships/hyperlink" Target="https://www.cancervic.org.au/get-support/for-health-professionals/optimal-care-pathways" TargetMode="External"/><Relationship Id="rId451" Type="http://schemas.openxmlformats.org/officeDocument/2006/relationships/hyperlink" Target="https://www.healthcollect.vic.gov.au/desktopdefault.aspx?ReturnUrl=%2f" TargetMode="External"/><Relationship Id="rId493" Type="http://schemas.openxmlformats.org/officeDocument/2006/relationships/hyperlink" Target="https://dhhsvicgovau.sharepoint.com/sites/OCP" TargetMode="External"/><Relationship Id="rId507" Type="http://schemas.openxmlformats.org/officeDocument/2006/relationships/hyperlink" Target="https://www.health.gov.au/resources/publications/aged-care-assessment-quality-framework?language=en" TargetMode="External"/><Relationship Id="rId549" Type="http://schemas.openxmlformats.org/officeDocument/2006/relationships/hyperlink" Target="https://www.health.gov.au/health-topics/aged-care" TargetMode="External"/><Relationship Id="rId50" Type="http://schemas.openxmlformats.org/officeDocument/2006/relationships/image" Target="media/image2.png"/><Relationship Id="rId104" Type="http://schemas.openxmlformats.org/officeDocument/2006/relationships/hyperlink" Target="https://www.health.vic.gov.au/statewide-referral-criteria/positive-faecal-occult-blood-test-fobt-diagnostic-colonoscopy" TargetMode="External"/><Relationship Id="rId146" Type="http://schemas.openxmlformats.org/officeDocument/2006/relationships/hyperlink" Target="https://www.vic.gov.au/victorian-lgbtiq-strategy" TargetMode="External"/><Relationship Id="rId188" Type="http://schemas.openxmlformats.org/officeDocument/2006/relationships/hyperlink" Target="https://www.legislation.vic.gov.au/in-force/acts/charter-human-rights-and-responsibilities-act-2006/014" TargetMode="External"/><Relationship Id="rId311" Type="http://schemas.openxmlformats.org/officeDocument/2006/relationships/hyperlink" Target="https://www.health.vic.gov.au/mental-health-and-wellbeing-act-handbook/second-psychiatric-opinions" TargetMode="External"/><Relationship Id="rId353" Type="http://schemas.openxmlformats.org/officeDocument/2006/relationships/hyperlink" Target="https://www.anzics.org/anzics-registries/" TargetMode="External"/><Relationship Id="rId395" Type="http://schemas.openxmlformats.org/officeDocument/2006/relationships/hyperlink" Target="https://www.digitalhealth.gov.au/about-us/strategies-and-plans/national-healthcare-interoperability-plan" TargetMode="External"/><Relationship Id="rId409" Type="http://schemas.openxmlformats.org/officeDocument/2006/relationships/hyperlink" Target="https://www.health.vic.gov.au/publications/code-brown-guidelines" TargetMode="External"/><Relationship Id="rId560" Type="http://schemas.openxmlformats.org/officeDocument/2006/relationships/hyperlink" Target="https://www.myagedcare.gov.au/resources" TargetMode="External"/><Relationship Id="rId92" Type="http://schemas.openxmlformats.org/officeDocument/2006/relationships/hyperlink" Target="https://www.legislation.vic.gov.au/in-force/acts/public-health-and-wellbeing-act-2008/056" TargetMode="External"/><Relationship Id="rId213" Type="http://schemas.openxmlformats.org/officeDocument/2006/relationships/hyperlink" Target="https://www.health.vic.gov.au/health-system-design-planning/perioperative-service-capability-framework-for-victoria" TargetMode="External"/><Relationship Id="rId420" Type="http://schemas.openxmlformats.org/officeDocument/2006/relationships/hyperlink" Target="https://www.vic.gov.au/wages-policy-and-enterprise-bargaining-framework" TargetMode="External"/><Relationship Id="rId255" Type="http://schemas.openxmlformats.org/officeDocument/2006/relationships/hyperlink" Target="https://www.agedcarequality.gov.au/" TargetMode="External"/><Relationship Id="rId297" Type="http://schemas.openxmlformats.org/officeDocument/2006/relationships/hyperlink" Target="https://www.vved.org.au" TargetMode="External"/><Relationship Id="rId462" Type="http://schemas.openxmlformats.org/officeDocument/2006/relationships/hyperlink" Target="https://www.health.vic.gov.au/patient-care/victorian-state-trauma-registry" TargetMode="External"/><Relationship Id="rId518" Type="http://schemas.openxmlformats.org/officeDocument/2006/relationships/hyperlink" Target="https://www.health.vic.gov.au/funding-performance-accountability/performance-monitoring-framework" TargetMode="External"/><Relationship Id="rId115" Type="http://schemas.openxmlformats.org/officeDocument/2006/relationships/hyperlink" Target="https://www.health.vic.gov.au/education-and-training/training-and-development-funding" TargetMode="External"/><Relationship Id="rId157" Type="http://schemas.openxmlformats.org/officeDocument/2006/relationships/hyperlink" Target="https://www.bettersafercare.vic.gov.au/support-and-training/partnering-with-consumers/pih" TargetMode="External"/><Relationship Id="rId322" Type="http://schemas.openxmlformats.org/officeDocument/2006/relationships/hyperlink" Target="https://www.health.vic.gov.au/mental-health-wellbeing-reform/a-new-mental-health-and-wellbeing-outcomes-and-performance-framework" TargetMode="External"/><Relationship Id="rId364" Type="http://schemas.openxmlformats.org/officeDocument/2006/relationships/hyperlink" Target="https://www.safetyandquality.gov.au/your-rights/understanding-your-healthcare-rights" TargetMode="External"/><Relationship Id="rId61" Type="http://schemas.openxmlformats.org/officeDocument/2006/relationships/hyperlink" Target="https://www.health.vic.gov.au/aod-service-standards-guidelines/alcohol-and-other-drug-program-guidelines" TargetMode="External"/><Relationship Id="rId199" Type="http://schemas.openxmlformats.org/officeDocument/2006/relationships/hyperlink" Target="https://refugeehealthnetwork.org.au" TargetMode="External"/><Relationship Id="rId571" Type="http://schemas.openxmlformats.org/officeDocument/2006/relationships/hyperlink" Target="https://www.health.vic.gov.au/community-health/community-health-integrated-program-chip-guidelines" TargetMode="External"/><Relationship Id="rId19" Type="http://schemas.openxmlformats.org/officeDocument/2006/relationships/hyperlink" Target="mailto:Accountability@health.vic.gov.au" TargetMode="External"/><Relationship Id="rId224" Type="http://schemas.openxmlformats.org/officeDocument/2006/relationships/hyperlink" Target="https://www.health.vic.gov.au/patient-care/capability-frameworks-for-maternity-and-newborn-care-in-victoria" TargetMode="External"/><Relationship Id="rId266" Type="http://schemas.openxmlformats.org/officeDocument/2006/relationships/hyperlink" Target="https://www.vic.gov.au/child-information-sharing-scheme" TargetMode="External"/><Relationship Id="rId431" Type="http://schemas.openxmlformats.org/officeDocument/2006/relationships/hyperlink" Target="https://www.health.vic.gov.au/data-reporting/victorian-admitted-episodes-dataset" TargetMode="External"/><Relationship Id="rId473" Type="http://schemas.openxmlformats.org/officeDocument/2006/relationships/hyperlink" Target="https://www.health.vic.gov.au/quality-safety-service/victorian-perinatal-data-collection" TargetMode="External"/><Relationship Id="rId529" Type="http://schemas.openxmlformats.org/officeDocument/2006/relationships/hyperlink" Target="https://www.health.vic.gov.au/home-and-community-care/hacc-program-for-younger-people" TargetMode="External"/><Relationship Id="rId30" Type="http://schemas.openxmlformats.org/officeDocument/2006/relationships/hyperlink" Target="https://redcrossportal.tripssoftware.com.au/" TargetMode="External"/><Relationship Id="rId126" Type="http://schemas.openxmlformats.org/officeDocument/2006/relationships/hyperlink" Target="http://vpsc.vic.gov.au/ethics-behaviours-culture/public-sector-values" TargetMode="External"/><Relationship Id="rId168" Type="http://schemas.openxmlformats.org/officeDocument/2006/relationships/hyperlink" Target="https://www.health.vic.gov.au/community-health/community-health-pride-lgbtiq-inclusive-practice-resources" TargetMode="External"/><Relationship Id="rId333" Type="http://schemas.openxmlformats.org/officeDocument/2006/relationships/hyperlink" Target="https://www.safetyandquality.gov.au/standards" TargetMode="External"/><Relationship Id="rId540" Type="http://schemas.openxmlformats.org/officeDocument/2006/relationships/hyperlink" Target="https://www.health.gov.au/resources/collections/aged-care-diversity-framework-action-plans" TargetMode="External"/><Relationship Id="rId72" Type="http://schemas.openxmlformats.org/officeDocument/2006/relationships/hyperlink" Target="https://www.health.vic.gov.au/home-and-community-care/hacc-program-for-younger-people" TargetMode="External"/><Relationship Id="rId375" Type="http://schemas.openxmlformats.org/officeDocument/2006/relationships/hyperlink" Target="https://www.health.vic.gov.au/publications/maintenance-standards-for-critical-areas-in-victorian-health-facilities" TargetMode="External"/><Relationship Id="rId582" Type="http://schemas.openxmlformats.org/officeDocument/2006/relationships/hyperlink" Target="https://www.health.vic.gov.au/community-health/refugee-health-program" TargetMode="External"/><Relationship Id="rId3" Type="http://schemas.openxmlformats.org/officeDocument/2006/relationships/customXml" Target="../customXml/item3.xml"/><Relationship Id="rId235" Type="http://schemas.openxmlformats.org/officeDocument/2006/relationships/hyperlink" Target="https://www.fphw.org.au/" TargetMode="External"/><Relationship Id="rId277" Type="http://schemas.openxmlformats.org/officeDocument/2006/relationships/hyperlink" Target="https://www.health.vic.gov.au/patient-care/voluntary-assisted-dying" TargetMode="External"/><Relationship Id="rId400" Type="http://schemas.openxmlformats.org/officeDocument/2006/relationships/hyperlink" Target="https://www.health.vic.gov.au/quality-safety-service/victorias-digital-health-maturity-model" TargetMode="External"/><Relationship Id="rId442" Type="http://schemas.openxmlformats.org/officeDocument/2006/relationships/hyperlink" Target="https://www.health.vic.gov.au/data-reporting/health-data-standards-and-systems-hdss-forms" TargetMode="External"/><Relationship Id="rId484" Type="http://schemas.openxmlformats.org/officeDocument/2006/relationships/hyperlink" Target="https://www.health.vic.gov.au/sites/default/files/2023-09/mhwa-form-125-notice-of-death.pdf" TargetMode="External"/><Relationship Id="rId137" Type="http://schemas.openxmlformats.org/officeDocument/2006/relationships/hyperlink" Target="https://www.health.vic.gov.au/childsafestandards" TargetMode="External"/><Relationship Id="rId302" Type="http://schemas.openxmlformats.org/officeDocument/2006/relationships/hyperlink" Target="https://www.health.vic.gov.au/mental-health-and-wellbeing-act-handbook" TargetMode="External"/><Relationship Id="rId344" Type="http://schemas.openxmlformats.org/officeDocument/2006/relationships/hyperlink" Target="https://www.healthcollect.vic.gov.au" TargetMode="External"/><Relationship Id="rId41" Type="http://schemas.openxmlformats.org/officeDocument/2006/relationships/hyperlink" Target="https://www.health.vic.gov.au/patient-care/public-genetic-services-in-victoria" TargetMode="External"/><Relationship Id="rId83" Type="http://schemas.openxmlformats.org/officeDocument/2006/relationships/hyperlink" Target="https://www.health.vic.gov.au/community-health/community-health-program-access-policy" TargetMode="External"/><Relationship Id="rId179" Type="http://schemas.openxmlformats.org/officeDocument/2006/relationships/hyperlink" Target="https://www.betterhealth.vic.gov.au/health/servicesandsupport/disability-liaison-officer-program" TargetMode="External"/><Relationship Id="rId386" Type="http://schemas.openxmlformats.org/officeDocument/2006/relationships/hyperlink" Target="https://www.vhba.vic.gov.au/guidelines-sustainability-capital-works" TargetMode="External"/><Relationship Id="rId551" Type="http://schemas.openxmlformats.org/officeDocument/2006/relationships/hyperlink" Target="https://www.health.vic.gov.au/home-and-community-care/hacc-program-for-younger-people" TargetMode="External"/><Relationship Id="rId593" Type="http://schemas.openxmlformats.org/officeDocument/2006/relationships/hyperlink" Target="https://www.health.vic.gov.au/community-health/community-health-integrated-program-chip-guidelines" TargetMode="External"/><Relationship Id="rId607" Type="http://schemas.openxmlformats.org/officeDocument/2006/relationships/footer" Target="footer8.xml"/><Relationship Id="rId190" Type="http://schemas.openxmlformats.org/officeDocument/2006/relationships/hyperlink" Target="https://www.legislation.vic.gov.au/as-made/acts/justice-legislation-amendment-anti-vilification-and-social-cohesion-act-2025" TargetMode="External"/><Relationship Id="rId204" Type="http://schemas.openxmlformats.org/officeDocument/2006/relationships/hyperlink" Target="https://www.health.vic.gov.au/publications/guide-to-asylum-seeker-access-to-health-and-community-services-in-victoria" TargetMode="External"/><Relationship Id="rId246" Type="http://schemas.openxmlformats.org/officeDocument/2006/relationships/hyperlink" Target="https://www.vic.gov.au/state-disability-plan" TargetMode="External"/><Relationship Id="rId288" Type="http://schemas.openxmlformats.org/officeDocument/2006/relationships/hyperlink" Target="https://www.blood.gov.au/supply-system/managing-blood-supply/national-stewardship-program" TargetMode="External"/><Relationship Id="rId411" Type="http://schemas.openxmlformats.org/officeDocument/2006/relationships/hyperlink" Target="mailto:FRMUCertificates@homes.vic.gov.au" TargetMode="External"/><Relationship Id="rId453" Type="http://schemas.openxmlformats.org/officeDocument/2006/relationships/hyperlink" Target="https://www.health.vic.gov.au/data-reporting/agency-information-management-system-aims" TargetMode="External"/><Relationship Id="rId509" Type="http://schemas.openxmlformats.org/officeDocument/2006/relationships/hyperlink" Target="https://www.health.vic.gov.au/community-health/community-health-data-reporting" TargetMode="External"/><Relationship Id="rId106" Type="http://schemas.openxmlformats.org/officeDocument/2006/relationships/hyperlink" Target="https://www.health.gov.au/initiatives-and-programs/national-bowel-cancer-screening-program" TargetMode="External"/><Relationship Id="rId313" Type="http://schemas.openxmlformats.org/officeDocument/2006/relationships/hyperlink" Target="https://www.health.vic.gov.au/chief-psychiatrist/decision-making-principles-for-treatment-and-interventions-mental-health-and-wellbeing-act-2022" TargetMode="External"/><Relationship Id="rId495" Type="http://schemas.openxmlformats.org/officeDocument/2006/relationships/hyperlink" Target="https://vahi.vic.gov.au/" TargetMode="External"/><Relationship Id="rId10" Type="http://schemas.openxmlformats.org/officeDocument/2006/relationships/endnotes" Target="endnotes.xml"/><Relationship Id="rId52" Type="http://schemas.openxmlformats.org/officeDocument/2006/relationships/hyperlink" Target="https://www.health.vic.gov.au/publications/mental-health-wellbeing-locals-service-framework" TargetMode="External"/><Relationship Id="rId94" Type="http://schemas.openxmlformats.org/officeDocument/2006/relationships/hyperlink" Target="https://www.health.vic.gov.au/victorian-public-health-and-wellbeing-outcomes-dashboard" TargetMode="External"/><Relationship Id="rId148" Type="http://schemas.openxmlformats.org/officeDocument/2006/relationships/hyperlink" Target="https://www.vic.gov.au/victorias-youth-strategy-2022-2027" TargetMode="External"/><Relationship Id="rId355" Type="http://schemas.openxmlformats.org/officeDocument/2006/relationships/hyperlink" Target="https://auscr.com.au/" TargetMode="External"/><Relationship Id="rId397" Type="http://schemas.openxmlformats.org/officeDocument/2006/relationships/hyperlink" Target="https://www.health.vic.gov.au/caresync-exchange" TargetMode="External"/><Relationship Id="rId520" Type="http://schemas.openxmlformats.org/officeDocument/2006/relationships/hyperlink" Target="https://providers.dffh.vic.gov.au/families-fairness-housing-health-activity-search" TargetMode="External"/><Relationship Id="rId562" Type="http://schemas.openxmlformats.org/officeDocument/2006/relationships/hyperlink" Target="https://www.health.gov.au/resources/collections/aged-care-diversity-framework-action-plans" TargetMode="External"/><Relationship Id="rId215" Type="http://schemas.openxmlformats.org/officeDocument/2006/relationships/hyperlink" Target="https://www.health.vic.gov.au/health-system-design-planning/service-capability-frameworks-for-victoria" TargetMode="External"/><Relationship Id="rId257" Type="http://schemas.openxmlformats.org/officeDocument/2006/relationships/hyperlink" Target="https://www.health.vic.gov.au/data-reporting/victorian-integrated-non-admitted-health-vinah-dataset" TargetMode="External"/><Relationship Id="rId422" Type="http://schemas.openxmlformats.org/officeDocument/2006/relationships/hyperlink" Target="https://www.health.vic.gov.au/data-reporting/annual-changes" TargetMode="External"/><Relationship Id="rId464" Type="http://schemas.openxmlformats.org/officeDocument/2006/relationships/hyperlink" Target="https://www.safercare.vic.gov.au/councils/vpcc" TargetMode="External"/><Relationship Id="rId299" Type="http://schemas.openxmlformats.org/officeDocument/2006/relationships/hyperlink" Target="https://www.health.vic.gov.au/patient-care/standards-for-safe-and-timely-ambulance-and-emergency-care-for-victorians" TargetMode="External"/><Relationship Id="rId63" Type="http://schemas.openxmlformats.org/officeDocument/2006/relationships/hyperlink" Target="https://www.switchboard.org.au/" TargetMode="External"/><Relationship Id="rId159" Type="http://schemas.openxmlformats.org/officeDocument/2006/relationships/hyperlink" Target="https://www.health.vic.gov.au/funding-performance-accountability/statements-of-priorities" TargetMode="External"/><Relationship Id="rId366" Type="http://schemas.openxmlformats.org/officeDocument/2006/relationships/hyperlink" Target="https://www.safetyandquality.gov.au/standards/nsqhs-standards" TargetMode="External"/><Relationship Id="rId573" Type="http://schemas.openxmlformats.org/officeDocument/2006/relationships/hyperlink" Target="https://www.health.vic.gov.au/community-health/children-youth-and-families" TargetMode="External"/><Relationship Id="rId226" Type="http://schemas.openxmlformats.org/officeDocument/2006/relationships/hyperlink" Target="https://www.safercare.vic.gov.au/publications/victorian-maternity-taskforce-report" TargetMode="External"/><Relationship Id="rId433" Type="http://schemas.openxmlformats.org/officeDocument/2006/relationships/hyperlink" Target="https://www.health.vic.gov.au/data-reporting/health-data-standards-and-systems-hdss-forms" TargetMode="External"/><Relationship Id="rId74" Type="http://schemas.openxmlformats.org/officeDocument/2006/relationships/hyperlink" Target="https://www.health.vic.gov.au/supporting-independent-living/victorian-aids-and-equipment-program" TargetMode="External"/><Relationship Id="rId377" Type="http://schemas.openxmlformats.org/officeDocument/2006/relationships/hyperlink" Target="https://www.climatechange.vic.gov.au/victorias-climate-change-strategy" TargetMode="External"/><Relationship Id="rId500" Type="http://schemas.openxmlformats.org/officeDocument/2006/relationships/hyperlink" Target="https://www.health.vic.gov.au/publications/victorian-chief-psychiatrist-practice-direction-reporting-of-incidents-where-there-is" TargetMode="External"/><Relationship Id="rId584" Type="http://schemas.openxmlformats.org/officeDocument/2006/relationships/hyperlink" Target="https://www.health.vic.gov.au/publications/cultural-responsiveness-framework-guidelines-for-victorian-health-services" TargetMode="External"/><Relationship Id="rId5" Type="http://schemas.openxmlformats.org/officeDocument/2006/relationships/numbering" Target="numbering.xml"/><Relationship Id="rId237" Type="http://schemas.openxmlformats.org/officeDocument/2006/relationships/hyperlink" Target="https://www.health.vic.gov.au/data-reporting/victorian-admitted-episodes-dataset" TargetMode="External"/><Relationship Id="rId444" Type="http://schemas.openxmlformats.org/officeDocument/2006/relationships/hyperlink" Target="https://www.health.vic.gov.au/data-reporting/health-data-standards-and-systems-hdss-forms" TargetMode="External"/><Relationship Id="rId290" Type="http://schemas.openxmlformats.org/officeDocument/2006/relationships/hyperlink" Target="https://www.blood.gov.au/sites/default/files/documents/2024-04/National%20Statement%20for%20the%20Emergency%20Use%20of%20Group%20O%20Red%20Blood%20Cells_1.pdf" TargetMode="External"/><Relationship Id="rId304" Type="http://schemas.openxmlformats.org/officeDocument/2006/relationships/hyperlink" Target="https://www.health.vic.gov.au/mental-health-and-wellbeing-act-handbook/context-of-the-act/mental-health-and-wellbeing-principles" TargetMode="External"/><Relationship Id="rId388" Type="http://schemas.openxmlformats.org/officeDocument/2006/relationships/hyperlink" Target="https://www.vhba.vic.gov.au/resources/environmental-sustainability" TargetMode="External"/><Relationship Id="rId511" Type="http://schemas.openxmlformats.org/officeDocument/2006/relationships/hyperlink" Target="https://www.health.vic.gov.au/education-and-training/best-practice-clinical-learning-environment-bpcle-framework" TargetMode="External"/><Relationship Id="rId609" Type="http://schemas.openxmlformats.org/officeDocument/2006/relationships/theme" Target="theme/theme1.xml"/><Relationship Id="rId85" Type="http://schemas.openxmlformats.org/officeDocument/2006/relationships/hyperlink" Target="https://www.health.vic.gov.au/community-health/community-health-demand-management-toolkit" TargetMode="External"/><Relationship Id="rId150" Type="http://schemas.openxmlformats.org/officeDocument/2006/relationships/hyperlink" Target="https://www.vaccho.org.au/ahwpf/" TargetMode="External"/><Relationship Id="rId595" Type="http://schemas.openxmlformats.org/officeDocument/2006/relationships/hyperlink" Target="https://www.health.vic.gov.au/maternal-child-health/sleep-and-settling" TargetMode="External"/><Relationship Id="rId248" Type="http://schemas.openxmlformats.org/officeDocument/2006/relationships/hyperlink" Target="mailto:health.liaison.officer@ndis.gov.au" TargetMode="External"/><Relationship Id="rId455" Type="http://schemas.openxmlformats.org/officeDocument/2006/relationships/hyperlink" Target="mailto:vcdcassist@health.vic.gov.au" TargetMode="External"/><Relationship Id="rId12" Type="http://schemas.openxmlformats.org/officeDocument/2006/relationships/footer" Target="footer1.xml"/><Relationship Id="rId108" Type="http://schemas.openxmlformats.org/officeDocument/2006/relationships/hyperlink" Target="https://www.health.gov.au/our-work/national-cervical-screening-program" TargetMode="External"/><Relationship Id="rId315" Type="http://schemas.openxmlformats.org/officeDocument/2006/relationships/hyperlink" Target="https://www.health.vic.gov.au/mental-health-and-wellbeing-act" TargetMode="External"/><Relationship Id="rId522" Type="http://schemas.openxmlformats.org/officeDocument/2006/relationships/hyperlink" Target="https://www.emv.vic.gov.au/responsibilities/state-emergency-management-plan-sub-plans/semp-health-emergencies-sub-plan" TargetMode="External"/><Relationship Id="rId96" Type="http://schemas.openxmlformats.org/officeDocument/2006/relationships/hyperlink" Target="https://www.health.vic.gov.au/public-health/healthy-and-more-sustainable-food-procurement" TargetMode="External"/><Relationship Id="rId161" Type="http://schemas.openxmlformats.org/officeDocument/2006/relationships/hyperlink" Target="https://www.firstpeoplesrelations.vic.gov.au/self-determination-reform-framework" TargetMode="External"/><Relationship Id="rId399" Type="http://schemas.openxmlformats.org/officeDocument/2006/relationships/hyperlink" Target="https://www.digitalhealth.gov.au/healthcare-providers/initiatives-and-programs/digital-health-standards/digital-health-standards-guidelines/get-started" TargetMode="External"/><Relationship Id="rId259" Type="http://schemas.openxmlformats.org/officeDocument/2006/relationships/hyperlink" Target="https://www.health.gov.au/our-work/transition-care-program" TargetMode="External"/><Relationship Id="rId466" Type="http://schemas.openxmlformats.org/officeDocument/2006/relationships/hyperlink" Target="https://www.monash.edu/medicine/sphpm/registries" TargetMode="External"/><Relationship Id="rId23" Type="http://schemas.openxmlformats.org/officeDocument/2006/relationships/hyperlink" Target="https://providers.dffh.vic.gov.au/families-fairness-housing-health-activity-search" TargetMode="External"/><Relationship Id="rId119" Type="http://schemas.openxmlformats.org/officeDocument/2006/relationships/hyperlink" Target="https://www.ahpra.gov.au/About-Ahpra/What-We-Do/The-National-Registration-and-Accreditation-Scheme.aspx" TargetMode="External"/><Relationship Id="rId326" Type="http://schemas.openxmlformats.org/officeDocument/2006/relationships/hyperlink" Target="https://www.health.vic.gov.au/aod-service-standards-guidelines/alcohol-and-other-drug-treatment-principles" TargetMode="External"/><Relationship Id="rId533" Type="http://schemas.openxmlformats.org/officeDocument/2006/relationships/hyperlink" Target="https://www.health.vic.gov.au/community-health/community-health-integrated-program-chip-guidelines" TargetMode="External"/><Relationship Id="rId172" Type="http://schemas.openxmlformats.org/officeDocument/2006/relationships/hyperlink" Target="https://rainbowhealthaustralia.org.au/" TargetMode="External"/><Relationship Id="rId477" Type="http://schemas.openxmlformats.org/officeDocument/2006/relationships/hyperlink" Target="https://www.health.vic.gov.au/research-and-reporting/mental-health-performance-reports" TargetMode="External"/><Relationship Id="rId600" Type="http://schemas.openxmlformats.org/officeDocument/2006/relationships/hyperlink" Target="https://www.health.vic.gov.au/population-health-systems/municipal-public-health-and-wellbeing-planning" TargetMode="External"/><Relationship Id="rId337" Type="http://schemas.openxmlformats.org/officeDocument/2006/relationships/hyperlink" Target="https://www.safercare.vic.gov.au/support-and-training/clinical-governance" TargetMode="External"/><Relationship Id="rId34" Type="http://schemas.openxmlformats.org/officeDocument/2006/relationships/hyperlink" Target="https://www.health.vic.gov.au/patient-care/organ-and-tissue-donation" TargetMode="External"/><Relationship Id="rId544" Type="http://schemas.openxmlformats.org/officeDocument/2006/relationships/hyperlink" Target="https://www.health.vic.gov.au/home-and-community-care/hacc-program-for-younger-people" TargetMode="External"/><Relationship Id="rId183" Type="http://schemas.openxmlformats.org/officeDocument/2006/relationships/hyperlink" Target="https://www.health.vic.gov.au/populations/vulnerable-children" TargetMode="External"/><Relationship Id="rId390" Type="http://schemas.openxmlformats.org/officeDocument/2006/relationships/hyperlink" Target="https://www.health.vic.gov.au/environmental-health/waste" TargetMode="External"/><Relationship Id="rId404" Type="http://schemas.openxmlformats.org/officeDocument/2006/relationships/hyperlink" Target="https://infostore.saiglobal.com/en-au/Standards/AS-ISO-31000-2018-1134720_SAIG_AS_AS_2680492" TargetMode="External"/><Relationship Id="rId250" Type="http://schemas.openxmlformats.org/officeDocument/2006/relationships/hyperlink" Target="https://www.health.vic.gov.au/patient-care/subacute-planning-framework" TargetMode="External"/><Relationship Id="rId488" Type="http://schemas.openxmlformats.org/officeDocument/2006/relationships/hyperlink" Target="https://www.safercare.vic.gov.au/notify-us/sentinel-events" TargetMode="External"/><Relationship Id="rId45" Type="http://schemas.openxmlformats.org/officeDocument/2006/relationships/hyperlink" Target="https://www.health.vic.gov.au/public-health/public-fertility-care" TargetMode="External"/><Relationship Id="rId110" Type="http://schemas.openxmlformats.org/officeDocument/2006/relationships/hyperlink" Target="https://www.health.vic.gov.au/population-screening/lung-cancer-screening-lung-nodule-clinics" TargetMode="External"/><Relationship Id="rId348" Type="http://schemas.openxmlformats.org/officeDocument/2006/relationships/hyperlink" Target="https://www.health.vic.gov.au/research-and-reporting/mental-health-performance-reports" TargetMode="External"/><Relationship Id="rId555" Type="http://schemas.openxmlformats.org/officeDocument/2006/relationships/hyperlink" Target="https://www.health.gov.au/resources/publications/my-aged-care-assessment-manual?language=en" TargetMode="External"/><Relationship Id="rId194" Type="http://schemas.openxmlformats.org/officeDocument/2006/relationships/hyperlink" Target="https://www.mcwh.com.au/" TargetMode="External"/><Relationship Id="rId208" Type="http://schemas.openxmlformats.org/officeDocument/2006/relationships/hyperlink" Target="https://www.healthtranslations.vic.gov.au" TargetMode="External"/><Relationship Id="rId415" Type="http://schemas.openxmlformats.org/officeDocument/2006/relationships/hyperlink" Target="mailto:Digital.Health.Incident.Notification@health.vic.gov.au" TargetMode="External"/><Relationship Id="rId261" Type="http://schemas.openxmlformats.org/officeDocument/2006/relationships/hyperlink" Target="https://www.health.vic.gov.au/patient-care/health-independence-program-guidelines" TargetMode="External"/><Relationship Id="rId499" Type="http://schemas.openxmlformats.org/officeDocument/2006/relationships/hyperlink" Target="mailto:ocp@health.vic.gov.au" TargetMode="External"/><Relationship Id="rId56" Type="http://schemas.openxmlformats.org/officeDocument/2006/relationships/hyperlink" Target="https://www.health.vic.gov.au/publications/mental-health-prevention-and-recovery-care" TargetMode="External"/><Relationship Id="rId359" Type="http://schemas.openxmlformats.org/officeDocument/2006/relationships/hyperlink" Target="https://www.clinicaltrialsandresearch.vic.gov.au/" TargetMode="External"/><Relationship Id="rId566" Type="http://schemas.openxmlformats.org/officeDocument/2006/relationships/hyperlink" Target="https://www.myagedcare.gov.au" TargetMode="External"/><Relationship Id="rId121" Type="http://schemas.openxmlformats.org/officeDocument/2006/relationships/hyperlink" Target="mailto:assetmanagement@health.vic.gov.au" TargetMode="External"/><Relationship Id="rId219" Type="http://schemas.openxmlformats.org/officeDocument/2006/relationships/hyperlink" Target="https://www.health.vic.gov.au/surgical-services/planned-surgery-access-policy-2024" TargetMode="External"/><Relationship Id="rId426" Type="http://schemas.openxmlformats.org/officeDocument/2006/relationships/hyperlink" Target="https://www.health.vic.gov.au/data-reporting/victorian-integrated-non-admitted-health-vinah-datas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fetyandquality.gov.au/publications-and-resources/resource-library/nsqhs-standards-user-guide-aboriginal-and-torres-strait-islander-health" TargetMode="External"/><Relationship Id="rId2" Type="http://schemas.openxmlformats.org/officeDocument/2006/relationships/hyperlink" Target="https://vpsc.vic.gov.au/workforce-programs/first-peoples-workforce/barring-djinang-first-peoples-workforce-development-framework/" TargetMode="External"/><Relationship Id="rId1" Type="http://schemas.openxmlformats.org/officeDocument/2006/relationships/hyperlink" Target="https://www.health.vic.gov.au/victorian-health-workforce-strategy" TargetMode="External"/><Relationship Id="rId6" Type="http://schemas.openxmlformats.org/officeDocument/2006/relationships/hyperlink" Target="https://www.asio.gov.au/director-generals-annual-threat-assessment-2025" TargetMode="External"/><Relationship Id="rId5" Type="http://schemas.openxmlformats.org/officeDocument/2006/relationships/hyperlink" Target="https://apo.org.au/node/328968" TargetMode="External"/><Relationship Id="rId4" Type="http://schemas.openxmlformats.org/officeDocument/2006/relationships/hyperlink" Target="https://vahi.vic.gov.au/report/population-health/health-and-wellbeing-lgbtiq-population-victoria" TargetMode="External"/></Relationships>
</file>

<file path=word/documenttasks/documenttasks1.xml><?xml version="1.0" encoding="utf-8"?>
<t:Tasks xmlns:t="http://schemas.microsoft.com/office/tasks/2019/documenttasks" xmlns:oel="http://schemas.microsoft.com/office/2019/extlst">
  <t:Task id="{909F2843-0F28-4C18-92CE-7FA8A56AD0A8}">
    <t:Anchor>
      <t:Comment id="509466541"/>
    </t:Anchor>
    <t:History>
      <t:Event id="{48D4B962-4052-4366-A3F6-CE6A7801C1B9}" time="2026-06-11T07:30:33.224Z">
        <t:Attribution userId="S::gaya.stgeorge@health.vic.gov.au::5082d1f4-fa0a-4247-92b5-fbe04b7df2f1" userProvider="AD" userName="Gaya St George (Health)"/>
        <t:Anchor>
          <t:Comment id="509466541"/>
        </t:Anchor>
        <t:Create/>
      </t:Event>
      <t:Event id="{A4FE4828-1D03-4D8A-AAC0-5B8D1290297E}" time="2026-06-11T07:30:33.224Z">
        <t:Attribution userId="S::gaya.stgeorge@health.vic.gov.au::5082d1f4-fa0a-4247-92b5-fbe04b7df2f1" userProvider="AD" userName="Gaya St George (Health)"/>
        <t:Anchor>
          <t:Comment id="509466541"/>
        </t:Anchor>
        <t:Assign userId="S::Wendy.Yang@health.vic.gov.au::b66b5622-4733-4744-b621-66a205b42f93" userProvider="AD" userName="Wendy Yang (Health)"/>
      </t:Event>
      <t:Event id="{2D22D4BE-BE92-417C-9BAD-AFBF8497549C}" time="2026-06-11T07:30:33.224Z">
        <t:Attribution userId="S::gaya.stgeorge@health.vic.gov.au::5082d1f4-fa0a-4247-92b5-fbe04b7df2f1" userProvider="AD" userName="Gaya St George (Health)"/>
        <t:Anchor>
          <t:Comment id="509466541"/>
        </t:Anchor>
        <t:SetTitle title="@Wendy Yang (Health) @Jaclyn Vick (Health) @Rosa Rocca (Health) Please confirm if the changes need to be made for the funding model column."/>
      </t:Event>
      <t:Event id="{D4F9A61C-2092-4CFC-A8DB-E10A7A668C3C}" time="2026-06-15T02:40:39.664Z">
        <t:Attribution userId="S::caleb.stewart@health.vic.gov.au::b292f7e2-80eb-43b2-94fb-359c48446630" userProvider="AD" userName="Caleb Stewart (Health)"/>
        <t:Anchor>
          <t:Comment id="434927699"/>
        </t:Anchor>
        <t:UnassignAll/>
      </t:Event>
      <t:Event id="{242FFC95-7EB5-4653-B3BA-8BCB0506116F}" time="2026-06-15T02:40:39.664Z">
        <t:Attribution userId="S::caleb.stewart@health.vic.gov.au::b292f7e2-80eb-43b2-94fb-359c48446630" userProvider="AD" userName="Caleb Stewart (Health)"/>
        <t:Anchor>
          <t:Comment id="434927699"/>
        </t:Anchor>
        <t:Assign userId="S::Melissa.Arduca@health.vic.gov.au::063c7570-30a8-4fef-8733-24ce85aec63c" userProvider="AD" userName="Melissa Arduca (Healt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891dcc-12a0-441c-abe2-831fa6b4da9a">
      <Terms xmlns="http://schemas.microsoft.com/office/infopath/2007/PartnerControls"/>
    </lcf76f155ced4ddcb4097134ff3c332f>
    <TaxCatchAll xmlns="5ce0f2b5-5be5-4508-bce9-d7011ece065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1F29158083904E8C5CE17EB630BC28" ma:contentTypeVersion="13" ma:contentTypeDescription="Create a new document." ma:contentTypeScope="" ma:versionID="75f9147083f759373465a5fb7da17152">
  <xsd:schema xmlns:xsd="http://www.w3.org/2001/XMLSchema" xmlns:xs="http://www.w3.org/2001/XMLSchema" xmlns:p="http://schemas.microsoft.com/office/2006/metadata/properties" xmlns:ns2="19891dcc-12a0-441c-abe2-831fa6b4da9a" xmlns:ns3="10fa5215-00af-464e-a75a-6ae48a820c79" xmlns:ns4="5ce0f2b5-5be5-4508-bce9-d7011ece0659" targetNamespace="http://schemas.microsoft.com/office/2006/metadata/properties" ma:root="true" ma:fieldsID="ebbbd5423597580d253faaea63b3c697" ns2:_="" ns3:_="" ns4:_="">
    <xsd:import namespace="19891dcc-12a0-441c-abe2-831fa6b4da9a"/>
    <xsd:import namespace="10fa5215-00af-464e-a75a-6ae48a820c7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91dcc-12a0-441c-abe2-831fa6b4d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a5215-00af-464e-a75a-6ae48a820c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f388107-712e-4675-bc7a-ca6897e4f540}" ma:internalName="TaxCatchAll" ma:showField="CatchAllData" ma:web="10fa5215-00af-464e-a75a-6ae48a82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9891dcc-12a0-441c-abe2-831fa6b4da9a"/>
    <ds:schemaRef ds:uri="5ce0f2b5-5be5-4508-bce9-d7011ece0659"/>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1C37A0-8F9B-475B-9EAA-D4BEE40D3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91dcc-12a0-441c-abe2-831fa6b4da9a"/>
    <ds:schemaRef ds:uri="10fa5215-00af-464e-a75a-6ae48a820c7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247</Pages>
  <Words>97422</Words>
  <Characters>587457</Characters>
  <Application>Microsoft Office Word</Application>
  <DocSecurity>0</DocSecurity>
  <Lines>21757</Lines>
  <Paragraphs>13977</Paragraphs>
  <ScaleCrop>false</ScaleCrop>
  <Company/>
  <LinksUpToDate>false</LinksUpToDate>
  <CharactersWithSpaces>670902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Policy and Funding Guidelines 2026-27 - Policy Guide.docx</dc:title>
  <dc:subject/>
  <dc:creator>Alysha Murphy (Health)</dc:creator>
  <cp:keywords/>
  <dc:description/>
  <cp:lastModifiedBy>Alysha Murphy (Health)</cp:lastModifiedBy>
  <cp:revision>2</cp:revision>
  <cp:lastPrinted>2026-07-10T02:58:00Z</cp:lastPrinted>
  <dcterms:created xsi:type="dcterms:W3CDTF">2026-07-10T05:29:00Z</dcterms:created>
  <dcterms:modified xsi:type="dcterms:W3CDTF">2026-07-10T05:29:00Z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5e96d57f,37992d82,4d1965af,6bb83ef3,67b6b9a0,3a0acb7a,41e81b54,47b8c955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2026-06-10T01:41:30Z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35840644-6fcd-4f00-8f80-06290583f5f8</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0x010100A11F29158083904E8C5CE17EB630BC28</vt:lpwstr>
  </property>
</Properties>
</file>