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EE74" w14:textId="77777777" w:rsidR="00056EC4" w:rsidRDefault="00E9042A" w:rsidP="00056EC4">
      <w:pPr>
        <w:pStyle w:val="Body"/>
      </w:pPr>
      <w:r>
        <w:rPr>
          <w:noProof/>
        </w:rPr>
        <w:drawing>
          <wp:anchor distT="0" distB="0" distL="114300" distR="114300" simplePos="0" relativeHeight="251658240" behindDoc="1" locked="1" layoutInCell="1" allowOverlap="0" wp14:anchorId="0A6FD8EC" wp14:editId="1F4D729D">
            <wp:simplePos x="0" y="0"/>
            <wp:positionH relativeFrom="page">
              <wp:align>left</wp:align>
            </wp:positionH>
            <wp:positionV relativeFrom="paragraph">
              <wp:posOffset>-2510790</wp:posOffset>
            </wp:positionV>
            <wp:extent cx="7603490" cy="10699750"/>
            <wp:effectExtent l="0" t="0" r="0" b="635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603490" cy="106997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6DD8B4E" w14:textId="77777777" w:rsidTr="00431F42">
        <w:trPr>
          <w:cantSplit/>
        </w:trPr>
        <w:tc>
          <w:tcPr>
            <w:tcW w:w="0" w:type="auto"/>
            <w:tcMar>
              <w:top w:w="0" w:type="dxa"/>
              <w:left w:w="0" w:type="dxa"/>
              <w:right w:w="0" w:type="dxa"/>
            </w:tcMar>
          </w:tcPr>
          <w:p w14:paraId="19DCCE28" w14:textId="432D94BB" w:rsidR="00AD784C" w:rsidRPr="00431F42" w:rsidRDefault="00C36663" w:rsidP="008F2F05">
            <w:pPr>
              <w:pStyle w:val="Heading1"/>
            </w:pPr>
            <w:r>
              <w:t>Home and Community Care Program for Younger People</w:t>
            </w:r>
          </w:p>
        </w:tc>
      </w:tr>
      <w:tr w:rsidR="00AD784C" w14:paraId="7EC603A1" w14:textId="77777777" w:rsidTr="00431F42">
        <w:trPr>
          <w:cantSplit/>
        </w:trPr>
        <w:tc>
          <w:tcPr>
            <w:tcW w:w="0" w:type="auto"/>
          </w:tcPr>
          <w:p w14:paraId="3C3600B5" w14:textId="0063802D" w:rsidR="00386109" w:rsidRPr="00A1389F" w:rsidRDefault="00C36663" w:rsidP="009315BE">
            <w:pPr>
              <w:pStyle w:val="Documentsubtitle"/>
            </w:pPr>
            <w:r>
              <w:t>Guidelines July 2026</w:t>
            </w:r>
          </w:p>
        </w:tc>
      </w:tr>
      <w:tr w:rsidR="00430393" w14:paraId="71CE2A90" w14:textId="77777777" w:rsidTr="00431F42">
        <w:trPr>
          <w:cantSplit/>
        </w:trPr>
        <w:tc>
          <w:tcPr>
            <w:tcW w:w="0" w:type="auto"/>
          </w:tcPr>
          <w:p w14:paraId="0D863C90" w14:textId="77777777" w:rsidR="00430393" w:rsidRDefault="00C36663" w:rsidP="00430393">
            <w:pPr>
              <w:pStyle w:val="Bannermarking"/>
            </w:pPr>
            <w:fldSimple w:instr=" FILLIN  &quot;Type the protective marking&quot; \d OFFICIAL \o  \* MERGEFORMAT ">
              <w:r>
                <w:t>OFFICIAL</w:t>
              </w:r>
            </w:fldSimple>
          </w:p>
        </w:tc>
      </w:tr>
    </w:tbl>
    <w:p w14:paraId="0D43D6BE" w14:textId="77777777" w:rsidR="00FE4081" w:rsidRDefault="00FE4081" w:rsidP="00FE4081">
      <w:pPr>
        <w:pStyle w:val="Body"/>
      </w:pPr>
    </w:p>
    <w:p w14:paraId="7E91F762" w14:textId="77777777" w:rsidR="00FE4081" w:rsidRPr="00FE4081" w:rsidRDefault="00FE4081" w:rsidP="00FE4081">
      <w:pPr>
        <w:pStyle w:val="Body"/>
        <w:sectPr w:rsidR="00FE4081" w:rsidRPr="00FE4081" w:rsidSect="002C5B7C">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p w14:paraId="57A6A7F9" w14:textId="77777777" w:rsidR="00C91391" w:rsidRDefault="00C91391" w:rsidP="00431F42">
      <w:pPr>
        <w:pStyle w:val="Body"/>
      </w:pPr>
    </w:p>
    <w:p w14:paraId="33BD6539" w14:textId="2C4D739A" w:rsidR="00E16DFA" w:rsidRDefault="00C91391">
      <w:pPr>
        <w:spacing w:after="0" w:line="240" w:lineRule="auto"/>
      </w:pPr>
      <w:r>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1031BE" w14:paraId="4C7F3F7D" w14:textId="77777777" w:rsidTr="003911C9">
        <w:trPr>
          <w:trHeight w:val="7371"/>
        </w:trPr>
        <w:tc>
          <w:tcPr>
            <w:tcW w:w="7598" w:type="dxa"/>
            <w:vAlign w:val="center"/>
          </w:tcPr>
          <w:p w14:paraId="050198F3" w14:textId="77777777" w:rsidR="001031BE" w:rsidRDefault="001031BE" w:rsidP="003911C9">
            <w:pPr>
              <w:pStyle w:val="Documenttitle"/>
            </w:pPr>
            <w:r>
              <w:lastRenderedPageBreak/>
              <w:t>Victorian Home and Community Care Program for Younger People</w:t>
            </w:r>
          </w:p>
          <w:p w14:paraId="295567E3" w14:textId="77777777" w:rsidR="001031BE" w:rsidRDefault="001031BE" w:rsidP="003911C9">
            <w:pPr>
              <w:pStyle w:val="Documentsubtitle"/>
            </w:pPr>
            <w:r>
              <w:t>Guidelines July 2026</w:t>
            </w:r>
          </w:p>
        </w:tc>
      </w:tr>
    </w:tbl>
    <w:p w14:paraId="32589B76" w14:textId="058212FF" w:rsidR="006C3DD0" w:rsidRDefault="00E16DFA">
      <w:pPr>
        <w:spacing w:after="0" w:line="240" w:lineRule="auto"/>
      </w:pPr>
      <w:r>
        <w:br w:type="page"/>
      </w:r>
    </w:p>
    <w:p w14:paraId="6A1F6CEB" w14:textId="0BCB574D" w:rsidR="006C3DD0" w:rsidRDefault="006C3DD0">
      <w:pPr>
        <w:spacing w:after="0" w:line="240" w:lineRule="auto"/>
      </w:pPr>
    </w:p>
    <w:p w14:paraId="3DEE9976" w14:textId="77777777" w:rsidR="00E16DFA" w:rsidRDefault="00E16DFA">
      <w:pPr>
        <w:spacing w:after="0" w:line="240" w:lineRule="auto"/>
      </w:pPr>
    </w:p>
    <w:p w14:paraId="306EF8D9" w14:textId="77777777" w:rsidR="00C91391" w:rsidRDefault="00C91391">
      <w:pPr>
        <w:spacing w:after="0" w:line="240" w:lineRule="auto"/>
        <w:rPr>
          <w:rFonts w:eastAsia="Times"/>
        </w:rPr>
      </w:pPr>
    </w:p>
    <w:p w14:paraId="6CB4FBFA" w14:textId="77777777" w:rsidR="000D2ABA"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F55965" w14:paraId="47CDFF9C" w14:textId="77777777" w:rsidTr="003911C9">
        <w:trPr>
          <w:cantSplit/>
          <w:trHeight w:val="5103"/>
        </w:trPr>
        <w:tc>
          <w:tcPr>
            <w:tcW w:w="9288" w:type="dxa"/>
            <w:vAlign w:val="bottom"/>
          </w:tcPr>
          <w:p w14:paraId="6EA180EE" w14:textId="0A92299F" w:rsidR="00F55965" w:rsidRDefault="00F55965" w:rsidP="003911C9">
            <w:pPr>
              <w:pStyle w:val="Accessibilitypara"/>
            </w:pPr>
          </w:p>
          <w:p w14:paraId="4CDC3366" w14:textId="77777777" w:rsidR="00F55965" w:rsidRDefault="00F55965" w:rsidP="003911C9">
            <w:pPr>
              <w:pStyle w:val="Accessibilitypara"/>
            </w:pPr>
          </w:p>
          <w:p w14:paraId="1A0F9B94" w14:textId="77777777" w:rsidR="00F55965" w:rsidRDefault="00F55965" w:rsidP="003911C9">
            <w:pPr>
              <w:pStyle w:val="Accessibilitypara"/>
            </w:pPr>
          </w:p>
          <w:p w14:paraId="49583856" w14:textId="77777777" w:rsidR="00F55965" w:rsidRDefault="00F55965" w:rsidP="003911C9">
            <w:pPr>
              <w:pStyle w:val="Accessibilitypara"/>
            </w:pPr>
          </w:p>
          <w:p w14:paraId="44923E1F" w14:textId="77777777" w:rsidR="00F55965" w:rsidRDefault="00F55965" w:rsidP="003911C9">
            <w:pPr>
              <w:pStyle w:val="Accessibilitypara"/>
            </w:pPr>
          </w:p>
          <w:p w14:paraId="18D8F3E3" w14:textId="77777777" w:rsidR="00F55965" w:rsidRDefault="00F55965" w:rsidP="003911C9">
            <w:pPr>
              <w:pStyle w:val="Accessibilitypara"/>
            </w:pPr>
          </w:p>
          <w:p w14:paraId="697522A7" w14:textId="77777777" w:rsidR="00F55965" w:rsidRDefault="00F55965" w:rsidP="003911C9">
            <w:pPr>
              <w:pStyle w:val="Accessibilitypara"/>
            </w:pPr>
          </w:p>
          <w:p w14:paraId="41DFFD97" w14:textId="77777777" w:rsidR="00F55965" w:rsidRDefault="00F55965" w:rsidP="003911C9">
            <w:pPr>
              <w:pStyle w:val="Accessibilitypara"/>
            </w:pPr>
          </w:p>
          <w:p w14:paraId="134F268A" w14:textId="77777777" w:rsidR="00F55965" w:rsidRDefault="00F55965" w:rsidP="003911C9">
            <w:pPr>
              <w:pStyle w:val="Accessibilitypara"/>
            </w:pPr>
          </w:p>
          <w:p w14:paraId="5E72931B" w14:textId="77777777" w:rsidR="00F55965" w:rsidRDefault="00F55965" w:rsidP="003911C9">
            <w:pPr>
              <w:pStyle w:val="Accessibilitypara"/>
            </w:pPr>
          </w:p>
          <w:p w14:paraId="629A363C" w14:textId="77777777" w:rsidR="00F55965" w:rsidRDefault="00F55965" w:rsidP="003911C9">
            <w:pPr>
              <w:pStyle w:val="Accessibilitypara"/>
            </w:pPr>
          </w:p>
          <w:p w14:paraId="42EA521B" w14:textId="77777777" w:rsidR="00F55965" w:rsidRDefault="00F55965" w:rsidP="003911C9">
            <w:pPr>
              <w:pStyle w:val="Accessibilitypara"/>
            </w:pPr>
          </w:p>
          <w:p w14:paraId="2891C791" w14:textId="77777777" w:rsidR="00F55965" w:rsidRDefault="00F55965" w:rsidP="003911C9">
            <w:pPr>
              <w:pStyle w:val="Accessibilitypara"/>
            </w:pPr>
          </w:p>
          <w:p w14:paraId="071215CA" w14:textId="77777777" w:rsidR="00F55965" w:rsidRDefault="00F55965" w:rsidP="003911C9">
            <w:pPr>
              <w:pStyle w:val="Accessibilitypara"/>
            </w:pPr>
          </w:p>
          <w:p w14:paraId="6EFF3F8E" w14:textId="77777777" w:rsidR="00F55965" w:rsidRDefault="00F55965" w:rsidP="003911C9">
            <w:pPr>
              <w:pStyle w:val="Accessibilitypara"/>
            </w:pPr>
          </w:p>
          <w:p w14:paraId="5653635F" w14:textId="1C436D51" w:rsidR="00F55965" w:rsidRPr="0055119B" w:rsidRDefault="00EF170B" w:rsidP="003911C9">
            <w:pPr>
              <w:pStyle w:val="Accessibilitypara"/>
            </w:pPr>
            <w:r w:rsidRPr="0055119B">
              <w:t xml:space="preserve">To receive </w:t>
            </w:r>
            <w:r w:rsidR="00F55965" w:rsidRPr="0055119B">
              <w:t>this document in another format</w:t>
            </w:r>
            <w:r w:rsidR="00F55965">
              <w:t>,</w:t>
            </w:r>
            <w:r w:rsidR="00F55965" w:rsidRPr="0055119B">
              <w:t xml:space="preserve"> </w:t>
            </w:r>
            <w:hyperlink r:id="rId16" w:history="1">
              <w:r w:rsidR="00F55965" w:rsidRPr="00C36663">
                <w:rPr>
                  <w:rStyle w:val="Hyperlink"/>
                </w:rPr>
                <w:t>email HACC PYP (Health)</w:t>
              </w:r>
            </w:hyperlink>
            <w:r w:rsidR="00F55965" w:rsidRPr="0055119B">
              <w:t xml:space="preserve"> </w:t>
            </w:r>
            <w:r w:rsidR="00F55965">
              <w:t>&lt;hacc-pyp@health.vic.gov.au&gt;.</w:t>
            </w:r>
          </w:p>
          <w:p w14:paraId="581811FF" w14:textId="77777777" w:rsidR="00F55965" w:rsidRPr="0055119B" w:rsidRDefault="00F55965" w:rsidP="003911C9">
            <w:pPr>
              <w:pStyle w:val="Imprint"/>
            </w:pPr>
            <w:r w:rsidRPr="0055119B">
              <w:t>Authorised and published by the Victorian Government, 1 Treasury Place, Melbourne.</w:t>
            </w:r>
          </w:p>
          <w:p w14:paraId="2E773F5A" w14:textId="77777777" w:rsidR="00F55965" w:rsidRPr="0055119B" w:rsidRDefault="00F55965" w:rsidP="003911C9">
            <w:pPr>
              <w:pStyle w:val="Imprint"/>
            </w:pPr>
            <w:r w:rsidRPr="0055119B">
              <w:t xml:space="preserve">© State of Victoria, Australia, Department </w:t>
            </w:r>
            <w:r w:rsidRPr="001B058F">
              <w:t xml:space="preserve">of </w:t>
            </w:r>
            <w:r>
              <w:t>Health</w:t>
            </w:r>
            <w:r w:rsidRPr="0055119B">
              <w:t>,</w:t>
            </w:r>
            <w:r>
              <w:t xml:space="preserve"> July 2026.</w:t>
            </w:r>
          </w:p>
          <w:p w14:paraId="2FC61FC3" w14:textId="77777777" w:rsidR="00F55965" w:rsidRPr="00C36663" w:rsidRDefault="00F55965" w:rsidP="003911C9">
            <w:pPr>
              <w:pStyle w:val="Imprint"/>
              <w:rPr>
                <w:color w:val="auto"/>
              </w:rPr>
            </w:pPr>
            <w:bookmarkStart w:id="0" w:name="_Hlk62746129"/>
            <w:r w:rsidRPr="00C36663">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EBD3AEE" w14:textId="77777777" w:rsidR="00F55965" w:rsidRPr="00C36663" w:rsidRDefault="00F55965" w:rsidP="003911C9">
            <w:pPr>
              <w:pStyle w:val="Imprint"/>
              <w:rPr>
                <w:color w:val="auto"/>
              </w:rPr>
            </w:pPr>
            <w:r w:rsidRPr="00C36663">
              <w:rPr>
                <w:color w:val="auto"/>
              </w:rPr>
              <w:t>In this document, ‘Aboriginal’ refers to both Aboriginal and Torres Strait Islander people. ‘Indigenous’ or ‘Koori/Koorie’ is retained when part of the title of a report, program or quotation.</w:t>
            </w:r>
          </w:p>
          <w:p w14:paraId="1C8A940E" w14:textId="77777777" w:rsidR="00F55965" w:rsidRPr="0055119B" w:rsidRDefault="00F55965" w:rsidP="003911C9">
            <w:pPr>
              <w:pStyle w:val="Imprint"/>
            </w:pPr>
            <w:r w:rsidRPr="0055119B">
              <w:t xml:space="preserve">ISBN/ISSN </w:t>
            </w:r>
            <w:r w:rsidRPr="00C608A8">
              <w:rPr>
                <w:rFonts w:eastAsia="Arial" w:cs="Arial"/>
                <w:color w:val="auto"/>
              </w:rPr>
              <w:t>978-1-76195-003-2</w:t>
            </w:r>
            <w:r w:rsidRPr="00E33237">
              <w:rPr>
                <w:color w:val="004C97"/>
              </w:rPr>
              <w:t xml:space="preserve"> </w:t>
            </w:r>
            <w:r w:rsidRPr="0055119B">
              <w:t>(online/PDF/Word)</w:t>
            </w:r>
          </w:p>
          <w:p w14:paraId="0B5E9D87" w14:textId="77777777" w:rsidR="00F55965" w:rsidRDefault="00F55965" w:rsidP="003911C9">
            <w:pPr>
              <w:pStyle w:val="Imprint"/>
            </w:pPr>
            <w:r w:rsidRPr="0055119B">
              <w:t xml:space="preserve">Available at </w:t>
            </w:r>
            <w:hyperlink r:id="rId17" w:history="1">
              <w:r w:rsidRPr="00A8330A">
                <w:rPr>
                  <w:rFonts w:eastAsia="Times New Roman"/>
                  <w:color w:val="0000FF"/>
                  <w:sz w:val="21"/>
                  <w:u w:val="single"/>
                </w:rPr>
                <w:t>HACC Program for Younger People (health.vic.gov.au)</w:t>
              </w:r>
            </w:hyperlink>
            <w:r>
              <w:t xml:space="preserve"> </w:t>
            </w:r>
            <w:r w:rsidRPr="00A8330A">
              <w:rPr>
                <w:color w:val="auto"/>
              </w:rPr>
              <w:t>&lt;https://www.health.vic.gov.au/home-and-community-care/hacc-program-for-younger-peopl</w:t>
            </w:r>
            <w:r>
              <w:rPr>
                <w:color w:val="auto"/>
              </w:rPr>
              <w:t>e&gt;.</w:t>
            </w:r>
            <w:bookmarkEnd w:id="0"/>
          </w:p>
        </w:tc>
      </w:tr>
    </w:tbl>
    <w:p w14:paraId="0E00D333" w14:textId="77777777" w:rsidR="009F2182" w:rsidRDefault="009F2182" w:rsidP="009F2182">
      <w:pPr>
        <w:pStyle w:val="Body"/>
      </w:pPr>
    </w:p>
    <w:p w14:paraId="66378A67" w14:textId="77777777" w:rsidR="00AD784C" w:rsidRPr="00B57329" w:rsidRDefault="00AD784C" w:rsidP="002365B4">
      <w:pPr>
        <w:pStyle w:val="TOCheadingreport"/>
      </w:pPr>
      <w:r w:rsidRPr="00B57329">
        <w:lastRenderedPageBreak/>
        <w:t>Contents</w:t>
      </w:r>
    </w:p>
    <w:p w14:paraId="4CB55A5F" w14:textId="478FC6AD" w:rsidR="00FE71F3"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281381" w:history="1">
        <w:r w:rsidR="00FE71F3" w:rsidRPr="0024642C">
          <w:rPr>
            <w:rStyle w:val="Hyperlink"/>
          </w:rPr>
          <w:t>1. Introduction</w:t>
        </w:r>
        <w:r w:rsidR="00FE71F3">
          <w:rPr>
            <w:webHidden/>
          </w:rPr>
          <w:tab/>
        </w:r>
        <w:r w:rsidR="00FE71F3">
          <w:rPr>
            <w:webHidden/>
          </w:rPr>
          <w:fldChar w:fldCharType="begin"/>
        </w:r>
        <w:r w:rsidR="00FE71F3">
          <w:rPr>
            <w:webHidden/>
          </w:rPr>
          <w:instrText xml:space="preserve"> PAGEREF _Toc233281381 \h </w:instrText>
        </w:r>
        <w:r w:rsidR="00FE71F3">
          <w:rPr>
            <w:webHidden/>
          </w:rPr>
        </w:r>
        <w:r w:rsidR="00FE71F3">
          <w:rPr>
            <w:webHidden/>
          </w:rPr>
          <w:fldChar w:fldCharType="separate"/>
        </w:r>
        <w:r w:rsidR="00FE71F3">
          <w:rPr>
            <w:webHidden/>
          </w:rPr>
          <w:t>7</w:t>
        </w:r>
        <w:r w:rsidR="00FE71F3">
          <w:rPr>
            <w:webHidden/>
          </w:rPr>
          <w:fldChar w:fldCharType="end"/>
        </w:r>
      </w:hyperlink>
    </w:p>
    <w:p w14:paraId="6458DBD5" w14:textId="4A77C12D"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82" w:history="1">
        <w:r w:rsidRPr="0024642C">
          <w:rPr>
            <w:rStyle w:val="Hyperlink"/>
          </w:rPr>
          <w:t>1.1 Overview</w:t>
        </w:r>
        <w:r>
          <w:rPr>
            <w:webHidden/>
          </w:rPr>
          <w:tab/>
        </w:r>
        <w:r>
          <w:rPr>
            <w:webHidden/>
          </w:rPr>
          <w:fldChar w:fldCharType="begin"/>
        </w:r>
        <w:r>
          <w:rPr>
            <w:webHidden/>
          </w:rPr>
          <w:instrText xml:space="preserve"> PAGEREF _Toc233281382 \h </w:instrText>
        </w:r>
        <w:r>
          <w:rPr>
            <w:webHidden/>
          </w:rPr>
        </w:r>
        <w:r>
          <w:rPr>
            <w:webHidden/>
          </w:rPr>
          <w:fldChar w:fldCharType="separate"/>
        </w:r>
        <w:r>
          <w:rPr>
            <w:webHidden/>
          </w:rPr>
          <w:t>7</w:t>
        </w:r>
        <w:r>
          <w:rPr>
            <w:webHidden/>
          </w:rPr>
          <w:fldChar w:fldCharType="end"/>
        </w:r>
      </w:hyperlink>
    </w:p>
    <w:p w14:paraId="3FF654BE" w14:textId="3A5CC313"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83" w:history="1">
        <w:r w:rsidRPr="0024642C">
          <w:rPr>
            <w:rStyle w:val="Hyperlink"/>
            <w:rFonts w:eastAsia="Times"/>
          </w:rPr>
          <w:t>1.2 Purpose</w:t>
        </w:r>
        <w:r>
          <w:rPr>
            <w:webHidden/>
          </w:rPr>
          <w:tab/>
        </w:r>
        <w:r>
          <w:rPr>
            <w:webHidden/>
          </w:rPr>
          <w:fldChar w:fldCharType="begin"/>
        </w:r>
        <w:r>
          <w:rPr>
            <w:webHidden/>
          </w:rPr>
          <w:instrText xml:space="preserve"> PAGEREF _Toc233281383 \h </w:instrText>
        </w:r>
        <w:r>
          <w:rPr>
            <w:webHidden/>
          </w:rPr>
        </w:r>
        <w:r>
          <w:rPr>
            <w:webHidden/>
          </w:rPr>
          <w:fldChar w:fldCharType="separate"/>
        </w:r>
        <w:r>
          <w:rPr>
            <w:webHidden/>
          </w:rPr>
          <w:t>7</w:t>
        </w:r>
        <w:r>
          <w:rPr>
            <w:webHidden/>
          </w:rPr>
          <w:fldChar w:fldCharType="end"/>
        </w:r>
      </w:hyperlink>
    </w:p>
    <w:p w14:paraId="681DD91C" w14:textId="10D886E8"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84" w:history="1">
        <w:r w:rsidRPr="0024642C">
          <w:rPr>
            <w:rStyle w:val="Hyperlink"/>
          </w:rPr>
          <w:t>1.3 Scope</w:t>
        </w:r>
        <w:r>
          <w:rPr>
            <w:webHidden/>
          </w:rPr>
          <w:tab/>
        </w:r>
        <w:r>
          <w:rPr>
            <w:webHidden/>
          </w:rPr>
          <w:fldChar w:fldCharType="begin"/>
        </w:r>
        <w:r>
          <w:rPr>
            <w:webHidden/>
          </w:rPr>
          <w:instrText xml:space="preserve"> PAGEREF _Toc233281384 \h </w:instrText>
        </w:r>
        <w:r>
          <w:rPr>
            <w:webHidden/>
          </w:rPr>
        </w:r>
        <w:r>
          <w:rPr>
            <w:webHidden/>
          </w:rPr>
          <w:fldChar w:fldCharType="separate"/>
        </w:r>
        <w:r>
          <w:rPr>
            <w:webHidden/>
          </w:rPr>
          <w:t>8</w:t>
        </w:r>
        <w:r>
          <w:rPr>
            <w:webHidden/>
          </w:rPr>
          <w:fldChar w:fldCharType="end"/>
        </w:r>
      </w:hyperlink>
    </w:p>
    <w:p w14:paraId="5C1EEA13" w14:textId="142FAA1A"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85" w:history="1">
        <w:r w:rsidRPr="0024642C">
          <w:rPr>
            <w:rStyle w:val="Hyperlink"/>
            <w:rFonts w:eastAsia="Times"/>
          </w:rPr>
          <w:t>1.4 Key changes in the 2026 edition</w:t>
        </w:r>
        <w:r>
          <w:rPr>
            <w:webHidden/>
          </w:rPr>
          <w:tab/>
        </w:r>
        <w:r>
          <w:rPr>
            <w:webHidden/>
          </w:rPr>
          <w:fldChar w:fldCharType="begin"/>
        </w:r>
        <w:r>
          <w:rPr>
            <w:webHidden/>
          </w:rPr>
          <w:instrText xml:space="preserve"> PAGEREF _Toc233281385 \h </w:instrText>
        </w:r>
        <w:r>
          <w:rPr>
            <w:webHidden/>
          </w:rPr>
        </w:r>
        <w:r>
          <w:rPr>
            <w:webHidden/>
          </w:rPr>
          <w:fldChar w:fldCharType="separate"/>
        </w:r>
        <w:r>
          <w:rPr>
            <w:webHidden/>
          </w:rPr>
          <w:t>8</w:t>
        </w:r>
        <w:r>
          <w:rPr>
            <w:webHidden/>
          </w:rPr>
          <w:fldChar w:fldCharType="end"/>
        </w:r>
      </w:hyperlink>
    </w:p>
    <w:p w14:paraId="2906D21D" w14:textId="48F4C78A"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386" w:history="1">
        <w:r w:rsidRPr="0024642C">
          <w:rPr>
            <w:rStyle w:val="Hyperlink"/>
          </w:rPr>
          <w:t>2. Strategic Alignment</w:t>
        </w:r>
        <w:r>
          <w:rPr>
            <w:webHidden/>
          </w:rPr>
          <w:tab/>
        </w:r>
        <w:r>
          <w:rPr>
            <w:webHidden/>
          </w:rPr>
          <w:fldChar w:fldCharType="begin"/>
        </w:r>
        <w:r>
          <w:rPr>
            <w:webHidden/>
          </w:rPr>
          <w:instrText xml:space="preserve"> PAGEREF _Toc233281386 \h </w:instrText>
        </w:r>
        <w:r>
          <w:rPr>
            <w:webHidden/>
          </w:rPr>
        </w:r>
        <w:r>
          <w:rPr>
            <w:webHidden/>
          </w:rPr>
          <w:fldChar w:fldCharType="separate"/>
        </w:r>
        <w:r>
          <w:rPr>
            <w:webHidden/>
          </w:rPr>
          <w:t>8</w:t>
        </w:r>
        <w:r>
          <w:rPr>
            <w:webHidden/>
          </w:rPr>
          <w:fldChar w:fldCharType="end"/>
        </w:r>
      </w:hyperlink>
    </w:p>
    <w:p w14:paraId="05B77C01" w14:textId="6B6B0AC3"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387" w:history="1">
        <w:r w:rsidRPr="0024642C">
          <w:rPr>
            <w:rStyle w:val="Hyperlink"/>
          </w:rPr>
          <w:t>3. Governance</w:t>
        </w:r>
        <w:r>
          <w:rPr>
            <w:webHidden/>
          </w:rPr>
          <w:tab/>
        </w:r>
        <w:r>
          <w:rPr>
            <w:webHidden/>
          </w:rPr>
          <w:fldChar w:fldCharType="begin"/>
        </w:r>
        <w:r>
          <w:rPr>
            <w:webHidden/>
          </w:rPr>
          <w:instrText xml:space="preserve"> PAGEREF _Toc233281387 \h </w:instrText>
        </w:r>
        <w:r>
          <w:rPr>
            <w:webHidden/>
          </w:rPr>
        </w:r>
        <w:r>
          <w:rPr>
            <w:webHidden/>
          </w:rPr>
          <w:fldChar w:fldCharType="separate"/>
        </w:r>
        <w:r>
          <w:rPr>
            <w:webHidden/>
          </w:rPr>
          <w:t>9</w:t>
        </w:r>
        <w:r>
          <w:rPr>
            <w:webHidden/>
          </w:rPr>
          <w:fldChar w:fldCharType="end"/>
        </w:r>
      </w:hyperlink>
    </w:p>
    <w:p w14:paraId="6B1CE131" w14:textId="0D1AB6DB"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88" w:history="1">
        <w:r w:rsidRPr="0024642C">
          <w:rPr>
            <w:rStyle w:val="Hyperlink"/>
          </w:rPr>
          <w:t>3.1 Victorian Department of Health</w:t>
        </w:r>
        <w:r>
          <w:rPr>
            <w:webHidden/>
          </w:rPr>
          <w:tab/>
        </w:r>
        <w:r>
          <w:rPr>
            <w:webHidden/>
          </w:rPr>
          <w:fldChar w:fldCharType="begin"/>
        </w:r>
        <w:r>
          <w:rPr>
            <w:webHidden/>
          </w:rPr>
          <w:instrText xml:space="preserve"> PAGEREF _Toc233281388 \h </w:instrText>
        </w:r>
        <w:r>
          <w:rPr>
            <w:webHidden/>
          </w:rPr>
        </w:r>
        <w:r>
          <w:rPr>
            <w:webHidden/>
          </w:rPr>
          <w:fldChar w:fldCharType="separate"/>
        </w:r>
        <w:r>
          <w:rPr>
            <w:webHidden/>
          </w:rPr>
          <w:t>9</w:t>
        </w:r>
        <w:r>
          <w:rPr>
            <w:webHidden/>
          </w:rPr>
          <w:fldChar w:fldCharType="end"/>
        </w:r>
      </w:hyperlink>
    </w:p>
    <w:p w14:paraId="4DF802CC" w14:textId="096CF948"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89" w:history="1">
        <w:r w:rsidRPr="0024642C">
          <w:rPr>
            <w:rStyle w:val="Hyperlink"/>
          </w:rPr>
          <w:t>3.2 HACC PYP service providers</w:t>
        </w:r>
        <w:r>
          <w:rPr>
            <w:webHidden/>
          </w:rPr>
          <w:tab/>
        </w:r>
        <w:r>
          <w:rPr>
            <w:webHidden/>
          </w:rPr>
          <w:fldChar w:fldCharType="begin"/>
        </w:r>
        <w:r>
          <w:rPr>
            <w:webHidden/>
          </w:rPr>
          <w:instrText xml:space="preserve"> PAGEREF _Toc233281389 \h </w:instrText>
        </w:r>
        <w:r>
          <w:rPr>
            <w:webHidden/>
          </w:rPr>
        </w:r>
        <w:r>
          <w:rPr>
            <w:webHidden/>
          </w:rPr>
          <w:fldChar w:fldCharType="separate"/>
        </w:r>
        <w:r>
          <w:rPr>
            <w:webHidden/>
          </w:rPr>
          <w:t>10</w:t>
        </w:r>
        <w:r>
          <w:rPr>
            <w:webHidden/>
          </w:rPr>
          <w:fldChar w:fldCharType="end"/>
        </w:r>
      </w:hyperlink>
    </w:p>
    <w:p w14:paraId="3E901876" w14:textId="0F6C705D"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390" w:history="1">
        <w:r w:rsidRPr="0024642C">
          <w:rPr>
            <w:rStyle w:val="Hyperlink"/>
          </w:rPr>
          <w:t>4. Service Access</w:t>
        </w:r>
        <w:r>
          <w:rPr>
            <w:webHidden/>
          </w:rPr>
          <w:tab/>
        </w:r>
        <w:r>
          <w:rPr>
            <w:webHidden/>
          </w:rPr>
          <w:fldChar w:fldCharType="begin"/>
        </w:r>
        <w:r>
          <w:rPr>
            <w:webHidden/>
          </w:rPr>
          <w:instrText xml:space="preserve"> PAGEREF _Toc233281390 \h </w:instrText>
        </w:r>
        <w:r>
          <w:rPr>
            <w:webHidden/>
          </w:rPr>
        </w:r>
        <w:r>
          <w:rPr>
            <w:webHidden/>
          </w:rPr>
          <w:fldChar w:fldCharType="separate"/>
        </w:r>
        <w:r>
          <w:rPr>
            <w:webHidden/>
          </w:rPr>
          <w:t>11</w:t>
        </w:r>
        <w:r>
          <w:rPr>
            <w:webHidden/>
          </w:rPr>
          <w:fldChar w:fldCharType="end"/>
        </w:r>
      </w:hyperlink>
    </w:p>
    <w:p w14:paraId="3907443B" w14:textId="25900312"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91" w:history="1">
        <w:r w:rsidRPr="0024642C">
          <w:rPr>
            <w:rStyle w:val="Hyperlink"/>
          </w:rPr>
          <w:t>4.1 Eligibility</w:t>
        </w:r>
        <w:r>
          <w:rPr>
            <w:webHidden/>
          </w:rPr>
          <w:tab/>
        </w:r>
        <w:r>
          <w:rPr>
            <w:webHidden/>
          </w:rPr>
          <w:fldChar w:fldCharType="begin"/>
        </w:r>
        <w:r>
          <w:rPr>
            <w:webHidden/>
          </w:rPr>
          <w:instrText xml:space="preserve"> PAGEREF _Toc233281391 \h </w:instrText>
        </w:r>
        <w:r>
          <w:rPr>
            <w:webHidden/>
          </w:rPr>
        </w:r>
        <w:r>
          <w:rPr>
            <w:webHidden/>
          </w:rPr>
          <w:fldChar w:fldCharType="separate"/>
        </w:r>
        <w:r>
          <w:rPr>
            <w:webHidden/>
          </w:rPr>
          <w:t>11</w:t>
        </w:r>
        <w:r>
          <w:rPr>
            <w:webHidden/>
          </w:rPr>
          <w:fldChar w:fldCharType="end"/>
        </w:r>
      </w:hyperlink>
    </w:p>
    <w:p w14:paraId="66D14B58" w14:textId="48B095FE"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92" w:history="1">
        <w:r w:rsidRPr="0024642C">
          <w:rPr>
            <w:rStyle w:val="Hyperlink"/>
          </w:rPr>
          <w:t>4.2 Priority of access</w:t>
        </w:r>
        <w:r>
          <w:rPr>
            <w:webHidden/>
          </w:rPr>
          <w:tab/>
        </w:r>
        <w:r>
          <w:rPr>
            <w:webHidden/>
          </w:rPr>
          <w:fldChar w:fldCharType="begin"/>
        </w:r>
        <w:r>
          <w:rPr>
            <w:webHidden/>
          </w:rPr>
          <w:instrText xml:space="preserve"> PAGEREF _Toc233281392 \h </w:instrText>
        </w:r>
        <w:r>
          <w:rPr>
            <w:webHidden/>
          </w:rPr>
        </w:r>
        <w:r>
          <w:rPr>
            <w:webHidden/>
          </w:rPr>
          <w:fldChar w:fldCharType="separate"/>
        </w:r>
        <w:r>
          <w:rPr>
            <w:webHidden/>
          </w:rPr>
          <w:t>12</w:t>
        </w:r>
        <w:r>
          <w:rPr>
            <w:webHidden/>
          </w:rPr>
          <w:fldChar w:fldCharType="end"/>
        </w:r>
      </w:hyperlink>
    </w:p>
    <w:p w14:paraId="06446CDA" w14:textId="26B5CBED"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393" w:history="1">
        <w:r w:rsidRPr="0024642C">
          <w:rPr>
            <w:rStyle w:val="Hyperlink"/>
          </w:rPr>
          <w:t>5. Service Model</w:t>
        </w:r>
        <w:r>
          <w:rPr>
            <w:webHidden/>
          </w:rPr>
          <w:tab/>
        </w:r>
        <w:r>
          <w:rPr>
            <w:webHidden/>
          </w:rPr>
          <w:fldChar w:fldCharType="begin"/>
        </w:r>
        <w:r>
          <w:rPr>
            <w:webHidden/>
          </w:rPr>
          <w:instrText xml:space="preserve"> PAGEREF _Toc233281393 \h </w:instrText>
        </w:r>
        <w:r>
          <w:rPr>
            <w:webHidden/>
          </w:rPr>
        </w:r>
        <w:r>
          <w:rPr>
            <w:webHidden/>
          </w:rPr>
          <w:fldChar w:fldCharType="separate"/>
        </w:r>
        <w:r>
          <w:rPr>
            <w:webHidden/>
          </w:rPr>
          <w:t>13</w:t>
        </w:r>
        <w:r>
          <w:rPr>
            <w:webHidden/>
          </w:rPr>
          <w:fldChar w:fldCharType="end"/>
        </w:r>
      </w:hyperlink>
    </w:p>
    <w:p w14:paraId="0A10A0AB" w14:textId="35D386E9"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94" w:history="1">
        <w:r w:rsidRPr="0024642C">
          <w:rPr>
            <w:rStyle w:val="Hyperlink"/>
            <w:lang w:val="en-US"/>
          </w:rPr>
          <w:t>5.1 Networked service delivery</w:t>
        </w:r>
        <w:r>
          <w:rPr>
            <w:webHidden/>
          </w:rPr>
          <w:tab/>
        </w:r>
        <w:r>
          <w:rPr>
            <w:webHidden/>
          </w:rPr>
          <w:fldChar w:fldCharType="begin"/>
        </w:r>
        <w:r>
          <w:rPr>
            <w:webHidden/>
          </w:rPr>
          <w:instrText xml:space="preserve"> PAGEREF _Toc233281394 \h </w:instrText>
        </w:r>
        <w:r>
          <w:rPr>
            <w:webHidden/>
          </w:rPr>
        </w:r>
        <w:r>
          <w:rPr>
            <w:webHidden/>
          </w:rPr>
          <w:fldChar w:fldCharType="separate"/>
        </w:r>
        <w:r>
          <w:rPr>
            <w:webHidden/>
          </w:rPr>
          <w:t>13</w:t>
        </w:r>
        <w:r>
          <w:rPr>
            <w:webHidden/>
          </w:rPr>
          <w:fldChar w:fldCharType="end"/>
        </w:r>
      </w:hyperlink>
    </w:p>
    <w:p w14:paraId="3AF07FD0" w14:textId="770D0DD0"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95" w:history="1">
        <w:r w:rsidRPr="0024642C">
          <w:rPr>
            <w:rStyle w:val="Hyperlink"/>
          </w:rPr>
          <w:t>5.2 Person-centred care</w:t>
        </w:r>
        <w:r>
          <w:rPr>
            <w:webHidden/>
          </w:rPr>
          <w:tab/>
        </w:r>
        <w:r>
          <w:rPr>
            <w:webHidden/>
          </w:rPr>
          <w:fldChar w:fldCharType="begin"/>
        </w:r>
        <w:r>
          <w:rPr>
            <w:webHidden/>
          </w:rPr>
          <w:instrText xml:space="preserve"> PAGEREF _Toc233281395 \h </w:instrText>
        </w:r>
        <w:r>
          <w:rPr>
            <w:webHidden/>
          </w:rPr>
        </w:r>
        <w:r>
          <w:rPr>
            <w:webHidden/>
          </w:rPr>
          <w:fldChar w:fldCharType="separate"/>
        </w:r>
        <w:r>
          <w:rPr>
            <w:webHidden/>
          </w:rPr>
          <w:t>14</w:t>
        </w:r>
        <w:r>
          <w:rPr>
            <w:webHidden/>
          </w:rPr>
          <w:fldChar w:fldCharType="end"/>
        </w:r>
      </w:hyperlink>
    </w:p>
    <w:p w14:paraId="3764112D" w14:textId="5858DA66"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96" w:history="1">
        <w:r w:rsidRPr="0024642C">
          <w:rPr>
            <w:rStyle w:val="Hyperlink"/>
          </w:rPr>
          <w:t>5.3 Access and assessment</w:t>
        </w:r>
        <w:r>
          <w:rPr>
            <w:webHidden/>
          </w:rPr>
          <w:tab/>
        </w:r>
        <w:r>
          <w:rPr>
            <w:webHidden/>
          </w:rPr>
          <w:fldChar w:fldCharType="begin"/>
        </w:r>
        <w:r>
          <w:rPr>
            <w:webHidden/>
          </w:rPr>
          <w:instrText xml:space="preserve"> PAGEREF _Toc233281396 \h </w:instrText>
        </w:r>
        <w:r>
          <w:rPr>
            <w:webHidden/>
          </w:rPr>
        </w:r>
        <w:r>
          <w:rPr>
            <w:webHidden/>
          </w:rPr>
          <w:fldChar w:fldCharType="separate"/>
        </w:r>
        <w:r>
          <w:rPr>
            <w:webHidden/>
          </w:rPr>
          <w:t>14</w:t>
        </w:r>
        <w:r>
          <w:rPr>
            <w:webHidden/>
          </w:rPr>
          <w:fldChar w:fldCharType="end"/>
        </w:r>
      </w:hyperlink>
    </w:p>
    <w:p w14:paraId="14F3B12F" w14:textId="3FCF33DA"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97" w:history="1">
        <w:r w:rsidRPr="0024642C">
          <w:rPr>
            <w:rStyle w:val="Hyperlink"/>
          </w:rPr>
          <w:t>5.4 Review, changing needs, and discharge planning</w:t>
        </w:r>
        <w:r>
          <w:rPr>
            <w:webHidden/>
          </w:rPr>
          <w:tab/>
        </w:r>
        <w:r>
          <w:rPr>
            <w:webHidden/>
          </w:rPr>
          <w:fldChar w:fldCharType="begin"/>
        </w:r>
        <w:r>
          <w:rPr>
            <w:webHidden/>
          </w:rPr>
          <w:instrText xml:space="preserve"> PAGEREF _Toc233281397 \h </w:instrText>
        </w:r>
        <w:r>
          <w:rPr>
            <w:webHidden/>
          </w:rPr>
        </w:r>
        <w:r>
          <w:rPr>
            <w:webHidden/>
          </w:rPr>
          <w:fldChar w:fldCharType="separate"/>
        </w:r>
        <w:r>
          <w:rPr>
            <w:webHidden/>
          </w:rPr>
          <w:t>15</w:t>
        </w:r>
        <w:r>
          <w:rPr>
            <w:webHidden/>
          </w:rPr>
          <w:fldChar w:fldCharType="end"/>
        </w:r>
      </w:hyperlink>
    </w:p>
    <w:p w14:paraId="63E116A3" w14:textId="5CCDD9E1"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398" w:history="1">
        <w:r w:rsidRPr="0024642C">
          <w:rPr>
            <w:rStyle w:val="Hyperlink"/>
          </w:rPr>
          <w:t>6</w:t>
        </w:r>
        <w:r w:rsidRPr="0024642C">
          <w:rPr>
            <w:rStyle w:val="Hyperlink"/>
            <w:shd w:val="clear" w:color="auto" w:fill="FFFFFF"/>
          </w:rPr>
          <w:t>. Service streams</w:t>
        </w:r>
        <w:r>
          <w:rPr>
            <w:webHidden/>
          </w:rPr>
          <w:tab/>
        </w:r>
        <w:r>
          <w:rPr>
            <w:webHidden/>
          </w:rPr>
          <w:fldChar w:fldCharType="begin"/>
        </w:r>
        <w:r>
          <w:rPr>
            <w:webHidden/>
          </w:rPr>
          <w:instrText xml:space="preserve"> PAGEREF _Toc233281398 \h </w:instrText>
        </w:r>
        <w:r>
          <w:rPr>
            <w:webHidden/>
          </w:rPr>
        </w:r>
        <w:r>
          <w:rPr>
            <w:webHidden/>
          </w:rPr>
          <w:fldChar w:fldCharType="separate"/>
        </w:r>
        <w:r>
          <w:rPr>
            <w:webHidden/>
          </w:rPr>
          <w:t>15</w:t>
        </w:r>
        <w:r>
          <w:rPr>
            <w:webHidden/>
          </w:rPr>
          <w:fldChar w:fldCharType="end"/>
        </w:r>
      </w:hyperlink>
    </w:p>
    <w:p w14:paraId="4D2E5EC1" w14:textId="23342442"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399" w:history="1">
        <w:r w:rsidRPr="0024642C">
          <w:rPr>
            <w:rStyle w:val="Hyperlink"/>
            <w:lang w:eastAsia="en-AU"/>
          </w:rPr>
          <w:t>6.1 Assessment and access supports</w:t>
        </w:r>
        <w:r>
          <w:rPr>
            <w:webHidden/>
          </w:rPr>
          <w:tab/>
        </w:r>
        <w:r>
          <w:rPr>
            <w:webHidden/>
          </w:rPr>
          <w:fldChar w:fldCharType="begin"/>
        </w:r>
        <w:r>
          <w:rPr>
            <w:webHidden/>
          </w:rPr>
          <w:instrText xml:space="preserve"> PAGEREF _Toc233281399 \h </w:instrText>
        </w:r>
        <w:r>
          <w:rPr>
            <w:webHidden/>
          </w:rPr>
        </w:r>
        <w:r>
          <w:rPr>
            <w:webHidden/>
          </w:rPr>
          <w:fldChar w:fldCharType="separate"/>
        </w:r>
        <w:r>
          <w:rPr>
            <w:webHidden/>
          </w:rPr>
          <w:t>16</w:t>
        </w:r>
        <w:r>
          <w:rPr>
            <w:webHidden/>
          </w:rPr>
          <w:fldChar w:fldCharType="end"/>
        </w:r>
      </w:hyperlink>
    </w:p>
    <w:p w14:paraId="06F5EF67" w14:textId="4D551AE3"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00" w:history="1">
        <w:r w:rsidRPr="0024642C">
          <w:rPr>
            <w:rStyle w:val="Hyperlink"/>
            <w:shd w:val="clear" w:color="auto" w:fill="FFFFFF"/>
          </w:rPr>
          <w:t>6.2 Health Supports</w:t>
        </w:r>
        <w:r>
          <w:rPr>
            <w:webHidden/>
          </w:rPr>
          <w:tab/>
        </w:r>
        <w:r>
          <w:rPr>
            <w:webHidden/>
          </w:rPr>
          <w:fldChar w:fldCharType="begin"/>
        </w:r>
        <w:r>
          <w:rPr>
            <w:webHidden/>
          </w:rPr>
          <w:instrText xml:space="preserve"> PAGEREF _Toc233281400 \h </w:instrText>
        </w:r>
        <w:r>
          <w:rPr>
            <w:webHidden/>
          </w:rPr>
        </w:r>
        <w:r>
          <w:rPr>
            <w:webHidden/>
          </w:rPr>
          <w:fldChar w:fldCharType="separate"/>
        </w:r>
        <w:r>
          <w:rPr>
            <w:webHidden/>
          </w:rPr>
          <w:t>18</w:t>
        </w:r>
        <w:r>
          <w:rPr>
            <w:webHidden/>
          </w:rPr>
          <w:fldChar w:fldCharType="end"/>
        </w:r>
      </w:hyperlink>
    </w:p>
    <w:p w14:paraId="23EDFB5E" w14:textId="62C02A60"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01" w:history="1">
        <w:r w:rsidRPr="0024642C">
          <w:rPr>
            <w:rStyle w:val="Hyperlink"/>
            <w:shd w:val="clear" w:color="auto" w:fill="FFFFFF"/>
          </w:rPr>
          <w:t>6.3 Personal and in-home support</w:t>
        </w:r>
        <w:r>
          <w:rPr>
            <w:webHidden/>
          </w:rPr>
          <w:tab/>
        </w:r>
        <w:r>
          <w:rPr>
            <w:webHidden/>
          </w:rPr>
          <w:fldChar w:fldCharType="begin"/>
        </w:r>
        <w:r>
          <w:rPr>
            <w:webHidden/>
          </w:rPr>
          <w:instrText xml:space="preserve"> PAGEREF _Toc233281401 \h </w:instrText>
        </w:r>
        <w:r>
          <w:rPr>
            <w:webHidden/>
          </w:rPr>
        </w:r>
        <w:r>
          <w:rPr>
            <w:webHidden/>
          </w:rPr>
          <w:fldChar w:fldCharType="separate"/>
        </w:r>
        <w:r>
          <w:rPr>
            <w:webHidden/>
          </w:rPr>
          <w:t>19</w:t>
        </w:r>
        <w:r>
          <w:rPr>
            <w:webHidden/>
          </w:rPr>
          <w:fldChar w:fldCharType="end"/>
        </w:r>
      </w:hyperlink>
    </w:p>
    <w:p w14:paraId="7BD0FA6B" w14:textId="40953916"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02" w:history="1">
        <w:r w:rsidRPr="0024642C">
          <w:rPr>
            <w:rStyle w:val="Hyperlink"/>
            <w:shd w:val="clear" w:color="auto" w:fill="FFFFFF"/>
          </w:rPr>
          <w:t>6.4 Social and community engagement</w:t>
        </w:r>
        <w:r>
          <w:rPr>
            <w:webHidden/>
          </w:rPr>
          <w:tab/>
        </w:r>
        <w:r>
          <w:rPr>
            <w:webHidden/>
          </w:rPr>
          <w:fldChar w:fldCharType="begin"/>
        </w:r>
        <w:r>
          <w:rPr>
            <w:webHidden/>
          </w:rPr>
          <w:instrText xml:space="preserve"> PAGEREF _Toc233281402 \h </w:instrText>
        </w:r>
        <w:r>
          <w:rPr>
            <w:webHidden/>
          </w:rPr>
        </w:r>
        <w:r>
          <w:rPr>
            <w:webHidden/>
          </w:rPr>
          <w:fldChar w:fldCharType="separate"/>
        </w:r>
        <w:r>
          <w:rPr>
            <w:webHidden/>
          </w:rPr>
          <w:t>21</w:t>
        </w:r>
        <w:r>
          <w:rPr>
            <w:webHidden/>
          </w:rPr>
          <w:fldChar w:fldCharType="end"/>
        </w:r>
      </w:hyperlink>
    </w:p>
    <w:p w14:paraId="1B23E0B2" w14:textId="3E060C29"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03" w:history="1">
        <w:r w:rsidRPr="0024642C">
          <w:rPr>
            <w:rStyle w:val="Hyperlink"/>
            <w:rFonts w:eastAsia="Times"/>
            <w:shd w:val="clear" w:color="auto" w:fill="FFFFFF"/>
          </w:rPr>
          <w:t>6.5 Workforce</w:t>
        </w:r>
        <w:r>
          <w:rPr>
            <w:webHidden/>
          </w:rPr>
          <w:tab/>
        </w:r>
        <w:r>
          <w:rPr>
            <w:webHidden/>
          </w:rPr>
          <w:fldChar w:fldCharType="begin"/>
        </w:r>
        <w:r>
          <w:rPr>
            <w:webHidden/>
          </w:rPr>
          <w:instrText xml:space="preserve"> PAGEREF _Toc233281403 \h </w:instrText>
        </w:r>
        <w:r>
          <w:rPr>
            <w:webHidden/>
          </w:rPr>
        </w:r>
        <w:r>
          <w:rPr>
            <w:webHidden/>
          </w:rPr>
          <w:fldChar w:fldCharType="separate"/>
        </w:r>
        <w:r>
          <w:rPr>
            <w:webHidden/>
          </w:rPr>
          <w:t>22</w:t>
        </w:r>
        <w:r>
          <w:rPr>
            <w:webHidden/>
          </w:rPr>
          <w:fldChar w:fldCharType="end"/>
        </w:r>
      </w:hyperlink>
    </w:p>
    <w:p w14:paraId="4A6FD006" w14:textId="5F89F98A"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404" w:history="1">
        <w:r w:rsidRPr="0024642C">
          <w:rPr>
            <w:rStyle w:val="Hyperlink"/>
            <w:rFonts w:eastAsia="Times"/>
            <w:shd w:val="clear" w:color="auto" w:fill="FFFFFF"/>
          </w:rPr>
          <w:t>7.</w:t>
        </w:r>
        <w:r w:rsidRPr="0024642C">
          <w:rPr>
            <w:rStyle w:val="Hyperlink"/>
            <w:shd w:val="clear" w:color="auto" w:fill="FFFFFF"/>
          </w:rPr>
          <w:t xml:space="preserve"> Funding</w:t>
        </w:r>
        <w:r>
          <w:rPr>
            <w:webHidden/>
          </w:rPr>
          <w:tab/>
        </w:r>
        <w:r>
          <w:rPr>
            <w:webHidden/>
          </w:rPr>
          <w:fldChar w:fldCharType="begin"/>
        </w:r>
        <w:r>
          <w:rPr>
            <w:webHidden/>
          </w:rPr>
          <w:instrText xml:space="preserve"> PAGEREF _Toc233281404 \h </w:instrText>
        </w:r>
        <w:r>
          <w:rPr>
            <w:webHidden/>
          </w:rPr>
        </w:r>
        <w:r>
          <w:rPr>
            <w:webHidden/>
          </w:rPr>
          <w:fldChar w:fldCharType="separate"/>
        </w:r>
        <w:r>
          <w:rPr>
            <w:webHidden/>
          </w:rPr>
          <w:t>23</w:t>
        </w:r>
        <w:r>
          <w:rPr>
            <w:webHidden/>
          </w:rPr>
          <w:fldChar w:fldCharType="end"/>
        </w:r>
      </w:hyperlink>
    </w:p>
    <w:p w14:paraId="3E8C5B55" w14:textId="1737B245"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05" w:history="1">
        <w:r w:rsidRPr="0024642C">
          <w:rPr>
            <w:rStyle w:val="Hyperlink"/>
          </w:rPr>
          <w:t>7.1 Unit price</w:t>
        </w:r>
        <w:r>
          <w:rPr>
            <w:webHidden/>
          </w:rPr>
          <w:tab/>
        </w:r>
        <w:r>
          <w:rPr>
            <w:webHidden/>
          </w:rPr>
          <w:fldChar w:fldCharType="begin"/>
        </w:r>
        <w:r>
          <w:rPr>
            <w:webHidden/>
          </w:rPr>
          <w:instrText xml:space="preserve"> PAGEREF _Toc233281405 \h </w:instrText>
        </w:r>
        <w:r>
          <w:rPr>
            <w:webHidden/>
          </w:rPr>
        </w:r>
        <w:r>
          <w:rPr>
            <w:webHidden/>
          </w:rPr>
          <w:fldChar w:fldCharType="separate"/>
        </w:r>
        <w:r>
          <w:rPr>
            <w:webHidden/>
          </w:rPr>
          <w:t>23</w:t>
        </w:r>
        <w:r>
          <w:rPr>
            <w:webHidden/>
          </w:rPr>
          <w:fldChar w:fldCharType="end"/>
        </w:r>
      </w:hyperlink>
    </w:p>
    <w:p w14:paraId="2998ADF6" w14:textId="0793ADFB"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06" w:history="1">
        <w:r w:rsidRPr="0024642C">
          <w:rPr>
            <w:rStyle w:val="Hyperlink"/>
          </w:rPr>
          <w:t>7.2 Fees policy</w:t>
        </w:r>
        <w:r>
          <w:rPr>
            <w:webHidden/>
          </w:rPr>
          <w:tab/>
        </w:r>
        <w:r>
          <w:rPr>
            <w:webHidden/>
          </w:rPr>
          <w:fldChar w:fldCharType="begin"/>
        </w:r>
        <w:r>
          <w:rPr>
            <w:webHidden/>
          </w:rPr>
          <w:instrText xml:space="preserve"> PAGEREF _Toc233281406 \h </w:instrText>
        </w:r>
        <w:r>
          <w:rPr>
            <w:webHidden/>
          </w:rPr>
        </w:r>
        <w:r>
          <w:rPr>
            <w:webHidden/>
          </w:rPr>
          <w:fldChar w:fldCharType="separate"/>
        </w:r>
        <w:r>
          <w:rPr>
            <w:webHidden/>
          </w:rPr>
          <w:t>23</w:t>
        </w:r>
        <w:r>
          <w:rPr>
            <w:webHidden/>
          </w:rPr>
          <w:fldChar w:fldCharType="end"/>
        </w:r>
      </w:hyperlink>
    </w:p>
    <w:p w14:paraId="6156874A" w14:textId="7E80A684"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07" w:history="1">
        <w:r w:rsidRPr="0024642C">
          <w:rPr>
            <w:rStyle w:val="Hyperlink"/>
          </w:rPr>
          <w:t>7.3 Acknowledgement of HACC PYP Funding</w:t>
        </w:r>
        <w:r>
          <w:rPr>
            <w:webHidden/>
          </w:rPr>
          <w:tab/>
        </w:r>
        <w:r>
          <w:rPr>
            <w:webHidden/>
          </w:rPr>
          <w:fldChar w:fldCharType="begin"/>
        </w:r>
        <w:r>
          <w:rPr>
            <w:webHidden/>
          </w:rPr>
          <w:instrText xml:space="preserve"> PAGEREF _Toc233281407 \h </w:instrText>
        </w:r>
        <w:r>
          <w:rPr>
            <w:webHidden/>
          </w:rPr>
        </w:r>
        <w:r>
          <w:rPr>
            <w:webHidden/>
          </w:rPr>
          <w:fldChar w:fldCharType="separate"/>
        </w:r>
        <w:r>
          <w:rPr>
            <w:webHidden/>
          </w:rPr>
          <w:t>24</w:t>
        </w:r>
        <w:r>
          <w:rPr>
            <w:webHidden/>
          </w:rPr>
          <w:fldChar w:fldCharType="end"/>
        </w:r>
      </w:hyperlink>
    </w:p>
    <w:p w14:paraId="4F910251" w14:textId="790E275D"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408" w:history="1">
        <w:r w:rsidRPr="0024642C">
          <w:rPr>
            <w:rStyle w:val="Hyperlink"/>
          </w:rPr>
          <w:t>8. Reporting and data collection</w:t>
        </w:r>
        <w:r>
          <w:rPr>
            <w:webHidden/>
          </w:rPr>
          <w:tab/>
        </w:r>
        <w:r>
          <w:rPr>
            <w:webHidden/>
          </w:rPr>
          <w:fldChar w:fldCharType="begin"/>
        </w:r>
        <w:r>
          <w:rPr>
            <w:webHidden/>
          </w:rPr>
          <w:instrText xml:space="preserve"> PAGEREF _Toc233281408 \h </w:instrText>
        </w:r>
        <w:r>
          <w:rPr>
            <w:webHidden/>
          </w:rPr>
        </w:r>
        <w:r>
          <w:rPr>
            <w:webHidden/>
          </w:rPr>
          <w:fldChar w:fldCharType="separate"/>
        </w:r>
        <w:r>
          <w:rPr>
            <w:webHidden/>
          </w:rPr>
          <w:t>24</w:t>
        </w:r>
        <w:r>
          <w:rPr>
            <w:webHidden/>
          </w:rPr>
          <w:fldChar w:fldCharType="end"/>
        </w:r>
      </w:hyperlink>
    </w:p>
    <w:p w14:paraId="0912AE80" w14:textId="0B6B8CF0"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09" w:history="1">
        <w:r w:rsidRPr="0024642C">
          <w:rPr>
            <w:rStyle w:val="Hyperlink"/>
          </w:rPr>
          <w:t>8.1 VCSS MDS</w:t>
        </w:r>
        <w:r>
          <w:rPr>
            <w:webHidden/>
          </w:rPr>
          <w:tab/>
        </w:r>
        <w:r>
          <w:rPr>
            <w:webHidden/>
          </w:rPr>
          <w:fldChar w:fldCharType="begin"/>
        </w:r>
        <w:r>
          <w:rPr>
            <w:webHidden/>
          </w:rPr>
          <w:instrText xml:space="preserve"> PAGEREF _Toc233281409 \h </w:instrText>
        </w:r>
        <w:r>
          <w:rPr>
            <w:webHidden/>
          </w:rPr>
        </w:r>
        <w:r>
          <w:rPr>
            <w:webHidden/>
          </w:rPr>
          <w:fldChar w:fldCharType="separate"/>
        </w:r>
        <w:r>
          <w:rPr>
            <w:webHidden/>
          </w:rPr>
          <w:t>24</w:t>
        </w:r>
        <w:r>
          <w:rPr>
            <w:webHidden/>
          </w:rPr>
          <w:fldChar w:fldCharType="end"/>
        </w:r>
      </w:hyperlink>
    </w:p>
    <w:p w14:paraId="2CBD2C82" w14:textId="0974FB8F"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410" w:history="1">
        <w:r w:rsidRPr="0024642C">
          <w:rPr>
            <w:rStyle w:val="Hyperlink"/>
          </w:rPr>
          <w:t>Appendix A. Legislative context</w:t>
        </w:r>
        <w:r>
          <w:rPr>
            <w:webHidden/>
          </w:rPr>
          <w:tab/>
        </w:r>
        <w:r>
          <w:rPr>
            <w:webHidden/>
          </w:rPr>
          <w:fldChar w:fldCharType="begin"/>
        </w:r>
        <w:r>
          <w:rPr>
            <w:webHidden/>
          </w:rPr>
          <w:instrText xml:space="preserve"> PAGEREF _Toc233281410 \h </w:instrText>
        </w:r>
        <w:r>
          <w:rPr>
            <w:webHidden/>
          </w:rPr>
        </w:r>
        <w:r>
          <w:rPr>
            <w:webHidden/>
          </w:rPr>
          <w:fldChar w:fldCharType="separate"/>
        </w:r>
        <w:r>
          <w:rPr>
            <w:webHidden/>
          </w:rPr>
          <w:t>26</w:t>
        </w:r>
        <w:r>
          <w:rPr>
            <w:webHidden/>
          </w:rPr>
          <w:fldChar w:fldCharType="end"/>
        </w:r>
      </w:hyperlink>
    </w:p>
    <w:p w14:paraId="7061400E" w14:textId="17910BC3"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411" w:history="1">
        <w:r w:rsidRPr="0024642C">
          <w:rPr>
            <w:rStyle w:val="Hyperlink"/>
          </w:rPr>
          <w:t>Appendix B. Services and supports beyond HACC PYP</w:t>
        </w:r>
        <w:r>
          <w:rPr>
            <w:webHidden/>
          </w:rPr>
          <w:tab/>
        </w:r>
        <w:r>
          <w:rPr>
            <w:webHidden/>
          </w:rPr>
          <w:fldChar w:fldCharType="begin"/>
        </w:r>
        <w:r>
          <w:rPr>
            <w:webHidden/>
          </w:rPr>
          <w:instrText xml:space="preserve"> PAGEREF _Toc233281411 \h </w:instrText>
        </w:r>
        <w:r>
          <w:rPr>
            <w:webHidden/>
          </w:rPr>
        </w:r>
        <w:r>
          <w:rPr>
            <w:webHidden/>
          </w:rPr>
          <w:fldChar w:fldCharType="separate"/>
        </w:r>
        <w:r>
          <w:rPr>
            <w:webHidden/>
          </w:rPr>
          <w:t>28</w:t>
        </w:r>
        <w:r>
          <w:rPr>
            <w:webHidden/>
          </w:rPr>
          <w:fldChar w:fldCharType="end"/>
        </w:r>
      </w:hyperlink>
    </w:p>
    <w:p w14:paraId="5DE34834" w14:textId="7FD1D7C6"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12" w:history="1">
        <w:r w:rsidRPr="0024642C">
          <w:rPr>
            <w:rStyle w:val="Hyperlink"/>
          </w:rPr>
          <w:t>Carer support</w:t>
        </w:r>
        <w:r>
          <w:rPr>
            <w:webHidden/>
          </w:rPr>
          <w:tab/>
        </w:r>
        <w:r>
          <w:rPr>
            <w:webHidden/>
          </w:rPr>
          <w:fldChar w:fldCharType="begin"/>
        </w:r>
        <w:r>
          <w:rPr>
            <w:webHidden/>
          </w:rPr>
          <w:instrText xml:space="preserve"> PAGEREF _Toc233281412 \h </w:instrText>
        </w:r>
        <w:r>
          <w:rPr>
            <w:webHidden/>
          </w:rPr>
        </w:r>
        <w:r>
          <w:rPr>
            <w:webHidden/>
          </w:rPr>
          <w:fldChar w:fldCharType="separate"/>
        </w:r>
        <w:r>
          <w:rPr>
            <w:webHidden/>
          </w:rPr>
          <w:t>28</w:t>
        </w:r>
        <w:r>
          <w:rPr>
            <w:webHidden/>
          </w:rPr>
          <w:fldChar w:fldCharType="end"/>
        </w:r>
      </w:hyperlink>
    </w:p>
    <w:p w14:paraId="7355DB1D" w14:textId="7C80B896"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13" w:history="1">
        <w:r w:rsidRPr="0024642C">
          <w:rPr>
            <w:rStyle w:val="Hyperlink"/>
          </w:rPr>
          <w:t>Health supports</w:t>
        </w:r>
        <w:r>
          <w:rPr>
            <w:webHidden/>
          </w:rPr>
          <w:tab/>
        </w:r>
        <w:r>
          <w:rPr>
            <w:webHidden/>
          </w:rPr>
          <w:fldChar w:fldCharType="begin"/>
        </w:r>
        <w:r>
          <w:rPr>
            <w:webHidden/>
          </w:rPr>
          <w:instrText xml:space="preserve"> PAGEREF _Toc233281413 \h </w:instrText>
        </w:r>
        <w:r>
          <w:rPr>
            <w:webHidden/>
          </w:rPr>
        </w:r>
        <w:r>
          <w:rPr>
            <w:webHidden/>
          </w:rPr>
          <w:fldChar w:fldCharType="separate"/>
        </w:r>
        <w:r>
          <w:rPr>
            <w:webHidden/>
          </w:rPr>
          <w:t>28</w:t>
        </w:r>
        <w:r>
          <w:rPr>
            <w:webHidden/>
          </w:rPr>
          <w:fldChar w:fldCharType="end"/>
        </w:r>
      </w:hyperlink>
    </w:p>
    <w:p w14:paraId="3FC3DAC6" w14:textId="495A87A7"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14" w:history="1">
        <w:r w:rsidRPr="0024642C">
          <w:rPr>
            <w:rStyle w:val="Hyperlink"/>
          </w:rPr>
          <w:t>Community support</w:t>
        </w:r>
        <w:r>
          <w:rPr>
            <w:webHidden/>
          </w:rPr>
          <w:tab/>
        </w:r>
        <w:r>
          <w:rPr>
            <w:webHidden/>
          </w:rPr>
          <w:fldChar w:fldCharType="begin"/>
        </w:r>
        <w:r>
          <w:rPr>
            <w:webHidden/>
          </w:rPr>
          <w:instrText xml:space="preserve"> PAGEREF _Toc233281414 \h </w:instrText>
        </w:r>
        <w:r>
          <w:rPr>
            <w:webHidden/>
          </w:rPr>
        </w:r>
        <w:r>
          <w:rPr>
            <w:webHidden/>
          </w:rPr>
          <w:fldChar w:fldCharType="separate"/>
        </w:r>
        <w:r>
          <w:rPr>
            <w:webHidden/>
          </w:rPr>
          <w:t>28</w:t>
        </w:r>
        <w:r>
          <w:rPr>
            <w:webHidden/>
          </w:rPr>
          <w:fldChar w:fldCharType="end"/>
        </w:r>
      </w:hyperlink>
    </w:p>
    <w:p w14:paraId="57ACC5DB" w14:textId="3F461BDD"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15" w:history="1">
        <w:r w:rsidRPr="0024642C">
          <w:rPr>
            <w:rStyle w:val="Hyperlink"/>
          </w:rPr>
          <w:t>Complex needs support</w:t>
        </w:r>
        <w:r>
          <w:rPr>
            <w:webHidden/>
          </w:rPr>
          <w:tab/>
        </w:r>
        <w:r>
          <w:rPr>
            <w:webHidden/>
          </w:rPr>
          <w:fldChar w:fldCharType="begin"/>
        </w:r>
        <w:r>
          <w:rPr>
            <w:webHidden/>
          </w:rPr>
          <w:instrText xml:space="preserve"> PAGEREF _Toc233281415 \h </w:instrText>
        </w:r>
        <w:r>
          <w:rPr>
            <w:webHidden/>
          </w:rPr>
        </w:r>
        <w:r>
          <w:rPr>
            <w:webHidden/>
          </w:rPr>
          <w:fldChar w:fldCharType="separate"/>
        </w:r>
        <w:r>
          <w:rPr>
            <w:webHidden/>
          </w:rPr>
          <w:t>28</w:t>
        </w:r>
        <w:r>
          <w:rPr>
            <w:webHidden/>
          </w:rPr>
          <w:fldChar w:fldCharType="end"/>
        </w:r>
      </w:hyperlink>
    </w:p>
    <w:p w14:paraId="1A2F39ED" w14:textId="60A63E48"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16" w:history="1">
        <w:r w:rsidRPr="0024642C">
          <w:rPr>
            <w:rStyle w:val="Hyperlink"/>
          </w:rPr>
          <w:t>Disability</w:t>
        </w:r>
        <w:r>
          <w:rPr>
            <w:webHidden/>
          </w:rPr>
          <w:tab/>
        </w:r>
        <w:r>
          <w:rPr>
            <w:webHidden/>
          </w:rPr>
          <w:fldChar w:fldCharType="begin"/>
        </w:r>
        <w:r>
          <w:rPr>
            <w:webHidden/>
          </w:rPr>
          <w:instrText xml:space="preserve"> PAGEREF _Toc233281416 \h </w:instrText>
        </w:r>
        <w:r>
          <w:rPr>
            <w:webHidden/>
          </w:rPr>
        </w:r>
        <w:r>
          <w:rPr>
            <w:webHidden/>
          </w:rPr>
          <w:fldChar w:fldCharType="separate"/>
        </w:r>
        <w:r>
          <w:rPr>
            <w:webHidden/>
          </w:rPr>
          <w:t>28</w:t>
        </w:r>
        <w:r>
          <w:rPr>
            <w:webHidden/>
          </w:rPr>
          <w:fldChar w:fldCharType="end"/>
        </w:r>
      </w:hyperlink>
    </w:p>
    <w:p w14:paraId="20CE0AFF" w14:textId="56B7DCC1" w:rsidR="00FE71F3" w:rsidRDefault="00FE71F3">
      <w:pPr>
        <w:pStyle w:val="TOC2"/>
        <w:rPr>
          <w:rFonts w:asciiTheme="minorHAnsi" w:eastAsiaTheme="minorEastAsia" w:hAnsiTheme="minorHAnsi" w:cstheme="minorBidi"/>
          <w:kern w:val="2"/>
          <w:sz w:val="24"/>
          <w:szCs w:val="24"/>
          <w:lang w:eastAsia="en-AU"/>
          <w14:ligatures w14:val="standardContextual"/>
        </w:rPr>
      </w:pPr>
      <w:hyperlink w:anchor="_Toc233281417" w:history="1">
        <w:r w:rsidRPr="0024642C">
          <w:rPr>
            <w:rStyle w:val="Hyperlink"/>
          </w:rPr>
          <w:t>Aged care</w:t>
        </w:r>
        <w:r>
          <w:rPr>
            <w:webHidden/>
          </w:rPr>
          <w:tab/>
        </w:r>
        <w:r>
          <w:rPr>
            <w:webHidden/>
          </w:rPr>
          <w:fldChar w:fldCharType="begin"/>
        </w:r>
        <w:r>
          <w:rPr>
            <w:webHidden/>
          </w:rPr>
          <w:instrText xml:space="preserve"> PAGEREF _Toc233281417 \h </w:instrText>
        </w:r>
        <w:r>
          <w:rPr>
            <w:webHidden/>
          </w:rPr>
        </w:r>
        <w:r>
          <w:rPr>
            <w:webHidden/>
          </w:rPr>
          <w:fldChar w:fldCharType="separate"/>
        </w:r>
        <w:r>
          <w:rPr>
            <w:webHidden/>
          </w:rPr>
          <w:t>29</w:t>
        </w:r>
        <w:r>
          <w:rPr>
            <w:webHidden/>
          </w:rPr>
          <w:fldChar w:fldCharType="end"/>
        </w:r>
      </w:hyperlink>
    </w:p>
    <w:p w14:paraId="1B88A092" w14:textId="25C25F89"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418" w:history="1">
        <w:r w:rsidRPr="0024642C">
          <w:rPr>
            <w:rStyle w:val="Hyperlink"/>
          </w:rPr>
          <w:t>Appendix C. HACC PYP Activities</w:t>
        </w:r>
        <w:r>
          <w:rPr>
            <w:webHidden/>
          </w:rPr>
          <w:tab/>
        </w:r>
        <w:r>
          <w:rPr>
            <w:webHidden/>
          </w:rPr>
          <w:fldChar w:fldCharType="begin"/>
        </w:r>
        <w:r>
          <w:rPr>
            <w:webHidden/>
          </w:rPr>
          <w:instrText xml:space="preserve"> PAGEREF _Toc233281418 \h </w:instrText>
        </w:r>
        <w:r>
          <w:rPr>
            <w:webHidden/>
          </w:rPr>
        </w:r>
        <w:r>
          <w:rPr>
            <w:webHidden/>
          </w:rPr>
          <w:fldChar w:fldCharType="separate"/>
        </w:r>
        <w:r>
          <w:rPr>
            <w:webHidden/>
          </w:rPr>
          <w:t>29</w:t>
        </w:r>
        <w:r>
          <w:rPr>
            <w:webHidden/>
          </w:rPr>
          <w:fldChar w:fldCharType="end"/>
        </w:r>
      </w:hyperlink>
    </w:p>
    <w:p w14:paraId="6384C2E6" w14:textId="70BD8E1A" w:rsidR="00FE71F3" w:rsidRDefault="00FE71F3">
      <w:pPr>
        <w:pStyle w:val="TOC1"/>
        <w:rPr>
          <w:rFonts w:asciiTheme="minorHAnsi" w:eastAsiaTheme="minorEastAsia" w:hAnsiTheme="minorHAnsi" w:cstheme="minorBidi"/>
          <w:b w:val="0"/>
          <w:kern w:val="2"/>
          <w:sz w:val="24"/>
          <w:szCs w:val="24"/>
          <w:lang w:eastAsia="en-AU"/>
          <w14:ligatures w14:val="standardContextual"/>
        </w:rPr>
      </w:pPr>
      <w:hyperlink w:anchor="_Toc233281419" w:history="1">
        <w:r w:rsidRPr="0024642C">
          <w:rPr>
            <w:rStyle w:val="Hyperlink"/>
          </w:rPr>
          <w:t>Appendix D. Glossary of terms</w:t>
        </w:r>
        <w:r>
          <w:rPr>
            <w:webHidden/>
          </w:rPr>
          <w:tab/>
        </w:r>
        <w:r>
          <w:rPr>
            <w:webHidden/>
          </w:rPr>
          <w:fldChar w:fldCharType="begin"/>
        </w:r>
        <w:r>
          <w:rPr>
            <w:webHidden/>
          </w:rPr>
          <w:instrText xml:space="preserve"> PAGEREF _Toc233281419 \h </w:instrText>
        </w:r>
        <w:r>
          <w:rPr>
            <w:webHidden/>
          </w:rPr>
        </w:r>
        <w:r>
          <w:rPr>
            <w:webHidden/>
          </w:rPr>
          <w:fldChar w:fldCharType="separate"/>
        </w:r>
        <w:r>
          <w:rPr>
            <w:webHidden/>
          </w:rPr>
          <w:t>30</w:t>
        </w:r>
        <w:r>
          <w:rPr>
            <w:webHidden/>
          </w:rPr>
          <w:fldChar w:fldCharType="end"/>
        </w:r>
      </w:hyperlink>
    </w:p>
    <w:p w14:paraId="1594C03E" w14:textId="7735E4CB" w:rsidR="00FB1F6E" w:rsidRDefault="00AD784C" w:rsidP="00D079AA">
      <w:pPr>
        <w:pStyle w:val="Body"/>
      </w:pPr>
      <w:r>
        <w:fldChar w:fldCharType="end"/>
      </w:r>
    </w:p>
    <w:p w14:paraId="069FCCFD" w14:textId="77777777" w:rsidR="00FB1F6E" w:rsidRDefault="00FB1F6E">
      <w:pPr>
        <w:spacing w:after="0" w:line="240" w:lineRule="auto"/>
        <w:rPr>
          <w:rFonts w:eastAsia="Times"/>
        </w:rPr>
      </w:pPr>
      <w:r>
        <w:br w:type="page"/>
      </w:r>
    </w:p>
    <w:p w14:paraId="53745B04" w14:textId="6CCEAD04" w:rsidR="00C36663" w:rsidRPr="00EF2B3F" w:rsidRDefault="00C36663" w:rsidP="00A21B45">
      <w:pPr>
        <w:pStyle w:val="Heading1"/>
      </w:pPr>
      <w:bookmarkStart w:id="1" w:name="_Toc232491424"/>
      <w:bookmarkStart w:id="2" w:name="_Toc233281381"/>
      <w:bookmarkStart w:id="3" w:name="_Hlk66712316"/>
      <w:r>
        <w:lastRenderedPageBreak/>
        <w:t xml:space="preserve">1. </w:t>
      </w:r>
      <w:r w:rsidRPr="004274DB">
        <w:t>Introduction</w:t>
      </w:r>
      <w:bookmarkEnd w:id="1"/>
      <w:bookmarkEnd w:id="2"/>
    </w:p>
    <w:p w14:paraId="31D4909B" w14:textId="77777777" w:rsidR="00C36663" w:rsidRDefault="00C36663" w:rsidP="00C36663">
      <w:pPr>
        <w:pStyle w:val="Heading2"/>
      </w:pPr>
      <w:bookmarkStart w:id="4" w:name="_Toc232491425"/>
      <w:bookmarkStart w:id="5" w:name="_Toc233281382"/>
      <w:r>
        <w:t>1.1 Overview</w:t>
      </w:r>
      <w:bookmarkEnd w:id="4"/>
      <w:bookmarkEnd w:id="5"/>
    </w:p>
    <w:p w14:paraId="42BC5038" w14:textId="77777777" w:rsidR="00C36663" w:rsidRPr="006C7B9E" w:rsidRDefault="00C36663" w:rsidP="006C7B9E">
      <w:pPr>
        <w:pStyle w:val="Body"/>
      </w:pPr>
      <w:r w:rsidRPr="006C7B9E" w:rsidDel="004274DB">
        <w:t>The</w:t>
      </w:r>
      <w:r w:rsidRPr="006C7B9E">
        <w:t xml:space="preserve"> Home and Community Care Program for Younger People (HACC PYP) Guidelines 2026 (guidelines) </w:t>
      </w:r>
      <w:r w:rsidRPr="006C7B9E" w:rsidDel="004274DB">
        <w:t>appl</w:t>
      </w:r>
      <w:r w:rsidRPr="006C7B9E">
        <w:t>y</w:t>
      </w:r>
      <w:r w:rsidRPr="006C7B9E" w:rsidDel="004274DB">
        <w:t xml:space="preserve"> from </w:t>
      </w:r>
      <w:r w:rsidRPr="006C7B9E">
        <w:t xml:space="preserve">1 </w:t>
      </w:r>
      <w:r w:rsidRPr="006C7B9E" w:rsidDel="004274DB">
        <w:t xml:space="preserve">July 2026 and </w:t>
      </w:r>
      <w:r w:rsidRPr="006C7B9E">
        <w:t>replace</w:t>
      </w:r>
      <w:r w:rsidRPr="006C7B9E" w:rsidDel="004274DB">
        <w:t xml:space="preserve"> the HACC PYP Interim Guidelines</w:t>
      </w:r>
      <w:r w:rsidRPr="006C7B9E">
        <w:t xml:space="preserve"> (2023)</w:t>
      </w:r>
      <w:r w:rsidRPr="006C7B9E" w:rsidDel="004274DB">
        <w:t>.</w:t>
      </w:r>
    </w:p>
    <w:p w14:paraId="4D5E39E0" w14:textId="77777777" w:rsidR="00C36663" w:rsidRPr="006C7B9E" w:rsidRDefault="00C36663" w:rsidP="006C7B9E">
      <w:pPr>
        <w:pStyle w:val="Body"/>
      </w:pPr>
      <w:r w:rsidRPr="006C7B9E">
        <w:t>HACC PYP</w:t>
      </w:r>
      <w:r w:rsidRPr="006C7B9E" w:rsidDel="00D82CC4">
        <w:t xml:space="preserve"> </w:t>
      </w:r>
      <w:r w:rsidRPr="006C7B9E">
        <w:t>supports Victorians from birth to 65 years and Aboriginal people from birth to 50 years to improve their health and wellbeing, while maintaining or regaining their independence to live safely in their homes and actively participate in their community.</w:t>
      </w:r>
    </w:p>
    <w:p w14:paraId="32DF35CB" w14:textId="77777777" w:rsidR="00C36663" w:rsidRPr="006C7B9E" w:rsidRDefault="00C36663" w:rsidP="006C7B9E">
      <w:pPr>
        <w:pStyle w:val="Body"/>
      </w:pPr>
      <w:r w:rsidRPr="006C7B9E">
        <w:t>HACC PYP provides goal-directed supports that respond to individual need, are generally time-limited or intermittent, and targeted to those most at risk. HACC PYP supports are intended to complement informal supports and other parts of the healthcare and community support services system.</w:t>
      </w:r>
    </w:p>
    <w:p w14:paraId="381F8A68" w14:textId="77777777" w:rsidR="00C36663" w:rsidRPr="006C7B9E" w:rsidRDefault="00C36663" w:rsidP="006C7B9E">
      <w:pPr>
        <w:pStyle w:val="Body"/>
      </w:pPr>
      <w:r w:rsidRPr="006C7B9E">
        <w:t>HACC PYP evolved from the former Home and Community Care (HACC) program. From 1984 to 2016, HACC was a joint Commonwealth and Victorian Government initiative that brought a range of community-based services together under a single program. From 1 July 2016, services for people aged 65 and over transitioned to the Commonwealth Home Support Program, while services for younger people (under 65, or under 50 for Aboriginal people) were retained by the Victorian Government as HACC PYP. Transitional arrangements remained in place until 30 June 2020. Since 2020, HACC PYP has operated as a distinct Victorian Government-funded program within the broader healthcare and community support services system.</w:t>
      </w:r>
    </w:p>
    <w:p w14:paraId="2D0D9392" w14:textId="77777777" w:rsidR="00C36663" w:rsidRPr="00CD4818" w:rsidRDefault="00C36663" w:rsidP="00C36663">
      <w:pPr>
        <w:pStyle w:val="Heading2"/>
      </w:pPr>
      <w:bookmarkStart w:id="6" w:name="_Toc232491426"/>
      <w:bookmarkStart w:id="7" w:name="_Toc233281383"/>
      <w:r>
        <w:rPr>
          <w:rFonts w:eastAsia="Times"/>
        </w:rPr>
        <w:t xml:space="preserve">1.2 </w:t>
      </w:r>
      <w:r w:rsidRPr="00CD4818">
        <w:rPr>
          <w:rFonts w:eastAsia="Times"/>
        </w:rPr>
        <w:t>Purpose</w:t>
      </w:r>
      <w:bookmarkEnd w:id="6"/>
      <w:bookmarkEnd w:id="7"/>
    </w:p>
    <w:p w14:paraId="7CE30F11" w14:textId="77777777" w:rsidR="00C36663" w:rsidDel="004274DB" w:rsidRDefault="00C36663" w:rsidP="00C36663">
      <w:pPr>
        <w:pStyle w:val="Body"/>
        <w:rPr>
          <w:bCs/>
        </w:rPr>
      </w:pPr>
      <w:r>
        <w:rPr>
          <w:bCs/>
        </w:rPr>
        <w:t>The guidelines</w:t>
      </w:r>
      <w:r w:rsidRPr="00E5282B">
        <w:rPr>
          <w:bCs/>
        </w:rPr>
        <w:t xml:space="preserve"> </w:t>
      </w:r>
      <w:r>
        <w:rPr>
          <w:bCs/>
        </w:rPr>
        <w:t>establish</w:t>
      </w:r>
      <w:r w:rsidRPr="00E5282B" w:rsidDel="004274DB">
        <w:rPr>
          <w:bCs/>
        </w:rPr>
        <w:t xml:space="preserve"> the policy framework for</w:t>
      </w:r>
      <w:r w:rsidRPr="00E5282B">
        <w:rPr>
          <w:bCs/>
        </w:rPr>
        <w:t xml:space="preserve"> </w:t>
      </w:r>
      <w:r>
        <w:rPr>
          <w:bCs/>
        </w:rPr>
        <w:t>HACC PYP</w:t>
      </w:r>
      <w:r w:rsidRPr="00E5282B" w:rsidDel="004274DB">
        <w:rPr>
          <w:bCs/>
        </w:rPr>
        <w:t xml:space="preserve">, including expectations for service access, delivery, </w:t>
      </w:r>
      <w:r w:rsidRPr="00170356" w:rsidDel="004274DB">
        <w:rPr>
          <w:bCs/>
        </w:rPr>
        <w:t>performance</w:t>
      </w:r>
      <w:r>
        <w:rPr>
          <w:bCs/>
        </w:rPr>
        <w:t>,</w:t>
      </w:r>
      <w:r w:rsidDel="004274DB">
        <w:rPr>
          <w:bCs/>
        </w:rPr>
        <w:t xml:space="preserve"> and </w:t>
      </w:r>
      <w:r w:rsidRPr="00E5282B" w:rsidDel="004274DB">
        <w:rPr>
          <w:bCs/>
        </w:rPr>
        <w:t>reporting. The</w:t>
      </w:r>
      <w:r w:rsidDel="004274DB">
        <w:rPr>
          <w:bCs/>
        </w:rPr>
        <w:t xml:space="preserve"> guidelines</w:t>
      </w:r>
      <w:r w:rsidRPr="00E5282B" w:rsidDel="004274DB">
        <w:rPr>
          <w:bCs/>
        </w:rPr>
        <w:t xml:space="preserve"> support funded </w:t>
      </w:r>
      <w:r>
        <w:rPr>
          <w:bCs/>
        </w:rPr>
        <w:t>HACC PYP service providers</w:t>
      </w:r>
      <w:r w:rsidRPr="00E5282B" w:rsidDel="004274DB">
        <w:rPr>
          <w:bCs/>
        </w:rPr>
        <w:t xml:space="preserve"> </w:t>
      </w:r>
      <w:r>
        <w:rPr>
          <w:bCs/>
        </w:rPr>
        <w:t xml:space="preserve">(providers) </w:t>
      </w:r>
      <w:r w:rsidRPr="00E5282B" w:rsidDel="004274DB">
        <w:rPr>
          <w:bCs/>
        </w:rPr>
        <w:t xml:space="preserve">to deliver </w:t>
      </w:r>
      <w:r w:rsidDel="004274DB">
        <w:rPr>
          <w:bCs/>
        </w:rPr>
        <w:t xml:space="preserve">high quality </w:t>
      </w:r>
      <w:r w:rsidRPr="00E5282B" w:rsidDel="004274DB">
        <w:rPr>
          <w:bCs/>
        </w:rPr>
        <w:t>services that are person</w:t>
      </w:r>
      <w:r w:rsidRPr="00E5282B" w:rsidDel="004274DB">
        <w:rPr>
          <w:bCs/>
        </w:rPr>
        <w:noBreakHyphen/>
        <w:t xml:space="preserve">centred, responsive to individual </w:t>
      </w:r>
      <w:r>
        <w:rPr>
          <w:bCs/>
        </w:rPr>
        <w:t xml:space="preserve">consumer </w:t>
      </w:r>
      <w:r w:rsidRPr="00E5282B" w:rsidDel="004274DB">
        <w:rPr>
          <w:bCs/>
        </w:rPr>
        <w:t xml:space="preserve">circumstances, and aligned with the objectives </w:t>
      </w:r>
      <w:r>
        <w:rPr>
          <w:bCs/>
        </w:rPr>
        <w:t>of HACC PYP and the Department of Health (department)</w:t>
      </w:r>
      <w:r w:rsidRPr="00E5282B" w:rsidDel="004274DB">
        <w:rPr>
          <w:bCs/>
        </w:rPr>
        <w:t>.</w:t>
      </w:r>
    </w:p>
    <w:p w14:paraId="2DC606DF" w14:textId="77777777" w:rsidR="00C36663" w:rsidRPr="00CD4818" w:rsidRDefault="00C36663" w:rsidP="00C36663">
      <w:pPr>
        <w:pStyle w:val="Body"/>
      </w:pPr>
      <w:r w:rsidRPr="00CD4818">
        <w:t xml:space="preserve">The guidelines support consistent, transparent and appropriate use of HACC PYP funding and outline expectations for how </w:t>
      </w:r>
      <w:r>
        <w:t>providers</w:t>
      </w:r>
      <w:r w:rsidRPr="00CD4818">
        <w:t xml:space="preserve"> </w:t>
      </w:r>
      <w:r>
        <w:t xml:space="preserve">should </w:t>
      </w:r>
      <w:r w:rsidRPr="00CD4818">
        <w:t xml:space="preserve">administer and deliver supports </w:t>
      </w:r>
      <w:r>
        <w:t>to</w:t>
      </w:r>
      <w:r w:rsidRPr="00CD4818">
        <w:t xml:space="preserve"> eligible </w:t>
      </w:r>
      <w:r>
        <w:t>consumer</w:t>
      </w:r>
      <w:r w:rsidRPr="00CD4818">
        <w:t xml:space="preserve">s. </w:t>
      </w:r>
      <w:r>
        <w:t>In addition, t</w:t>
      </w:r>
      <w:r w:rsidRPr="00CD4818">
        <w:t>he</w:t>
      </w:r>
      <w:r>
        <w:t xml:space="preserve"> guidelines</w:t>
      </w:r>
      <w:r w:rsidRPr="00CD4818">
        <w:t xml:space="preserve"> are intended to assist </w:t>
      </w:r>
      <w:r>
        <w:t>providers</w:t>
      </w:r>
      <w:r w:rsidRPr="00CD4818">
        <w:t xml:space="preserve"> to exercise professional judgement within agreed policy settings, while responding flexibly to individual need and local service arrangements.</w:t>
      </w:r>
    </w:p>
    <w:p w14:paraId="2102710E" w14:textId="77777777" w:rsidR="00C36663" w:rsidRPr="00CD4818" w:rsidRDefault="00C36663" w:rsidP="00C36663">
      <w:pPr>
        <w:pStyle w:val="Body"/>
      </w:pPr>
      <w:r w:rsidRPr="00CD4818">
        <w:t>The</w:t>
      </w:r>
      <w:r>
        <w:t xml:space="preserve"> guidelines</w:t>
      </w:r>
      <w:r w:rsidRPr="00CD4818">
        <w:t xml:space="preserve"> are designed to be read and applied in conjunction with other key documents that outline </w:t>
      </w:r>
      <w:r>
        <w:t xml:space="preserve">providers’ </w:t>
      </w:r>
      <w:r w:rsidRPr="00CD4818">
        <w:t>responsibilities and requirements</w:t>
      </w:r>
      <w:r>
        <w:t xml:space="preserve">, </w:t>
      </w:r>
      <w:r w:rsidRPr="00CD4818">
        <w:t>including:</w:t>
      </w:r>
    </w:p>
    <w:p w14:paraId="75B7E9F8" w14:textId="77777777" w:rsidR="00C36663" w:rsidRPr="00CF124F" w:rsidRDefault="00C36663" w:rsidP="00C36663">
      <w:pPr>
        <w:pStyle w:val="Bullet1"/>
      </w:pPr>
      <w:r w:rsidRPr="00CF124F">
        <w:t>Policy and Funding Guidelines for health services</w:t>
      </w:r>
    </w:p>
    <w:p w14:paraId="2B97BEAA" w14:textId="77777777" w:rsidR="00C36663" w:rsidRPr="00CF124F" w:rsidRDefault="00C36663" w:rsidP="00C36663">
      <w:pPr>
        <w:pStyle w:val="Bullet1"/>
      </w:pPr>
      <w:r w:rsidRPr="00CF124F">
        <w:t>Service Agreements and activity descriptions</w:t>
      </w:r>
    </w:p>
    <w:p w14:paraId="777A4510" w14:textId="77777777" w:rsidR="00C36663" w:rsidRPr="00CF124F" w:rsidRDefault="00C36663" w:rsidP="00C36663">
      <w:pPr>
        <w:pStyle w:val="Bullet1"/>
      </w:pPr>
      <w:r w:rsidRPr="00CF124F">
        <w:t>Relevant legislative and regulatory requirements</w:t>
      </w:r>
    </w:p>
    <w:p w14:paraId="28B877B1" w14:textId="77777777" w:rsidR="00C36663" w:rsidRPr="00CF124F" w:rsidRDefault="00C36663" w:rsidP="00C36663">
      <w:pPr>
        <w:pStyle w:val="Bullet1"/>
      </w:pPr>
      <w:r w:rsidRPr="00CF124F">
        <w:t>Related program guidance and supporting resources published by the department.</w:t>
      </w:r>
    </w:p>
    <w:p w14:paraId="47D484F6" w14:textId="77777777" w:rsidR="00C36663" w:rsidRDefault="00C36663" w:rsidP="00C36663">
      <w:pPr>
        <w:pStyle w:val="Body"/>
      </w:pPr>
      <w:r w:rsidRPr="007B085F" w:rsidDel="004274DB">
        <w:t xml:space="preserve">Compliance with the guidelines is a condition of funding for all </w:t>
      </w:r>
      <w:r>
        <w:t xml:space="preserve">providers and all </w:t>
      </w:r>
      <w:r w:rsidDel="004274DB">
        <w:t>HACC PYP</w:t>
      </w:r>
      <w:r w:rsidRPr="007B085F" w:rsidDel="004274DB">
        <w:t xml:space="preserve"> activities</w:t>
      </w:r>
      <w:r>
        <w:t>, as set out</w:t>
      </w:r>
      <w:r w:rsidRPr="007B085F" w:rsidDel="004274DB">
        <w:t xml:space="preserve"> under each </w:t>
      </w:r>
      <w:r>
        <w:t>a</w:t>
      </w:r>
      <w:r w:rsidRPr="007B085F" w:rsidDel="004274DB">
        <w:t xml:space="preserve">ctivity </w:t>
      </w:r>
      <w:r>
        <w:t>d</w:t>
      </w:r>
      <w:r w:rsidRPr="007B085F" w:rsidDel="004274DB">
        <w:t xml:space="preserve">escription and the Policy and </w:t>
      </w:r>
      <w:r>
        <w:t>F</w:t>
      </w:r>
      <w:r w:rsidRPr="007B085F" w:rsidDel="004274DB">
        <w:t xml:space="preserve">unding </w:t>
      </w:r>
      <w:r>
        <w:t>G</w:t>
      </w:r>
      <w:r w:rsidRPr="007B085F" w:rsidDel="004274DB">
        <w:t>uidelines</w:t>
      </w:r>
      <w:r>
        <w:t>.</w:t>
      </w:r>
    </w:p>
    <w:p w14:paraId="1679ED6C" w14:textId="77777777" w:rsidR="00481D2B" w:rsidRPr="00EA76AD" w:rsidRDefault="00481D2B" w:rsidP="00C36663">
      <w:pPr>
        <w:pStyle w:val="Body"/>
      </w:pPr>
    </w:p>
    <w:p w14:paraId="3EFDAC08" w14:textId="77777777" w:rsidR="00C36663" w:rsidRPr="007B085F" w:rsidRDefault="00C36663" w:rsidP="00C36663">
      <w:pPr>
        <w:pStyle w:val="Heading2"/>
      </w:pPr>
      <w:bookmarkStart w:id="8" w:name="_Toc232491427"/>
      <w:bookmarkStart w:id="9" w:name="_Toc233281384"/>
      <w:r>
        <w:lastRenderedPageBreak/>
        <w:t xml:space="preserve">1.3 </w:t>
      </w:r>
      <w:r w:rsidRPr="007B085F">
        <w:t>Scope</w:t>
      </w:r>
      <w:bookmarkEnd w:id="8"/>
      <w:bookmarkEnd w:id="9"/>
    </w:p>
    <w:p w14:paraId="24BD8081" w14:textId="77777777" w:rsidR="00C36663" w:rsidRPr="0083208A" w:rsidRDefault="00C36663" w:rsidP="00C36663">
      <w:pPr>
        <w:pStyle w:val="Body"/>
      </w:pPr>
      <w:r w:rsidRPr="0083208A">
        <w:t xml:space="preserve">The guidelines apply to </w:t>
      </w:r>
      <w:r>
        <w:t>all providers</w:t>
      </w:r>
      <w:r w:rsidRPr="0083208A">
        <w:t xml:space="preserve"> funded by the Victorian Government to deliver HACC PYP, including </w:t>
      </w:r>
      <w:r>
        <w:t>both providers</w:t>
      </w:r>
      <w:r w:rsidRPr="0083208A">
        <w:t xml:space="preserve"> delivering HACC PYP as part of broader health or community service operations</w:t>
      </w:r>
      <w:r>
        <w:t xml:space="preserve"> and</w:t>
      </w:r>
      <w:r w:rsidRPr="0083208A">
        <w:t xml:space="preserve"> standalone </w:t>
      </w:r>
      <w:r>
        <w:t>providers</w:t>
      </w:r>
      <w:r w:rsidRPr="0083208A">
        <w:t xml:space="preserve"> funded </w:t>
      </w:r>
      <w:r>
        <w:t>solely</w:t>
      </w:r>
      <w:r w:rsidRPr="0083208A">
        <w:t xml:space="preserve"> to </w:t>
      </w:r>
      <w:r>
        <w:t>deliver</w:t>
      </w:r>
      <w:r w:rsidRPr="0083208A">
        <w:t xml:space="preserve"> HACC PYP.</w:t>
      </w:r>
      <w:r>
        <w:t xml:space="preserve"> All providers must comply with the guidelines as a condition of funding. Providers are required to ensure their </w:t>
      </w:r>
      <w:r w:rsidRPr="0083208A">
        <w:t>leaders, managers and workforce responsible for program governance and service delivery</w:t>
      </w:r>
      <w:r>
        <w:t xml:space="preserve"> are operating in accordance with the guidelines.</w:t>
      </w:r>
    </w:p>
    <w:p w14:paraId="14F7A74A" w14:textId="77777777" w:rsidR="00C36663" w:rsidRPr="005740D0" w:rsidRDefault="00C36663" w:rsidP="00C36663">
      <w:pPr>
        <w:pStyle w:val="Heading2"/>
      </w:pPr>
      <w:bookmarkStart w:id="10" w:name="_Toc232491428"/>
      <w:bookmarkStart w:id="11" w:name="_Toc233281385"/>
      <w:r>
        <w:rPr>
          <w:rFonts w:eastAsia="Times"/>
        </w:rPr>
        <w:t xml:space="preserve">1.4 </w:t>
      </w:r>
      <w:r w:rsidRPr="005740D0">
        <w:rPr>
          <w:rFonts w:eastAsia="Times"/>
        </w:rPr>
        <w:t xml:space="preserve">Key changes in </w:t>
      </w:r>
      <w:r>
        <w:rPr>
          <w:rFonts w:eastAsia="Times"/>
        </w:rPr>
        <w:t>the 2026 edition</w:t>
      </w:r>
      <w:bookmarkEnd w:id="10"/>
      <w:bookmarkEnd w:id="11"/>
    </w:p>
    <w:p w14:paraId="7BD96DDD" w14:textId="77777777" w:rsidR="00C36663" w:rsidRPr="005740D0" w:rsidRDefault="00C36663" w:rsidP="00C36663">
      <w:pPr>
        <w:pStyle w:val="Body"/>
      </w:pPr>
      <w:r>
        <w:t>The guidelines</w:t>
      </w:r>
      <w:r w:rsidRPr="005740D0">
        <w:t xml:space="preserve"> </w:t>
      </w:r>
      <w:r>
        <w:t xml:space="preserve">replace the </w:t>
      </w:r>
      <w:r w:rsidRPr="00721B41">
        <w:rPr>
          <w:i/>
          <w:iCs/>
        </w:rPr>
        <w:t>HACC PYP Interim Guidelines (2023)</w:t>
      </w:r>
      <w:r>
        <w:rPr>
          <w:i/>
          <w:iCs/>
        </w:rPr>
        <w:t xml:space="preserve"> </w:t>
      </w:r>
      <w:r w:rsidRPr="00957CAC">
        <w:t>and include updated content to reflect current service delivery arrangements, funding structures</w:t>
      </w:r>
      <w:r>
        <w:t>,</w:t>
      </w:r>
      <w:r w:rsidRPr="00957CAC">
        <w:t xml:space="preserve"> and departmental policy settings, including activity changes implemented on 1 July 2026. The broader intent</w:t>
      </w:r>
      <w:r w:rsidRPr="007B085F">
        <w:t xml:space="preserve"> and objectives of HACC PYP </w:t>
      </w:r>
      <w:r>
        <w:t>are unchanged.</w:t>
      </w:r>
    </w:p>
    <w:p w14:paraId="5F58A906" w14:textId="77777777" w:rsidR="00C36663" w:rsidRPr="005740D0" w:rsidRDefault="00C36663" w:rsidP="00C36663">
      <w:pPr>
        <w:pStyle w:val="Body"/>
      </w:pPr>
      <w:r w:rsidRPr="005740D0">
        <w:t>Key updates in this version include:</w:t>
      </w:r>
    </w:p>
    <w:p w14:paraId="67594131" w14:textId="77777777" w:rsidR="00C36663" w:rsidRPr="00C47B26" w:rsidRDefault="00C36663" w:rsidP="00C36663">
      <w:pPr>
        <w:pStyle w:val="Bullet1"/>
      </w:pPr>
      <w:r w:rsidRPr="00C47B26">
        <w:t>Updated language to reflect contemporary service delivery practice</w:t>
      </w:r>
    </w:p>
    <w:p w14:paraId="6626D1DC" w14:textId="77777777" w:rsidR="00C36663" w:rsidRPr="00C47B26" w:rsidRDefault="00C36663" w:rsidP="00C36663">
      <w:pPr>
        <w:pStyle w:val="Bullet1"/>
      </w:pPr>
      <w:r w:rsidRPr="00C47B26">
        <w:t>Inclusion of a clearer description of the HACC PYP service delivery model</w:t>
      </w:r>
    </w:p>
    <w:p w14:paraId="7A4DD5B0" w14:textId="77777777" w:rsidR="00C36663" w:rsidRPr="00C47B26" w:rsidRDefault="00C36663" w:rsidP="00C36663">
      <w:pPr>
        <w:pStyle w:val="Bullet1"/>
      </w:pPr>
      <w:r w:rsidRPr="00C47B26">
        <w:t>Updated service delivery streams and activities to align with current funding arrangements</w:t>
      </w:r>
    </w:p>
    <w:p w14:paraId="170BA8F1" w14:textId="77777777" w:rsidR="00C36663" w:rsidRPr="00C47B26" w:rsidRDefault="00C36663" w:rsidP="00C36663">
      <w:pPr>
        <w:pStyle w:val="Bullet1"/>
      </w:pPr>
      <w:r w:rsidRPr="00C47B26">
        <w:t>Updated fee policy information</w:t>
      </w:r>
    </w:p>
    <w:p w14:paraId="355CDD86" w14:textId="77777777" w:rsidR="00C36663" w:rsidRPr="00C47B26" w:rsidRDefault="00C36663" w:rsidP="00C36663">
      <w:pPr>
        <w:pStyle w:val="Bullet1"/>
      </w:pPr>
      <w:r w:rsidRPr="00C47B26">
        <w:t>Inclusion of a statement regarding applicable clinical standards</w:t>
      </w:r>
    </w:p>
    <w:p w14:paraId="0B2E632E" w14:textId="77777777" w:rsidR="00A54AB7" w:rsidRDefault="00C36663" w:rsidP="00C70EB9">
      <w:pPr>
        <w:pStyle w:val="Bullet1"/>
      </w:pPr>
      <w:r w:rsidRPr="00C47B26">
        <w:t>Improved alignment with current Policy and Funding Guidelines, activity descriptions and reporting requirements.</w:t>
      </w:r>
      <w:bookmarkStart w:id="12" w:name="_Toc232491429"/>
      <w:bookmarkStart w:id="13" w:name="_Hlk149038086"/>
    </w:p>
    <w:p w14:paraId="6532BCE7" w14:textId="17CC142B" w:rsidR="00C36663" w:rsidRPr="007B085F" w:rsidRDefault="00C36663" w:rsidP="00A54AB7">
      <w:pPr>
        <w:pStyle w:val="Heading1"/>
      </w:pPr>
      <w:bookmarkStart w:id="14" w:name="_Toc233281386"/>
      <w:r w:rsidRPr="0009054D">
        <w:t>2. Strategic Alignment</w:t>
      </w:r>
      <w:bookmarkEnd w:id="12"/>
      <w:bookmarkEnd w:id="14"/>
    </w:p>
    <w:p w14:paraId="6685C88D" w14:textId="77777777" w:rsidR="00C36663" w:rsidRPr="002266B7" w:rsidRDefault="00C36663" w:rsidP="00C36663">
      <w:pPr>
        <w:pStyle w:val="Bullet1"/>
        <w:numPr>
          <w:ilvl w:val="0"/>
          <w:numId w:val="0"/>
        </w:numPr>
      </w:pPr>
      <w:r w:rsidRPr="002266B7">
        <w:t xml:space="preserve">HACC PYP contributes to the Department of Health Strategic Plan 2023–27 by supporting eligible </w:t>
      </w:r>
      <w:r>
        <w:t>Victorians</w:t>
      </w:r>
      <w:r w:rsidRPr="002266B7">
        <w:t xml:space="preserve"> to maintain or regain independence in their homes and communities, and to improve health and wellbeing outcomes</w:t>
      </w:r>
      <w:r>
        <w:t>, through:</w:t>
      </w:r>
    </w:p>
    <w:p w14:paraId="356BB2DF" w14:textId="77777777" w:rsidR="00C36663" w:rsidRPr="00C47B26" w:rsidRDefault="00C36663" w:rsidP="00C36663">
      <w:pPr>
        <w:pStyle w:val="Bullet1"/>
      </w:pPr>
      <w:r w:rsidRPr="00C47B26">
        <w:t>Delivering targeted, community-based services for people with chronic and complex needs</w:t>
      </w:r>
    </w:p>
    <w:p w14:paraId="7FB9F331" w14:textId="77777777" w:rsidR="00C36663" w:rsidRPr="00C47B26" w:rsidRDefault="00C36663" w:rsidP="00C36663">
      <w:pPr>
        <w:pStyle w:val="Bullet1"/>
      </w:pPr>
      <w:r w:rsidRPr="00C47B26">
        <w:t>Supporting functional capacity and participation through goal-directed, person-centred approaches</w:t>
      </w:r>
    </w:p>
    <w:p w14:paraId="1BB3AB5E" w14:textId="77777777" w:rsidR="00C36663" w:rsidRPr="00C47B26" w:rsidRDefault="00C36663" w:rsidP="00C36663">
      <w:pPr>
        <w:pStyle w:val="Bullet1"/>
      </w:pPr>
      <w:r w:rsidRPr="00C47B26">
        <w:t>Reducing the risk of avoidable hospital presentations and admissions</w:t>
      </w:r>
    </w:p>
    <w:p w14:paraId="56C205B2" w14:textId="77777777" w:rsidR="00C36663" w:rsidRPr="00C47B26" w:rsidRDefault="00C36663" w:rsidP="00C36663">
      <w:pPr>
        <w:pStyle w:val="Bullet1"/>
      </w:pPr>
      <w:r w:rsidRPr="00C47B26">
        <w:t>Coordinating with other services and supports across the healthcare and community support service system</w:t>
      </w:r>
    </w:p>
    <w:p w14:paraId="6C61619E" w14:textId="77777777" w:rsidR="00C36663" w:rsidRPr="00C47B26" w:rsidRDefault="00C36663" w:rsidP="00C36663">
      <w:pPr>
        <w:pStyle w:val="Bullet1"/>
      </w:pPr>
      <w:r w:rsidRPr="00C47B26">
        <w:t>Supporting equitable access through fair and transparent prioritisation.</w:t>
      </w:r>
    </w:p>
    <w:p w14:paraId="6EEAD013" w14:textId="77777777" w:rsidR="00C36663" w:rsidRDefault="00C36663" w:rsidP="00C36663">
      <w:pPr>
        <w:pStyle w:val="Bullet1"/>
        <w:numPr>
          <w:ilvl w:val="0"/>
          <w:numId w:val="0"/>
        </w:numPr>
      </w:pPr>
    </w:p>
    <w:p w14:paraId="413D5579" w14:textId="77777777" w:rsidR="00C36663" w:rsidRDefault="00C36663" w:rsidP="00C36663">
      <w:pPr>
        <w:pStyle w:val="Body"/>
      </w:pPr>
      <w:r w:rsidRPr="006D1F5F">
        <w:rPr>
          <w:b/>
          <w:bCs/>
        </w:rPr>
        <w:t xml:space="preserve">Supporting </w:t>
      </w:r>
      <w:r>
        <w:rPr>
          <w:b/>
          <w:bCs/>
        </w:rPr>
        <w:t>r</w:t>
      </w:r>
      <w:r w:rsidRPr="006D1F5F">
        <w:rPr>
          <w:b/>
          <w:bCs/>
        </w:rPr>
        <w:t>esource</w:t>
      </w:r>
    </w:p>
    <w:p w14:paraId="6904E470" w14:textId="77777777" w:rsidR="00C36663" w:rsidRDefault="00C36663" w:rsidP="00C36663">
      <w:pPr>
        <w:pStyle w:val="Bullet1"/>
        <w:numPr>
          <w:ilvl w:val="0"/>
          <w:numId w:val="0"/>
        </w:numPr>
        <w:ind w:left="284" w:hanging="284"/>
      </w:pPr>
      <w:hyperlink r:id="rId18" w:history="1">
        <w:r w:rsidRPr="00992372">
          <w:rPr>
            <w:rStyle w:val="Hyperlink"/>
          </w:rPr>
          <w:t>Our strategic plan 2023–27</w:t>
        </w:r>
      </w:hyperlink>
      <w:r w:rsidRPr="00627BE8">
        <w:t xml:space="preserve"> &lt;https://www.health.vic.gov.au/our-strategic-plan-2023-27&gt;</w:t>
      </w:r>
    </w:p>
    <w:p w14:paraId="5FB8DEFE" w14:textId="77777777" w:rsidR="00E879FD" w:rsidRPr="001606B8" w:rsidRDefault="00E879FD" w:rsidP="00C36663">
      <w:pPr>
        <w:pStyle w:val="Bullet1"/>
        <w:numPr>
          <w:ilvl w:val="0"/>
          <w:numId w:val="0"/>
        </w:numPr>
        <w:ind w:left="284" w:hanging="284"/>
      </w:pPr>
    </w:p>
    <w:p w14:paraId="7BBC8296" w14:textId="77777777" w:rsidR="00C36663" w:rsidRDefault="00C36663" w:rsidP="00C36663">
      <w:pPr>
        <w:pStyle w:val="Heading1"/>
      </w:pPr>
      <w:bookmarkStart w:id="15" w:name="_Toc232491430"/>
      <w:bookmarkStart w:id="16" w:name="_Toc233281387"/>
      <w:bookmarkEnd w:id="13"/>
      <w:r>
        <w:lastRenderedPageBreak/>
        <w:t>3. Governance</w:t>
      </w:r>
      <w:bookmarkEnd w:id="15"/>
      <w:bookmarkEnd w:id="16"/>
    </w:p>
    <w:p w14:paraId="09EAB5E6" w14:textId="77777777" w:rsidR="00C36663" w:rsidRPr="00035A07" w:rsidRDefault="00C36663" w:rsidP="00C36663">
      <w:pPr>
        <w:pStyle w:val="Body"/>
      </w:pPr>
      <w:r w:rsidRPr="00035A07">
        <w:t xml:space="preserve">HACC PYP services are delivered across Victoria, primarily in </w:t>
      </w:r>
      <w:r w:rsidRPr="007B085F">
        <w:t>home and community</w:t>
      </w:r>
      <w:r w:rsidRPr="007B085F">
        <w:noBreakHyphen/>
        <w:t>based settings</w:t>
      </w:r>
      <w:r w:rsidRPr="00035A07">
        <w:t xml:space="preserve">, </w:t>
      </w:r>
      <w:r>
        <w:t>by</w:t>
      </w:r>
      <w:r w:rsidRPr="00035A07">
        <w:t xml:space="preserve"> a diverse range of </w:t>
      </w:r>
      <w:r>
        <w:t>the following providers:</w:t>
      </w:r>
    </w:p>
    <w:p w14:paraId="0C50E058" w14:textId="77777777" w:rsidR="00C36663" w:rsidRPr="00DE5AA4" w:rsidRDefault="00C36663" w:rsidP="00C36663">
      <w:pPr>
        <w:pStyle w:val="Bullet1"/>
        <w:numPr>
          <w:ilvl w:val="0"/>
          <w:numId w:val="41"/>
        </w:numPr>
        <w:rPr>
          <w:lang w:eastAsia="en-AU"/>
        </w:rPr>
      </w:pPr>
      <w:r w:rsidRPr="00DE5AA4">
        <w:rPr>
          <w:lang w:eastAsia="en-AU"/>
        </w:rPr>
        <w:t xml:space="preserve">Community service </w:t>
      </w:r>
      <w:r>
        <w:rPr>
          <w:lang w:eastAsia="en-AU"/>
        </w:rPr>
        <w:t>organisations</w:t>
      </w:r>
      <w:r w:rsidRPr="00DE5AA4">
        <w:rPr>
          <w:lang w:eastAsia="en-AU"/>
        </w:rPr>
        <w:t xml:space="preserve">, including: </w:t>
      </w:r>
    </w:p>
    <w:p w14:paraId="15BB54C1" w14:textId="77777777" w:rsidR="00C36663" w:rsidRPr="00DE5AA4" w:rsidRDefault="00C36663" w:rsidP="00C36663">
      <w:pPr>
        <w:pStyle w:val="Bullet1"/>
        <w:numPr>
          <w:ilvl w:val="1"/>
          <w:numId w:val="41"/>
        </w:numPr>
        <w:rPr>
          <w:lang w:eastAsia="en-AU"/>
        </w:rPr>
      </w:pPr>
      <w:r>
        <w:rPr>
          <w:lang w:eastAsia="en-AU"/>
        </w:rPr>
        <w:t>R</w:t>
      </w:r>
      <w:r w:rsidRPr="00DE5AA4">
        <w:rPr>
          <w:lang w:eastAsia="en-AU"/>
        </w:rPr>
        <w:t xml:space="preserve">egistered community health </w:t>
      </w:r>
      <w:r>
        <w:rPr>
          <w:lang w:eastAsia="en-AU"/>
        </w:rPr>
        <w:t>centres</w:t>
      </w:r>
    </w:p>
    <w:p w14:paraId="4EAF4036" w14:textId="77777777" w:rsidR="00C36663" w:rsidRPr="00DE5AA4" w:rsidRDefault="00C36663" w:rsidP="00C36663">
      <w:pPr>
        <w:pStyle w:val="Bullet1"/>
        <w:numPr>
          <w:ilvl w:val="1"/>
          <w:numId w:val="41"/>
        </w:numPr>
        <w:rPr>
          <w:lang w:eastAsia="en-AU"/>
        </w:rPr>
      </w:pPr>
      <w:r>
        <w:rPr>
          <w:lang w:eastAsia="en-AU"/>
        </w:rPr>
        <w:t>Lo</w:t>
      </w:r>
      <w:r w:rsidRPr="00DE5AA4">
        <w:rPr>
          <w:lang w:eastAsia="en-AU"/>
        </w:rPr>
        <w:t>cal government authorities</w:t>
      </w:r>
    </w:p>
    <w:p w14:paraId="343F3820" w14:textId="77777777" w:rsidR="00C36663" w:rsidRPr="00DE5AA4" w:rsidRDefault="00C36663" w:rsidP="00C36663">
      <w:pPr>
        <w:pStyle w:val="Bullet1"/>
        <w:numPr>
          <w:ilvl w:val="1"/>
          <w:numId w:val="41"/>
        </w:numPr>
        <w:rPr>
          <w:lang w:eastAsia="en-AU"/>
        </w:rPr>
      </w:pPr>
      <w:r>
        <w:rPr>
          <w:lang w:eastAsia="en-AU"/>
        </w:rPr>
        <w:t>N</w:t>
      </w:r>
      <w:r w:rsidRPr="00DE5AA4">
        <w:rPr>
          <w:lang w:eastAsia="en-AU"/>
        </w:rPr>
        <w:t>on</w:t>
      </w:r>
      <w:r w:rsidRPr="00DE5AA4">
        <w:rPr>
          <w:lang w:eastAsia="en-AU"/>
        </w:rPr>
        <w:noBreakHyphen/>
        <w:t xml:space="preserve">government </w:t>
      </w:r>
      <w:r>
        <w:rPr>
          <w:lang w:eastAsia="en-AU"/>
        </w:rPr>
        <w:t>organisations</w:t>
      </w:r>
    </w:p>
    <w:p w14:paraId="7858FBAA" w14:textId="77777777" w:rsidR="00C36663" w:rsidRPr="00DE5AA4" w:rsidRDefault="00C36663" w:rsidP="00C36663">
      <w:pPr>
        <w:pStyle w:val="Bullet1"/>
        <w:numPr>
          <w:ilvl w:val="0"/>
          <w:numId w:val="41"/>
        </w:numPr>
        <w:rPr>
          <w:lang w:eastAsia="en-AU"/>
        </w:rPr>
      </w:pPr>
      <w:r w:rsidRPr="00DE5AA4">
        <w:rPr>
          <w:lang w:eastAsia="en-AU"/>
        </w:rPr>
        <w:t xml:space="preserve">Health services, including </w:t>
      </w:r>
      <w:r>
        <w:rPr>
          <w:lang w:eastAsia="en-AU"/>
        </w:rPr>
        <w:t xml:space="preserve">regional, </w:t>
      </w:r>
      <w:r w:rsidRPr="00DE5AA4">
        <w:rPr>
          <w:lang w:eastAsia="en-AU"/>
        </w:rPr>
        <w:t>rural and metropolitan health services.</w:t>
      </w:r>
    </w:p>
    <w:p w14:paraId="08BB9303" w14:textId="77777777" w:rsidR="00C36663" w:rsidRPr="00DE5AA4" w:rsidRDefault="00C36663" w:rsidP="00C36663">
      <w:pPr>
        <w:pStyle w:val="Body"/>
        <w:spacing w:before="120"/>
        <w:rPr>
          <w:lang w:eastAsia="en-AU"/>
        </w:rPr>
      </w:pPr>
      <w:r>
        <w:rPr>
          <w:lang w:eastAsia="en-AU"/>
        </w:rPr>
        <w:t>Providers</w:t>
      </w:r>
      <w:r w:rsidRPr="00DE5AA4">
        <w:rPr>
          <w:lang w:eastAsia="en-AU"/>
        </w:rPr>
        <w:t xml:space="preserve"> deliver supports that are person</w:t>
      </w:r>
      <w:r w:rsidRPr="00DE5AA4">
        <w:rPr>
          <w:lang w:eastAsia="en-AU"/>
        </w:rPr>
        <w:noBreakHyphen/>
        <w:t>centred, flexible and responsive</w:t>
      </w:r>
      <w:r>
        <w:rPr>
          <w:lang w:eastAsia="en-AU"/>
        </w:rPr>
        <w:t xml:space="preserve"> to</w:t>
      </w:r>
      <w:r w:rsidRPr="00DE5AA4">
        <w:rPr>
          <w:lang w:eastAsia="en-AU"/>
        </w:rPr>
        <w:t xml:space="preserve"> </w:t>
      </w:r>
      <w:r>
        <w:rPr>
          <w:lang w:eastAsia="en-AU"/>
        </w:rPr>
        <w:t>individual need and</w:t>
      </w:r>
      <w:r w:rsidRPr="00DE5AA4">
        <w:rPr>
          <w:lang w:eastAsia="en-AU"/>
        </w:rPr>
        <w:t xml:space="preserve"> local contexts, </w:t>
      </w:r>
      <w:r>
        <w:rPr>
          <w:lang w:eastAsia="en-AU"/>
        </w:rPr>
        <w:t xml:space="preserve">and </w:t>
      </w:r>
      <w:r w:rsidRPr="00DE5AA4">
        <w:rPr>
          <w:lang w:eastAsia="en-AU"/>
        </w:rPr>
        <w:t>operat</w:t>
      </w:r>
      <w:r>
        <w:rPr>
          <w:lang w:eastAsia="en-AU"/>
        </w:rPr>
        <w:t>e</w:t>
      </w:r>
      <w:r w:rsidRPr="00DE5AA4">
        <w:rPr>
          <w:lang w:eastAsia="en-AU"/>
        </w:rPr>
        <w:t xml:space="preserve"> within a social and community</w:t>
      </w:r>
      <w:r w:rsidRPr="00DE5AA4">
        <w:rPr>
          <w:lang w:eastAsia="en-AU"/>
        </w:rPr>
        <w:noBreakHyphen/>
        <w:t>based model that recognises the interaction between health, disability, social</w:t>
      </w:r>
      <w:r>
        <w:rPr>
          <w:lang w:eastAsia="en-AU"/>
        </w:rPr>
        <w:t>,</w:t>
      </w:r>
      <w:r w:rsidRPr="00DE5AA4">
        <w:rPr>
          <w:lang w:eastAsia="en-AU"/>
        </w:rPr>
        <w:t xml:space="preserve"> and environmental factors.</w:t>
      </w:r>
    </w:p>
    <w:p w14:paraId="1F037D15" w14:textId="77777777" w:rsidR="00C36663" w:rsidRPr="003D0E86" w:rsidRDefault="00C36663" w:rsidP="00C36663">
      <w:pPr>
        <w:pStyle w:val="Body"/>
        <w:rPr>
          <w:lang w:eastAsia="en-AU"/>
        </w:rPr>
      </w:pPr>
      <w:r w:rsidRPr="003D0E86">
        <w:rPr>
          <w:lang w:eastAsia="en-AU"/>
        </w:rPr>
        <w:t xml:space="preserve">Many </w:t>
      </w:r>
      <w:r>
        <w:rPr>
          <w:lang w:eastAsia="en-AU"/>
        </w:rPr>
        <w:t>providers</w:t>
      </w:r>
      <w:r w:rsidRPr="003D0E86">
        <w:rPr>
          <w:lang w:eastAsia="en-AU"/>
        </w:rPr>
        <w:t xml:space="preserve"> also deliver other health or community</w:t>
      </w:r>
      <w:r w:rsidRPr="003D0E86">
        <w:rPr>
          <w:lang w:eastAsia="en-AU"/>
        </w:rPr>
        <w:noBreakHyphen/>
        <w:t>based services funded by the Victorian or Commonwealth Governments and may be registered providers</w:t>
      </w:r>
      <w:r>
        <w:rPr>
          <w:lang w:eastAsia="en-AU"/>
        </w:rPr>
        <w:t xml:space="preserve"> of the Support at Home program</w:t>
      </w:r>
      <w:r w:rsidRPr="003D0E86">
        <w:rPr>
          <w:lang w:eastAsia="en-AU"/>
        </w:rPr>
        <w:t xml:space="preserve"> or the </w:t>
      </w:r>
      <w:r>
        <w:rPr>
          <w:lang w:eastAsia="en-AU"/>
        </w:rPr>
        <w:t>National Disability Insurance Scheme (NDIS).</w:t>
      </w:r>
      <w:r w:rsidRPr="003D0E86">
        <w:rPr>
          <w:lang w:eastAsia="en-AU"/>
        </w:rPr>
        <w:t xml:space="preserve"> HACC PYP operates alongside these systems and is designed to complement, rather than duplicate, </w:t>
      </w:r>
      <w:r>
        <w:rPr>
          <w:lang w:eastAsia="en-AU"/>
        </w:rPr>
        <w:t>services provided through these and other programs</w:t>
      </w:r>
      <w:r w:rsidRPr="003D0E86">
        <w:rPr>
          <w:lang w:eastAsia="en-AU"/>
        </w:rPr>
        <w:t>.</w:t>
      </w:r>
    </w:p>
    <w:p w14:paraId="63E261CC" w14:textId="77777777" w:rsidR="00C36663" w:rsidRDefault="00C36663" w:rsidP="00C36663">
      <w:pPr>
        <w:pStyle w:val="Heading2"/>
      </w:pPr>
      <w:bookmarkStart w:id="17" w:name="_Toc232491431"/>
      <w:bookmarkStart w:id="18" w:name="_Toc233281388"/>
      <w:r>
        <w:t>3.1 Victorian Department of Health</w:t>
      </w:r>
      <w:bookmarkEnd w:id="17"/>
      <w:bookmarkEnd w:id="18"/>
    </w:p>
    <w:p w14:paraId="7ECEC0C6" w14:textId="77777777" w:rsidR="00C36663" w:rsidRDefault="00C36663" w:rsidP="00C36663">
      <w:pPr>
        <w:pStyle w:val="Body"/>
      </w:pPr>
      <w:r w:rsidRPr="004E6861">
        <w:t xml:space="preserve">The </w:t>
      </w:r>
      <w:r>
        <w:t xml:space="preserve">department is responsible for the </w:t>
      </w:r>
      <w:r w:rsidRPr="004E6861">
        <w:t>policy</w:t>
      </w:r>
      <w:r>
        <w:t xml:space="preserve"> and funding oversight of HACC PYP and establishes</w:t>
      </w:r>
      <w:r w:rsidRPr="000C1966">
        <w:t xml:space="preserve"> </w:t>
      </w:r>
      <w:r>
        <w:t>program guidelines and processes that drive service delivery across the state</w:t>
      </w:r>
      <w:r w:rsidRPr="000C1966">
        <w:t xml:space="preserve"> </w:t>
      </w:r>
      <w:r>
        <w:t>and support</w:t>
      </w:r>
      <w:r w:rsidRPr="000C1966">
        <w:t xml:space="preserve"> </w:t>
      </w:r>
      <w:r>
        <w:t>local responsiveness.</w:t>
      </w:r>
    </w:p>
    <w:p w14:paraId="5CC65AD2" w14:textId="77777777" w:rsidR="00C36663" w:rsidRPr="00307FDF" w:rsidRDefault="00C36663" w:rsidP="00C36663">
      <w:pPr>
        <w:pStyle w:val="Body"/>
        <w:rPr>
          <w:color w:val="000000"/>
        </w:rPr>
      </w:pPr>
      <w:r>
        <w:t>The department’s</w:t>
      </w:r>
      <w:r w:rsidRPr="00307FDF">
        <w:t xml:space="preserve"> role includes: </w:t>
      </w:r>
    </w:p>
    <w:p w14:paraId="409723E6" w14:textId="77777777" w:rsidR="00C36663" w:rsidRPr="00C47B26" w:rsidRDefault="00C36663" w:rsidP="00C36663">
      <w:pPr>
        <w:pStyle w:val="Bullet1"/>
      </w:pPr>
      <w:r w:rsidRPr="00C47B26">
        <w:t>Providing strategic policy oversight, governance and monitoring of HACC PYP</w:t>
      </w:r>
    </w:p>
    <w:p w14:paraId="014900D5" w14:textId="77777777" w:rsidR="00C36663" w:rsidRPr="00C47B26" w:rsidRDefault="00C36663" w:rsidP="00C36663">
      <w:pPr>
        <w:pStyle w:val="Bullet1"/>
      </w:pPr>
      <w:r w:rsidRPr="00C47B26">
        <w:t xml:space="preserve">Allocating funding and targets through Service Agreements and Statements of Priorities </w:t>
      </w:r>
    </w:p>
    <w:p w14:paraId="68B1896C" w14:textId="77777777" w:rsidR="00C36663" w:rsidRPr="00C47B26" w:rsidRDefault="00C36663" w:rsidP="00C36663">
      <w:pPr>
        <w:pStyle w:val="Bullet1"/>
      </w:pPr>
      <w:r w:rsidRPr="00C47B26">
        <w:t>Developing program guidelines</w:t>
      </w:r>
    </w:p>
    <w:p w14:paraId="7DF1EE37" w14:textId="77777777" w:rsidR="00C36663" w:rsidRPr="00C47B26" w:rsidRDefault="00C36663" w:rsidP="00C36663">
      <w:pPr>
        <w:pStyle w:val="Bullet1"/>
      </w:pPr>
      <w:r w:rsidRPr="00C47B26">
        <w:t>Monitoring HACC PYP performance and service delivery in partnership with the department’s Health Service Performance Oversight teams and the Department of Families, Fairness and Housing’s Area Agency Performance and System Support teams</w:t>
      </w:r>
    </w:p>
    <w:p w14:paraId="454CB48F" w14:textId="77777777" w:rsidR="00C36663" w:rsidRPr="00C47B26" w:rsidRDefault="00C36663" w:rsidP="00C36663">
      <w:pPr>
        <w:pStyle w:val="Bullet1"/>
      </w:pPr>
      <w:r w:rsidRPr="00C47B26">
        <w:t xml:space="preserve">Partnering with sector stakeholders to improve and support the sustainability of the program. </w:t>
      </w:r>
    </w:p>
    <w:p w14:paraId="2AB7A01A" w14:textId="77777777" w:rsidR="00C36663" w:rsidRDefault="00C36663" w:rsidP="00C36663">
      <w:pPr>
        <w:pStyle w:val="Heading3"/>
      </w:pPr>
      <w:r>
        <w:t xml:space="preserve">3.1.1 </w:t>
      </w:r>
      <w:r w:rsidRPr="00452409">
        <w:t xml:space="preserve">Policy and </w:t>
      </w:r>
      <w:r>
        <w:t>F</w:t>
      </w:r>
      <w:r w:rsidRPr="00452409">
        <w:t xml:space="preserve">unding </w:t>
      </w:r>
      <w:r>
        <w:t>G</w:t>
      </w:r>
      <w:r w:rsidRPr="00452409">
        <w:t>uidelines</w:t>
      </w:r>
    </w:p>
    <w:p w14:paraId="6185CA3A" w14:textId="77777777" w:rsidR="00C36663" w:rsidRDefault="00C36663" w:rsidP="00C36663">
      <w:pPr>
        <w:pStyle w:val="Body"/>
      </w:pPr>
      <w:r>
        <w:t>The Policy and Funding Guidelines represent the system-wide terms and conditions for Victorian Government-funded healthcare organisations, including (but not limited to) health services and hospitals, community service organisations, and other funded organisations. The Policy and Funding Guidelines:</w:t>
      </w:r>
    </w:p>
    <w:p w14:paraId="64AC0988" w14:textId="77777777" w:rsidR="00C36663" w:rsidRPr="00D06FDB" w:rsidRDefault="00C36663" w:rsidP="00C36663">
      <w:pPr>
        <w:pStyle w:val="Bullet1"/>
      </w:pPr>
      <w:r w:rsidRPr="00D06FDB">
        <w:t>Are relevant to all funded organisations</w:t>
      </w:r>
    </w:p>
    <w:p w14:paraId="36F686EA" w14:textId="77777777" w:rsidR="00C36663" w:rsidRPr="00D06FDB" w:rsidRDefault="00C36663" w:rsidP="00C36663">
      <w:pPr>
        <w:pStyle w:val="Bullet1"/>
      </w:pPr>
      <w:r w:rsidRPr="00D06FDB">
        <w:t>Reflect the department’s role as the system steward</w:t>
      </w:r>
    </w:p>
    <w:p w14:paraId="2AA2970D" w14:textId="77777777" w:rsidR="00C36663" w:rsidRPr="00D06FDB" w:rsidRDefault="00C36663" w:rsidP="00C36663">
      <w:pPr>
        <w:pStyle w:val="Bullet1"/>
      </w:pPr>
      <w:r w:rsidRPr="00D06FDB">
        <w:t>Provide operational and service delivery policy changes, and outline contractual, statutory, and other duties and requirements</w:t>
      </w:r>
    </w:p>
    <w:p w14:paraId="3A89919C" w14:textId="77777777" w:rsidR="00C36663" w:rsidRPr="00D06FDB" w:rsidRDefault="00C36663" w:rsidP="00C36663">
      <w:pPr>
        <w:pStyle w:val="Bullet1"/>
      </w:pPr>
      <w:r w:rsidRPr="00D06FDB">
        <w:t>Underpin the department’s individual contracts with funded organisations (including, but not limited to, the Statement of Priorities)</w:t>
      </w:r>
    </w:p>
    <w:p w14:paraId="4AA3D6E0" w14:textId="77777777" w:rsidR="00C36663" w:rsidRPr="00D06FDB" w:rsidRDefault="00C36663" w:rsidP="00C36663">
      <w:pPr>
        <w:pStyle w:val="Bullet1"/>
      </w:pPr>
      <w:r w:rsidRPr="00D06FDB">
        <w:lastRenderedPageBreak/>
        <w:t>Detail the budgetary landscape, including funding and pricing arrangements as well as funded activity and targets</w:t>
      </w:r>
    </w:p>
    <w:p w14:paraId="0A773AFA" w14:textId="77777777" w:rsidR="00C36663" w:rsidRPr="00D06FDB" w:rsidRDefault="00C36663" w:rsidP="00C36663">
      <w:pPr>
        <w:pStyle w:val="Bullet1"/>
      </w:pPr>
      <w:r w:rsidRPr="00D06FDB">
        <w:t>Consist of two separate, although interconnected, publications: the Policy guide and Funding rules, which are accessible at the link below.</w:t>
      </w:r>
    </w:p>
    <w:p w14:paraId="1B1E3601" w14:textId="77777777" w:rsidR="00C36663" w:rsidRPr="00B65E6F" w:rsidRDefault="00C36663" w:rsidP="00C36663">
      <w:pPr>
        <w:pStyle w:val="Body"/>
        <w:spacing w:before="120"/>
        <w:rPr>
          <w:b/>
          <w:bCs/>
        </w:rPr>
      </w:pPr>
      <w:r w:rsidRPr="00B65E6F">
        <w:rPr>
          <w:b/>
          <w:bCs/>
        </w:rPr>
        <w:t>Supporting resource</w:t>
      </w:r>
    </w:p>
    <w:p w14:paraId="710A8C24" w14:textId="7F93655E" w:rsidR="00C36663" w:rsidRDefault="00C36663" w:rsidP="00C36663">
      <w:pPr>
        <w:pStyle w:val="Body"/>
      </w:pPr>
      <w:hyperlink r:id="rId19" w:history="1">
        <w:r w:rsidRPr="00BA1C29">
          <w:rPr>
            <w:rStyle w:val="Hyperlink"/>
          </w:rPr>
          <w:t xml:space="preserve">Policy and </w:t>
        </w:r>
        <w:r>
          <w:rPr>
            <w:rStyle w:val="Hyperlink"/>
          </w:rPr>
          <w:t>F</w:t>
        </w:r>
        <w:r w:rsidRPr="00BA1C29">
          <w:rPr>
            <w:rStyle w:val="Hyperlink"/>
          </w:rPr>
          <w:t xml:space="preserve">unding </w:t>
        </w:r>
        <w:r>
          <w:rPr>
            <w:rStyle w:val="Hyperlink"/>
          </w:rPr>
          <w:t>G</w:t>
        </w:r>
        <w:r w:rsidRPr="00BA1C29">
          <w:rPr>
            <w:rStyle w:val="Hyperlink"/>
          </w:rPr>
          <w:t>uidelines for health services</w:t>
        </w:r>
      </w:hyperlink>
      <w:r>
        <w:t xml:space="preserve"> &lt;https://www.health.vic.gov.au/policy-and-funding-guidelines-for-health-services&gt;</w:t>
      </w:r>
    </w:p>
    <w:p w14:paraId="3CAF41BB" w14:textId="77777777" w:rsidR="00C36663" w:rsidRDefault="00C36663" w:rsidP="00C36663">
      <w:pPr>
        <w:pStyle w:val="Heading2"/>
      </w:pPr>
      <w:bookmarkStart w:id="19" w:name="_Toc232491432"/>
      <w:bookmarkStart w:id="20" w:name="_Toc233281389"/>
      <w:r>
        <w:t>3.2 HACC PYP service providers</w:t>
      </w:r>
      <w:bookmarkEnd w:id="19"/>
      <w:bookmarkEnd w:id="20"/>
      <w:r>
        <w:t xml:space="preserve"> </w:t>
      </w:r>
    </w:p>
    <w:p w14:paraId="2A797821" w14:textId="77777777" w:rsidR="00C36663" w:rsidRDefault="00C36663" w:rsidP="00C36663">
      <w:pPr>
        <w:pStyle w:val="Body"/>
      </w:pPr>
      <w:r>
        <w:t>Providers are responsible for managing and operating their services to comply with the Policy and Funding Guidelines, HACC PYP Guidelines, and activity descriptions. Responsibilities include:</w:t>
      </w:r>
    </w:p>
    <w:p w14:paraId="1102519F" w14:textId="77777777" w:rsidR="00C36663" w:rsidRPr="00BD6912" w:rsidRDefault="00C36663" w:rsidP="00C36663">
      <w:pPr>
        <w:pStyle w:val="Bullet1"/>
      </w:pPr>
      <w:r w:rsidRPr="00BD6912">
        <w:t>Delivering agreed services and outputs, and meeting performance requirements and conditions, as specified in their Service Agreement or Statement of Priorities</w:t>
      </w:r>
    </w:p>
    <w:p w14:paraId="21020D1E" w14:textId="77777777" w:rsidR="00C36663" w:rsidRPr="00BD6912" w:rsidRDefault="00C36663" w:rsidP="00C36663">
      <w:pPr>
        <w:pStyle w:val="Bullet1"/>
      </w:pPr>
      <w:r w:rsidRPr="00BD6912">
        <w:t>Reporting to the Victorian Community Support Services Minimum Data Set (VCSS MDS) and providing financial acquittals</w:t>
      </w:r>
    </w:p>
    <w:p w14:paraId="66BDEEE5" w14:textId="77777777" w:rsidR="00C36663" w:rsidRPr="00BD6912" w:rsidRDefault="00C36663" w:rsidP="00C36663">
      <w:pPr>
        <w:pStyle w:val="Bullet1"/>
      </w:pPr>
      <w:r w:rsidRPr="00BD6912">
        <w:t>Implementing policy and practice, as stipulated in the guidelines and other service delivery guidance, where applicable</w:t>
      </w:r>
    </w:p>
    <w:p w14:paraId="1F82AD79" w14:textId="77777777" w:rsidR="00C36663" w:rsidRPr="00BD6912" w:rsidRDefault="00C36663" w:rsidP="00C36663">
      <w:pPr>
        <w:pStyle w:val="Bullet1"/>
      </w:pPr>
      <w:r w:rsidRPr="00BD6912">
        <w:t>Recruiting, supporting and supervising staff</w:t>
      </w:r>
    </w:p>
    <w:p w14:paraId="7345AC1B" w14:textId="77777777" w:rsidR="00C36663" w:rsidRPr="00BD6912" w:rsidRDefault="00C36663" w:rsidP="00C36663">
      <w:pPr>
        <w:pStyle w:val="Bullet1"/>
      </w:pPr>
      <w:r w:rsidRPr="00BD6912">
        <w:t>Ensuring delivery is consistent with applicable clinical, safety and professional standards, including relevant scope of practice and regulatory requirements for funded activities</w:t>
      </w:r>
    </w:p>
    <w:p w14:paraId="52E88E01" w14:textId="77777777" w:rsidR="00C36663" w:rsidRPr="00BD6912" w:rsidRDefault="00C36663" w:rsidP="00C36663">
      <w:pPr>
        <w:pStyle w:val="Bullet1"/>
      </w:pPr>
      <w:r w:rsidRPr="00BD6912">
        <w:t>Identifying and meeting the training needs of staff and volunteers.</w:t>
      </w:r>
    </w:p>
    <w:p w14:paraId="3E9CA27E" w14:textId="77777777" w:rsidR="00C36663" w:rsidRPr="00714A81" w:rsidRDefault="00C36663" w:rsidP="00C36663">
      <w:pPr>
        <w:pStyle w:val="Bodyafterbullets"/>
        <w:rPr>
          <w:b/>
          <w:bCs/>
        </w:rPr>
      </w:pPr>
      <w:r>
        <w:rPr>
          <w:b/>
          <w:bCs/>
        </w:rPr>
        <w:t>Supporting r</w:t>
      </w:r>
      <w:r w:rsidRPr="00714A81">
        <w:rPr>
          <w:b/>
          <w:bCs/>
        </w:rPr>
        <w:t>esource</w:t>
      </w:r>
    </w:p>
    <w:p w14:paraId="1A12855B" w14:textId="6FC8A5F4" w:rsidR="00C36663" w:rsidRPr="00D34272" w:rsidRDefault="00C36663" w:rsidP="00C36663">
      <w:pPr>
        <w:pStyle w:val="Body"/>
      </w:pPr>
      <w:hyperlink r:id="rId20">
        <w:r w:rsidRPr="3325ED4B">
          <w:rPr>
            <w:rStyle w:val="Hyperlink"/>
          </w:rPr>
          <w:t xml:space="preserve">Policy and </w:t>
        </w:r>
        <w:r>
          <w:rPr>
            <w:rStyle w:val="Hyperlink"/>
          </w:rPr>
          <w:t>F</w:t>
        </w:r>
        <w:r w:rsidRPr="3325ED4B">
          <w:rPr>
            <w:rStyle w:val="Hyperlink"/>
          </w:rPr>
          <w:t xml:space="preserve">unding </w:t>
        </w:r>
        <w:r>
          <w:rPr>
            <w:rStyle w:val="Hyperlink"/>
          </w:rPr>
          <w:t>G</w:t>
        </w:r>
        <w:r w:rsidRPr="3325ED4B">
          <w:rPr>
            <w:rStyle w:val="Hyperlink"/>
          </w:rPr>
          <w:t>uidelines for health services</w:t>
        </w:r>
      </w:hyperlink>
      <w:r>
        <w:t xml:space="preserve"> &lt;https://www.health.vic.gov.au/policy-and-funding-guidelines-for-health-services&gt;</w:t>
      </w:r>
      <w:r>
        <w:br w:type="page"/>
      </w:r>
    </w:p>
    <w:p w14:paraId="5392B5C5" w14:textId="77777777" w:rsidR="00C36663" w:rsidRDefault="00C36663" w:rsidP="00C36663">
      <w:pPr>
        <w:pStyle w:val="Heading1"/>
      </w:pPr>
      <w:bookmarkStart w:id="21" w:name="_Toc232491433"/>
      <w:bookmarkStart w:id="22" w:name="_Toc233281390"/>
      <w:r>
        <w:lastRenderedPageBreak/>
        <w:t>4. Service Access</w:t>
      </w:r>
      <w:bookmarkEnd w:id="21"/>
      <w:bookmarkEnd w:id="22"/>
    </w:p>
    <w:p w14:paraId="3E542BDF" w14:textId="77777777" w:rsidR="00C36663" w:rsidRDefault="00C36663" w:rsidP="00C36663">
      <w:pPr>
        <w:pStyle w:val="Body"/>
      </w:pPr>
      <w:r w:rsidRPr="00674C4E">
        <w:t>Access to HACC PYP services is determined through the application of eligibility criteria and priority of access</w:t>
      </w:r>
      <w:r>
        <w:t xml:space="preserve"> factors. Together, these</w:t>
      </w:r>
      <w:r w:rsidRPr="00674C4E">
        <w:t xml:space="preserve"> support equitable and consistent access to services within available resources</w:t>
      </w:r>
      <w:r>
        <w:t>:</w:t>
      </w:r>
    </w:p>
    <w:p w14:paraId="3E23D3AB" w14:textId="77777777" w:rsidR="00C36663" w:rsidRPr="00BD6912" w:rsidRDefault="00C36663" w:rsidP="00C36663">
      <w:pPr>
        <w:pStyle w:val="Bullet1"/>
      </w:pPr>
      <w:r w:rsidRPr="00BD6912">
        <w:rPr>
          <w:b/>
          <w:bCs/>
        </w:rPr>
        <w:t>Eligibility criteria</w:t>
      </w:r>
      <w:r w:rsidRPr="00BD6912">
        <w:t xml:space="preserve"> determine whether a person may be able to access HACC PYP services</w:t>
      </w:r>
    </w:p>
    <w:p w14:paraId="7F7C0FCC" w14:textId="77777777" w:rsidR="00C36663" w:rsidRPr="00BD6912" w:rsidRDefault="00C36663" w:rsidP="00C36663">
      <w:pPr>
        <w:pStyle w:val="Bullet1"/>
      </w:pPr>
      <w:r w:rsidRPr="00BD6912">
        <w:rPr>
          <w:b/>
          <w:bCs/>
        </w:rPr>
        <w:t>Priority of access factors</w:t>
      </w:r>
      <w:r w:rsidRPr="00BD6912">
        <w:t xml:space="preserve"> support decision-making on which consumers, identified as eligible, should be prioritised to receive HACC PYP services, especially where demand exceeds available capacity.</w:t>
      </w:r>
    </w:p>
    <w:p w14:paraId="55770CA7" w14:textId="77777777" w:rsidR="00C36663" w:rsidRDefault="00C36663" w:rsidP="00C36663">
      <w:pPr>
        <w:pStyle w:val="Body"/>
        <w:spacing w:before="120"/>
        <w:rPr>
          <w:lang w:eastAsia="en-AU"/>
        </w:rPr>
      </w:pPr>
      <w:r>
        <w:rPr>
          <w:lang w:eastAsia="en-AU"/>
        </w:rPr>
        <w:t>Providers</w:t>
      </w:r>
      <w:r w:rsidRPr="00F91F4C">
        <w:rPr>
          <w:lang w:eastAsia="en-AU"/>
        </w:rPr>
        <w:t xml:space="preserve"> take a holistic approach when considering eligibility, priority and service responses, recognising the combined impact of health status, cultural background, social circumstances and experiences of discrimination or exclusion.</w:t>
      </w:r>
    </w:p>
    <w:p w14:paraId="532D5322" w14:textId="77777777" w:rsidR="00C36663" w:rsidRDefault="00C36663" w:rsidP="00C36663">
      <w:pPr>
        <w:pStyle w:val="Body"/>
        <w:rPr>
          <w:kern w:val="2"/>
          <w:szCs w:val="21"/>
          <w14:ligatures w14:val="standardContextual"/>
        </w:rPr>
      </w:pPr>
      <w:r>
        <w:t xml:space="preserve">In circumstances where demand for HACC PYP services exceeds available service delivery capacity, access is prioritised based on each consumer’s relative needs and capacity to benefit from HACC PYP supports, with consideration given to priority population groups. HACC PYP supports are targeted to those most at risk of poor health outcomes if HACC PYP support is not provided. Providers apply consistent and equitable approaches to managing demand, including use of available guidance and tools. The </w:t>
      </w:r>
      <w:r w:rsidRPr="009A2140">
        <w:t>Community Health Demand Management Toolkit</w:t>
      </w:r>
      <w:r>
        <w:t xml:space="preserve"> may assist providers to manage demand in a consistent and equitable way.</w:t>
      </w:r>
    </w:p>
    <w:p w14:paraId="0CDB31D8" w14:textId="77777777" w:rsidR="00C36663" w:rsidRDefault="00C36663" w:rsidP="00C36663">
      <w:pPr>
        <w:pStyle w:val="Bullet1"/>
        <w:numPr>
          <w:ilvl w:val="0"/>
          <w:numId w:val="0"/>
        </w:numPr>
        <w:rPr>
          <w:b/>
          <w:bCs/>
        </w:rPr>
      </w:pPr>
      <w:r w:rsidRPr="007B085F">
        <w:rPr>
          <w:b/>
          <w:bCs/>
        </w:rPr>
        <w:t>Supporting Resources:</w:t>
      </w:r>
    </w:p>
    <w:p w14:paraId="5013F3EC" w14:textId="77777777" w:rsidR="00C36663" w:rsidRPr="007B085F" w:rsidRDefault="00C36663" w:rsidP="00C36663">
      <w:pPr>
        <w:pStyle w:val="Bullet1"/>
        <w:numPr>
          <w:ilvl w:val="0"/>
          <w:numId w:val="0"/>
        </w:numPr>
        <w:rPr>
          <w:b/>
          <w:bCs/>
        </w:rPr>
      </w:pPr>
      <w:hyperlink r:id="rId21" w:history="1">
        <w:r w:rsidRPr="00024E4D">
          <w:rPr>
            <w:rFonts w:eastAsia="Times New Roman"/>
            <w:color w:val="0000FF"/>
            <w:u w:val="single"/>
          </w:rPr>
          <w:t>Community Health Demand Management Toolkit | health.vic.gov.au</w:t>
        </w:r>
      </w:hyperlink>
      <w:r>
        <w:rPr>
          <w:b/>
          <w:bCs/>
        </w:rPr>
        <w:t xml:space="preserve"> </w:t>
      </w:r>
      <w:r w:rsidRPr="00024E4D">
        <w:t>&lt;https://www.health.vic.gov.au/community-health/community-health-demand-management-toolkit&gt;</w:t>
      </w:r>
    </w:p>
    <w:p w14:paraId="28819760" w14:textId="77777777" w:rsidR="00C36663" w:rsidRPr="00B31535" w:rsidRDefault="00C36663" w:rsidP="00C36663">
      <w:pPr>
        <w:pStyle w:val="Bullet1"/>
        <w:numPr>
          <w:ilvl w:val="0"/>
          <w:numId w:val="0"/>
        </w:numPr>
        <w:rPr>
          <w:rFonts w:cs="Arial"/>
          <w:szCs w:val="21"/>
        </w:rPr>
      </w:pPr>
      <w:r>
        <w:rPr>
          <w:rFonts w:cs="Arial"/>
          <w:szCs w:val="21"/>
        </w:rPr>
        <w:t>Note: The Community Health Program access policy that is also found on this webpage is not applicable to HACC PYP.</w:t>
      </w:r>
    </w:p>
    <w:p w14:paraId="0E991445" w14:textId="77777777" w:rsidR="00C36663" w:rsidRDefault="00C36663" w:rsidP="00C36663">
      <w:pPr>
        <w:pStyle w:val="Heading2"/>
      </w:pPr>
      <w:bookmarkStart w:id="23" w:name="_Toc232491434"/>
      <w:bookmarkStart w:id="24" w:name="_Toc233281391"/>
      <w:r>
        <w:t>4.1 Eligibility</w:t>
      </w:r>
      <w:bookmarkEnd w:id="23"/>
      <w:bookmarkEnd w:id="24"/>
    </w:p>
    <w:p w14:paraId="21AB5F1A" w14:textId="77777777" w:rsidR="00C36663" w:rsidRDefault="00C36663" w:rsidP="00C36663">
      <w:pPr>
        <w:pStyle w:val="Body"/>
      </w:pPr>
      <w:r>
        <w:t>Victorians</w:t>
      </w:r>
      <w:r w:rsidRPr="005E192F">
        <w:t xml:space="preserve"> </w:t>
      </w:r>
      <w:r>
        <w:t xml:space="preserve">eligible for HACCPYP are aged from birth to </w:t>
      </w:r>
      <w:r w:rsidRPr="005E192F">
        <w:t>65 years of age</w:t>
      </w:r>
      <w:r>
        <w:t>,</w:t>
      </w:r>
      <w:r w:rsidRPr="005E192F">
        <w:t xml:space="preserve"> or </w:t>
      </w:r>
      <w:r>
        <w:t xml:space="preserve">birth to </w:t>
      </w:r>
      <w:r w:rsidRPr="005E192F">
        <w:t>50</w:t>
      </w:r>
      <w:r>
        <w:t xml:space="preserve"> years</w:t>
      </w:r>
      <w:r w:rsidRPr="005E192F">
        <w:t xml:space="preserve"> for </w:t>
      </w:r>
      <w:r w:rsidRPr="003D5EDA">
        <w:t>Aborigina</w:t>
      </w:r>
      <w:r>
        <w:t xml:space="preserve">l </w:t>
      </w:r>
      <w:r w:rsidRPr="005E192F">
        <w:t>peoples</w:t>
      </w:r>
      <w:r>
        <w:t>, and:</w:t>
      </w:r>
    </w:p>
    <w:p w14:paraId="466C3F96" w14:textId="77777777" w:rsidR="00C36663" w:rsidRPr="009B681B" w:rsidRDefault="00C36663" w:rsidP="00C36663">
      <w:pPr>
        <w:pStyle w:val="Bullet1"/>
      </w:pPr>
      <w:r w:rsidRPr="009B681B">
        <w:t>Have a chronic illness, disability, mental health, or other condition that has an impact on their day-to-day living and ability to participate in the community</w:t>
      </w:r>
    </w:p>
    <w:p w14:paraId="41D040D9" w14:textId="77777777" w:rsidR="00C36663" w:rsidRPr="009B681B" w:rsidRDefault="00C36663" w:rsidP="00C36663">
      <w:pPr>
        <w:pStyle w:val="Bullet1"/>
      </w:pPr>
      <w:r w:rsidRPr="009B681B">
        <w:t>Are at risk of losing their independence without support and are not accessing similar supports through other programs</w:t>
      </w:r>
    </w:p>
    <w:p w14:paraId="6D549920" w14:textId="77777777" w:rsidR="00C36663" w:rsidRPr="009B681B" w:rsidRDefault="00C36663" w:rsidP="00C36663">
      <w:pPr>
        <w:pStyle w:val="Bullet1"/>
      </w:pPr>
      <w:r w:rsidRPr="009B681B">
        <w:t>Require HACC PYP supports to assist with the activities of daily living.</w:t>
      </w:r>
    </w:p>
    <w:p w14:paraId="618347B9" w14:textId="77777777" w:rsidR="00C36663" w:rsidRPr="007F0D7D" w:rsidRDefault="00C36663" w:rsidP="00C36663">
      <w:pPr>
        <w:pStyle w:val="Body"/>
        <w:spacing w:before="120"/>
      </w:pPr>
      <w:r w:rsidRPr="007F0D7D">
        <w:t xml:space="preserve">Eligibility alone does not determine access to </w:t>
      </w:r>
      <w:r>
        <w:t xml:space="preserve">HACC PYP </w:t>
      </w:r>
      <w:r w:rsidRPr="007F0D7D">
        <w:t>services. Where demand exceeds available resources, access and service levels are determined through assessment, prioritisation, and ongoing review.</w:t>
      </w:r>
    </w:p>
    <w:p w14:paraId="04638204" w14:textId="77777777" w:rsidR="00C36663" w:rsidRPr="007F0D7D" w:rsidRDefault="00C36663" w:rsidP="00C36663">
      <w:pPr>
        <w:pStyle w:val="Body"/>
      </w:pPr>
      <w:r w:rsidRPr="007F0D7D">
        <w:t xml:space="preserve">Eligibility is based on a person’s need for support to assist with activities of daily living, the impact </w:t>
      </w:r>
      <w:r>
        <w:t xml:space="preserve">of their health condition </w:t>
      </w:r>
      <w:r w:rsidRPr="007F0D7D">
        <w:t>on their independence, and their capacity to benefit from HACC PYP supports</w:t>
      </w:r>
      <w:r>
        <w:t>.</w:t>
      </w:r>
    </w:p>
    <w:p w14:paraId="787F85F4" w14:textId="3146DAEC" w:rsidR="00C36663" w:rsidRDefault="00C36663" w:rsidP="00C36663">
      <w:pPr>
        <w:pStyle w:val="Body"/>
        <w:rPr>
          <w:kern w:val="2"/>
          <w:szCs w:val="21"/>
          <w14:ligatures w14:val="standardContextual"/>
        </w:rPr>
      </w:pPr>
      <w:r>
        <w:t>Providers regularly review eligibility as part of ongoing service planning, including where a person’s circumstances change or alternative supports become available. In cases where a consumer is assessed as not eligible for HACC PYP or assessed as eligible but supports cannot be immediately provided due to high demand, providers actively refer consumers to other appropriate supports available in the system.</w:t>
      </w:r>
    </w:p>
    <w:p w14:paraId="4F42CBD0" w14:textId="77777777" w:rsidR="00C36663" w:rsidRDefault="00C36663" w:rsidP="00C36663">
      <w:pPr>
        <w:pStyle w:val="Heading3"/>
      </w:pPr>
      <w:r>
        <w:lastRenderedPageBreak/>
        <w:t>4.1.1 Eligibility considerations for babies, toddlers, and children</w:t>
      </w:r>
    </w:p>
    <w:p w14:paraId="5091D33D" w14:textId="77777777" w:rsidR="00C36663" w:rsidRDefault="00C36663" w:rsidP="00C36663">
      <w:pPr>
        <w:pStyle w:val="Body"/>
      </w:pPr>
      <w:r>
        <w:t>When assessing eligibility for babies, toddlers, and children, providers consider whether their care needs would ordinarily be met by their family members or carers, with consideration given to their age, developmental stage, and broader family context.</w:t>
      </w:r>
    </w:p>
    <w:p w14:paraId="05619B7D" w14:textId="77777777" w:rsidR="00C36663" w:rsidRDefault="00C36663" w:rsidP="00C36663">
      <w:pPr>
        <w:pStyle w:val="Body"/>
      </w:pPr>
      <w:r>
        <w:t>HACC PYP support may be provided where a baby, toddler, or child has needs beyond what would reasonably be expected to be provided within usual family or care arrangements, and where the support will assist to maintain or build independence and community participation.</w:t>
      </w:r>
    </w:p>
    <w:p w14:paraId="0C96B31A" w14:textId="77777777" w:rsidR="00C36663" w:rsidRDefault="00C36663" w:rsidP="00C36663">
      <w:pPr>
        <w:pStyle w:val="Heading3"/>
      </w:pPr>
      <w:r>
        <w:t>4.1.2 Eligibility considerations for people with a disability</w:t>
      </w:r>
    </w:p>
    <w:p w14:paraId="0C6191C3" w14:textId="77777777" w:rsidR="00C36663" w:rsidRDefault="00C36663" w:rsidP="00C36663">
      <w:pPr>
        <w:pStyle w:val="Body"/>
      </w:pPr>
      <w:r>
        <w:t>When assessing eligibility for people with a disability, providers may support people who may be eligible for the NDIS to test their eligibility and apply. Providers may also deliver HACC PYP supports to eligible consumers while they are assessing NDIS eligibility and moving through the planning process.</w:t>
      </w:r>
    </w:p>
    <w:p w14:paraId="1621AADA" w14:textId="77777777" w:rsidR="00C36663" w:rsidRDefault="00C36663" w:rsidP="00C36663">
      <w:pPr>
        <w:pStyle w:val="Body"/>
      </w:pPr>
      <w:r w:rsidRPr="00A34172">
        <w:t xml:space="preserve">NDIS participants are generally not eligible for HACC PYP services, because the NDIS is responsible for funding reasonable and necessary disability-related supports, including nursing and allied health services. A limited exception may apply where an NDIS participant has a separate health-related need that is not </w:t>
      </w:r>
      <w:r>
        <w:t>related to their disability,</w:t>
      </w:r>
      <w:r w:rsidRPr="00A34172">
        <w:t xml:space="preserve"> and falls within HACC PYP eligibility</w:t>
      </w:r>
    </w:p>
    <w:p w14:paraId="24A42BD6" w14:textId="77777777" w:rsidR="00C36663" w:rsidRDefault="00C36663" w:rsidP="00C36663">
      <w:pPr>
        <w:pStyle w:val="Body"/>
      </w:pPr>
      <w:r>
        <w:t>It is not the role of HACC PYP to supplement inadequate levels of NDIS supports in a participant’s NDIS plan; nor should HACC PYP be used as a waiting list management program for the NDIS (or any other program).</w:t>
      </w:r>
    </w:p>
    <w:p w14:paraId="493284E3" w14:textId="77777777" w:rsidR="00C36663" w:rsidRDefault="00C36663" w:rsidP="00C36663">
      <w:pPr>
        <w:pStyle w:val="Heading2"/>
      </w:pPr>
      <w:bookmarkStart w:id="25" w:name="_Toc232491435"/>
      <w:bookmarkStart w:id="26" w:name="_Toc233281392"/>
      <w:r>
        <w:t>4.2 Priority of access</w:t>
      </w:r>
      <w:bookmarkEnd w:id="25"/>
      <w:bookmarkEnd w:id="26"/>
    </w:p>
    <w:p w14:paraId="3220D1A1" w14:textId="77777777" w:rsidR="00C36663" w:rsidRPr="005C7316" w:rsidRDefault="00C36663" w:rsidP="00C36663">
      <w:pPr>
        <w:pStyle w:val="Body"/>
        <w:rPr>
          <w:lang w:eastAsia="en-AU"/>
        </w:rPr>
      </w:pPr>
      <w:r w:rsidRPr="005C7316">
        <w:rPr>
          <w:lang w:eastAsia="en-AU"/>
        </w:rPr>
        <w:t xml:space="preserve">All </w:t>
      </w:r>
      <w:r>
        <w:rPr>
          <w:lang w:eastAsia="en-AU"/>
        </w:rPr>
        <w:t>providers</w:t>
      </w:r>
      <w:r w:rsidRPr="005C7316">
        <w:rPr>
          <w:lang w:eastAsia="en-AU"/>
        </w:rPr>
        <w:t xml:space="preserve"> receive a fixed level of funding each financial year. As a result, eligibility for the program does not guarantee immediate </w:t>
      </w:r>
      <w:r>
        <w:rPr>
          <w:lang w:eastAsia="en-AU"/>
        </w:rPr>
        <w:t xml:space="preserve">or ongoing </w:t>
      </w:r>
      <w:r w:rsidRPr="005C7316">
        <w:rPr>
          <w:lang w:eastAsia="en-AU"/>
        </w:rPr>
        <w:t>access to services. Whe</w:t>
      </w:r>
      <w:r>
        <w:rPr>
          <w:lang w:eastAsia="en-AU"/>
        </w:rPr>
        <w:t>n</w:t>
      </w:r>
      <w:r w:rsidRPr="005C7316">
        <w:rPr>
          <w:lang w:eastAsia="en-AU"/>
        </w:rPr>
        <w:t xml:space="preserve"> demand exceeds available capacity, access is prioritised based on </w:t>
      </w:r>
      <w:r>
        <w:rPr>
          <w:lang w:eastAsia="en-AU"/>
        </w:rPr>
        <w:t xml:space="preserve">the </w:t>
      </w:r>
      <w:r w:rsidRPr="005C7316">
        <w:rPr>
          <w:lang w:eastAsia="en-AU"/>
        </w:rPr>
        <w:t>assessed need</w:t>
      </w:r>
      <w:r>
        <w:rPr>
          <w:lang w:eastAsia="en-AU"/>
        </w:rPr>
        <w:t>s of consumers,</w:t>
      </w:r>
      <w:r w:rsidRPr="005C7316">
        <w:rPr>
          <w:lang w:eastAsia="en-AU"/>
        </w:rPr>
        <w:t xml:space="preserve"> to </w:t>
      </w:r>
      <w:r>
        <w:rPr>
          <w:lang w:eastAsia="en-AU"/>
        </w:rPr>
        <w:t>support</w:t>
      </w:r>
      <w:r w:rsidRPr="005C7316">
        <w:rPr>
          <w:lang w:eastAsia="en-AU"/>
        </w:rPr>
        <w:t xml:space="preserve"> equitable allocation of services to those with the greatest need and capacity to benefit</w:t>
      </w:r>
      <w:r>
        <w:rPr>
          <w:lang w:eastAsia="en-AU"/>
        </w:rPr>
        <w:t xml:space="preserve"> from support</w:t>
      </w:r>
      <w:r w:rsidRPr="005C7316">
        <w:rPr>
          <w:lang w:eastAsia="en-AU"/>
        </w:rPr>
        <w:t>.</w:t>
      </w:r>
    </w:p>
    <w:p w14:paraId="3016ED2C" w14:textId="77777777" w:rsidR="00C36663" w:rsidRPr="005C7316" w:rsidRDefault="00C36663" w:rsidP="00C36663">
      <w:pPr>
        <w:pStyle w:val="Body"/>
        <w:rPr>
          <w:lang w:eastAsia="en-AU"/>
        </w:rPr>
      </w:pPr>
      <w:r>
        <w:rPr>
          <w:lang w:eastAsia="en-AU"/>
        </w:rPr>
        <w:t xml:space="preserve">To support equitable access during periods of high demand and </w:t>
      </w:r>
      <w:r w:rsidRPr="005C7316">
        <w:rPr>
          <w:lang w:eastAsia="en-AU"/>
        </w:rPr>
        <w:t xml:space="preserve">identify people who may require additional support to </w:t>
      </w:r>
      <w:r>
        <w:rPr>
          <w:lang w:eastAsia="en-AU"/>
        </w:rPr>
        <w:t>receive HACC PYP services, p</w:t>
      </w:r>
      <w:r w:rsidRPr="005C7316">
        <w:rPr>
          <w:lang w:eastAsia="en-AU"/>
        </w:rPr>
        <w:t>riority groups are recognised</w:t>
      </w:r>
      <w:r>
        <w:rPr>
          <w:lang w:eastAsia="en-AU"/>
        </w:rPr>
        <w:t xml:space="preserve">. Priority groups </w:t>
      </w:r>
      <w:r w:rsidRPr="005C7316">
        <w:rPr>
          <w:lang w:eastAsia="en-AU"/>
        </w:rPr>
        <w:t>include:</w:t>
      </w:r>
    </w:p>
    <w:p w14:paraId="7A958919" w14:textId="77777777" w:rsidR="00C36663" w:rsidRPr="00924015" w:rsidRDefault="00C36663" w:rsidP="00C36663">
      <w:pPr>
        <w:pStyle w:val="Bullet1"/>
      </w:pPr>
      <w:r w:rsidRPr="00924015">
        <w:t>Aboriginal people, including children and young people</w:t>
      </w:r>
    </w:p>
    <w:p w14:paraId="55B9754C" w14:textId="77777777" w:rsidR="00C36663" w:rsidRPr="00924015" w:rsidRDefault="00C36663" w:rsidP="00C36663">
      <w:pPr>
        <w:pStyle w:val="Bullet1"/>
      </w:pPr>
      <w:r w:rsidRPr="00924015">
        <w:t>Refugees and people seeking asylum</w:t>
      </w:r>
    </w:p>
    <w:p w14:paraId="46D5D022" w14:textId="77777777" w:rsidR="00C36663" w:rsidRPr="00924015" w:rsidRDefault="00C36663" w:rsidP="00C36663">
      <w:pPr>
        <w:pStyle w:val="Bullet1"/>
      </w:pPr>
      <w:r w:rsidRPr="00924015">
        <w:t>Children known to child protection</w:t>
      </w:r>
    </w:p>
    <w:p w14:paraId="139E74EE" w14:textId="77777777" w:rsidR="00C36663" w:rsidRPr="00924015" w:rsidRDefault="00C36663" w:rsidP="00C36663">
      <w:pPr>
        <w:pStyle w:val="Bullet1"/>
      </w:pPr>
      <w:r w:rsidRPr="00924015">
        <w:t>People with intersecting and complex needs</w:t>
      </w:r>
    </w:p>
    <w:p w14:paraId="40F89A5D" w14:textId="77777777" w:rsidR="00C36663" w:rsidRPr="00924015" w:rsidRDefault="00C36663" w:rsidP="00C36663">
      <w:pPr>
        <w:pStyle w:val="Bullet1"/>
      </w:pPr>
      <w:r w:rsidRPr="00924015">
        <w:t>People who hold a healthcare or pensioner concession card, or who are dependants of a concession card holder</w:t>
      </w:r>
    </w:p>
    <w:p w14:paraId="1C46BBB4" w14:textId="77777777" w:rsidR="00C36663" w:rsidRDefault="00C36663" w:rsidP="00C36663">
      <w:pPr>
        <w:pStyle w:val="Body"/>
        <w:rPr>
          <w:lang w:eastAsia="en-AU"/>
        </w:rPr>
      </w:pPr>
      <w:r w:rsidRPr="00C32DFF">
        <w:rPr>
          <w:lang w:eastAsia="en-AU"/>
        </w:rPr>
        <w:t>Inclusion in a priority group does not determine access on its own</w:t>
      </w:r>
      <w:r>
        <w:rPr>
          <w:lang w:eastAsia="en-AU"/>
        </w:rPr>
        <w:t xml:space="preserve">, but </w:t>
      </w:r>
      <w:r w:rsidRPr="00C32DFF">
        <w:rPr>
          <w:lang w:eastAsia="en-AU"/>
        </w:rPr>
        <w:t xml:space="preserve">is considered alongside the </w:t>
      </w:r>
      <w:r>
        <w:rPr>
          <w:lang w:eastAsia="en-AU"/>
        </w:rPr>
        <w:t>consumer</w:t>
      </w:r>
      <w:r w:rsidRPr="00C32DFF">
        <w:rPr>
          <w:lang w:eastAsia="en-AU"/>
        </w:rPr>
        <w:t>’s individual circumstances, level of need and local context.</w:t>
      </w:r>
    </w:p>
    <w:p w14:paraId="609B9AAA" w14:textId="77777777" w:rsidR="00C36663" w:rsidRPr="005C7316" w:rsidRDefault="00C36663" w:rsidP="00C36663">
      <w:pPr>
        <w:pStyle w:val="Body"/>
        <w:rPr>
          <w:lang w:eastAsia="en-AU"/>
        </w:rPr>
      </w:pPr>
      <w:r>
        <w:rPr>
          <w:lang w:eastAsia="en-AU"/>
        </w:rPr>
        <w:t>Providers</w:t>
      </w:r>
      <w:r w:rsidRPr="005C7316">
        <w:rPr>
          <w:lang w:eastAsia="en-AU"/>
        </w:rPr>
        <w:t xml:space="preserve"> determine priority by considering </w:t>
      </w:r>
      <w:r>
        <w:rPr>
          <w:lang w:eastAsia="en-AU"/>
        </w:rPr>
        <w:t>the consumer’s</w:t>
      </w:r>
      <w:r w:rsidRPr="005C7316">
        <w:rPr>
          <w:lang w:eastAsia="en-AU"/>
        </w:rPr>
        <w:t xml:space="preserve"> circumstances within their usual living environment, including the supports available to them </w:t>
      </w:r>
      <w:r>
        <w:rPr>
          <w:lang w:eastAsia="en-AU"/>
        </w:rPr>
        <w:t>through</w:t>
      </w:r>
      <w:r w:rsidRPr="005C7316">
        <w:rPr>
          <w:lang w:eastAsia="en-AU"/>
        </w:rPr>
        <w:t xml:space="preserve"> HACC PYP and other services. </w:t>
      </w:r>
      <w:r>
        <w:rPr>
          <w:lang w:eastAsia="en-AU"/>
        </w:rPr>
        <w:t>Decisions regarding access to services</w:t>
      </w:r>
      <w:r w:rsidRPr="005C7316">
        <w:rPr>
          <w:lang w:eastAsia="en-AU"/>
        </w:rPr>
        <w:t xml:space="preserve"> are made in comparison to the needs of other eligible </w:t>
      </w:r>
      <w:r>
        <w:rPr>
          <w:lang w:eastAsia="en-AU"/>
        </w:rPr>
        <w:t>consumers</w:t>
      </w:r>
      <w:r w:rsidRPr="005C7316">
        <w:rPr>
          <w:lang w:eastAsia="en-AU"/>
        </w:rPr>
        <w:t xml:space="preserve"> seeking support.</w:t>
      </w:r>
    </w:p>
    <w:p w14:paraId="4C896764" w14:textId="77777777" w:rsidR="00C36663" w:rsidRPr="005C7316" w:rsidRDefault="00C36663" w:rsidP="00C36663">
      <w:pPr>
        <w:pStyle w:val="Body"/>
        <w:rPr>
          <w:lang w:eastAsia="en-AU"/>
        </w:rPr>
      </w:pPr>
      <w:r>
        <w:rPr>
          <w:lang w:eastAsia="en-AU"/>
        </w:rPr>
        <w:t>When</w:t>
      </w:r>
      <w:r w:rsidRPr="005C7316">
        <w:rPr>
          <w:lang w:eastAsia="en-AU"/>
        </w:rPr>
        <w:t xml:space="preserve"> determining priority, </w:t>
      </w:r>
      <w:r>
        <w:rPr>
          <w:lang w:eastAsia="en-AU"/>
        </w:rPr>
        <w:t>providers</w:t>
      </w:r>
      <w:r w:rsidRPr="005C7316">
        <w:rPr>
          <w:lang w:eastAsia="en-AU"/>
        </w:rPr>
        <w:t xml:space="preserve"> consider:</w:t>
      </w:r>
    </w:p>
    <w:p w14:paraId="4E5035ED" w14:textId="77777777" w:rsidR="00C36663" w:rsidRPr="00924015" w:rsidRDefault="00C36663" w:rsidP="00C36663">
      <w:pPr>
        <w:pStyle w:val="Bullet1"/>
      </w:pPr>
      <w:r w:rsidRPr="00924015">
        <w:lastRenderedPageBreak/>
        <w:t>Whether HACC PYP is the most appropriate service for the consumer, or if another program would better meet their needs</w:t>
      </w:r>
    </w:p>
    <w:p w14:paraId="7631B3B0" w14:textId="77777777" w:rsidR="00C36663" w:rsidRPr="00924015" w:rsidRDefault="00C36663" w:rsidP="00C36663">
      <w:pPr>
        <w:pStyle w:val="Bullet1"/>
      </w:pPr>
      <w:r w:rsidRPr="00924015">
        <w:t>The level of risk to the consumer’s health, wellbeing or independence without support</w:t>
      </w:r>
    </w:p>
    <w:p w14:paraId="6BC76B09" w14:textId="77777777" w:rsidR="00C36663" w:rsidRPr="00924015" w:rsidRDefault="00C36663" w:rsidP="00C36663">
      <w:pPr>
        <w:pStyle w:val="Bullet1"/>
      </w:pPr>
      <w:r w:rsidRPr="00924015">
        <w:t>The extent to which services are likely to assist the consumer to achieve their goals and maintain quality of life</w:t>
      </w:r>
    </w:p>
    <w:p w14:paraId="5C621B19" w14:textId="77777777" w:rsidR="00C36663" w:rsidRPr="00924015" w:rsidRDefault="00C36663" w:rsidP="00C36663">
      <w:pPr>
        <w:pStyle w:val="Bullet1"/>
      </w:pPr>
      <w:r w:rsidRPr="00924015">
        <w:t>The impact of service provision on equitable access for other eligible consumers</w:t>
      </w:r>
    </w:p>
    <w:p w14:paraId="3AB67E66" w14:textId="77777777" w:rsidR="00C36663" w:rsidRPr="00924015" w:rsidRDefault="00C36663" w:rsidP="00C36663">
      <w:pPr>
        <w:pStyle w:val="Bullet1"/>
      </w:pPr>
      <w:r w:rsidRPr="00924015">
        <w:t>The potential for support to reduce the risk of hospital admission or entry into specialist residential services.</w:t>
      </w:r>
    </w:p>
    <w:p w14:paraId="061BF39D" w14:textId="77777777" w:rsidR="00C36663" w:rsidRPr="005C7316" w:rsidRDefault="00C36663" w:rsidP="00C36663">
      <w:pPr>
        <w:pStyle w:val="Body"/>
        <w:rPr>
          <w:lang w:eastAsia="en-AU"/>
        </w:rPr>
      </w:pPr>
      <w:r w:rsidRPr="005C7316">
        <w:rPr>
          <w:lang w:eastAsia="en-AU"/>
        </w:rPr>
        <w:t xml:space="preserve">Even </w:t>
      </w:r>
      <w:r>
        <w:rPr>
          <w:lang w:eastAsia="en-AU"/>
        </w:rPr>
        <w:t>in cases</w:t>
      </w:r>
      <w:r w:rsidRPr="005C7316">
        <w:rPr>
          <w:lang w:eastAsia="en-AU"/>
        </w:rPr>
        <w:t xml:space="preserve"> where eligibility has been established, service availability and a person’s relative level of need may mean that services are not provided immediately</w:t>
      </w:r>
      <w:r>
        <w:rPr>
          <w:lang w:eastAsia="en-AU"/>
        </w:rPr>
        <w:t xml:space="preserve"> or on an ongoing basis</w:t>
      </w:r>
      <w:r w:rsidRPr="005C7316">
        <w:rPr>
          <w:lang w:eastAsia="en-AU"/>
        </w:rPr>
        <w:t>.</w:t>
      </w:r>
    </w:p>
    <w:p w14:paraId="795D785E" w14:textId="77777777" w:rsidR="00C36663" w:rsidRPr="005C7316" w:rsidRDefault="00C36663" w:rsidP="00C36663">
      <w:pPr>
        <w:pStyle w:val="Body"/>
        <w:rPr>
          <w:lang w:eastAsia="en-AU"/>
        </w:rPr>
      </w:pPr>
      <w:r w:rsidRPr="005C7316">
        <w:rPr>
          <w:lang w:eastAsia="en-AU"/>
        </w:rPr>
        <w:t xml:space="preserve">Consistent with a capacity-building approach, </w:t>
      </w:r>
      <w:r>
        <w:rPr>
          <w:lang w:eastAsia="en-AU"/>
        </w:rPr>
        <w:t>providers</w:t>
      </w:r>
      <w:r w:rsidRPr="005C7316">
        <w:rPr>
          <w:lang w:eastAsia="en-AU"/>
        </w:rPr>
        <w:t xml:space="preserve"> regularly review and adjust service delivery. When managing demand, </w:t>
      </w:r>
      <w:r>
        <w:rPr>
          <w:lang w:eastAsia="en-AU"/>
        </w:rPr>
        <w:t>providers</w:t>
      </w:r>
      <w:r w:rsidRPr="005C7316">
        <w:rPr>
          <w:lang w:eastAsia="en-AU"/>
        </w:rPr>
        <w:t xml:space="preserve"> consider factors such as planned service duration, regular review points, short-term support options, and appropriate discharge strategies to ensure services continue to be directed to those with the greatest need as circumstances change.</w:t>
      </w:r>
    </w:p>
    <w:p w14:paraId="11DFA00B" w14:textId="77777777" w:rsidR="00C36663" w:rsidRPr="00714A81" w:rsidRDefault="00C36663" w:rsidP="00C36663">
      <w:pPr>
        <w:pStyle w:val="Body"/>
        <w:rPr>
          <w:b/>
          <w:bCs/>
        </w:rPr>
      </w:pPr>
      <w:r w:rsidRPr="00714A81">
        <w:rPr>
          <w:b/>
          <w:bCs/>
        </w:rPr>
        <w:t>Supporting resource</w:t>
      </w:r>
      <w:r>
        <w:rPr>
          <w:b/>
          <w:bCs/>
        </w:rPr>
        <w:t>s</w:t>
      </w:r>
    </w:p>
    <w:p w14:paraId="4B0B7D11" w14:textId="7CE7FA41" w:rsidR="00C36663" w:rsidRDefault="00C36663" w:rsidP="00C36663">
      <w:pPr>
        <w:pStyle w:val="Body"/>
        <w:rPr>
          <w:b/>
          <w:bCs/>
        </w:rPr>
      </w:pPr>
      <w:hyperlink r:id="rId22" w:history="1">
        <w:r w:rsidRPr="00B5376C">
          <w:rPr>
            <w:rStyle w:val="Hyperlink"/>
          </w:rPr>
          <w:t>Korin Korin Balit-Djak: Aboriginal health, wellbeing and safety strategic plan 2017–2027</w:t>
        </w:r>
      </w:hyperlink>
      <w:r w:rsidRPr="00C71D11">
        <w:t xml:space="preserve"> &lt;</w:t>
      </w:r>
      <w:r w:rsidR="00930A48" w:rsidRPr="00930A48">
        <w:t>https://www.dffh.vic.gov.au/publications/korin-korin-balit-djak</w:t>
      </w:r>
      <w:r w:rsidRPr="00C71D11">
        <w:t>&gt;</w:t>
      </w:r>
    </w:p>
    <w:p w14:paraId="12C9E26D" w14:textId="6E92482E" w:rsidR="00C36663" w:rsidRDefault="00C36663" w:rsidP="00C36663">
      <w:pPr>
        <w:pStyle w:val="Body"/>
      </w:pPr>
      <w:hyperlink r:id="rId23" w:history="1">
        <w:r w:rsidRPr="00B066A2">
          <w:rPr>
            <w:rStyle w:val="Hyperlink"/>
          </w:rPr>
          <w:t>Communities</w:t>
        </w:r>
      </w:hyperlink>
      <w:r w:rsidRPr="005F35F1">
        <w:t xml:space="preserve"> &lt;https://www.health.vic.gov.au/about/</w:t>
      </w:r>
      <w:r w:rsidR="003577CF">
        <w:t>communities</w:t>
      </w:r>
      <w:r w:rsidRPr="005F35F1">
        <w:t>&gt;</w:t>
      </w:r>
    </w:p>
    <w:p w14:paraId="66001CA1" w14:textId="5C4F74B2" w:rsidR="00C36663" w:rsidRDefault="00C36663" w:rsidP="00C36663">
      <w:pPr>
        <w:pStyle w:val="Body"/>
      </w:pPr>
      <w:hyperlink r:id="rId24" w:history="1">
        <w:r w:rsidRPr="00AF1BC9">
          <w:rPr>
            <w:rStyle w:val="Hyperlink"/>
          </w:rPr>
          <w:t>Designing for Diversity</w:t>
        </w:r>
      </w:hyperlink>
      <w:r>
        <w:t xml:space="preserve"> &lt;</w:t>
      </w:r>
      <w:r w:rsidRPr="00EB7DC8">
        <w:t>https://www.health.vic.gov.au/populations/designing-for-diversity</w:t>
      </w:r>
      <w:r>
        <w:t>&gt;</w:t>
      </w:r>
    </w:p>
    <w:p w14:paraId="2D572CB3" w14:textId="77777777" w:rsidR="00C36663" w:rsidRDefault="00C36663" w:rsidP="00C36663">
      <w:pPr>
        <w:pStyle w:val="Heading1"/>
      </w:pPr>
      <w:bookmarkStart w:id="27" w:name="_Toc232491436"/>
      <w:bookmarkStart w:id="28" w:name="_Toc233281393"/>
      <w:r>
        <w:t>5</w:t>
      </w:r>
      <w:r w:rsidRPr="00184A52">
        <w:t xml:space="preserve">. </w:t>
      </w:r>
      <w:r>
        <w:t>Service Model</w:t>
      </w:r>
      <w:bookmarkEnd w:id="27"/>
      <w:bookmarkEnd w:id="28"/>
    </w:p>
    <w:p w14:paraId="045A8B33" w14:textId="77777777" w:rsidR="00C36663" w:rsidRPr="004A11D6" w:rsidRDefault="00C36663" w:rsidP="00C36663">
      <w:pPr>
        <w:pStyle w:val="Body"/>
      </w:pPr>
      <w:r w:rsidRPr="00627C6D">
        <w:t xml:space="preserve">This section describes </w:t>
      </w:r>
      <w:r>
        <w:t xml:space="preserve">the department’s objectives and requirements for </w:t>
      </w:r>
      <w:r w:rsidRPr="00627C6D">
        <w:t>HACC PYP servic</w:t>
      </w:r>
      <w:r>
        <w:t>e delivery. The service model is intended to support consumers to:</w:t>
      </w:r>
    </w:p>
    <w:p w14:paraId="209AD189" w14:textId="77777777" w:rsidR="00C36663" w:rsidRPr="00924015" w:rsidRDefault="00C36663" w:rsidP="00C36663">
      <w:pPr>
        <w:pStyle w:val="Bullet1"/>
      </w:pPr>
      <w:r w:rsidRPr="00924015">
        <w:t>Live as independently as possible in their homes and communities</w:t>
      </w:r>
    </w:p>
    <w:p w14:paraId="6E653C79" w14:textId="77777777" w:rsidR="00C36663" w:rsidRPr="00924015" w:rsidRDefault="00C36663" w:rsidP="00C36663">
      <w:pPr>
        <w:pStyle w:val="Bullet1"/>
      </w:pPr>
      <w:r w:rsidRPr="00924015">
        <w:t xml:space="preserve">Improve their health, wellbeing and safety </w:t>
      </w:r>
    </w:p>
    <w:p w14:paraId="3CCDE7A4" w14:textId="77777777" w:rsidR="00C36663" w:rsidRPr="00924015" w:rsidRDefault="00C36663" w:rsidP="00C36663">
      <w:pPr>
        <w:pStyle w:val="Bullet1"/>
      </w:pPr>
      <w:r w:rsidRPr="00924015">
        <w:t>Engage and connect in their communities</w:t>
      </w:r>
    </w:p>
    <w:p w14:paraId="423C57D1" w14:textId="77777777" w:rsidR="00C36663" w:rsidRPr="00924015" w:rsidRDefault="00C36663" w:rsidP="00C36663">
      <w:pPr>
        <w:pStyle w:val="Bullet1"/>
      </w:pPr>
      <w:r w:rsidRPr="00924015">
        <w:t>Access other health, wellbeing and social services to meet</w:t>
      </w:r>
      <w:r w:rsidRPr="00924015" w:rsidDel="00E56FD6">
        <w:t xml:space="preserve"> their support needs</w:t>
      </w:r>
      <w:r w:rsidRPr="00924015">
        <w:t>.</w:t>
      </w:r>
    </w:p>
    <w:p w14:paraId="2001D394" w14:textId="77777777" w:rsidR="00C36663" w:rsidRPr="004A11D6" w:rsidRDefault="00C36663" w:rsidP="00C36663">
      <w:pPr>
        <w:pStyle w:val="Body"/>
      </w:pPr>
      <w:r>
        <w:t>By providing preventative supports, HACC PYP service delivery helps to</w:t>
      </w:r>
      <w:r w:rsidRPr="00A76654">
        <w:t xml:space="preserve"> </w:t>
      </w:r>
      <w:r>
        <w:t xml:space="preserve">reduce </w:t>
      </w:r>
      <w:r w:rsidRPr="00A76654">
        <w:t xml:space="preserve">the number of avoidable ambulance call outs, </w:t>
      </w:r>
      <w:r>
        <w:t>emergency department presentations,</w:t>
      </w:r>
      <w:r w:rsidRPr="00A76654">
        <w:t xml:space="preserve"> and </w:t>
      </w:r>
      <w:r>
        <w:t>hospital admissions.</w:t>
      </w:r>
    </w:p>
    <w:p w14:paraId="011EA8C4" w14:textId="77777777" w:rsidR="00C36663" w:rsidRPr="006C6F4E" w:rsidRDefault="00C36663" w:rsidP="00C36663">
      <w:pPr>
        <w:pStyle w:val="Heading2"/>
        <w:rPr>
          <w:lang w:val="en-US"/>
        </w:rPr>
      </w:pPr>
      <w:bookmarkStart w:id="29" w:name="_Toc232491437"/>
      <w:bookmarkStart w:id="30" w:name="_Toc233281394"/>
      <w:r>
        <w:rPr>
          <w:lang w:val="en-US"/>
        </w:rPr>
        <w:t xml:space="preserve">5.1 </w:t>
      </w:r>
      <w:r w:rsidRPr="006C6F4E">
        <w:rPr>
          <w:lang w:val="en-US"/>
        </w:rPr>
        <w:t>Networked service delivery</w:t>
      </w:r>
      <w:bookmarkEnd w:id="29"/>
      <w:bookmarkEnd w:id="30"/>
    </w:p>
    <w:p w14:paraId="103D0C12" w14:textId="77777777" w:rsidR="00C36663" w:rsidRDefault="00C36663" w:rsidP="00C36663">
      <w:pPr>
        <w:pStyle w:val="Body"/>
      </w:pPr>
      <w:r>
        <w:t>HACC PYP operates within a broader service environment, with linkages across Victoria’s community, education, transport, housing and healthcare systems (</w:t>
      </w:r>
      <w:r>
        <w:rPr>
          <w:b/>
          <w:bCs/>
        </w:rPr>
        <w:t>Figure 1</w:t>
      </w:r>
      <w:r>
        <w:t xml:space="preserve">), and supports coordinated responses that address both health and social needs. </w:t>
      </w:r>
    </w:p>
    <w:p w14:paraId="1104D01B" w14:textId="77777777" w:rsidR="00C36663" w:rsidRDefault="00C36663" w:rsidP="00C36663">
      <w:pPr>
        <w:pStyle w:val="Body"/>
        <w:rPr>
          <w:kern w:val="2"/>
          <w:szCs w:val="21"/>
          <w14:ligatures w14:val="standardContextual"/>
        </w:rPr>
      </w:pPr>
      <w:r w:rsidRPr="00A4529F">
        <w:t xml:space="preserve">HACC PYP operates as a networked system of providers within each local government area (LGA), with </w:t>
      </w:r>
      <w:r>
        <w:t>providers</w:t>
      </w:r>
      <w:r w:rsidRPr="00A4529F">
        <w:t xml:space="preserve"> using supported referral practices to connect consumers to the most appropriate HACC PYP and other</w:t>
      </w:r>
      <w:r>
        <w:t xml:space="preserve"> healthcare and community support</w:t>
      </w:r>
      <w:r w:rsidRPr="00A4529F">
        <w:t xml:space="preserve"> services</w:t>
      </w:r>
      <w:r>
        <w:t>.</w:t>
      </w:r>
    </w:p>
    <w:p w14:paraId="00B05851" w14:textId="77777777" w:rsidR="00C36663" w:rsidRDefault="00C36663" w:rsidP="00C36663">
      <w:pPr>
        <w:pStyle w:val="Tablecaption"/>
      </w:pPr>
      <w:r w:rsidRPr="00BC6F56">
        <w:lastRenderedPageBreak/>
        <w:t xml:space="preserve">Figure </w:t>
      </w:r>
      <w:fldSimple w:instr=" SEQ Figure \* ARABIC ">
        <w:r w:rsidRPr="00BC6F56">
          <w:t>1</w:t>
        </w:r>
      </w:fldSimple>
      <w:r>
        <w:t>:</w:t>
      </w:r>
      <w:r w:rsidRPr="00BC6F56">
        <w:t xml:space="preserve"> A model of care that provides </w:t>
      </w:r>
      <w:r>
        <w:t>consumer</w:t>
      </w:r>
      <w:r w:rsidRPr="00BC6F56">
        <w:t>s with well-connected, effective and efficient care</w:t>
      </w:r>
      <w:r>
        <w:t xml:space="preserve"> within the healthcare and community support service systems</w:t>
      </w:r>
      <w:r w:rsidRPr="00BC6F56">
        <w:t>.</w:t>
      </w:r>
      <w:r>
        <w:rPr>
          <w:noProof/>
        </w:rPr>
        <w:drawing>
          <wp:inline distT="0" distB="0" distL="0" distR="0" wp14:anchorId="3B1103E2" wp14:editId="7E894F45">
            <wp:extent cx="5438775" cy="3614671"/>
            <wp:effectExtent l="0" t="0" r="0" b="5080"/>
            <wp:docPr id="459291913" name="Picture 459291913" descr="Figure 1: A model of care that provides consumers with well-connected, effective and efficient care within the healthcare and community support servic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91913" name="Picture 459291913" descr="Figure 1: A model of care that provides consumers with well-connected, effective and efficient care within the healthcare and community support service systems."/>
                    <pic:cNvPicPr/>
                  </pic:nvPicPr>
                  <pic:blipFill>
                    <a:blip r:embed="rId25"/>
                    <a:stretch>
                      <a:fillRect/>
                    </a:stretch>
                  </pic:blipFill>
                  <pic:spPr>
                    <a:xfrm>
                      <a:off x="0" y="0"/>
                      <a:ext cx="5503310" cy="3657562"/>
                    </a:xfrm>
                    <a:prstGeom prst="rect">
                      <a:avLst/>
                    </a:prstGeom>
                  </pic:spPr>
                </pic:pic>
              </a:graphicData>
            </a:graphic>
          </wp:inline>
        </w:drawing>
      </w:r>
    </w:p>
    <w:p w14:paraId="0838D59D" w14:textId="77777777" w:rsidR="00C36663" w:rsidRDefault="00C36663" w:rsidP="00C36663">
      <w:pPr>
        <w:pStyle w:val="Body"/>
      </w:pPr>
    </w:p>
    <w:p w14:paraId="07678A05" w14:textId="77777777" w:rsidR="00C36663" w:rsidRDefault="00C36663" w:rsidP="00C36663">
      <w:pPr>
        <w:pStyle w:val="Heading2"/>
      </w:pPr>
      <w:bookmarkStart w:id="31" w:name="_Toc232491438"/>
      <w:bookmarkStart w:id="32" w:name="_Toc233281395"/>
      <w:r>
        <w:t>5.2 Person-centred care</w:t>
      </w:r>
      <w:bookmarkEnd w:id="31"/>
      <w:bookmarkEnd w:id="32"/>
    </w:p>
    <w:p w14:paraId="2A269BF6" w14:textId="77777777" w:rsidR="00C36663" w:rsidRDefault="00C36663" w:rsidP="00C36663">
      <w:pPr>
        <w:pStyle w:val="Body"/>
      </w:pPr>
      <w:r w:rsidRPr="004A06EF">
        <w:t>At the centre of the HACC PYP service model is the person</w:t>
      </w:r>
      <w:r>
        <w:t xml:space="preserve"> and</w:t>
      </w:r>
      <w:r w:rsidRPr="004A06EF">
        <w:t xml:space="preserve"> their goals, preferences</w:t>
      </w:r>
      <w:r>
        <w:t>,</w:t>
      </w:r>
      <w:r w:rsidRPr="004A06EF">
        <w:t xml:space="preserve"> and </w:t>
      </w:r>
      <w:r>
        <w:t>individual</w:t>
      </w:r>
      <w:r w:rsidRPr="004A06EF">
        <w:t xml:space="preserve"> circumstances. Supports are planned and delivered in partnership with the </w:t>
      </w:r>
      <w:r>
        <w:t>consumer</w:t>
      </w:r>
      <w:r w:rsidRPr="004A06EF">
        <w:t xml:space="preserve"> and, where appropriate, their </w:t>
      </w:r>
      <w:r>
        <w:t xml:space="preserve">family, </w:t>
      </w:r>
      <w:r w:rsidRPr="004A06EF">
        <w:t>carers or supporters.</w:t>
      </w:r>
      <w:r>
        <w:t xml:space="preserve"> The focus of service delivery </w:t>
      </w:r>
      <w:r w:rsidRPr="004A06EF">
        <w:t>is on building capacity, maintaining or strengthening independence</w:t>
      </w:r>
      <w:r>
        <w:t>,</w:t>
      </w:r>
      <w:r w:rsidRPr="004A06EF">
        <w:t xml:space="preserve"> and enabling participation in home and community life</w:t>
      </w:r>
      <w:r>
        <w:t>.</w:t>
      </w:r>
    </w:p>
    <w:p w14:paraId="263A0469" w14:textId="77777777" w:rsidR="00C36663" w:rsidRPr="00EB395E" w:rsidRDefault="00C36663" w:rsidP="00C36663">
      <w:pPr>
        <w:pStyle w:val="Body"/>
        <w:rPr>
          <w:b/>
          <w:bCs/>
        </w:rPr>
      </w:pPr>
      <w:r w:rsidRPr="00EB395E">
        <w:rPr>
          <w:b/>
          <w:bCs/>
        </w:rPr>
        <w:t>Supporting resource:</w:t>
      </w:r>
    </w:p>
    <w:p w14:paraId="1AC7F408" w14:textId="77777777" w:rsidR="00C36663" w:rsidRDefault="00C36663" w:rsidP="00C36663">
      <w:pPr>
        <w:pStyle w:val="Body"/>
      </w:pPr>
      <w:hyperlink r:id="rId26" w:history="1">
        <w:r w:rsidRPr="00EB395E">
          <w:rPr>
            <w:rStyle w:val="Hyperlink"/>
          </w:rPr>
          <w:t>Person-centred care | Australian Commission on Safety and Quality in Health Care</w:t>
        </w:r>
      </w:hyperlink>
      <w:r>
        <w:t xml:space="preserve"> </w:t>
      </w:r>
      <w:r w:rsidRPr="00EB395E">
        <w:t>&lt;https://www.safetyandquality.gov.au/clinical-topics/person-centred-care&gt;</w:t>
      </w:r>
    </w:p>
    <w:p w14:paraId="03E9A01D" w14:textId="77777777" w:rsidR="00C36663" w:rsidRDefault="00C36663" w:rsidP="00C36663">
      <w:pPr>
        <w:pStyle w:val="Heading2"/>
      </w:pPr>
      <w:bookmarkStart w:id="33" w:name="_Toc232491439"/>
      <w:bookmarkStart w:id="34" w:name="_Toc233281396"/>
      <w:r>
        <w:t>5.3 Access and assessment</w:t>
      </w:r>
      <w:bookmarkEnd w:id="33"/>
      <w:bookmarkEnd w:id="34"/>
    </w:p>
    <w:p w14:paraId="34B03DC5" w14:textId="77777777" w:rsidR="00C36663" w:rsidRPr="00306229" w:rsidRDefault="00C36663" w:rsidP="00C36663">
      <w:pPr>
        <w:pStyle w:val="Body"/>
        <w:rPr>
          <w:rStyle w:val="DHHSbodyChar"/>
        </w:rPr>
      </w:pPr>
      <w:r w:rsidRPr="00306229">
        <w:rPr>
          <w:rStyle w:val="DHHSbodyChar"/>
        </w:rPr>
        <w:t xml:space="preserve">Eligible consumers may enter HACC PYP through a range of pathways, including via a HACC PYP assessment provider or through direct referral to a provider of a specific HACC PYP service, when the specific service required (such as nursing, allied health or community care) has already been identified. </w:t>
      </w:r>
    </w:p>
    <w:p w14:paraId="683E821C" w14:textId="77777777" w:rsidR="00C36663" w:rsidRPr="00306229" w:rsidRDefault="00C36663" w:rsidP="00C36663">
      <w:pPr>
        <w:pStyle w:val="Body"/>
        <w:rPr>
          <w:rStyle w:val="DHHSbodyChar"/>
        </w:rPr>
      </w:pPr>
      <w:r w:rsidRPr="00306229">
        <w:rPr>
          <w:rStyle w:val="DHHSbodyChar"/>
        </w:rPr>
        <w:t xml:space="preserve">Regardless of the entry point, services are delivered based on a shared understanding between the provider(s) and the consumer of their needs, strengths, goals and priorities, and are coordinated to deliver the most appropriate response. HACC PYP assessment providers play a central role by </w:t>
      </w:r>
      <w:r w:rsidRPr="00306229">
        <w:t xml:space="preserve">working with consumers and, where appropriate, their supporters and carers </w:t>
      </w:r>
      <w:r w:rsidRPr="00306229">
        <w:rPr>
          <w:rStyle w:val="DHHSbodyChar"/>
        </w:rPr>
        <w:t xml:space="preserve">to understand their needs and goals and connect them to suitable services. </w:t>
      </w:r>
    </w:p>
    <w:p w14:paraId="41125A51" w14:textId="77777777" w:rsidR="00C36663" w:rsidRDefault="00C36663" w:rsidP="00C36663">
      <w:pPr>
        <w:pStyle w:val="Body"/>
      </w:pPr>
      <w:r w:rsidRPr="007B085F">
        <w:rPr>
          <w:rStyle w:val="BodyChar"/>
        </w:rPr>
        <w:t>Following assessment, consumers may be connected to:</w:t>
      </w:r>
    </w:p>
    <w:p w14:paraId="781FAFB6" w14:textId="77777777" w:rsidR="00C36663" w:rsidRPr="00306229" w:rsidRDefault="00C36663" w:rsidP="00C36663">
      <w:pPr>
        <w:pStyle w:val="Bullet1"/>
      </w:pPr>
      <w:r w:rsidRPr="00306229">
        <w:lastRenderedPageBreak/>
        <w:t>HACC PYP services delivered by the assessment provider (where applicable)</w:t>
      </w:r>
    </w:p>
    <w:p w14:paraId="72A4D499" w14:textId="77777777" w:rsidR="00C36663" w:rsidRPr="00306229" w:rsidRDefault="00C36663" w:rsidP="00C36663">
      <w:pPr>
        <w:pStyle w:val="Bullet1"/>
      </w:pPr>
      <w:r w:rsidRPr="00306229">
        <w:t>HACC PYP services delivered by other providers within the consumer’s LGA</w:t>
      </w:r>
    </w:p>
    <w:p w14:paraId="387CD89C" w14:textId="77777777" w:rsidR="00C36663" w:rsidRPr="00924015" w:rsidRDefault="00C36663" w:rsidP="00C36663">
      <w:pPr>
        <w:pStyle w:val="Bullet1"/>
      </w:pPr>
      <w:r w:rsidRPr="00306229">
        <w:t>Services outside of HACC PYP to support broader needs, such as housing, financial assistance or food security services</w:t>
      </w:r>
      <w:r w:rsidRPr="00924015">
        <w:t>.</w:t>
      </w:r>
    </w:p>
    <w:p w14:paraId="288EA939" w14:textId="77777777" w:rsidR="00C36663" w:rsidRPr="000E7A1B" w:rsidRDefault="00C36663" w:rsidP="00C36663">
      <w:pPr>
        <w:pStyle w:val="Body"/>
      </w:pPr>
      <w:r w:rsidRPr="000E7A1B">
        <w:t xml:space="preserve">Where a consumer </w:t>
      </w:r>
      <w:r>
        <w:t>first accesses</w:t>
      </w:r>
      <w:r w:rsidRPr="000E7A1B">
        <w:t xml:space="preserve"> HACC PYP through a specific provider and may benefit from additional or coordinated supports, the provider may refer the consumer to the local HACC PYP assessment provider</w:t>
      </w:r>
      <w:r>
        <w:t xml:space="preserve">. If </w:t>
      </w:r>
      <w:r w:rsidRPr="000E7A1B">
        <w:t xml:space="preserve">further assessment is not required, </w:t>
      </w:r>
      <w:r>
        <w:t xml:space="preserve">the provider may </w:t>
      </w:r>
      <w:r w:rsidRPr="000E7A1B">
        <w:t xml:space="preserve">connect the consumer directly to other relevant HACC PYP services in their </w:t>
      </w:r>
      <w:r>
        <w:t>LGA</w:t>
      </w:r>
      <w:r w:rsidRPr="000E7A1B">
        <w:t xml:space="preserve"> using supported referral practices</w:t>
      </w:r>
      <w:r>
        <w:t>.</w:t>
      </w:r>
    </w:p>
    <w:p w14:paraId="03FEAD4D" w14:textId="77777777" w:rsidR="00C36663" w:rsidRPr="00072F37" w:rsidRDefault="00C36663" w:rsidP="00C36663">
      <w:pPr>
        <w:pStyle w:val="Heading2"/>
      </w:pPr>
      <w:bookmarkStart w:id="35" w:name="_Toc232491440"/>
      <w:bookmarkStart w:id="36" w:name="_Toc233281397"/>
      <w:r>
        <w:t xml:space="preserve">5.4 </w:t>
      </w:r>
      <w:r w:rsidRPr="00072F37">
        <w:t>Review, changing needs</w:t>
      </w:r>
      <w:r>
        <w:t>,</w:t>
      </w:r>
      <w:r w:rsidRPr="00072F37">
        <w:t xml:space="preserve"> and discharge planning</w:t>
      </w:r>
      <w:bookmarkEnd w:id="35"/>
      <w:bookmarkEnd w:id="36"/>
    </w:p>
    <w:p w14:paraId="5C4B2249" w14:textId="77777777" w:rsidR="00C36663" w:rsidRDefault="00C36663" w:rsidP="00C36663">
      <w:pPr>
        <w:pStyle w:val="Body"/>
      </w:pPr>
      <w:r w:rsidRPr="00C12898">
        <w:t xml:space="preserve">HACC PYP supports consumers to achieve their goals and build </w:t>
      </w:r>
      <w:r>
        <w:t xml:space="preserve">their </w:t>
      </w:r>
      <w:r w:rsidRPr="00C12898">
        <w:t>capacity for independen</w:t>
      </w:r>
      <w:r>
        <w:t>t living</w:t>
      </w:r>
      <w:r w:rsidRPr="00C12898">
        <w:t xml:space="preserve">. From </w:t>
      </w:r>
      <w:r>
        <w:t>first contact</w:t>
      </w:r>
      <w:r w:rsidRPr="00C12898">
        <w:t xml:space="preserve">, service delivery </w:t>
      </w:r>
      <w:r>
        <w:t>is</w:t>
      </w:r>
      <w:r w:rsidRPr="00C12898">
        <w:t xml:space="preserve"> planned with the expectation that a consumer’s support needs will change over time</w:t>
      </w:r>
      <w:r>
        <w:t>.</w:t>
      </w:r>
    </w:p>
    <w:p w14:paraId="496F3704" w14:textId="77777777" w:rsidR="00C36663" w:rsidRPr="00C12898" w:rsidRDefault="00C36663" w:rsidP="00C36663">
      <w:pPr>
        <w:pStyle w:val="Body"/>
      </w:pPr>
      <w:r>
        <w:t>Providers</w:t>
      </w:r>
      <w:r w:rsidRPr="00C12898">
        <w:t xml:space="preserve"> review </w:t>
      </w:r>
      <w:r>
        <w:t xml:space="preserve">each consumer’s </w:t>
      </w:r>
      <w:r w:rsidRPr="00C12898">
        <w:t>supports at regular intervals</w:t>
      </w:r>
      <w:r>
        <w:t xml:space="preserve"> of at least</w:t>
      </w:r>
      <w:r w:rsidRPr="00C12898">
        <w:t xml:space="preserve"> every 6</w:t>
      </w:r>
      <w:r>
        <w:t xml:space="preserve"> to </w:t>
      </w:r>
      <w:r w:rsidRPr="00C12898">
        <w:t>12 months</w:t>
      </w:r>
      <w:r>
        <w:t xml:space="preserve">. </w:t>
      </w:r>
      <w:r w:rsidRPr="008B175F">
        <w:rPr>
          <w:lang w:val="en-US"/>
        </w:rPr>
        <w:t xml:space="preserve">Where a consumer’s health or living circumstances change, </w:t>
      </w:r>
      <w:r>
        <w:rPr>
          <w:lang w:val="en-US"/>
        </w:rPr>
        <w:t>providers</w:t>
      </w:r>
      <w:r w:rsidRPr="008B175F">
        <w:rPr>
          <w:lang w:val="en-US"/>
        </w:rPr>
        <w:t xml:space="preserve"> maintain a capacity-building approach and ensure services continue to align with assessed need and capacity to benefit</w:t>
      </w:r>
      <w:r w:rsidRPr="00C12898">
        <w:t>. During periods of high demand, services may need to be adjusted, reduced or delivered differently to support equitable access for those with the greatest need.</w:t>
      </w:r>
    </w:p>
    <w:p w14:paraId="4A9E6EE4" w14:textId="77777777" w:rsidR="00C36663" w:rsidRDefault="00C36663" w:rsidP="00C36663">
      <w:pPr>
        <w:pStyle w:val="Body"/>
        <w:rPr>
          <w:kern w:val="2"/>
          <w:szCs w:val="21"/>
          <w14:ligatures w14:val="standardContextual"/>
        </w:rPr>
      </w:pPr>
      <w:r>
        <w:t>Discharge planning occurs throughout service delivery and in response to changes in goals, needs and eligibility, and includes recognising when support is no longer required or is better met through other services. Providers support discharge in a planned, timely and structured way, through identifying alternative supports, undertaking risk informed decision making, and coordinating referrals, information sharing and communication with receiving services to promote continuity of care.</w:t>
      </w:r>
    </w:p>
    <w:p w14:paraId="41D0FE35" w14:textId="77777777" w:rsidR="00C36663" w:rsidRPr="00FB4339" w:rsidRDefault="00C36663" w:rsidP="00C36663">
      <w:pPr>
        <w:pStyle w:val="Heading1"/>
      </w:pPr>
      <w:bookmarkStart w:id="37" w:name="_Toc232491441"/>
      <w:bookmarkStart w:id="38" w:name="_Toc233281398"/>
      <w:r>
        <w:t>6</w:t>
      </w:r>
      <w:r>
        <w:rPr>
          <w:shd w:val="clear" w:color="auto" w:fill="FFFFFF"/>
        </w:rPr>
        <w:t>. Service streams</w:t>
      </w:r>
      <w:bookmarkEnd w:id="37"/>
      <w:bookmarkEnd w:id="38"/>
    </w:p>
    <w:p w14:paraId="09B51E95" w14:textId="77777777" w:rsidR="00C36663" w:rsidRDefault="00C36663" w:rsidP="00C36663">
      <w:pPr>
        <w:pStyle w:val="Body"/>
        <w:rPr>
          <w:lang w:eastAsia="en-AU"/>
        </w:rPr>
      </w:pPr>
      <w:r>
        <w:t xml:space="preserve">HACC PYP service streams provide a structured framework for organising service delivery, funding and reporting, </w:t>
      </w:r>
      <w:r>
        <w:rPr>
          <w:lang w:eastAsia="en-AU"/>
        </w:rPr>
        <w:t>and support</w:t>
      </w:r>
      <w:r>
        <w:t xml:space="preserve"> consistent commissioning</w:t>
      </w:r>
      <w:r>
        <w:rPr>
          <w:lang w:eastAsia="en-AU"/>
        </w:rPr>
        <w:t>,</w:t>
      </w:r>
      <w:r>
        <w:t xml:space="preserve"> system management</w:t>
      </w:r>
      <w:r>
        <w:rPr>
          <w:lang w:eastAsia="en-AU"/>
        </w:rPr>
        <w:t>, and service planning and delivery</w:t>
      </w:r>
      <w:r w:rsidRPr="00E624D5">
        <w:rPr>
          <w:lang w:eastAsia="en-AU"/>
        </w:rPr>
        <w:t xml:space="preserve">. </w:t>
      </w:r>
      <w:r>
        <w:rPr>
          <w:lang w:eastAsia="en-AU"/>
        </w:rPr>
        <w:t xml:space="preserve">Every service stream is funded in every LGA across Victoria. </w:t>
      </w:r>
    </w:p>
    <w:p w14:paraId="0463001E" w14:textId="77777777" w:rsidR="00C36663" w:rsidRDefault="00C36663" w:rsidP="00C36663">
      <w:pPr>
        <w:pStyle w:val="Body"/>
        <w:rPr>
          <w:lang w:val="en-US" w:eastAsia="en-AU"/>
        </w:rPr>
      </w:pPr>
      <w:r>
        <w:rPr>
          <w:lang w:val="en-US" w:eastAsia="en-AU"/>
        </w:rPr>
        <w:t>While in some LGAs, an individual provider may be funded to deliver most, or all, service streams, in many LGAs, the full complement of service streams is delivered by a range of providers, with each provider delivering activities within one service stream. In all cases, providers coordinate and refer consumers to service streams delivered by other providers in their LGA, to support consumers to access an appropriate mix of supports based on their identified needs and goals.</w:t>
      </w:r>
    </w:p>
    <w:p w14:paraId="65082509" w14:textId="77777777" w:rsidR="00C36663" w:rsidRDefault="00C36663" w:rsidP="00C36663">
      <w:pPr>
        <w:pStyle w:val="Body"/>
        <w:rPr>
          <w:kern w:val="2"/>
          <w:szCs w:val="21"/>
          <w14:ligatures w14:val="standardContextual"/>
        </w:rPr>
      </w:pPr>
      <w:r>
        <w:t>Service streams also support flexible service planning, enabling providers to adjust the activities delivered within each service stream (i.e., their service mix) in response to demand, consumer needs and broader system reforms during renegotiation windows.</w:t>
      </w:r>
    </w:p>
    <w:p w14:paraId="7E718A65" w14:textId="6714A2A8" w:rsidR="00C36663" w:rsidRDefault="00C36663" w:rsidP="00C36663">
      <w:pPr>
        <w:pStyle w:val="Tablecaption"/>
      </w:pPr>
      <w:r>
        <w:lastRenderedPageBreak/>
        <w:t>Table 1: HACC PYP service streams</w:t>
      </w:r>
    </w:p>
    <w:tbl>
      <w:tblPr>
        <w:tblStyle w:val="TableGrid"/>
        <w:tblW w:w="9298" w:type="dxa"/>
        <w:tblLook w:val="06A0" w:firstRow="1" w:lastRow="0" w:firstColumn="1" w:lastColumn="0" w:noHBand="1" w:noVBand="1"/>
      </w:tblPr>
      <w:tblGrid>
        <w:gridCol w:w="4649"/>
        <w:gridCol w:w="4649"/>
      </w:tblGrid>
      <w:tr w:rsidR="00C36663" w14:paraId="2DEC19C8" w14:textId="77777777" w:rsidTr="00C36663">
        <w:trPr>
          <w:tblHeader/>
        </w:trPr>
        <w:tc>
          <w:tcPr>
            <w:tcW w:w="4649" w:type="dxa"/>
          </w:tcPr>
          <w:p w14:paraId="64D74F3B" w14:textId="0FB98C1B" w:rsidR="00C36663" w:rsidRPr="00CB3285" w:rsidRDefault="00C36663" w:rsidP="00C36663">
            <w:pPr>
              <w:pStyle w:val="Tablecolhead"/>
              <w:keepNext/>
              <w:keepLines/>
            </w:pPr>
            <w:r>
              <w:t>Service stream</w:t>
            </w:r>
          </w:p>
        </w:tc>
        <w:tc>
          <w:tcPr>
            <w:tcW w:w="4649" w:type="dxa"/>
          </w:tcPr>
          <w:p w14:paraId="33078518" w14:textId="61D16FD1" w:rsidR="00C36663" w:rsidRDefault="00C36663" w:rsidP="00C36663">
            <w:pPr>
              <w:pStyle w:val="Tablecolhead"/>
              <w:keepNext/>
              <w:keepLines/>
            </w:pPr>
            <w:r>
              <w:t>Core HACC PYP services</w:t>
            </w:r>
          </w:p>
        </w:tc>
      </w:tr>
      <w:tr w:rsidR="00C36663" w14:paraId="282E7AAE" w14:textId="77777777" w:rsidTr="00C36663">
        <w:tc>
          <w:tcPr>
            <w:tcW w:w="4649" w:type="dxa"/>
          </w:tcPr>
          <w:p w14:paraId="5561AAD4" w14:textId="0E0071D2" w:rsidR="00C36663" w:rsidRDefault="00C36663" w:rsidP="00C36663">
            <w:pPr>
              <w:pStyle w:val="Tabletext"/>
              <w:keepNext/>
              <w:keepLines/>
            </w:pPr>
            <w:r>
              <w:rPr>
                <w:lang w:eastAsia="en-AU"/>
              </w:rPr>
              <w:t>Assessment and access supports</w:t>
            </w:r>
          </w:p>
        </w:tc>
        <w:tc>
          <w:tcPr>
            <w:tcW w:w="4649" w:type="dxa"/>
          </w:tcPr>
          <w:p w14:paraId="7B58A1C5" w14:textId="26EE8438" w:rsidR="00C36663" w:rsidRDefault="00C36663" w:rsidP="00C36663">
            <w:pPr>
              <w:pStyle w:val="Tablebullet1"/>
              <w:keepNext/>
              <w:keepLines/>
            </w:pPr>
            <w:r>
              <w:t>Assessment and Care Management</w:t>
            </w:r>
          </w:p>
          <w:p w14:paraId="74D4734C" w14:textId="77777777" w:rsidR="00C36663" w:rsidRDefault="00C36663" w:rsidP="00C36663">
            <w:pPr>
              <w:pStyle w:val="Tablebullet1"/>
              <w:keepNext/>
              <w:keepLines/>
            </w:pPr>
            <w:r>
              <w:t>Access and Support</w:t>
            </w:r>
          </w:p>
          <w:p w14:paraId="174EDD78" w14:textId="20B8540D" w:rsidR="00C36663" w:rsidRDefault="00C36663" w:rsidP="00C36663">
            <w:pPr>
              <w:pStyle w:val="Tablebullet1"/>
              <w:keepNext/>
              <w:keepLines/>
            </w:pPr>
            <w:r>
              <w:t>Linkages Case Management</w:t>
            </w:r>
          </w:p>
        </w:tc>
      </w:tr>
      <w:tr w:rsidR="00C36663" w14:paraId="404DE3AF" w14:textId="77777777" w:rsidTr="00C36663">
        <w:tc>
          <w:tcPr>
            <w:tcW w:w="4649" w:type="dxa"/>
          </w:tcPr>
          <w:p w14:paraId="4790802E" w14:textId="072498A7" w:rsidR="00C36663" w:rsidRDefault="00C36663" w:rsidP="00C36663">
            <w:pPr>
              <w:pStyle w:val="Tabletext"/>
              <w:keepNext/>
              <w:keepLines/>
              <w:rPr>
                <w:lang w:eastAsia="en-AU"/>
              </w:rPr>
            </w:pPr>
            <w:r>
              <w:rPr>
                <w:lang w:eastAsia="en-AU"/>
              </w:rPr>
              <w:t>Health supports</w:t>
            </w:r>
          </w:p>
        </w:tc>
        <w:tc>
          <w:tcPr>
            <w:tcW w:w="4649" w:type="dxa"/>
          </w:tcPr>
          <w:p w14:paraId="19AF01DC" w14:textId="77777777" w:rsidR="00C36663" w:rsidRDefault="00C36663" w:rsidP="00C36663">
            <w:pPr>
              <w:pStyle w:val="Tablebullet1"/>
              <w:keepNext/>
              <w:keepLines/>
            </w:pPr>
            <w:r>
              <w:t>Clinical Nursing</w:t>
            </w:r>
          </w:p>
          <w:p w14:paraId="0D924AD7" w14:textId="3EC350A2" w:rsidR="00C36663" w:rsidRPr="00E13C3C" w:rsidRDefault="00C36663" w:rsidP="00C36663">
            <w:pPr>
              <w:pStyle w:val="Tablebullet1"/>
              <w:keepNext/>
              <w:keepLines/>
            </w:pPr>
            <w:r>
              <w:t>Allied Health</w:t>
            </w:r>
          </w:p>
        </w:tc>
      </w:tr>
      <w:tr w:rsidR="00C36663" w14:paraId="09C7995D" w14:textId="77777777" w:rsidTr="00C36663">
        <w:tc>
          <w:tcPr>
            <w:tcW w:w="4649" w:type="dxa"/>
          </w:tcPr>
          <w:p w14:paraId="06084633" w14:textId="495349F2" w:rsidR="00C36663" w:rsidRDefault="00C36663" w:rsidP="00C36663">
            <w:pPr>
              <w:pStyle w:val="Tabletext"/>
              <w:keepNext/>
              <w:keepLines/>
              <w:rPr>
                <w:lang w:eastAsia="en-AU"/>
              </w:rPr>
            </w:pPr>
            <w:r>
              <w:rPr>
                <w:lang w:eastAsia="en-AU"/>
              </w:rPr>
              <w:t>Personal and in-home supports</w:t>
            </w:r>
          </w:p>
        </w:tc>
        <w:tc>
          <w:tcPr>
            <w:tcW w:w="4649" w:type="dxa"/>
          </w:tcPr>
          <w:p w14:paraId="1EECA6AB" w14:textId="77777777" w:rsidR="00C36663" w:rsidRDefault="00C36663" w:rsidP="00C36663">
            <w:pPr>
              <w:pStyle w:val="Tablebullet1"/>
              <w:keepNext/>
              <w:keepLines/>
            </w:pPr>
            <w:r>
              <w:t>Community Care</w:t>
            </w:r>
          </w:p>
          <w:p w14:paraId="1E9438E3" w14:textId="77777777" w:rsidR="00C36663" w:rsidRDefault="00C36663" w:rsidP="00C36663">
            <w:pPr>
              <w:pStyle w:val="Tablebullet1"/>
              <w:keepNext/>
              <w:keepLines/>
            </w:pPr>
            <w:r>
              <w:t>Nutritional Support</w:t>
            </w:r>
          </w:p>
          <w:p w14:paraId="0679CD5A" w14:textId="70DDDC6D" w:rsidR="00C36663" w:rsidRPr="00E13C3C" w:rsidRDefault="00C36663" w:rsidP="00C36663">
            <w:pPr>
              <w:pStyle w:val="Tablebullet1"/>
              <w:keepNext/>
              <w:keepLines/>
            </w:pPr>
            <w:r>
              <w:t>Property Maintenance</w:t>
            </w:r>
          </w:p>
        </w:tc>
      </w:tr>
      <w:tr w:rsidR="00C36663" w14:paraId="5B87ECF3" w14:textId="77777777" w:rsidTr="00C36663">
        <w:tc>
          <w:tcPr>
            <w:tcW w:w="4649" w:type="dxa"/>
          </w:tcPr>
          <w:p w14:paraId="56549CC3" w14:textId="089A1B3E" w:rsidR="00C36663" w:rsidRDefault="00C36663" w:rsidP="00C36663">
            <w:pPr>
              <w:pStyle w:val="Tabletext"/>
              <w:keepNext/>
              <w:keepLines/>
              <w:rPr>
                <w:lang w:eastAsia="en-AU"/>
              </w:rPr>
            </w:pPr>
            <w:r>
              <w:rPr>
                <w:lang w:eastAsia="en-AU"/>
              </w:rPr>
              <w:t>Social and community engagement</w:t>
            </w:r>
          </w:p>
        </w:tc>
        <w:tc>
          <w:tcPr>
            <w:tcW w:w="4649" w:type="dxa"/>
          </w:tcPr>
          <w:p w14:paraId="39FA55E4" w14:textId="77777777" w:rsidR="00C36663" w:rsidRDefault="00C36663" w:rsidP="00C36663">
            <w:pPr>
              <w:pStyle w:val="Tablebullet1"/>
              <w:keepNext/>
              <w:keepLines/>
            </w:pPr>
            <w:r>
              <w:t>Planned Activity Group</w:t>
            </w:r>
          </w:p>
          <w:p w14:paraId="66871DB0" w14:textId="77777777" w:rsidR="00C36663" w:rsidRDefault="00C36663" w:rsidP="00C36663">
            <w:pPr>
              <w:pStyle w:val="Tablebullet1"/>
              <w:keepNext/>
              <w:keepLines/>
            </w:pPr>
            <w:r>
              <w:t>Volunteer Coordination</w:t>
            </w:r>
          </w:p>
          <w:p w14:paraId="070EBD7C" w14:textId="0822CA93" w:rsidR="00C36663" w:rsidRPr="00E13C3C" w:rsidRDefault="00C36663" w:rsidP="00C36663">
            <w:pPr>
              <w:pStyle w:val="Tablebullet1"/>
              <w:keepNext/>
              <w:keepLines/>
            </w:pPr>
            <w:r>
              <w:t>Social Support</w:t>
            </w:r>
          </w:p>
        </w:tc>
      </w:tr>
    </w:tbl>
    <w:p w14:paraId="4CF339D4" w14:textId="77777777" w:rsidR="00C36663" w:rsidRDefault="00C36663" w:rsidP="00C36663">
      <w:pPr>
        <w:pStyle w:val="Heading2"/>
        <w:rPr>
          <w:lang w:eastAsia="en-AU"/>
        </w:rPr>
      </w:pPr>
      <w:bookmarkStart w:id="39" w:name="_Toc232491442"/>
      <w:bookmarkStart w:id="40" w:name="_Toc233281399"/>
      <w:r>
        <w:rPr>
          <w:lang w:eastAsia="en-AU"/>
        </w:rPr>
        <w:t>6.1 Assessment and access supports</w:t>
      </w:r>
      <w:bookmarkEnd w:id="39"/>
      <w:bookmarkEnd w:id="40"/>
      <w:r>
        <w:rPr>
          <w:lang w:eastAsia="en-AU"/>
        </w:rPr>
        <w:t xml:space="preserve"> </w:t>
      </w:r>
    </w:p>
    <w:p w14:paraId="29FE6A43" w14:textId="77777777" w:rsidR="00C36663" w:rsidRPr="00A040C0" w:rsidRDefault="00C36663" w:rsidP="00C36663">
      <w:pPr>
        <w:pStyle w:val="Body"/>
      </w:pPr>
      <w:r w:rsidRPr="00A040C0">
        <w:t xml:space="preserve">Assessment and access support providers assess each </w:t>
      </w:r>
      <w:r>
        <w:t>person</w:t>
      </w:r>
      <w:r w:rsidRPr="00A040C0">
        <w:t>’s needs</w:t>
      </w:r>
      <w:r>
        <w:t xml:space="preserve"> and the services they may require</w:t>
      </w:r>
      <w:r w:rsidRPr="00A040C0">
        <w:t xml:space="preserve"> </w:t>
      </w:r>
      <w:r>
        <w:t>for safe and independent living in</w:t>
      </w:r>
      <w:r w:rsidRPr="00A040C0">
        <w:t xml:space="preserve"> the home and community</w:t>
      </w:r>
      <w:r>
        <w:t xml:space="preserve">; these providers then connect eligible consumers </w:t>
      </w:r>
      <w:r w:rsidRPr="00A040C0">
        <w:t>to HACC PYP and other services.</w:t>
      </w:r>
    </w:p>
    <w:p w14:paraId="203F4390" w14:textId="77777777" w:rsidR="00C36663" w:rsidRPr="000F1BB4" w:rsidRDefault="00C36663" w:rsidP="00C36663">
      <w:pPr>
        <w:pStyle w:val="Heading3"/>
      </w:pPr>
      <w:r>
        <w:t xml:space="preserve">6.1.1 </w:t>
      </w:r>
      <w:r w:rsidRPr="000F1BB4">
        <w:t>Assessment</w:t>
      </w:r>
      <w:r>
        <w:t xml:space="preserve"> and Care Management </w:t>
      </w:r>
    </w:p>
    <w:p w14:paraId="360FC022" w14:textId="77777777" w:rsidR="00C36663" w:rsidRPr="004403DF" w:rsidRDefault="00C36663" w:rsidP="00C36663">
      <w:pPr>
        <w:pStyle w:val="Body"/>
        <w:rPr>
          <w:rFonts w:cs="Arial"/>
        </w:rPr>
      </w:pPr>
      <w:r w:rsidRPr="004403DF">
        <w:rPr>
          <w:rFonts w:cs="Arial"/>
        </w:rPr>
        <w:t>Assessment and Care Management providers assess a person’s needs and support care planning and coordination to enable them to live safely and independently in the home.</w:t>
      </w:r>
    </w:p>
    <w:p w14:paraId="154AA382" w14:textId="77777777" w:rsidR="00C36663" w:rsidRPr="004403DF" w:rsidRDefault="00C36663" w:rsidP="00C36663">
      <w:pPr>
        <w:pStyle w:val="Body"/>
        <w:rPr>
          <w:rFonts w:cs="Arial"/>
        </w:rPr>
      </w:pPr>
      <w:r w:rsidRPr="004403DF">
        <w:rPr>
          <w:rFonts w:cs="Arial"/>
        </w:rPr>
        <w:t>Assessment and Care Management providers deliver:</w:t>
      </w:r>
    </w:p>
    <w:p w14:paraId="6B6F6CD1" w14:textId="77777777" w:rsidR="00C36663" w:rsidRPr="00924015" w:rsidRDefault="00C36663" w:rsidP="00C36663">
      <w:pPr>
        <w:pStyle w:val="Bullet1"/>
      </w:pPr>
      <w:r w:rsidRPr="00924015">
        <w:t>Assessment of a person’s needs, goals, capabilities and support networks to live safely and independently in the home and community, and consider how HACC PYP and other services can support identified needs and goals</w:t>
      </w:r>
    </w:p>
    <w:p w14:paraId="2CAE8FC7" w14:textId="77777777" w:rsidR="00C36663" w:rsidRPr="00924015" w:rsidRDefault="00C36663" w:rsidP="00C36663">
      <w:pPr>
        <w:pStyle w:val="Bullet1"/>
      </w:pPr>
      <w:r w:rsidRPr="00924015">
        <w:t>Regular review (6-12 months) of HACC PYP supports where a consumer’s needs, goals or circumstances change, or where a consumer requests a change in services</w:t>
      </w:r>
    </w:p>
    <w:p w14:paraId="3FCE96E4" w14:textId="77777777" w:rsidR="00C36663" w:rsidRPr="00924015" w:rsidRDefault="00C36663" w:rsidP="00C36663">
      <w:pPr>
        <w:pStyle w:val="Bullet1"/>
      </w:pPr>
      <w:r w:rsidRPr="00924015">
        <w:t>Care planning to align a consumer’s support needs and goals with appropriate HACC PYP or other community services (see Appendix B)</w:t>
      </w:r>
    </w:p>
    <w:p w14:paraId="737F7B3F" w14:textId="77777777" w:rsidR="00C36663" w:rsidRPr="00924015" w:rsidRDefault="00C36663" w:rsidP="00C36663">
      <w:pPr>
        <w:pStyle w:val="Bullet1"/>
      </w:pPr>
      <w:r w:rsidRPr="00924015">
        <w:t>Care coordination to support access to required services</w:t>
      </w:r>
    </w:p>
    <w:p w14:paraId="7CA81898" w14:textId="77777777" w:rsidR="00C36663" w:rsidRPr="00924015" w:rsidRDefault="00C36663" w:rsidP="00C36663">
      <w:pPr>
        <w:pStyle w:val="Bullet1"/>
      </w:pPr>
      <w:r w:rsidRPr="00924015">
        <w:t>Support to access other funded services, where appropriate, as a consumer becomes eligible (see Appendix B).</w:t>
      </w:r>
    </w:p>
    <w:p w14:paraId="57C47109" w14:textId="77777777" w:rsidR="00C36663" w:rsidRPr="001F15F1" w:rsidRDefault="00C36663" w:rsidP="00C36663">
      <w:pPr>
        <w:pStyle w:val="Body"/>
        <w:spacing w:before="120"/>
        <w:rPr>
          <w:rFonts w:cs="Arial"/>
        </w:rPr>
      </w:pPr>
      <w:r w:rsidRPr="001F15F1">
        <w:rPr>
          <w:rFonts w:cs="Arial"/>
          <w:b/>
          <w:bCs/>
        </w:rPr>
        <w:t>Workforce and capability requirements:</w:t>
      </w:r>
      <w:r w:rsidRPr="001F15F1">
        <w:rPr>
          <w:rFonts w:cs="Arial"/>
        </w:rPr>
        <w:br/>
      </w:r>
      <w:r w:rsidRPr="00581D69">
        <w:rPr>
          <w:rFonts w:cs="Arial"/>
        </w:rPr>
        <w:t>Assessment and Care Management must be delivered by staff with appropriate qualifications, skills and experience to undertake holistic assessment and care</w:t>
      </w:r>
      <w:r>
        <w:rPr>
          <w:rFonts w:cs="Arial"/>
        </w:rPr>
        <w:t xml:space="preserve"> planning and</w:t>
      </w:r>
      <w:r w:rsidRPr="00581D69">
        <w:rPr>
          <w:rFonts w:cs="Arial"/>
        </w:rPr>
        <w:t xml:space="preserve"> coordination. Providers must ensure staff are appropriately supervised and supported to exercise professional judgement and manage risk.</w:t>
      </w:r>
    </w:p>
    <w:p w14:paraId="26313CD0" w14:textId="77777777" w:rsidR="00C36663" w:rsidRDefault="00C36663" w:rsidP="00C36663">
      <w:pPr>
        <w:pStyle w:val="Heading3"/>
        <w:rPr>
          <w:shd w:val="clear" w:color="auto" w:fill="FFFFFF"/>
        </w:rPr>
      </w:pPr>
      <w:r>
        <w:rPr>
          <w:shd w:val="clear" w:color="auto" w:fill="FFFFFF"/>
        </w:rPr>
        <w:lastRenderedPageBreak/>
        <w:t xml:space="preserve">6.1.2 Access and Support </w:t>
      </w:r>
    </w:p>
    <w:p w14:paraId="49F6C989" w14:textId="77777777" w:rsidR="00C36663" w:rsidRPr="00BD78B2" w:rsidRDefault="00C36663" w:rsidP="00C36663">
      <w:pPr>
        <w:pStyle w:val="Body"/>
      </w:pPr>
      <w:r w:rsidRPr="00BD78B2">
        <w:t>Access and Support providers assist people with complex needs from priority populations to access HACC PYP services, with a focus on care planning and coordination.</w:t>
      </w:r>
    </w:p>
    <w:p w14:paraId="1B9E5BAC" w14:textId="77777777" w:rsidR="00C36663" w:rsidRPr="004A4CEF" w:rsidRDefault="00C36663" w:rsidP="00C36663">
      <w:pPr>
        <w:pStyle w:val="Body"/>
      </w:pPr>
      <w:r>
        <w:t>Access and Support providers may deliver one or more of the following</w:t>
      </w:r>
      <w:r w:rsidRPr="004A4CEF">
        <w:t>:</w:t>
      </w:r>
    </w:p>
    <w:p w14:paraId="252F933A" w14:textId="77777777" w:rsidR="00C36663" w:rsidRPr="00924015" w:rsidRDefault="00C36663" w:rsidP="00C36663">
      <w:pPr>
        <w:pStyle w:val="Bullet1"/>
      </w:pPr>
      <w:r w:rsidRPr="00924015">
        <w:t>Provision of information on HACC PYP and other available services to individuals or groups from priority populations</w:t>
      </w:r>
    </w:p>
    <w:p w14:paraId="2D2FE553" w14:textId="77777777" w:rsidR="00C36663" w:rsidRPr="00924015" w:rsidRDefault="00C36663" w:rsidP="00C36663">
      <w:pPr>
        <w:pStyle w:val="Bullet1"/>
      </w:pPr>
      <w:r w:rsidRPr="00924015">
        <w:t>Support, including active outreach, for people who may be eligible for HACC PYP from priority populations who face barriers to accessing HACC PYP services, to build confidence and capacity to access services</w:t>
      </w:r>
    </w:p>
    <w:p w14:paraId="217D5F0C" w14:textId="77777777" w:rsidR="00C36663" w:rsidRPr="00924015" w:rsidRDefault="00C36663" w:rsidP="00C36663">
      <w:pPr>
        <w:pStyle w:val="Bullet1"/>
      </w:pPr>
      <w:r w:rsidRPr="00924015">
        <w:t>Collaboration with other providers to improve service accessibility for consumers from priority populations.</w:t>
      </w:r>
    </w:p>
    <w:p w14:paraId="61B4042F" w14:textId="77777777" w:rsidR="00C36663" w:rsidRPr="001F15F1" w:rsidRDefault="00C36663" w:rsidP="00C36663">
      <w:pPr>
        <w:pStyle w:val="Body"/>
        <w:spacing w:before="120"/>
      </w:pPr>
      <w:r w:rsidRPr="001F15F1">
        <w:rPr>
          <w:b/>
          <w:bCs/>
        </w:rPr>
        <w:t>Workforce and capability requirements:</w:t>
      </w:r>
      <w:r w:rsidRPr="001F15F1">
        <w:br/>
      </w:r>
      <w:r w:rsidRPr="0005029C">
        <w:t xml:space="preserve">Access and Support roles are delivered by staff with skills in engagement, care </w:t>
      </w:r>
      <w:r>
        <w:t>management</w:t>
      </w:r>
      <w:r w:rsidRPr="0005029C">
        <w:t xml:space="preserve"> and system navigation. Staff delivering outreach must demonstrate capability in engaging safely with people experiencing access barriers, including social isolation, communication challenges or unstable living arrangements, with appropriate supervision and safety processes in place.</w:t>
      </w:r>
    </w:p>
    <w:p w14:paraId="52115B16" w14:textId="77777777" w:rsidR="00C36663" w:rsidRDefault="00C36663" w:rsidP="00C36663">
      <w:pPr>
        <w:pStyle w:val="Heading3"/>
      </w:pPr>
      <w:r>
        <w:t xml:space="preserve">6.1.3 </w:t>
      </w:r>
      <w:r w:rsidRPr="00891CC6">
        <w:t>Linkages</w:t>
      </w:r>
      <w:r>
        <w:t xml:space="preserve"> Case Management</w:t>
      </w:r>
    </w:p>
    <w:p w14:paraId="7EE036ED" w14:textId="77777777" w:rsidR="00C36663" w:rsidRPr="007A6C3A" w:rsidRDefault="00C36663" w:rsidP="00C36663">
      <w:pPr>
        <w:pStyle w:val="Body"/>
      </w:pPr>
      <w:r w:rsidRPr="007A6C3A">
        <w:t xml:space="preserve">Linkages Case Management supports HACC PYP </w:t>
      </w:r>
      <w:r>
        <w:t>consumers</w:t>
      </w:r>
      <w:r w:rsidRPr="007A6C3A">
        <w:t xml:space="preserve"> with complex care needs to live safely and independently in the community through tailored, coordinated </w:t>
      </w:r>
      <w:r>
        <w:t>case management</w:t>
      </w:r>
      <w:r w:rsidRPr="007A6C3A">
        <w:t>.</w:t>
      </w:r>
    </w:p>
    <w:p w14:paraId="7AA81D6D" w14:textId="77777777" w:rsidR="00C36663" w:rsidRPr="007A6C3A" w:rsidRDefault="00C36663" w:rsidP="00C36663">
      <w:pPr>
        <w:pStyle w:val="Body"/>
      </w:pPr>
      <w:r w:rsidRPr="007A6C3A">
        <w:t>Case management is the core function of Linkages, incorporating holistic assessment, collaborative goal</w:t>
      </w:r>
      <w:r w:rsidRPr="007A6C3A">
        <w:noBreakHyphen/>
        <w:t xml:space="preserve">directed care planning, and coordination across services and systems. Supports are regularly reviewed to </w:t>
      </w:r>
      <w:r>
        <w:t>respond</w:t>
      </w:r>
      <w:r w:rsidRPr="007A6C3A">
        <w:t xml:space="preserve"> to changing needs and to build </w:t>
      </w:r>
      <w:r>
        <w:t>the consumer’s capacity for i</w:t>
      </w:r>
      <w:r w:rsidRPr="007A6C3A">
        <w:t xml:space="preserve">ndependence and </w:t>
      </w:r>
      <w:r>
        <w:t>in their home and community.</w:t>
      </w:r>
    </w:p>
    <w:p w14:paraId="1E7DDE34" w14:textId="77777777" w:rsidR="00C36663" w:rsidRDefault="00C36663" w:rsidP="00C36663">
      <w:pPr>
        <w:pStyle w:val="Body"/>
      </w:pPr>
      <w:r w:rsidRPr="007A6C3A">
        <w:t>Where a person’s needs extend beyond what is typically available through core HACC PYP services, Linkages providers may</w:t>
      </w:r>
      <w:r>
        <w:t xml:space="preserve"> have</w:t>
      </w:r>
      <w:r w:rsidRPr="007A6C3A">
        <w:t xml:space="preserve"> access </w:t>
      </w:r>
      <w:r>
        <w:t xml:space="preserve">to </w:t>
      </w:r>
      <w:r w:rsidRPr="007A6C3A">
        <w:t>limited brokerage funding to supplement supports. Brokerage is used to support agreed care goals and address identified gaps where needs cannot be met through existing service</w:t>
      </w:r>
      <w:r>
        <w:t xml:space="preserve"> systems</w:t>
      </w:r>
      <w:r w:rsidRPr="007A6C3A">
        <w:t>. It is not intended to replace case management or duplicate supports available through HACC PYP or other programs.</w:t>
      </w:r>
    </w:p>
    <w:p w14:paraId="5DC23141" w14:textId="77777777" w:rsidR="00C36663" w:rsidRDefault="00C36663" w:rsidP="00C36663">
      <w:pPr>
        <w:pStyle w:val="Body"/>
      </w:pPr>
      <w:r>
        <w:t>Additional guidance for Linkages Case Management is available for download on the HACC PYP website.</w:t>
      </w:r>
    </w:p>
    <w:p w14:paraId="7DE86593" w14:textId="77777777" w:rsidR="00C36663" w:rsidRDefault="00C36663" w:rsidP="00C36663">
      <w:pPr>
        <w:pStyle w:val="Body"/>
      </w:pPr>
      <w:r w:rsidRPr="003D6718">
        <w:rPr>
          <w:b/>
          <w:bCs/>
        </w:rPr>
        <w:t>Workforce and capability requirements:</w:t>
      </w:r>
      <w:r w:rsidRPr="003D6718">
        <w:br/>
      </w:r>
      <w:r w:rsidRPr="0061277B">
        <w:t xml:space="preserve">Linkages Case Management must be delivered by suitably qualified and experienced staff with capability in complex care coordination and cross-sector collaboration. </w:t>
      </w:r>
      <w:r>
        <w:t>Providers</w:t>
      </w:r>
      <w:r w:rsidRPr="0061277B">
        <w:t xml:space="preserve"> must ensure staff are appropriately supported and that supports are regularly reviewed to build independence and capacity over time.</w:t>
      </w:r>
    </w:p>
    <w:p w14:paraId="578DA5DF" w14:textId="77777777" w:rsidR="00C36663" w:rsidRPr="00253FCA" w:rsidRDefault="00C36663" w:rsidP="00C36663">
      <w:pPr>
        <w:pStyle w:val="Body"/>
        <w:rPr>
          <w:b/>
          <w:bCs/>
        </w:rPr>
      </w:pPr>
      <w:r>
        <w:rPr>
          <w:b/>
          <w:bCs/>
        </w:rPr>
        <w:t>Supporting resource</w:t>
      </w:r>
    </w:p>
    <w:p w14:paraId="70214462" w14:textId="73B18969" w:rsidR="00C36663" w:rsidRDefault="00C36663" w:rsidP="00C36663">
      <w:pPr>
        <w:pStyle w:val="Body"/>
      </w:pPr>
      <w:hyperlink r:id="rId27" w:history="1">
        <w:r w:rsidRPr="000F656B">
          <w:rPr>
            <w:rStyle w:val="Hyperlink"/>
          </w:rPr>
          <w:t>Home and Community Care Program for Younger People | health.vic.gov.au</w:t>
        </w:r>
      </w:hyperlink>
      <w:r w:rsidRPr="000F656B">
        <w:t xml:space="preserve"> </w:t>
      </w:r>
      <w:r>
        <w:t>&lt;</w:t>
      </w:r>
      <w:r w:rsidRPr="000F656B">
        <w:t>https://www.health.vic.gov.au/home-and-community-care/hacc-program-for-younger-people&gt;</w:t>
      </w:r>
    </w:p>
    <w:p w14:paraId="0ECD50FA" w14:textId="77777777" w:rsidR="00BB247B" w:rsidRPr="00891CC6" w:rsidRDefault="00BB247B" w:rsidP="00C36663">
      <w:pPr>
        <w:pStyle w:val="Body"/>
      </w:pPr>
    </w:p>
    <w:p w14:paraId="474964C7" w14:textId="77777777" w:rsidR="00C36663" w:rsidRDefault="00C36663" w:rsidP="00C36663">
      <w:pPr>
        <w:pStyle w:val="Heading2"/>
        <w:rPr>
          <w:shd w:val="clear" w:color="auto" w:fill="FFFFFF"/>
        </w:rPr>
      </w:pPr>
      <w:bookmarkStart w:id="41" w:name="_Toc232491443"/>
      <w:bookmarkStart w:id="42" w:name="_Toc233281400"/>
      <w:r>
        <w:rPr>
          <w:shd w:val="clear" w:color="auto" w:fill="FFFFFF"/>
        </w:rPr>
        <w:lastRenderedPageBreak/>
        <w:t>6.2 Health Supports</w:t>
      </w:r>
      <w:bookmarkEnd w:id="41"/>
      <w:bookmarkEnd w:id="42"/>
    </w:p>
    <w:p w14:paraId="65AC05D3" w14:textId="77777777" w:rsidR="00C36663" w:rsidRDefault="00C36663" w:rsidP="00C36663">
      <w:pPr>
        <w:pStyle w:val="Body"/>
      </w:pPr>
      <w:r>
        <w:t>HACC PYP H</w:t>
      </w:r>
      <w:r w:rsidRPr="003E1CE8">
        <w:t xml:space="preserve">ealth </w:t>
      </w:r>
      <w:r>
        <w:t>S</w:t>
      </w:r>
      <w:r w:rsidRPr="003E1CE8">
        <w:t xml:space="preserve">upports </w:t>
      </w:r>
      <w:r w:rsidRPr="004B6B8E">
        <w:t>are time-limited or episodic interventions that help consumers build their capacity to manage their health, functional needs and daily living.</w:t>
      </w:r>
      <w:r>
        <w:t xml:space="preserve"> </w:t>
      </w:r>
      <w:r w:rsidRPr="00A2659A">
        <w:t xml:space="preserve">Health Supports are </w:t>
      </w:r>
      <w:r w:rsidRPr="001A5906">
        <w:t>delivered through the flexible provision of clinical nursing and allied health services, primarily face</w:t>
      </w:r>
      <w:r w:rsidRPr="001A5906">
        <w:noBreakHyphen/>
        <w:t>to</w:t>
      </w:r>
      <w:r w:rsidRPr="001A5906">
        <w:noBreakHyphen/>
        <w:t>face in the home</w:t>
      </w:r>
      <w:r>
        <w:t xml:space="preserve"> or community. </w:t>
      </w:r>
      <w:r>
        <w:rPr>
          <w:rFonts w:cs="Arial"/>
          <w:szCs w:val="21"/>
        </w:rPr>
        <w:t>Health may also be delivered in clinical settings where essential equipment is required and cannot be transported to the consumer’s home, or for allied health group therapy</w:t>
      </w:r>
      <w:r w:rsidRPr="009F0B68">
        <w:rPr>
          <w:rFonts w:cs="Arial"/>
          <w:szCs w:val="21"/>
        </w:rPr>
        <w:t>.</w:t>
      </w:r>
    </w:p>
    <w:p w14:paraId="13686033" w14:textId="77777777" w:rsidR="00C36663" w:rsidRPr="001A5906" w:rsidRDefault="00C36663" w:rsidP="00C36663">
      <w:pPr>
        <w:pStyle w:val="Body"/>
      </w:pPr>
      <w:r>
        <w:t>Delivery of Health Supports must align with the funded scope of each service provider, as follows:</w:t>
      </w:r>
    </w:p>
    <w:p w14:paraId="263F3143" w14:textId="77777777" w:rsidR="00C36663" w:rsidRPr="001A749B" w:rsidRDefault="00C36663" w:rsidP="00C36663">
      <w:pPr>
        <w:pStyle w:val="Bullet1"/>
      </w:pPr>
      <w:r w:rsidRPr="001A749B">
        <w:t>Providers funded to deliver HACC PYP allied health may deliver any of the six HACC PYP allied health disciplines (counselling, dietetics, occupational therapy, physiotherapy, podiatry, and speech pathology) to meet the needs of their community.</w:t>
      </w:r>
    </w:p>
    <w:p w14:paraId="61519BAC" w14:textId="77777777" w:rsidR="00C36663" w:rsidRPr="001A749B" w:rsidRDefault="00C36663" w:rsidP="00C36663">
      <w:pPr>
        <w:pStyle w:val="Bullet1"/>
      </w:pPr>
      <w:r w:rsidRPr="001A749B">
        <w:t>Providers funded to deliver allied health and nursing may deliver both allied health and nursing.</w:t>
      </w:r>
    </w:p>
    <w:p w14:paraId="12CE0881" w14:textId="77777777" w:rsidR="00C36663" w:rsidRPr="001A749B" w:rsidRDefault="00C36663" w:rsidP="00C36663">
      <w:pPr>
        <w:pStyle w:val="Bullet1"/>
      </w:pPr>
      <w:r w:rsidRPr="001A749B">
        <w:t xml:space="preserve">Providers funded to deliver allied health </w:t>
      </w:r>
      <w:r>
        <w:t>only</w:t>
      </w:r>
      <w:r w:rsidRPr="001A749B">
        <w:t xml:space="preserve"> must deliver allied health</w:t>
      </w:r>
      <w:r>
        <w:t xml:space="preserve"> only</w:t>
      </w:r>
      <w:r w:rsidRPr="001A749B">
        <w:t>; they must not deliver nursing and should refer consumers requiring clinical nursing to the local nursing provider.</w:t>
      </w:r>
    </w:p>
    <w:p w14:paraId="0528E960" w14:textId="77777777" w:rsidR="00C36663" w:rsidRPr="001A749B" w:rsidRDefault="00C36663" w:rsidP="00C36663">
      <w:pPr>
        <w:pStyle w:val="Bullet1"/>
      </w:pPr>
      <w:r w:rsidRPr="001A749B">
        <w:t>Providers funded to deliver nursing</w:t>
      </w:r>
      <w:r>
        <w:t xml:space="preserve"> only</w:t>
      </w:r>
      <w:r w:rsidRPr="001A749B">
        <w:t xml:space="preserve"> must deliver nursing</w:t>
      </w:r>
      <w:r>
        <w:t xml:space="preserve"> only</w:t>
      </w:r>
      <w:r w:rsidRPr="001A749B">
        <w:t>; they must not deliver allied health and should refer consumers requiring allied health to the local allied health provider.</w:t>
      </w:r>
    </w:p>
    <w:p w14:paraId="0D8DB74F" w14:textId="77777777" w:rsidR="00C36663" w:rsidRPr="00217A5D" w:rsidRDefault="00C36663" w:rsidP="00C36663">
      <w:pPr>
        <w:pStyle w:val="Body"/>
        <w:spacing w:before="120"/>
        <w:rPr>
          <w:b/>
          <w:bCs/>
        </w:rPr>
      </w:pPr>
      <w:bookmarkStart w:id="43" w:name="_Toc225253151"/>
      <w:r w:rsidRPr="00217A5D">
        <w:rPr>
          <w:b/>
          <w:bCs/>
        </w:rPr>
        <w:t>Clinical governance</w:t>
      </w:r>
      <w:bookmarkEnd w:id="43"/>
    </w:p>
    <w:p w14:paraId="10BE045B" w14:textId="77777777" w:rsidR="00C36663" w:rsidRPr="00816FDA" w:rsidRDefault="00C36663" w:rsidP="00C36663">
      <w:pPr>
        <w:rPr>
          <w:rFonts w:eastAsia="MS Mincho"/>
        </w:rPr>
      </w:pPr>
      <w:r w:rsidRPr="00816FDA">
        <w:rPr>
          <w:rFonts w:eastAsia="MS Mincho"/>
        </w:rPr>
        <w:t xml:space="preserve">Clinical governance is defined by the Australian Commission on Quality and Safety in Health Care as </w:t>
      </w:r>
      <w:r>
        <w:rPr>
          <w:rFonts w:eastAsia="MS Mincho"/>
        </w:rPr>
        <w:t>‘</w:t>
      </w:r>
      <w:r w:rsidRPr="00816FDA">
        <w:rPr>
          <w:rFonts w:eastAsia="MS Mincho"/>
        </w:rPr>
        <w:t>the set of relationships and responsibilities established by a health service organisation to ensure good clinical outcomes</w:t>
      </w:r>
      <w:r>
        <w:rPr>
          <w:rFonts w:eastAsia="MS Mincho"/>
        </w:rPr>
        <w:t>’</w:t>
      </w:r>
      <w:r w:rsidRPr="00816FDA">
        <w:rPr>
          <w:rFonts w:eastAsia="MS Mincho"/>
        </w:rPr>
        <w:t>.</w:t>
      </w:r>
    </w:p>
    <w:p w14:paraId="64B9C271" w14:textId="77777777" w:rsidR="00C36663" w:rsidRPr="00816FDA" w:rsidRDefault="00C36663" w:rsidP="00C36663">
      <w:pPr>
        <w:rPr>
          <w:rFonts w:eastAsia="MS Mincho"/>
        </w:rPr>
      </w:pPr>
      <w:r w:rsidRPr="00816FDA">
        <w:rPr>
          <w:rFonts w:eastAsia="MS Mincho"/>
        </w:rPr>
        <w:t xml:space="preserve">For </w:t>
      </w:r>
      <w:r>
        <w:rPr>
          <w:rFonts w:eastAsia="MS Mincho"/>
        </w:rPr>
        <w:t>providers</w:t>
      </w:r>
      <w:r w:rsidRPr="00816FDA">
        <w:rPr>
          <w:rFonts w:eastAsia="MS Mincho"/>
        </w:rPr>
        <w:t>, clinical governance arrangements are required that reflect the</w:t>
      </w:r>
      <w:r>
        <w:rPr>
          <w:rFonts w:eastAsia="MS Mincho"/>
        </w:rPr>
        <w:t xml:space="preserve"> HACC PYP service delivery model; that is, services delivered primarily in the home. </w:t>
      </w:r>
      <w:r w:rsidRPr="00816FDA">
        <w:rPr>
          <w:rFonts w:eastAsia="MS Mincho"/>
        </w:rPr>
        <w:t xml:space="preserve">In developing clinical governance arrangements, </w:t>
      </w:r>
      <w:r>
        <w:rPr>
          <w:rFonts w:eastAsia="MS Mincho"/>
        </w:rPr>
        <w:t>providers</w:t>
      </w:r>
      <w:r w:rsidRPr="00816FDA">
        <w:rPr>
          <w:rFonts w:eastAsia="MS Mincho"/>
        </w:rPr>
        <w:t xml:space="preserve"> </w:t>
      </w:r>
      <w:r>
        <w:rPr>
          <w:rFonts w:eastAsia="MS Mincho"/>
        </w:rPr>
        <w:t>must have governance aligned to</w:t>
      </w:r>
      <w:r w:rsidRPr="00816FDA">
        <w:rPr>
          <w:rFonts w:eastAsia="MS Mincho"/>
        </w:rPr>
        <w:t xml:space="preserve"> relevant state and national frameworks, such as:</w:t>
      </w:r>
    </w:p>
    <w:p w14:paraId="45654969" w14:textId="77777777" w:rsidR="00C36663" w:rsidRPr="00FC63C0" w:rsidRDefault="00C36663" w:rsidP="00C36663">
      <w:pPr>
        <w:pStyle w:val="Bullet1"/>
      </w:pPr>
      <w:r w:rsidRPr="00FC63C0">
        <w:t>Delivering high-quality healthcare, Victorian clinical governance framework</w:t>
      </w:r>
    </w:p>
    <w:p w14:paraId="59BE0B3F" w14:textId="77777777" w:rsidR="00C36663" w:rsidRPr="00FC63C0" w:rsidRDefault="00C36663" w:rsidP="00C36663">
      <w:pPr>
        <w:pStyle w:val="Bullet1"/>
      </w:pPr>
      <w:r w:rsidRPr="00FC63C0">
        <w:t>National Model Clinical Governance Framework</w:t>
      </w:r>
      <w:r>
        <w:t>.</w:t>
      </w:r>
    </w:p>
    <w:p w14:paraId="6AC26260" w14:textId="77777777" w:rsidR="00C36663" w:rsidRDefault="00C36663" w:rsidP="00C36663">
      <w:pPr>
        <w:pStyle w:val="Bullet1"/>
        <w:numPr>
          <w:ilvl w:val="0"/>
          <w:numId w:val="0"/>
        </w:numPr>
        <w:ind w:left="720" w:hanging="720"/>
        <w:rPr>
          <w:b/>
          <w:bCs/>
        </w:rPr>
      </w:pPr>
    </w:p>
    <w:p w14:paraId="3E44EBB2" w14:textId="77777777" w:rsidR="00C36663" w:rsidRDefault="00C36663" w:rsidP="00C36663">
      <w:pPr>
        <w:pStyle w:val="Bullet1"/>
        <w:numPr>
          <w:ilvl w:val="0"/>
          <w:numId w:val="0"/>
        </w:numPr>
        <w:ind w:left="720" w:hanging="720"/>
        <w:rPr>
          <w:b/>
          <w:bCs/>
        </w:rPr>
      </w:pPr>
      <w:r w:rsidRPr="00960AED">
        <w:rPr>
          <w:b/>
          <w:bCs/>
        </w:rPr>
        <w:t>Supporting resource</w:t>
      </w:r>
      <w:r>
        <w:rPr>
          <w:b/>
          <w:bCs/>
        </w:rPr>
        <w:t>s</w:t>
      </w:r>
    </w:p>
    <w:p w14:paraId="7512D7F0" w14:textId="77777777" w:rsidR="00C36663" w:rsidRPr="000C1A10" w:rsidRDefault="00C36663" w:rsidP="00C36663">
      <w:pPr>
        <w:spacing w:after="0" w:line="300" w:lineRule="atLeast"/>
        <w:rPr>
          <w:rFonts w:ascii="Segoe UI" w:hAnsi="Segoe UI" w:cs="Segoe UI"/>
          <w:szCs w:val="21"/>
          <w:lang w:eastAsia="en-AU"/>
        </w:rPr>
      </w:pPr>
      <w:hyperlink r:id="rId28" w:history="1">
        <w:r w:rsidRPr="00875746">
          <w:rPr>
            <w:rStyle w:val="Hyperlink"/>
          </w:rPr>
          <w:t>Victorian Clinical Governance Framework | Safer Care Victoria</w:t>
        </w:r>
      </w:hyperlink>
      <w:r>
        <w:rPr>
          <w:b/>
          <w:bCs/>
        </w:rPr>
        <w:t xml:space="preserve"> </w:t>
      </w:r>
      <w:r w:rsidRPr="000C1A10">
        <w:rPr>
          <w:rStyle w:val="BodyChar"/>
          <w:lang w:eastAsia="en-AU"/>
        </w:rPr>
        <w:t>&lt;https://www.safercare.vic.gov.au/best-practice-improvement/clinical-governance/framework&gt;</w:t>
      </w:r>
    </w:p>
    <w:p w14:paraId="6EF30EF1" w14:textId="77777777" w:rsidR="00C36663" w:rsidRDefault="00C36663" w:rsidP="00C36663">
      <w:pPr>
        <w:pStyle w:val="Bullet1"/>
        <w:numPr>
          <w:ilvl w:val="0"/>
          <w:numId w:val="0"/>
        </w:numPr>
        <w:rPr>
          <w:b/>
          <w:bCs/>
        </w:rPr>
      </w:pPr>
    </w:p>
    <w:p w14:paraId="7D911E05" w14:textId="77777777" w:rsidR="00C36663" w:rsidRPr="00B65035" w:rsidRDefault="00C36663" w:rsidP="00C36663">
      <w:pPr>
        <w:pStyle w:val="Bullet1"/>
        <w:numPr>
          <w:ilvl w:val="0"/>
          <w:numId w:val="0"/>
        </w:numPr>
      </w:pPr>
      <w:hyperlink r:id="rId29" w:history="1">
        <w:r w:rsidRPr="00875746">
          <w:rPr>
            <w:rStyle w:val="Hyperlink"/>
          </w:rPr>
          <w:t>2026 National Model for Clinical Governance | Australian Commission on Safety and Quality in Health Care</w:t>
        </w:r>
      </w:hyperlink>
      <w:r>
        <w:rPr>
          <w:b/>
          <w:bCs/>
        </w:rPr>
        <w:t xml:space="preserve"> </w:t>
      </w:r>
      <w:r w:rsidRPr="00B65035">
        <w:t>&lt;https://www.safetyandquality.gov.au/resources/2026-national-model-clinical-governance&gt;</w:t>
      </w:r>
    </w:p>
    <w:p w14:paraId="4339AA5D" w14:textId="77777777" w:rsidR="00C36663" w:rsidRPr="00184A52" w:rsidRDefault="00C36663" w:rsidP="00C36663">
      <w:pPr>
        <w:pStyle w:val="Heading3"/>
      </w:pPr>
      <w:r>
        <w:t xml:space="preserve">6.2.1 </w:t>
      </w:r>
      <w:r w:rsidRPr="00184A52">
        <w:t xml:space="preserve">Allied health </w:t>
      </w:r>
    </w:p>
    <w:p w14:paraId="16499811" w14:textId="77777777" w:rsidR="00C36663" w:rsidRDefault="00C36663" w:rsidP="00C36663">
      <w:pPr>
        <w:rPr>
          <w:rFonts w:cs="Arial"/>
          <w:szCs w:val="21"/>
        </w:rPr>
      </w:pPr>
      <w:r w:rsidRPr="009F0B68">
        <w:rPr>
          <w:rFonts w:cs="Arial"/>
          <w:szCs w:val="21"/>
        </w:rPr>
        <w:t xml:space="preserve">Allied health includes clinical assessment, treatment, therapy or professional advice to support independent living. </w:t>
      </w:r>
      <w:r>
        <w:rPr>
          <w:rFonts w:cs="Arial"/>
          <w:szCs w:val="21"/>
        </w:rPr>
        <w:t>Allied health services</w:t>
      </w:r>
      <w:r w:rsidRPr="009F0B68">
        <w:rPr>
          <w:rFonts w:cs="Arial"/>
          <w:szCs w:val="21"/>
        </w:rPr>
        <w:t xml:space="preserve"> </w:t>
      </w:r>
      <w:r>
        <w:rPr>
          <w:rFonts w:cs="Arial"/>
          <w:szCs w:val="21"/>
        </w:rPr>
        <w:t>are</w:t>
      </w:r>
      <w:r w:rsidRPr="009F0B68">
        <w:rPr>
          <w:rFonts w:cs="Arial"/>
          <w:szCs w:val="21"/>
        </w:rPr>
        <w:t xml:space="preserve"> </w:t>
      </w:r>
      <w:r>
        <w:rPr>
          <w:rFonts w:cs="Arial"/>
          <w:szCs w:val="21"/>
        </w:rPr>
        <w:t>primarily delivered</w:t>
      </w:r>
      <w:r w:rsidRPr="009F0B68">
        <w:rPr>
          <w:rFonts w:cs="Arial"/>
          <w:szCs w:val="21"/>
        </w:rPr>
        <w:t xml:space="preserve"> in the home</w:t>
      </w:r>
      <w:r>
        <w:rPr>
          <w:rFonts w:cs="Arial"/>
          <w:szCs w:val="21"/>
        </w:rPr>
        <w:t>. Services may also be delivered in clinical settings where essential equipment is required and cannot be transported to the consumer’s home, or for group therapy</w:t>
      </w:r>
      <w:r w:rsidRPr="009F0B68">
        <w:rPr>
          <w:rFonts w:cs="Arial"/>
          <w:szCs w:val="21"/>
        </w:rPr>
        <w:t>.</w:t>
      </w:r>
    </w:p>
    <w:p w14:paraId="205B7555" w14:textId="77777777" w:rsidR="00C36663" w:rsidRPr="009F0B68" w:rsidRDefault="00C36663" w:rsidP="00C36663">
      <w:pPr>
        <w:rPr>
          <w:rFonts w:cs="Arial"/>
          <w:szCs w:val="21"/>
        </w:rPr>
      </w:pPr>
      <w:r w:rsidRPr="009F0B68">
        <w:rPr>
          <w:rFonts w:cs="Arial"/>
          <w:szCs w:val="21"/>
        </w:rPr>
        <w:t xml:space="preserve">Allied health disciplines may include </w:t>
      </w:r>
      <w:r w:rsidRPr="001A5906">
        <w:rPr>
          <w:kern w:val="2"/>
          <w:szCs w:val="21"/>
          <w14:ligatures w14:val="standardContextual"/>
        </w:rPr>
        <w:t>counselling, dietetics, occupational therapy, physiotherapy, podiatry, and speech pathology</w:t>
      </w:r>
      <w:r w:rsidRPr="009F0B68">
        <w:rPr>
          <w:rFonts w:cs="Arial"/>
          <w:szCs w:val="21"/>
        </w:rPr>
        <w:t xml:space="preserve">. Counselling </w:t>
      </w:r>
      <w:r>
        <w:rPr>
          <w:rFonts w:cs="Arial"/>
          <w:szCs w:val="21"/>
        </w:rPr>
        <w:t>may be</w:t>
      </w:r>
      <w:r w:rsidRPr="009F0B68">
        <w:rPr>
          <w:rFonts w:cs="Arial"/>
          <w:szCs w:val="21"/>
        </w:rPr>
        <w:t xml:space="preserve"> included in the HACC PYP mix of services where there is no access to </w:t>
      </w:r>
      <w:r>
        <w:rPr>
          <w:rFonts w:cs="Arial"/>
          <w:szCs w:val="21"/>
        </w:rPr>
        <w:t xml:space="preserve">other </w:t>
      </w:r>
      <w:r w:rsidRPr="009F0B68">
        <w:rPr>
          <w:rFonts w:cs="Arial"/>
          <w:szCs w:val="21"/>
        </w:rPr>
        <w:t>community</w:t>
      </w:r>
      <w:r>
        <w:rPr>
          <w:rFonts w:cs="Arial"/>
          <w:szCs w:val="21"/>
        </w:rPr>
        <w:t>-</w:t>
      </w:r>
      <w:r w:rsidRPr="009F0B68">
        <w:rPr>
          <w:rFonts w:cs="Arial"/>
          <w:szCs w:val="21"/>
        </w:rPr>
        <w:t xml:space="preserve">based mental health </w:t>
      </w:r>
      <w:r>
        <w:rPr>
          <w:rFonts w:cs="Arial"/>
          <w:szCs w:val="21"/>
        </w:rPr>
        <w:t xml:space="preserve">and wellbeing </w:t>
      </w:r>
      <w:r w:rsidRPr="009F0B68">
        <w:rPr>
          <w:rFonts w:cs="Arial"/>
          <w:szCs w:val="21"/>
        </w:rPr>
        <w:t>services</w:t>
      </w:r>
      <w:r>
        <w:rPr>
          <w:rFonts w:cs="Arial"/>
          <w:szCs w:val="21"/>
        </w:rPr>
        <w:t xml:space="preserve"> (see Appendix B).</w:t>
      </w:r>
    </w:p>
    <w:p w14:paraId="6FB0F759" w14:textId="77777777" w:rsidR="00C36663" w:rsidRPr="00FC63C0" w:rsidRDefault="00C36663" w:rsidP="00C36663">
      <w:pPr>
        <w:pStyle w:val="Body"/>
      </w:pPr>
      <w:r w:rsidRPr="00C54D48">
        <w:rPr>
          <w:b/>
          <w:bCs/>
        </w:rPr>
        <w:lastRenderedPageBreak/>
        <w:t>Workforce and capability requirements:</w:t>
      </w:r>
      <w:r w:rsidRPr="00C54D48">
        <w:br/>
      </w:r>
      <w:r w:rsidRPr="00FC63C0">
        <w:t>Allied health services must be delivered by practitioners with appropriate qualifications and professional competence for the discipline. Where registration applies, practitioners must meet AHPRA requirements.</w:t>
      </w:r>
    </w:p>
    <w:p w14:paraId="730DF762" w14:textId="77777777" w:rsidR="00C36663" w:rsidRPr="00FC63C0" w:rsidRDefault="00C36663" w:rsidP="00C36663">
      <w:pPr>
        <w:pStyle w:val="Body"/>
      </w:pPr>
      <w:r w:rsidRPr="00FC63C0">
        <w:t>Allied health assistants may be used where appropriate and must work within defined roles and under the supervision of a qualified allied health professional, with supervision arrangements suited to the discipline and consumer complexity.</w:t>
      </w:r>
    </w:p>
    <w:p w14:paraId="79D853B9" w14:textId="77777777" w:rsidR="00C36663" w:rsidRPr="001A2BFF" w:rsidRDefault="00C36663" w:rsidP="00C36663">
      <w:pPr>
        <w:pStyle w:val="Heading3"/>
      </w:pPr>
      <w:r>
        <w:t xml:space="preserve">6.2.2 </w:t>
      </w:r>
      <w:r w:rsidRPr="00184A52">
        <w:t xml:space="preserve">Clinical nursing </w:t>
      </w:r>
    </w:p>
    <w:p w14:paraId="7B10DA69" w14:textId="77777777" w:rsidR="00C36663" w:rsidRPr="00A47696" w:rsidRDefault="00C36663" w:rsidP="00C36663">
      <w:pPr>
        <w:rPr>
          <w:lang w:eastAsia="ja-JP"/>
        </w:rPr>
      </w:pPr>
      <w:r w:rsidRPr="00A47696">
        <w:rPr>
          <w:lang w:eastAsia="ja-JP"/>
        </w:rPr>
        <w:t>Clinical nursing includes assessment, treatment and ongoing clinical care for medica</w:t>
      </w:r>
      <w:r>
        <w:rPr>
          <w:lang w:eastAsia="ja-JP"/>
        </w:rPr>
        <w:t>l</w:t>
      </w:r>
      <w:r w:rsidRPr="00A47696">
        <w:rPr>
          <w:lang w:eastAsia="ja-JP"/>
        </w:rPr>
        <w:t xml:space="preserve"> conditions delivered by Registered Nurses or Enrolled Nurses, and may include activities such as medication supervision, wound care, continence care and clinical monitoring. Services are provided primarily in the person’s home to maintain and build independent living</w:t>
      </w:r>
      <w:r>
        <w:rPr>
          <w:lang w:eastAsia="ja-JP"/>
        </w:rPr>
        <w:t xml:space="preserve">. </w:t>
      </w:r>
      <w:r>
        <w:rPr>
          <w:rFonts w:cs="Arial"/>
          <w:szCs w:val="21"/>
        </w:rPr>
        <w:t>Services may be delivered in clinical settings where essential equipment is required and cannot be transported to the consumer’s home.</w:t>
      </w:r>
    </w:p>
    <w:p w14:paraId="5097F83D" w14:textId="77777777" w:rsidR="00C36663" w:rsidRPr="002E2DB4" w:rsidRDefault="00C36663" w:rsidP="00C36663">
      <w:pPr>
        <w:pStyle w:val="Body"/>
        <w:rPr>
          <w:lang w:eastAsia="ja-JP"/>
        </w:rPr>
      </w:pPr>
      <w:r w:rsidRPr="002E2DB4">
        <w:rPr>
          <w:b/>
          <w:bCs/>
          <w:lang w:eastAsia="ja-JP"/>
        </w:rPr>
        <w:t>Workforce and capability requirements:</w:t>
      </w:r>
      <w:r w:rsidRPr="002E2DB4">
        <w:rPr>
          <w:lang w:eastAsia="ja-JP"/>
        </w:rPr>
        <w:br/>
        <w:t>Registered nurses provide person</w:t>
      </w:r>
      <w:r w:rsidRPr="002E2DB4">
        <w:rPr>
          <w:lang w:eastAsia="ja-JP"/>
        </w:rPr>
        <w:noBreakHyphen/>
        <w:t>centred, evidence</w:t>
      </w:r>
      <w:r w:rsidRPr="002E2DB4">
        <w:rPr>
          <w:lang w:eastAsia="ja-JP"/>
        </w:rPr>
        <w:noBreakHyphen/>
        <w:t>based care and are accountable for clinical decision</w:t>
      </w:r>
      <w:r w:rsidRPr="002E2DB4">
        <w:rPr>
          <w:lang w:eastAsia="ja-JP"/>
        </w:rPr>
        <w:noBreakHyphen/>
        <w:t>making. Enrolled nurses work as part of the healthcare team and generally under the direct or indirect supervision of a registered nurse. Providers must ensure nursing staff work within scope of practice and are supported through appropriate clinical governance and supervision arrangements.</w:t>
      </w:r>
    </w:p>
    <w:p w14:paraId="711B0D01" w14:textId="77777777" w:rsidR="00C36663" w:rsidRDefault="00C36663" w:rsidP="00C36663">
      <w:pPr>
        <w:pStyle w:val="Heading2"/>
        <w:rPr>
          <w:shd w:val="clear" w:color="auto" w:fill="FFFFFF"/>
        </w:rPr>
      </w:pPr>
      <w:bookmarkStart w:id="44" w:name="_Toc232491444"/>
      <w:bookmarkStart w:id="45" w:name="_Toc233281401"/>
      <w:r>
        <w:rPr>
          <w:shd w:val="clear" w:color="auto" w:fill="FFFFFF"/>
        </w:rPr>
        <w:t>6.3 Personal and in-home support</w:t>
      </w:r>
      <w:bookmarkEnd w:id="44"/>
      <w:bookmarkEnd w:id="45"/>
    </w:p>
    <w:p w14:paraId="35CEDF31" w14:textId="77777777" w:rsidR="00C36663" w:rsidRPr="00E67DBB" w:rsidRDefault="00C36663" w:rsidP="00C36663">
      <w:pPr>
        <w:pStyle w:val="Body"/>
      </w:pPr>
      <w:r w:rsidRPr="00E67DBB">
        <w:t>Personal and in</w:t>
      </w:r>
      <w:r w:rsidRPr="00E67DBB">
        <w:noBreakHyphen/>
        <w:t>home support</w:t>
      </w:r>
      <w:r>
        <w:t>s</w:t>
      </w:r>
      <w:r w:rsidRPr="00E67DBB">
        <w:t xml:space="preserve"> </w:t>
      </w:r>
      <w:r>
        <w:t>include</w:t>
      </w:r>
      <w:r w:rsidRPr="00E67DBB">
        <w:t xml:space="preserve"> practical s</w:t>
      </w:r>
      <w:r>
        <w:t>upports</w:t>
      </w:r>
      <w:r w:rsidRPr="00E67DBB">
        <w:t xml:space="preserve"> delivered in the </w:t>
      </w:r>
      <w:r>
        <w:t>consumer</w:t>
      </w:r>
      <w:r w:rsidRPr="00E67DBB">
        <w:t xml:space="preserve">’s home to maintain a safe, functional and sustainable living environment, including </w:t>
      </w:r>
      <w:r>
        <w:t>household</w:t>
      </w:r>
      <w:r w:rsidRPr="00E67DBB">
        <w:t xml:space="preserve"> assistance, property maintenance and nutritional support</w:t>
      </w:r>
      <w:r>
        <w:t>. T</w:t>
      </w:r>
      <w:r w:rsidRPr="00E67DBB">
        <w:t xml:space="preserve">hese services focus on supporting </w:t>
      </w:r>
      <w:r>
        <w:t xml:space="preserve">activities of daily living and </w:t>
      </w:r>
      <w:r w:rsidRPr="00E67DBB">
        <w:t xml:space="preserve">routines to enable </w:t>
      </w:r>
      <w:r>
        <w:t>consumer</w:t>
      </w:r>
      <w:r w:rsidRPr="00E67DBB">
        <w:t xml:space="preserve">s to remain living </w:t>
      </w:r>
      <w:r>
        <w:t xml:space="preserve">independently and </w:t>
      </w:r>
      <w:r w:rsidRPr="00E67DBB">
        <w:t>safely at home.</w:t>
      </w:r>
    </w:p>
    <w:p w14:paraId="5C553025" w14:textId="77777777" w:rsidR="00C36663" w:rsidRPr="00184A52" w:rsidRDefault="00C36663" w:rsidP="00C36663">
      <w:pPr>
        <w:pStyle w:val="Heading3"/>
        <w:rPr>
          <w:shd w:val="clear" w:color="auto" w:fill="FFFFFF"/>
        </w:rPr>
      </w:pPr>
      <w:r>
        <w:rPr>
          <w:shd w:val="clear" w:color="auto" w:fill="FFFFFF"/>
        </w:rPr>
        <w:t>6</w:t>
      </w:r>
      <w:r w:rsidRPr="00184A52">
        <w:rPr>
          <w:shd w:val="clear" w:color="auto" w:fill="FFFFFF"/>
        </w:rPr>
        <w:t xml:space="preserve">.3.1 Community Care </w:t>
      </w:r>
    </w:p>
    <w:p w14:paraId="4B24D102" w14:textId="77777777" w:rsidR="00C36663" w:rsidRDefault="00C36663" w:rsidP="00C36663">
      <w:pPr>
        <w:pStyle w:val="Body"/>
      </w:pPr>
      <w:r w:rsidRPr="006A0D11">
        <w:t xml:space="preserve">Community care </w:t>
      </w:r>
      <w:r>
        <w:t>services are</w:t>
      </w:r>
      <w:r w:rsidRPr="006A0D11">
        <w:t xml:space="preserve"> delivered in the </w:t>
      </w:r>
      <w:r>
        <w:t>consumer</w:t>
      </w:r>
      <w:r w:rsidRPr="006A0D11">
        <w:t>’s home to support activities of daily living</w:t>
      </w:r>
      <w:r>
        <w:t xml:space="preserve"> and remain safe in their home. Services</w:t>
      </w:r>
      <w:r w:rsidRPr="006A0D11">
        <w:t xml:space="preserve"> may include personal care, household assistance and practical daily living supports, as well as targeted assistance to build capability and confidence, including support to use technology to access services and </w:t>
      </w:r>
      <w:r>
        <w:t>connect with their community</w:t>
      </w:r>
      <w:r w:rsidRPr="006A0D11">
        <w:t xml:space="preserve">. </w:t>
      </w:r>
    </w:p>
    <w:p w14:paraId="5E732433" w14:textId="77777777" w:rsidR="00C36663" w:rsidRPr="001A3A62" w:rsidRDefault="00C36663" w:rsidP="00C36663">
      <w:pPr>
        <w:pStyle w:val="Body"/>
      </w:pPr>
      <w:r>
        <w:t>Household</w:t>
      </w:r>
      <w:r w:rsidRPr="006A0D11">
        <w:t xml:space="preserve"> assistance is provided as task</w:t>
      </w:r>
      <w:r w:rsidRPr="006A0D11">
        <w:noBreakHyphen/>
        <w:t xml:space="preserve">based support to assist the </w:t>
      </w:r>
      <w:r>
        <w:t>consumer</w:t>
      </w:r>
      <w:r w:rsidRPr="006A0D11">
        <w:t xml:space="preserve"> to maintain a safe and liveable environment</w:t>
      </w:r>
      <w:r>
        <w:t xml:space="preserve">. Assistance is </w:t>
      </w:r>
      <w:r w:rsidRPr="006A0D11">
        <w:t>focus</w:t>
      </w:r>
      <w:r>
        <w:t>s</w:t>
      </w:r>
      <w:r w:rsidRPr="006A0D11">
        <w:t>ed on essential tasks to support daily living</w:t>
      </w:r>
      <w:r>
        <w:t xml:space="preserve"> and </w:t>
      </w:r>
      <w:r w:rsidRPr="0074696F">
        <w:t xml:space="preserve">provided in a manner that promotes skills development and </w:t>
      </w:r>
      <w:r>
        <w:t xml:space="preserve">builds </w:t>
      </w:r>
      <w:r w:rsidRPr="0074696F">
        <w:t xml:space="preserve">capacity for </w:t>
      </w:r>
      <w:r>
        <w:t>independence wherever possible. Where assistance</w:t>
      </w:r>
      <w:r w:rsidRPr="00BE7D8D">
        <w:t xml:space="preserve"> is </w:t>
      </w:r>
      <w:r>
        <w:t>provided to support cleaning activities, it is primarily undertaken in</w:t>
      </w:r>
      <w:r w:rsidRPr="00BE7D8D">
        <w:t xml:space="preserve"> the areas of the home the c</w:t>
      </w:r>
      <w:r>
        <w:t>onsumer</w:t>
      </w:r>
      <w:r w:rsidRPr="00BE7D8D">
        <w:t xml:space="preserve"> actively uses for everyday living, such as the kitchen, bathroom, bedroom and </w:t>
      </w:r>
      <w:r>
        <w:t xml:space="preserve">a </w:t>
      </w:r>
      <w:r w:rsidRPr="00BE7D8D">
        <w:t>living area</w:t>
      </w:r>
      <w:r>
        <w:t>.</w:t>
      </w:r>
    </w:p>
    <w:p w14:paraId="024096A4" w14:textId="77777777" w:rsidR="00C36663" w:rsidRDefault="00C36663" w:rsidP="00C36663">
      <w:pPr>
        <w:pStyle w:val="Body"/>
      </w:pPr>
    </w:p>
    <w:p w14:paraId="02DFCA74" w14:textId="77777777" w:rsidR="00C36663" w:rsidRDefault="00C36663" w:rsidP="00C36663">
      <w:pPr>
        <w:pStyle w:val="Body"/>
      </w:pPr>
      <w:r w:rsidRPr="007C09D4">
        <w:rPr>
          <w:b/>
          <w:bCs/>
        </w:rPr>
        <w:t>Workforce and capability requirements:</w:t>
      </w:r>
      <w:r w:rsidRPr="007C09D4">
        <w:br/>
      </w:r>
      <w:r>
        <w:t>Community care</w:t>
      </w:r>
      <w:r w:rsidRPr="007C09D4">
        <w:t xml:space="preserve"> </w:t>
      </w:r>
      <w:r>
        <w:t xml:space="preserve">workforce </w:t>
      </w:r>
      <w:r w:rsidRPr="007C09D4">
        <w:t>must have relevant competencies and training appropriate to the age group and type of supports delivered. Providers must ensure staff understand escalation pathways and work within clearly defined roles, particularly where risks to safety, nutrition or wellbeing are identified.</w:t>
      </w:r>
    </w:p>
    <w:p w14:paraId="5E667272" w14:textId="77777777" w:rsidR="00C36663" w:rsidRPr="006E090C" w:rsidRDefault="00C36663" w:rsidP="00C36663">
      <w:pPr>
        <w:pStyle w:val="Heading3"/>
      </w:pPr>
      <w:r>
        <w:rPr>
          <w:rStyle w:val="Heading4Char"/>
        </w:rPr>
        <w:lastRenderedPageBreak/>
        <w:t>6.3.1.1</w:t>
      </w:r>
      <w:r w:rsidRPr="00EA72ED">
        <w:rPr>
          <w:rStyle w:val="Heading4Char"/>
        </w:rPr>
        <w:t xml:space="preserve"> Nutritional support</w:t>
      </w:r>
      <w:r>
        <w:rPr>
          <w:shd w:val="clear" w:color="auto" w:fill="FFFFFF"/>
        </w:rPr>
        <w:t xml:space="preserve"> </w:t>
      </w:r>
    </w:p>
    <w:p w14:paraId="1B4179FF" w14:textId="77777777" w:rsidR="00C36663" w:rsidRPr="009E5765" w:rsidRDefault="00C36663" w:rsidP="00C36663">
      <w:pPr>
        <w:pStyle w:val="Body"/>
      </w:pPr>
      <w:r>
        <w:t>Where</w:t>
      </w:r>
      <w:r w:rsidDel="00CF1E30">
        <w:t xml:space="preserve"> </w:t>
      </w:r>
      <w:r>
        <w:t>consumers are at risk of poor nutritional status for reasons unrelated to affordability, HACC PYP services work across assessment, health supports and community care to identify, assess and address nutritional risk. This includes supporting consumers</w:t>
      </w:r>
      <w:r w:rsidRPr="00847F6C">
        <w:rPr>
          <w:rFonts w:ascii="Segoe UI" w:hAnsi="Segoe UI" w:cs="Segoe UI"/>
          <w:szCs w:val="21"/>
          <w:lang w:eastAsia="en-AU"/>
        </w:rPr>
        <w:t xml:space="preserve"> </w:t>
      </w:r>
      <w:r w:rsidRPr="00847F6C">
        <w:t xml:space="preserve">to address barriers to </w:t>
      </w:r>
      <w:r w:rsidRPr="009E5765">
        <w:t>accessing affordable and appropriate food, including</w:t>
      </w:r>
      <w:r>
        <w:t xml:space="preserve"> and </w:t>
      </w:r>
      <w:r w:rsidRPr="009E5765">
        <w:t xml:space="preserve">where appropriate, supporting access </w:t>
      </w:r>
      <w:r>
        <w:t xml:space="preserve">or connecting </w:t>
      </w:r>
      <w:r w:rsidRPr="009E5765">
        <w:t>to community-based food relief and food security services.</w:t>
      </w:r>
    </w:p>
    <w:p w14:paraId="39F1DDC4" w14:textId="77777777" w:rsidR="00C36663" w:rsidRDefault="00C36663" w:rsidP="00C36663">
      <w:pPr>
        <w:pStyle w:val="Body"/>
      </w:pPr>
      <w:r>
        <w:t>HACC PYP addresses nutritional risk through:</w:t>
      </w:r>
    </w:p>
    <w:p w14:paraId="0ED56F8A" w14:textId="77777777" w:rsidR="00C36663" w:rsidRPr="005E33F2" w:rsidRDefault="00C36663" w:rsidP="00C36663">
      <w:pPr>
        <w:pStyle w:val="Bullet1"/>
      </w:pPr>
      <w:r>
        <w:t>Initially identifying a need for nutritional support (</w:t>
      </w:r>
      <w:r w:rsidRPr="005E33F2">
        <w:t>Assessment provider)</w:t>
      </w:r>
    </w:p>
    <w:p w14:paraId="2D24B19D" w14:textId="77777777" w:rsidR="00C36663" w:rsidRPr="005E33F2" w:rsidRDefault="00C36663" w:rsidP="00C36663">
      <w:pPr>
        <w:pStyle w:val="Bullet1"/>
      </w:pPr>
      <w:r>
        <w:t>A</w:t>
      </w:r>
      <w:r w:rsidRPr="005E33F2">
        <w:t>ssessing nutritional need (Health Supports provider</w:t>
      </w:r>
      <w:r>
        <w:t xml:space="preserve"> where the nutritional risk is a health risk</w:t>
      </w:r>
      <w:r w:rsidRPr="005E33F2">
        <w:t xml:space="preserve">) </w:t>
      </w:r>
    </w:p>
    <w:p w14:paraId="73BE9B84" w14:textId="77777777" w:rsidR="00C36663" w:rsidRDefault="00C36663" w:rsidP="00C36663">
      <w:pPr>
        <w:pStyle w:val="Bullet1"/>
      </w:pPr>
      <w:r>
        <w:t>Addressing nutritional risk appropriate to a person’s circumstances, including through escorted shopping and food preparation, or access food relief (Community Care provider).</w:t>
      </w:r>
    </w:p>
    <w:p w14:paraId="7260FBBB" w14:textId="77777777" w:rsidR="00C36663" w:rsidRDefault="00C36663" w:rsidP="00C36663">
      <w:pPr>
        <w:pStyle w:val="Body"/>
      </w:pPr>
      <w:r>
        <w:t>HACC PYP is not a food security program; the cost of all food and/or ingredients provided to HACC PYP consumers are covered by the consumer.</w:t>
      </w:r>
    </w:p>
    <w:p w14:paraId="0DA61A9D" w14:textId="77777777" w:rsidR="00C36663" w:rsidRPr="00A25B5B" w:rsidRDefault="00C36663" w:rsidP="00C36663">
      <w:pPr>
        <w:pStyle w:val="Body"/>
        <w:spacing w:before="120"/>
        <w:rPr>
          <w:b/>
          <w:bCs/>
        </w:rPr>
      </w:pPr>
      <w:r w:rsidRPr="00A25B5B">
        <w:rPr>
          <w:b/>
          <w:bCs/>
        </w:rPr>
        <w:t>Workforce and capability requirements:</w:t>
      </w:r>
    </w:p>
    <w:p w14:paraId="3857BF3E" w14:textId="77777777" w:rsidR="00C36663" w:rsidRPr="00184A52" w:rsidRDefault="00C36663" w:rsidP="00C36663">
      <w:pPr>
        <w:pStyle w:val="Bullet1"/>
        <w:numPr>
          <w:ilvl w:val="0"/>
          <w:numId w:val="0"/>
        </w:numPr>
      </w:pPr>
      <w:r>
        <w:t>Workforce involved in identifying or responding to nutritional risk must have the skills to recognise nutritional risk and refer to appropriate services to respond. Where staff are involved in food handling or meal preparation, they must follow safe food handling practices and hygiene requirements.</w:t>
      </w:r>
    </w:p>
    <w:p w14:paraId="19508EEF" w14:textId="77777777" w:rsidR="00C36663" w:rsidRPr="00891CC6" w:rsidRDefault="00C36663" w:rsidP="00C36663">
      <w:pPr>
        <w:pStyle w:val="Heading4"/>
      </w:pPr>
      <w:r>
        <w:rPr>
          <w:lang w:eastAsia="en-AU"/>
        </w:rPr>
        <w:t>6.3.</w:t>
      </w:r>
      <w:r>
        <w:t xml:space="preserve">1.2 </w:t>
      </w:r>
      <w:r w:rsidRPr="00891CC6">
        <w:t xml:space="preserve">Delivered </w:t>
      </w:r>
      <w:r>
        <w:t>M</w:t>
      </w:r>
      <w:r w:rsidRPr="00891CC6">
        <w:t>eals</w:t>
      </w:r>
    </w:p>
    <w:p w14:paraId="42881F65" w14:textId="77777777" w:rsidR="00C36663" w:rsidRDefault="00C36663" w:rsidP="00C36663">
      <w:pPr>
        <w:pStyle w:val="Body"/>
        <w:rPr>
          <w:rFonts w:cs="Arial"/>
          <w:color w:val="000000"/>
          <w:shd w:val="clear" w:color="auto" w:fill="FFFFFF"/>
        </w:rPr>
      </w:pPr>
      <w:r>
        <w:rPr>
          <w:rFonts w:cs="Arial"/>
          <w:color w:val="000000"/>
          <w:shd w:val="clear" w:color="auto" w:fill="FFFFFF"/>
        </w:rPr>
        <w:t>Providers funded under the Delivered Meals activity facilitate the delivery of meals to consumers in their homes or in community-based settings. Funding for this activity contributes only to the cost of delivering nutritious meals that meet individual dietary needs; the full cost of the meal itself is paid by the consumer in all circumstances.</w:t>
      </w:r>
    </w:p>
    <w:p w14:paraId="7B2944D9" w14:textId="77777777" w:rsidR="00C36663" w:rsidRPr="005E33F2" w:rsidRDefault="00C36663" w:rsidP="00C36663">
      <w:pPr>
        <w:pStyle w:val="Body"/>
        <w:rPr>
          <w:b/>
          <w:bCs/>
        </w:rPr>
      </w:pPr>
      <w:r w:rsidRPr="005E33F2">
        <w:rPr>
          <w:b/>
          <w:bCs/>
        </w:rPr>
        <w:t>Workforce and capability requirements:</w:t>
      </w:r>
    </w:p>
    <w:p w14:paraId="79432CE5" w14:textId="77777777" w:rsidR="00C36663" w:rsidRPr="00184A52" w:rsidRDefault="00C36663" w:rsidP="00C36663">
      <w:pPr>
        <w:pStyle w:val="Bullet1"/>
        <w:numPr>
          <w:ilvl w:val="0"/>
          <w:numId w:val="0"/>
        </w:numPr>
      </w:pPr>
      <w:r>
        <w:t>Workforce involved in identifying or responding to nutritional risk must have the skills to recognise nutritional risk and refer to appropriate services to respond. Where staff are involved in food handling or meal preparation, they must follow safe food handling practices and hygiene requirements.</w:t>
      </w:r>
    </w:p>
    <w:p w14:paraId="211E34F8" w14:textId="77777777" w:rsidR="00C36663" w:rsidRDefault="00C36663" w:rsidP="00C36663">
      <w:pPr>
        <w:pStyle w:val="Heading3"/>
      </w:pPr>
      <w:r>
        <w:t xml:space="preserve">6.3.2 </w:t>
      </w:r>
      <w:r w:rsidRPr="008E768E">
        <w:t>Property Maintenance</w:t>
      </w:r>
    </w:p>
    <w:p w14:paraId="1EE2D79A" w14:textId="77777777" w:rsidR="00C36663" w:rsidRDefault="00C36663" w:rsidP="00C36663">
      <w:pPr>
        <w:pStyle w:val="Body"/>
      </w:pPr>
      <w:r w:rsidRPr="008E768E">
        <w:t xml:space="preserve">Property Maintenance is delivered where essential for </w:t>
      </w:r>
      <w:r>
        <w:t>consumer</w:t>
      </w:r>
      <w:r w:rsidRPr="008E768E">
        <w:t xml:space="preserve"> safety in the home and safe delivery of HACC PYP services</w:t>
      </w:r>
      <w:r>
        <w:t xml:space="preserve"> (i.e., safe access for service provider staff)</w:t>
      </w:r>
      <w:r w:rsidRPr="008E768E">
        <w:t>, and where it is not the responsibility of the rental provider or relevant housing authority.</w:t>
      </w:r>
      <w:r w:rsidRPr="0074696F">
        <w:rPr>
          <w:rFonts w:ascii="Segoe UI" w:hAnsi="Segoe UI" w:cs="Segoe UI"/>
          <w:sz w:val="18"/>
          <w:szCs w:val="18"/>
        </w:rPr>
        <w:t xml:space="preserve"> </w:t>
      </w:r>
      <w:r w:rsidRPr="0074696F">
        <w:t xml:space="preserve">Assistance is provided in a manner that promotes skills development and </w:t>
      </w:r>
      <w:r>
        <w:t xml:space="preserve">builds </w:t>
      </w:r>
      <w:r w:rsidRPr="0074696F">
        <w:t xml:space="preserve">capacity for </w:t>
      </w:r>
      <w:r>
        <w:t xml:space="preserve">independent </w:t>
      </w:r>
      <w:r w:rsidRPr="0074696F">
        <w:t>property maintenance where possible</w:t>
      </w:r>
      <w:r>
        <w:t>.</w:t>
      </w:r>
    </w:p>
    <w:p w14:paraId="7F75E9B0" w14:textId="77777777" w:rsidR="00C36663" w:rsidRPr="00005DBE" w:rsidRDefault="00C36663" w:rsidP="00C36663">
      <w:pPr>
        <w:pStyle w:val="Body"/>
        <w:rPr>
          <w:highlight w:val="yellow"/>
        </w:rPr>
      </w:pPr>
      <w:r w:rsidRPr="00AC342B">
        <w:t xml:space="preserve">Property </w:t>
      </w:r>
      <w:r>
        <w:t>M</w:t>
      </w:r>
      <w:r w:rsidRPr="00AC342B">
        <w:t xml:space="preserve">aintenance </w:t>
      </w:r>
      <w:r>
        <w:t>provides</w:t>
      </w:r>
      <w:r w:rsidRPr="00AC342B">
        <w:t xml:space="preserve"> minor maintenance and light gardening activities that support a safe and functional home environment. This may include tasks such as replacing lightbulbs, changing smoke alarm batteries or fixing loose door handles, and light gardening such as mowing</w:t>
      </w:r>
      <w:r>
        <w:t xml:space="preserve"> or</w:t>
      </w:r>
      <w:r w:rsidRPr="00AC342B">
        <w:t xml:space="preserve"> pruning</w:t>
      </w:r>
      <w:r>
        <w:t>, specifically to provide safe access to the home (i.e., not for aesthetic purposes)</w:t>
      </w:r>
      <w:r w:rsidRPr="00391BE4">
        <w:t>.</w:t>
      </w:r>
      <w:r>
        <w:t xml:space="preserve"> Indoor maintenance is provided</w:t>
      </w:r>
      <w:r w:rsidRPr="00391BE4">
        <w:t xml:space="preserve"> </w:t>
      </w:r>
      <w:r>
        <w:t>in</w:t>
      </w:r>
      <w:r w:rsidRPr="00391BE4">
        <w:t xml:space="preserve"> areas of the home the c</w:t>
      </w:r>
      <w:r>
        <w:t>onsumer</w:t>
      </w:r>
      <w:r w:rsidRPr="00391BE4">
        <w:t xml:space="preserve"> actively uses for everyday living and independence, such as the kitchen, bathroom, bedroom and a living area</w:t>
      </w:r>
      <w:r>
        <w:t>, and those to which support workers require access</w:t>
      </w:r>
      <w:r w:rsidRPr="00391BE4">
        <w:t>.</w:t>
      </w:r>
      <w:r>
        <w:t xml:space="preserve"> </w:t>
      </w:r>
    </w:p>
    <w:p w14:paraId="6992EE5C" w14:textId="77777777" w:rsidR="00C36663" w:rsidRPr="008E768E" w:rsidRDefault="00C36663" w:rsidP="00C36663">
      <w:pPr>
        <w:pStyle w:val="Body"/>
      </w:pPr>
      <w:r w:rsidRPr="00AC342B">
        <w:lastRenderedPageBreak/>
        <w:t xml:space="preserve">Major repairs, specialist trades and non-essential improvements are outside the scope of </w:t>
      </w:r>
      <w:r>
        <w:br/>
      </w:r>
      <w:r w:rsidRPr="00AC342B">
        <w:t>HACC PYP.</w:t>
      </w:r>
    </w:p>
    <w:p w14:paraId="44CF2F24" w14:textId="77777777" w:rsidR="00C36663" w:rsidRDefault="00C36663" w:rsidP="00C36663">
      <w:pPr>
        <w:pStyle w:val="Body"/>
        <w:rPr>
          <w:b/>
          <w:bCs/>
        </w:rPr>
      </w:pPr>
      <w:r w:rsidRPr="008E768E">
        <w:rPr>
          <w:b/>
        </w:rPr>
        <w:t>Workforce and capability requirements:</w:t>
      </w:r>
    </w:p>
    <w:p w14:paraId="5B504B3F" w14:textId="77777777" w:rsidR="00C36663" w:rsidRPr="008E768E" w:rsidRDefault="00C36663" w:rsidP="00C36663">
      <w:pPr>
        <w:pStyle w:val="Body"/>
      </w:pPr>
      <w:r w:rsidRPr="008E768E">
        <w:t>Property maintenance tasks must be undertaken by staff with the skills to perform low</w:t>
      </w:r>
      <w:r w:rsidRPr="008E768E">
        <w:noBreakHyphen/>
        <w:t>level, essential tasks safely. Providers must ensure staff do not undertake work requiring licensed trades and have clear processes</w:t>
      </w:r>
      <w:r>
        <w:t xml:space="preserve"> in place</w:t>
      </w:r>
      <w:r w:rsidRPr="008E768E">
        <w:t xml:space="preserve"> to manage risk and referral where higher</w:t>
      </w:r>
      <w:r w:rsidRPr="008E768E">
        <w:noBreakHyphen/>
        <w:t>level works are required</w:t>
      </w:r>
      <w:r>
        <w:t>.</w:t>
      </w:r>
    </w:p>
    <w:p w14:paraId="3263A18E" w14:textId="77777777" w:rsidR="00C36663" w:rsidRDefault="00C36663" w:rsidP="00C36663">
      <w:pPr>
        <w:pStyle w:val="Heading2"/>
        <w:rPr>
          <w:shd w:val="clear" w:color="auto" w:fill="FFFFFF"/>
        </w:rPr>
      </w:pPr>
      <w:bookmarkStart w:id="46" w:name="_Toc232491445"/>
      <w:bookmarkStart w:id="47" w:name="_Toc233281402"/>
      <w:r>
        <w:rPr>
          <w:shd w:val="clear" w:color="auto" w:fill="FFFFFF"/>
        </w:rPr>
        <w:t>6.4 Social and community engagement</w:t>
      </w:r>
      <w:bookmarkEnd w:id="46"/>
      <w:bookmarkEnd w:id="47"/>
    </w:p>
    <w:p w14:paraId="33398D1E" w14:textId="77777777" w:rsidR="00C36663" w:rsidRPr="001D19F5" w:rsidRDefault="00C36663" w:rsidP="00C36663">
      <w:pPr>
        <w:pStyle w:val="Body"/>
        <w:rPr>
          <w:lang w:eastAsia="en-AU"/>
        </w:rPr>
      </w:pPr>
      <w:r>
        <w:rPr>
          <w:lang w:eastAsia="en-AU"/>
        </w:rPr>
        <w:t>The s</w:t>
      </w:r>
      <w:r w:rsidRPr="001D19F5">
        <w:rPr>
          <w:lang w:eastAsia="en-AU"/>
        </w:rPr>
        <w:t xml:space="preserve">ocial and community engagement </w:t>
      </w:r>
      <w:r>
        <w:rPr>
          <w:lang w:eastAsia="en-AU"/>
        </w:rPr>
        <w:t>service stream supports</w:t>
      </w:r>
      <w:r w:rsidRPr="001D19F5">
        <w:rPr>
          <w:lang w:eastAsia="en-AU"/>
        </w:rPr>
        <w:t xml:space="preserve"> inclusion, participation and meaningful connection </w:t>
      </w:r>
      <w:r>
        <w:rPr>
          <w:lang w:eastAsia="en-AU"/>
        </w:rPr>
        <w:t>with others</w:t>
      </w:r>
      <w:r w:rsidRPr="001D19F5">
        <w:rPr>
          <w:lang w:eastAsia="en-AU"/>
        </w:rPr>
        <w:t xml:space="preserve"> through Planned Activity Groups,</w:t>
      </w:r>
      <w:r>
        <w:rPr>
          <w:lang w:eastAsia="en-AU"/>
        </w:rPr>
        <w:t xml:space="preserve"> volunteer-led activities, and</w:t>
      </w:r>
      <w:r w:rsidRPr="001D19F5">
        <w:rPr>
          <w:lang w:eastAsia="en-AU"/>
        </w:rPr>
        <w:t xml:space="preserve"> </w:t>
      </w:r>
      <w:r>
        <w:rPr>
          <w:lang w:eastAsia="en-AU"/>
        </w:rPr>
        <w:t xml:space="preserve">Social Supports </w:t>
      </w:r>
      <w:r>
        <w:rPr>
          <w:rFonts w:cs="Arial"/>
          <w:color w:val="000000"/>
          <w:szCs w:val="21"/>
          <w:shd w:val="clear" w:color="auto" w:fill="FFFFFF"/>
        </w:rPr>
        <w:t>that respond to consumer needs.</w:t>
      </w:r>
    </w:p>
    <w:p w14:paraId="41E78B25" w14:textId="77777777" w:rsidR="00C36663" w:rsidRPr="00936F1A" w:rsidRDefault="00C36663" w:rsidP="00C36663">
      <w:pPr>
        <w:pStyle w:val="Heading3"/>
        <w:rPr>
          <w:shd w:val="clear" w:color="auto" w:fill="FFFFFF"/>
        </w:rPr>
      </w:pPr>
      <w:r>
        <w:rPr>
          <w:shd w:val="clear" w:color="auto" w:fill="FFFFFF"/>
        </w:rPr>
        <w:t xml:space="preserve">6.4.1 </w:t>
      </w:r>
      <w:r w:rsidRPr="00936F1A">
        <w:rPr>
          <w:shd w:val="clear" w:color="auto" w:fill="FFFFFF"/>
        </w:rPr>
        <w:t xml:space="preserve">Planned </w:t>
      </w:r>
      <w:r>
        <w:rPr>
          <w:shd w:val="clear" w:color="auto" w:fill="FFFFFF"/>
        </w:rPr>
        <w:t>A</w:t>
      </w:r>
      <w:r w:rsidRPr="00936F1A">
        <w:rPr>
          <w:shd w:val="clear" w:color="auto" w:fill="FFFFFF"/>
        </w:rPr>
        <w:t xml:space="preserve">ctivity </w:t>
      </w:r>
      <w:r>
        <w:rPr>
          <w:shd w:val="clear" w:color="auto" w:fill="FFFFFF"/>
        </w:rPr>
        <w:t>G</w:t>
      </w:r>
      <w:r w:rsidRPr="00936F1A">
        <w:rPr>
          <w:shd w:val="clear" w:color="auto" w:fill="FFFFFF"/>
        </w:rPr>
        <w:t>roup</w:t>
      </w:r>
    </w:p>
    <w:p w14:paraId="6AD1DCB6" w14:textId="77777777" w:rsidR="00C36663" w:rsidRPr="00580A32" w:rsidRDefault="00C36663" w:rsidP="003B3BD2">
      <w:pPr>
        <w:pStyle w:val="Body"/>
        <w:rPr>
          <w:shd w:val="clear" w:color="auto" w:fill="FFFFFF"/>
        </w:rPr>
      </w:pPr>
      <w:r>
        <w:rPr>
          <w:shd w:val="clear" w:color="auto" w:fill="FFFFFF"/>
        </w:rPr>
        <w:t>P</w:t>
      </w:r>
      <w:r w:rsidRPr="0011502A">
        <w:rPr>
          <w:shd w:val="clear" w:color="auto" w:fill="FFFFFF"/>
        </w:rPr>
        <w:t xml:space="preserve">lanned Activity Groups provide structured, centre-based or community-based group activities that support social connection, participation, wellbeing and independence. Groups are designed to be purposeful and responsive to </w:t>
      </w:r>
      <w:r w:rsidRPr="003B3BD2">
        <w:t>participant goals and may include activities that maintain or build daily living skills, confidence, and peer connection of HACC PYP eligible consumers.</w:t>
      </w:r>
    </w:p>
    <w:p w14:paraId="100D1CE5" w14:textId="5EFDD12B" w:rsidR="00C36663" w:rsidRDefault="00C36663" w:rsidP="003B3BD2">
      <w:pPr>
        <w:pStyle w:val="Body"/>
        <w:rPr>
          <w:shd w:val="clear" w:color="auto" w:fill="FFFFFF"/>
        </w:rPr>
      </w:pPr>
      <w:r w:rsidRPr="005555C4">
        <w:rPr>
          <w:shd w:val="clear" w:color="auto" w:fill="FFFFFF"/>
        </w:rPr>
        <w:t>Meals provided at a</w:t>
      </w:r>
      <w:r w:rsidR="003B3BD2">
        <w:rPr>
          <w:shd w:val="clear" w:color="auto" w:fill="FFFFFF"/>
        </w:rPr>
        <w:t xml:space="preserve">n activity group </w:t>
      </w:r>
      <w:r w:rsidRPr="005555C4">
        <w:rPr>
          <w:shd w:val="clear" w:color="auto" w:fill="FFFFFF"/>
        </w:rPr>
        <w:t xml:space="preserve">do not attract a </w:t>
      </w:r>
      <w:r>
        <w:rPr>
          <w:shd w:val="clear" w:color="auto" w:fill="FFFFFF"/>
        </w:rPr>
        <w:t>fee as</w:t>
      </w:r>
      <w:r w:rsidRPr="005555C4">
        <w:rPr>
          <w:shd w:val="clear" w:color="auto" w:fill="FFFFFF"/>
        </w:rPr>
        <w:t xml:space="preserve"> </w:t>
      </w:r>
      <w:r>
        <w:rPr>
          <w:shd w:val="clear" w:color="auto" w:fill="FFFFFF"/>
        </w:rPr>
        <w:t>meals are</w:t>
      </w:r>
      <w:r w:rsidRPr="005555C4">
        <w:rPr>
          <w:shd w:val="clear" w:color="auto" w:fill="FFFFFF"/>
        </w:rPr>
        <w:t xml:space="preserve"> included in the </w:t>
      </w:r>
      <w:r>
        <w:rPr>
          <w:shd w:val="clear" w:color="auto" w:fill="FFFFFF"/>
        </w:rPr>
        <w:t>P</w:t>
      </w:r>
      <w:r w:rsidRPr="005555C4">
        <w:rPr>
          <w:shd w:val="clear" w:color="auto" w:fill="FFFFFF"/>
        </w:rPr>
        <w:t xml:space="preserve">lanned </w:t>
      </w:r>
      <w:r>
        <w:rPr>
          <w:shd w:val="clear" w:color="auto" w:fill="FFFFFF"/>
        </w:rPr>
        <w:t>A</w:t>
      </w:r>
      <w:r w:rsidRPr="005555C4">
        <w:rPr>
          <w:shd w:val="clear" w:color="auto" w:fill="FFFFFF"/>
        </w:rPr>
        <w:t xml:space="preserve">ctivity </w:t>
      </w:r>
      <w:r>
        <w:rPr>
          <w:shd w:val="clear" w:color="auto" w:fill="FFFFFF"/>
        </w:rPr>
        <w:t>G</w:t>
      </w:r>
      <w:r w:rsidRPr="005555C4">
        <w:rPr>
          <w:shd w:val="clear" w:color="auto" w:fill="FFFFFF"/>
        </w:rPr>
        <w:t xml:space="preserve">roup unit price. However, where a </w:t>
      </w:r>
      <w:r>
        <w:rPr>
          <w:shd w:val="clear" w:color="auto" w:fill="FFFFFF"/>
        </w:rPr>
        <w:t>service provider</w:t>
      </w:r>
      <w:r w:rsidRPr="005555C4">
        <w:rPr>
          <w:shd w:val="clear" w:color="auto" w:fill="FFFFFF"/>
        </w:rPr>
        <w:t xml:space="preserve"> purchases a</w:t>
      </w:r>
      <w:r>
        <w:rPr>
          <w:shd w:val="clear" w:color="auto" w:fill="FFFFFF"/>
        </w:rPr>
        <w:t xml:space="preserve"> HACC PYP</w:t>
      </w:r>
      <w:r w:rsidRPr="005555C4">
        <w:rPr>
          <w:shd w:val="clear" w:color="auto" w:fill="FFFFFF"/>
        </w:rPr>
        <w:t xml:space="preserve"> delivered meal into the planned activity group, the person may be required to pay the delivered meal </w:t>
      </w:r>
      <w:r>
        <w:rPr>
          <w:shd w:val="clear" w:color="auto" w:fill="FFFFFF"/>
        </w:rPr>
        <w:t>consumer</w:t>
      </w:r>
      <w:r w:rsidRPr="005555C4">
        <w:rPr>
          <w:shd w:val="clear" w:color="auto" w:fill="FFFFFF"/>
        </w:rPr>
        <w:t xml:space="preserve"> contribution as well as the planned activity group fee</w:t>
      </w:r>
      <w:r>
        <w:rPr>
          <w:shd w:val="clear" w:color="auto" w:fill="FFFFFF"/>
        </w:rPr>
        <w:t xml:space="preserve"> (where a fee is applicable).</w:t>
      </w:r>
    </w:p>
    <w:p w14:paraId="621A2A85" w14:textId="77777777" w:rsidR="00C36663" w:rsidRPr="00936F1A" w:rsidRDefault="00C36663" w:rsidP="00C36663">
      <w:pPr>
        <w:pStyle w:val="Bodyafterbullets"/>
        <w:rPr>
          <w:rFonts w:cs="Arial"/>
          <w:color w:val="000000"/>
          <w:szCs w:val="21"/>
          <w:shd w:val="clear" w:color="auto" w:fill="FFFFFF"/>
        </w:rPr>
      </w:pPr>
      <w:r w:rsidRPr="00E41F89">
        <w:rPr>
          <w:rFonts w:cs="Arial"/>
          <w:b/>
          <w:bCs/>
          <w:color w:val="000000"/>
          <w:szCs w:val="21"/>
          <w:shd w:val="clear" w:color="auto" w:fill="FFFFFF"/>
        </w:rPr>
        <w:t>Workforce and capability requirements:</w:t>
      </w:r>
      <w:r w:rsidRPr="00E41F89">
        <w:rPr>
          <w:rFonts w:cs="Arial"/>
          <w:color w:val="000000"/>
          <w:szCs w:val="21"/>
          <w:shd w:val="clear" w:color="auto" w:fill="FFFFFF"/>
        </w:rPr>
        <w:br/>
      </w:r>
      <w:r w:rsidRPr="003B3BD2">
        <w:rPr>
          <w:rStyle w:val="BodyChar"/>
        </w:rPr>
        <w:t>Groups must be facilitated by staff with skills in safe group delivery, inclusion and participant support. Staff must be able to recognise risk, support participation and respond appropriately to individual needs within a group setting.</w:t>
      </w:r>
    </w:p>
    <w:p w14:paraId="20DE2C66" w14:textId="77777777" w:rsidR="00C36663" w:rsidRPr="00936F1A" w:rsidRDefault="00C36663" w:rsidP="00C36663">
      <w:pPr>
        <w:pStyle w:val="Heading3"/>
        <w:rPr>
          <w:shd w:val="clear" w:color="auto" w:fill="FFFFFF"/>
        </w:rPr>
      </w:pPr>
      <w:r>
        <w:rPr>
          <w:shd w:val="clear" w:color="auto" w:fill="FFFFFF"/>
        </w:rPr>
        <w:t xml:space="preserve">6.4.2 </w:t>
      </w:r>
      <w:r w:rsidRPr="00936F1A">
        <w:rPr>
          <w:shd w:val="clear" w:color="auto" w:fill="FFFFFF"/>
        </w:rPr>
        <w:t xml:space="preserve">Volunteer </w:t>
      </w:r>
      <w:r>
        <w:rPr>
          <w:shd w:val="clear" w:color="auto" w:fill="FFFFFF"/>
        </w:rPr>
        <w:t>C</w:t>
      </w:r>
      <w:r w:rsidRPr="00936F1A">
        <w:rPr>
          <w:shd w:val="clear" w:color="auto" w:fill="FFFFFF"/>
        </w:rPr>
        <w:t>oordination</w:t>
      </w:r>
    </w:p>
    <w:p w14:paraId="065A171B" w14:textId="77777777" w:rsidR="00C36663" w:rsidRDefault="00C36663" w:rsidP="00C36663">
      <w:pPr>
        <w:pStyle w:val="Body"/>
        <w:rPr>
          <w:rFonts w:cs="Arial"/>
          <w:color w:val="000000"/>
          <w:szCs w:val="21"/>
          <w:shd w:val="clear" w:color="auto" w:fill="FFFFFF"/>
        </w:rPr>
      </w:pPr>
      <w:r>
        <w:rPr>
          <w:rFonts w:cs="Arial"/>
          <w:color w:val="000000"/>
          <w:szCs w:val="21"/>
          <w:shd w:val="clear" w:color="auto" w:fill="FFFFFF"/>
        </w:rPr>
        <w:t>Funding for the Volunteer Coordination activity supports the recruitment of volunteers, matching of volunteer skills with activities, and coordination and supervision of volunteers to provide social and community engagement-related activities.</w:t>
      </w:r>
    </w:p>
    <w:p w14:paraId="49351650" w14:textId="77777777" w:rsidR="00C36663" w:rsidRPr="00951987" w:rsidRDefault="00C36663" w:rsidP="00C36663">
      <w:pPr>
        <w:pStyle w:val="Body"/>
        <w:rPr>
          <w:rFonts w:cs="Arial"/>
          <w:color w:val="000000"/>
          <w:szCs w:val="21"/>
          <w:shd w:val="clear" w:color="auto" w:fill="FFFFFF"/>
        </w:rPr>
      </w:pPr>
      <w:r w:rsidRPr="00951987">
        <w:rPr>
          <w:rFonts w:cs="Arial"/>
          <w:color w:val="000000"/>
          <w:szCs w:val="21"/>
          <w:shd w:val="clear" w:color="auto" w:fill="FFFFFF"/>
        </w:rPr>
        <w:t>Volunteer</w:t>
      </w:r>
      <w:r w:rsidRPr="00951987">
        <w:rPr>
          <w:rFonts w:cs="Arial"/>
          <w:color w:val="000000"/>
          <w:szCs w:val="21"/>
          <w:shd w:val="clear" w:color="auto" w:fill="FFFFFF"/>
        </w:rPr>
        <w:noBreakHyphen/>
      </w:r>
      <w:r w:rsidRPr="003B3BD2">
        <w:t>delivered supports may include friendly visiting, transport and other social supports, where funded to HACC PYP eligible consumers.</w:t>
      </w:r>
    </w:p>
    <w:p w14:paraId="14A5DB0C" w14:textId="77777777" w:rsidR="00C36663" w:rsidRPr="00936F1A" w:rsidRDefault="00C36663" w:rsidP="00C36663">
      <w:pPr>
        <w:pStyle w:val="Bodyafterbullets"/>
        <w:rPr>
          <w:shd w:val="clear" w:color="auto" w:fill="FFFFFF"/>
        </w:rPr>
      </w:pPr>
      <w:r>
        <w:rPr>
          <w:shd w:val="clear" w:color="auto" w:fill="FFFFFF"/>
        </w:rPr>
        <w:t xml:space="preserve">Providers funded to deliver Volunteer Coordination may also receive associated block funding, which can </w:t>
      </w:r>
      <w:r w:rsidRPr="00936F1A">
        <w:rPr>
          <w:shd w:val="clear" w:color="auto" w:fill="FFFFFF"/>
        </w:rPr>
        <w:t xml:space="preserve">be used to cover </w:t>
      </w:r>
      <w:r>
        <w:rPr>
          <w:shd w:val="clear" w:color="auto" w:fill="FFFFFF"/>
        </w:rPr>
        <w:t>costs associated with recruiting volunteers, including:</w:t>
      </w:r>
    </w:p>
    <w:p w14:paraId="39D128FC" w14:textId="77777777" w:rsidR="00C36663" w:rsidRDefault="00C36663" w:rsidP="00C36663">
      <w:pPr>
        <w:pStyle w:val="Bullet1"/>
        <w:numPr>
          <w:ilvl w:val="0"/>
          <w:numId w:val="42"/>
        </w:numPr>
        <w:rPr>
          <w:shd w:val="clear" w:color="auto" w:fill="FFFFFF"/>
        </w:rPr>
      </w:pPr>
      <w:r>
        <w:rPr>
          <w:shd w:val="clear" w:color="auto" w:fill="FFFFFF"/>
        </w:rPr>
        <w:t>Working with Children checks for volunteers</w:t>
      </w:r>
    </w:p>
    <w:p w14:paraId="281E2C48" w14:textId="77777777" w:rsidR="00C36663" w:rsidRDefault="00C36663" w:rsidP="00C36663">
      <w:pPr>
        <w:pStyle w:val="Bullet1"/>
        <w:numPr>
          <w:ilvl w:val="0"/>
          <w:numId w:val="42"/>
        </w:numPr>
        <w:rPr>
          <w:shd w:val="clear" w:color="auto" w:fill="FFFFFF"/>
        </w:rPr>
      </w:pPr>
      <w:r w:rsidRPr="002832C5">
        <w:rPr>
          <w:shd w:val="clear" w:color="auto" w:fill="FFFFFF"/>
        </w:rPr>
        <w:t xml:space="preserve">Police </w:t>
      </w:r>
      <w:r>
        <w:rPr>
          <w:shd w:val="clear" w:color="auto" w:fill="FFFFFF"/>
        </w:rPr>
        <w:t xml:space="preserve">checks for volunteers </w:t>
      </w:r>
    </w:p>
    <w:p w14:paraId="28958CBE" w14:textId="77777777" w:rsidR="00C36663" w:rsidRPr="00936F1A" w:rsidRDefault="00C36663" w:rsidP="00C36663">
      <w:pPr>
        <w:pStyle w:val="Bullet1"/>
        <w:numPr>
          <w:ilvl w:val="0"/>
          <w:numId w:val="42"/>
        </w:numPr>
        <w:rPr>
          <w:shd w:val="clear" w:color="auto" w:fill="FFFFFF"/>
        </w:rPr>
      </w:pPr>
      <w:r>
        <w:rPr>
          <w:shd w:val="clear" w:color="auto" w:fill="FFFFFF"/>
        </w:rPr>
        <w:t>V</w:t>
      </w:r>
      <w:r w:rsidRPr="00936F1A">
        <w:rPr>
          <w:shd w:val="clear" w:color="auto" w:fill="FFFFFF"/>
        </w:rPr>
        <w:t>olunteer recruitment and training</w:t>
      </w:r>
    </w:p>
    <w:p w14:paraId="0C450C8C" w14:textId="77777777" w:rsidR="00C36663" w:rsidRPr="007B085F" w:rsidRDefault="00C36663" w:rsidP="00C36663">
      <w:pPr>
        <w:pStyle w:val="Body"/>
        <w:spacing w:before="120"/>
        <w:rPr>
          <w:b/>
          <w:bCs/>
        </w:rPr>
      </w:pPr>
      <w:r w:rsidRPr="007B085F">
        <w:rPr>
          <w:b/>
          <w:bCs/>
        </w:rPr>
        <w:t>Workforce and safety requirements:</w:t>
      </w:r>
    </w:p>
    <w:p w14:paraId="4FFF2130" w14:textId="77777777" w:rsidR="00C36663" w:rsidRDefault="00C36663" w:rsidP="00C36663">
      <w:pPr>
        <w:pStyle w:val="Body"/>
        <w:rPr>
          <w:kern w:val="2"/>
          <w:szCs w:val="21"/>
          <w14:ligatures w14:val="standardContextual"/>
        </w:rPr>
      </w:pPr>
      <w:r>
        <w:t>Providers must ensure volunteers are appropriately recruited, trained, supervised and supported. Providers should set defined role boundaries for the volunteer coordinator and volunteers for effective risk management and safe service delivery.</w:t>
      </w:r>
    </w:p>
    <w:p w14:paraId="09A90F79" w14:textId="77777777" w:rsidR="00C36663" w:rsidRPr="00DE112D" w:rsidRDefault="00C36663" w:rsidP="00C36663">
      <w:pPr>
        <w:pStyle w:val="Heading3"/>
        <w:rPr>
          <w:shd w:val="clear" w:color="auto" w:fill="FFFFFF"/>
        </w:rPr>
      </w:pPr>
      <w:r>
        <w:rPr>
          <w:shd w:val="clear" w:color="auto" w:fill="FFFFFF"/>
        </w:rPr>
        <w:lastRenderedPageBreak/>
        <w:t xml:space="preserve">6.4.3 </w:t>
      </w:r>
      <w:r>
        <w:rPr>
          <w:lang w:eastAsia="en-AU"/>
        </w:rPr>
        <w:t xml:space="preserve">Flexible Service Response – </w:t>
      </w:r>
      <w:r>
        <w:rPr>
          <w:shd w:val="clear" w:color="auto" w:fill="FFFFFF"/>
        </w:rPr>
        <w:t>Social Support</w:t>
      </w:r>
      <w:r>
        <w:t xml:space="preserve"> </w:t>
      </w:r>
    </w:p>
    <w:p w14:paraId="35C3510D" w14:textId="77777777" w:rsidR="00C36663" w:rsidRPr="007B085F" w:rsidRDefault="00C36663" w:rsidP="00C36663">
      <w:pPr>
        <w:pStyle w:val="Body"/>
      </w:pPr>
      <w:r w:rsidRPr="007B085F">
        <w:t>F</w:t>
      </w:r>
      <w:r>
        <w:t>lexible Service Response</w:t>
      </w:r>
      <w:r w:rsidRPr="007B085F">
        <w:t xml:space="preserve"> </w:t>
      </w:r>
      <w:r>
        <w:t>S</w:t>
      </w:r>
      <w:r w:rsidRPr="007B085F">
        <w:t xml:space="preserve">ocial </w:t>
      </w:r>
      <w:r>
        <w:t>S</w:t>
      </w:r>
      <w:r w:rsidRPr="007B085F">
        <w:t>upport</w:t>
      </w:r>
      <w:r>
        <w:t xml:space="preserve"> (Social Support)</w:t>
      </w:r>
      <w:r w:rsidRPr="007B085F">
        <w:t xml:space="preserve"> provides one</w:t>
      </w:r>
      <w:r>
        <w:t>-</w:t>
      </w:r>
      <w:r w:rsidRPr="007B085F">
        <w:t>on</w:t>
      </w:r>
      <w:r w:rsidRPr="007B085F">
        <w:noBreakHyphen/>
        <w:t xml:space="preserve">one </w:t>
      </w:r>
      <w:r>
        <w:t>or</w:t>
      </w:r>
      <w:r w:rsidRPr="007B085F">
        <w:t xml:space="preserve"> small</w:t>
      </w:r>
      <w:r w:rsidRPr="007B085F">
        <w:noBreakHyphen/>
        <w:t xml:space="preserve">group social connection and community engagement for </w:t>
      </w:r>
      <w:r>
        <w:t>consumers</w:t>
      </w:r>
      <w:r w:rsidRPr="007B085F">
        <w:t xml:space="preserve"> who are socially isolated or experiencing barriers to participation. Activities support participation in social, community, cultural, recreational, and everyday activities relevant to a person’s needs and circumstances.</w:t>
      </w:r>
    </w:p>
    <w:p w14:paraId="21092D20" w14:textId="77777777" w:rsidR="00C36663" w:rsidRPr="007B085F" w:rsidRDefault="00C36663" w:rsidP="00C36663">
      <w:pPr>
        <w:pStyle w:val="Body"/>
      </w:pPr>
      <w:r>
        <w:t>Social Support</w:t>
      </w:r>
      <w:r w:rsidRPr="007B085F">
        <w:t xml:space="preserve"> is delivered flexibly in response to identified </w:t>
      </w:r>
      <w:r>
        <w:t xml:space="preserve">consumer </w:t>
      </w:r>
      <w:r w:rsidRPr="007B085F">
        <w:t>need</w:t>
      </w:r>
      <w:r>
        <w:t>s</w:t>
      </w:r>
      <w:r w:rsidRPr="007B085F">
        <w:t xml:space="preserve"> and is time</w:t>
      </w:r>
      <w:r w:rsidRPr="007B085F">
        <w:noBreakHyphen/>
        <w:t>limited. Activities are delivered by paid staff through direct support</w:t>
      </w:r>
      <w:r>
        <w:t xml:space="preserve"> to access</w:t>
      </w:r>
      <w:r w:rsidRPr="007B085F">
        <w:t xml:space="preserve"> </w:t>
      </w:r>
      <w:r>
        <w:t>community activities or groups, based on the consumer’s needs and interests.</w:t>
      </w:r>
    </w:p>
    <w:p w14:paraId="7814F073" w14:textId="77777777" w:rsidR="00C36663" w:rsidRDefault="00C36663" w:rsidP="00C36663">
      <w:pPr>
        <w:pStyle w:val="Body"/>
      </w:pPr>
      <w:r w:rsidRPr="00724186">
        <w:rPr>
          <w:b/>
          <w:bCs/>
        </w:rPr>
        <w:t>Workforce and capability requirements:</w:t>
      </w:r>
    </w:p>
    <w:p w14:paraId="56596516" w14:textId="77777777" w:rsidR="00C36663" w:rsidRPr="00724186" w:rsidRDefault="00C36663" w:rsidP="00C36663">
      <w:pPr>
        <w:pStyle w:val="Body"/>
      </w:pPr>
      <w:r w:rsidRPr="00724186">
        <w:t>Social support workforce must have relevant competencies and training appropriate to the age group and type of supports delivered. Providers must ensure staff understand escalation pathways and work within clearly defined roles, particularly where risks to safety, nutrition or wellbeing are identified.</w:t>
      </w:r>
    </w:p>
    <w:p w14:paraId="3E87D9D4" w14:textId="77777777" w:rsidR="00C36663" w:rsidRPr="00E57675" w:rsidRDefault="00C36663" w:rsidP="00C36663">
      <w:pPr>
        <w:pStyle w:val="Heading2"/>
        <w:rPr>
          <w:shd w:val="clear" w:color="auto" w:fill="FFFFFF"/>
        </w:rPr>
      </w:pPr>
      <w:bookmarkStart w:id="48" w:name="_Toc232491446"/>
      <w:bookmarkStart w:id="49" w:name="_Toc233281403"/>
      <w:r>
        <w:rPr>
          <w:rFonts w:eastAsia="Times"/>
          <w:shd w:val="clear" w:color="auto" w:fill="FFFFFF"/>
        </w:rPr>
        <w:t>6</w:t>
      </w:r>
      <w:r w:rsidRPr="00E57675">
        <w:rPr>
          <w:rFonts w:eastAsia="Times"/>
          <w:shd w:val="clear" w:color="auto" w:fill="FFFFFF"/>
        </w:rPr>
        <w:t>.5 Workforce</w:t>
      </w:r>
      <w:bookmarkEnd w:id="48"/>
      <w:bookmarkEnd w:id="49"/>
      <w:r w:rsidRPr="00E57675">
        <w:rPr>
          <w:rFonts w:eastAsia="Times"/>
          <w:shd w:val="clear" w:color="auto" w:fill="FFFFFF"/>
        </w:rPr>
        <w:t xml:space="preserve"> </w:t>
      </w:r>
    </w:p>
    <w:p w14:paraId="7CBC75E0" w14:textId="77777777" w:rsidR="00C36663" w:rsidRDefault="00C36663" w:rsidP="00C36663">
      <w:pPr>
        <w:pStyle w:val="Body"/>
        <w:rPr>
          <w:shd w:val="clear" w:color="auto" w:fill="FFFFFF"/>
        </w:rPr>
      </w:pPr>
      <w:r w:rsidRPr="00E57675">
        <w:rPr>
          <w:shd w:val="clear" w:color="auto" w:fill="FFFFFF"/>
        </w:rPr>
        <w:t>Across all service streams, providers are responsible for ensuring recruitment, onboarding and supervision arrangements support safe service deliver</w:t>
      </w:r>
      <w:r>
        <w:rPr>
          <w:shd w:val="clear" w:color="auto" w:fill="FFFFFF"/>
        </w:rPr>
        <w:t>y and are aligned with relevant Employee Bargaining Agreements, clinical governance frameworks, and legislative obligations.</w:t>
      </w:r>
    </w:p>
    <w:p w14:paraId="650306BD" w14:textId="77777777" w:rsidR="00C36663" w:rsidRPr="00E57675" w:rsidRDefault="00C36663" w:rsidP="00C36663">
      <w:pPr>
        <w:pStyle w:val="Body"/>
        <w:rPr>
          <w:shd w:val="clear" w:color="auto" w:fill="FFFFFF"/>
        </w:rPr>
      </w:pPr>
      <w:r w:rsidRPr="00361053">
        <w:rPr>
          <w:shd w:val="clear" w:color="auto" w:fill="FFFFFF"/>
        </w:rPr>
        <w:t>Staff employed in management</w:t>
      </w:r>
      <w:r w:rsidRPr="008622E7">
        <w:rPr>
          <w:shd w:val="clear" w:color="auto" w:fill="FFFFFF"/>
        </w:rPr>
        <w:t>, coordination</w:t>
      </w:r>
      <w:r>
        <w:rPr>
          <w:shd w:val="clear" w:color="auto" w:fill="FFFFFF"/>
        </w:rPr>
        <w:t>, or</w:t>
      </w:r>
      <w:r w:rsidRPr="008622E7">
        <w:rPr>
          <w:shd w:val="clear" w:color="auto" w:fill="FFFFFF"/>
        </w:rPr>
        <w:t xml:space="preserve"> supervision roles are expected to have the skills, knowledge and qualifications </w:t>
      </w:r>
      <w:r>
        <w:rPr>
          <w:shd w:val="clear" w:color="auto" w:fill="FFFFFF"/>
        </w:rPr>
        <w:t xml:space="preserve">required to support safe and effective service delivery, </w:t>
      </w:r>
      <w:r w:rsidRPr="008622E7">
        <w:rPr>
          <w:shd w:val="clear" w:color="auto" w:fill="FFFFFF"/>
        </w:rPr>
        <w:t>supported by appropriate training pathways.</w:t>
      </w:r>
    </w:p>
    <w:p w14:paraId="40265DF2" w14:textId="77777777" w:rsidR="00C36663" w:rsidRDefault="00C36663" w:rsidP="00C36663">
      <w:pPr>
        <w:pStyle w:val="Body"/>
        <w:rPr>
          <w:shd w:val="clear" w:color="auto" w:fill="FFFFFF"/>
        </w:rPr>
      </w:pPr>
      <w:r w:rsidRPr="00E57675">
        <w:rPr>
          <w:b/>
          <w:bCs/>
          <w:shd w:val="clear" w:color="auto" w:fill="FFFFFF"/>
        </w:rPr>
        <w:t>Pre</w:t>
      </w:r>
      <w:r w:rsidRPr="00E57675">
        <w:rPr>
          <w:b/>
          <w:bCs/>
          <w:shd w:val="clear" w:color="auto" w:fill="FFFFFF"/>
        </w:rPr>
        <w:noBreakHyphen/>
        <w:t>employment safety screening:</w:t>
      </w:r>
    </w:p>
    <w:p w14:paraId="1AEEEC3A" w14:textId="77777777" w:rsidR="00C36663" w:rsidRDefault="00C36663" w:rsidP="00C36663">
      <w:pPr>
        <w:pStyle w:val="Body"/>
        <w:rPr>
          <w:kern w:val="2"/>
          <w:szCs w:val="21"/>
          <w14:ligatures w14:val="standardContextual"/>
        </w:rPr>
      </w:pPr>
      <w:r>
        <w:rPr>
          <w:color w:val="000000"/>
          <w:shd w:val="clear" w:color="auto" w:fill="FFFFFF"/>
        </w:rPr>
        <w:t>Providers must ensure appropriate pre</w:t>
      </w:r>
      <w:r>
        <w:rPr>
          <w:color w:val="000000"/>
          <w:shd w:val="clear" w:color="auto" w:fill="FFFFFF"/>
        </w:rPr>
        <w:noBreakHyphen/>
        <w:t>employment screening checks are undertaken for staff (paid or unpaid) and students prior to commencing work. Depending on the role and contact with children, this includes Police Checks and Working with Children Checks. Screening requirements must align with contractual and legislative obligations.</w:t>
      </w:r>
    </w:p>
    <w:p w14:paraId="5AE92258" w14:textId="77777777" w:rsidR="00C36663" w:rsidRPr="00DE112D" w:rsidRDefault="00C36663" w:rsidP="00C36663">
      <w:pPr>
        <w:pStyle w:val="Body"/>
        <w:rPr>
          <w:rFonts w:eastAsia="MS Gothic"/>
          <w:color w:val="53565A"/>
          <w:sz w:val="30"/>
          <w:szCs w:val="26"/>
          <w:shd w:val="clear" w:color="auto" w:fill="FFFFFF"/>
        </w:rPr>
      </w:pPr>
      <w:r w:rsidRPr="00DE112D">
        <w:rPr>
          <w:shd w:val="clear" w:color="auto" w:fill="FFFFFF"/>
        </w:rPr>
        <w:br w:type="page"/>
      </w:r>
    </w:p>
    <w:p w14:paraId="3CD7696E" w14:textId="77777777" w:rsidR="00C36663" w:rsidRDefault="00C36663" w:rsidP="00C36663">
      <w:pPr>
        <w:pStyle w:val="Heading1"/>
        <w:rPr>
          <w:shd w:val="clear" w:color="auto" w:fill="FFFFFF"/>
        </w:rPr>
      </w:pPr>
      <w:bookmarkStart w:id="50" w:name="_Toc232491447"/>
      <w:bookmarkStart w:id="51" w:name="_Toc233281404"/>
      <w:r w:rsidRPr="00E57675">
        <w:rPr>
          <w:rFonts w:eastAsia="Times"/>
          <w:shd w:val="clear" w:color="auto" w:fill="FFFFFF"/>
        </w:rPr>
        <w:lastRenderedPageBreak/>
        <w:t>7.</w:t>
      </w:r>
      <w:r>
        <w:rPr>
          <w:shd w:val="clear" w:color="auto" w:fill="FFFFFF"/>
        </w:rPr>
        <w:t xml:space="preserve"> Funding</w:t>
      </w:r>
      <w:bookmarkEnd w:id="50"/>
      <w:bookmarkEnd w:id="51"/>
    </w:p>
    <w:p w14:paraId="2EF4642C" w14:textId="77777777" w:rsidR="00C36663" w:rsidRPr="00775959" w:rsidRDefault="00C36663" w:rsidP="00C36663">
      <w:pPr>
        <w:pStyle w:val="Body"/>
      </w:pPr>
      <w:r>
        <w:t>With limited exceptions, HACC PYP</w:t>
      </w:r>
      <w:r w:rsidRPr="00775959">
        <w:t xml:space="preserve"> is activity</w:t>
      </w:r>
      <w:r w:rsidRPr="00775959">
        <w:noBreakHyphen/>
        <w:t>based</w:t>
      </w:r>
      <w:r>
        <w:t>, in which unit-priced funding is provided to deliver a specific service hour target, as defined in a Service Agreement or Statement of Priorities.</w:t>
      </w:r>
    </w:p>
    <w:p w14:paraId="70B3C333" w14:textId="77777777" w:rsidR="00C36663" w:rsidRPr="00775959" w:rsidRDefault="00C36663" w:rsidP="00C36663">
      <w:pPr>
        <w:pStyle w:val="Body"/>
      </w:pPr>
      <w:r w:rsidRPr="00775959">
        <w:t xml:space="preserve">Block funding is provided for </w:t>
      </w:r>
      <w:r>
        <w:t xml:space="preserve">a </w:t>
      </w:r>
      <w:r w:rsidRPr="00775959">
        <w:t xml:space="preserve">limited </w:t>
      </w:r>
      <w:r>
        <w:t xml:space="preserve">number of </w:t>
      </w:r>
      <w:r w:rsidRPr="00775959">
        <w:t>activities to support the delivery of services to consumers with more complex needs, and to cover specific costs, including volunteer</w:t>
      </w:r>
      <w:r w:rsidRPr="00775959">
        <w:noBreakHyphen/>
        <w:t xml:space="preserve">related expenses (such as Working with Children Checks and </w:t>
      </w:r>
      <w:r>
        <w:t>P</w:t>
      </w:r>
      <w:r w:rsidRPr="00775959">
        <w:t xml:space="preserve">olice </w:t>
      </w:r>
      <w:r>
        <w:t>C</w:t>
      </w:r>
      <w:r w:rsidRPr="00775959">
        <w:t>hecks).</w:t>
      </w:r>
    </w:p>
    <w:p w14:paraId="3B5465DA" w14:textId="77777777" w:rsidR="00C36663" w:rsidRDefault="00C36663" w:rsidP="00C36663">
      <w:pPr>
        <w:pStyle w:val="Body"/>
      </w:pPr>
      <w:r w:rsidRPr="00775959">
        <w:t xml:space="preserve">Service </w:t>
      </w:r>
      <w:r>
        <w:t>A</w:t>
      </w:r>
      <w:r w:rsidRPr="00775959">
        <w:t>greements and Statements of Priorities also include provisions that allow providers to subcontract services, in whole or in part, to a third party at or below the unit price, subject to approval by the department.</w:t>
      </w:r>
    </w:p>
    <w:p w14:paraId="2FD42C72" w14:textId="77777777" w:rsidR="00C36663" w:rsidRDefault="00C36663" w:rsidP="00C36663">
      <w:pPr>
        <w:pStyle w:val="Body"/>
        <w:rPr>
          <w:kern w:val="2"/>
          <w:szCs w:val="21"/>
          <w14:ligatures w14:val="standardContextual"/>
        </w:rPr>
      </w:pPr>
      <w:r>
        <w:t>Providers can renegotiate the mix of services delivered within a service stream in response to service planning and changing community or local needs, subject to departmental approval. Providers are generally provided the opportunity to renegotiate service mixes annually, subject to departmental approval, in a cost-neutral manner. Any changes to the use of funding are agreed in writing between the service provider and the department through the renegotiation process.</w:t>
      </w:r>
    </w:p>
    <w:p w14:paraId="3D222045" w14:textId="33E29429" w:rsidR="00C36663" w:rsidRDefault="00C36663" w:rsidP="00666A94">
      <w:pPr>
        <w:pStyle w:val="Body"/>
      </w:pPr>
      <w:r>
        <w:t>Costs associated with</w:t>
      </w:r>
      <w:r w:rsidRPr="00775959">
        <w:t xml:space="preserve"> entertainment, activities or catering </w:t>
      </w:r>
      <w:r>
        <w:t xml:space="preserve">(e.g., in Planned Activity Groups) </w:t>
      </w:r>
      <w:r w:rsidRPr="00775959">
        <w:t>are the responsibility of the consumer and are typically met through a contribution, in addition to any fee charged.</w:t>
      </w:r>
    </w:p>
    <w:p w14:paraId="2AAC0D57" w14:textId="180C36AD" w:rsidR="00886AFB" w:rsidRDefault="00886AFB" w:rsidP="00886AFB">
      <w:pPr>
        <w:pStyle w:val="Heading2"/>
      </w:pPr>
      <w:bookmarkStart w:id="52" w:name="_Toc232491448"/>
      <w:bookmarkStart w:id="53" w:name="_Toc233281405"/>
      <w:r>
        <w:t>7.1 Unit price</w:t>
      </w:r>
      <w:bookmarkEnd w:id="52"/>
      <w:bookmarkEnd w:id="53"/>
    </w:p>
    <w:p w14:paraId="7266E5A3" w14:textId="5BE6A669" w:rsidR="00C36663" w:rsidRDefault="00C52CB0" w:rsidP="00C52CB0">
      <w:pPr>
        <w:pStyle w:val="Tablecaption"/>
      </w:pPr>
      <w:r>
        <w:t xml:space="preserve">Table </w:t>
      </w:r>
      <w:r w:rsidR="00666A94">
        <w:t>2</w:t>
      </w:r>
      <w:r>
        <w:t xml:space="preserve">: </w:t>
      </w:r>
      <w:r w:rsidR="00666A94">
        <w:t>Costs included in HACC PYP unit prices</w:t>
      </w:r>
    </w:p>
    <w:tbl>
      <w:tblPr>
        <w:tblStyle w:val="TableGrid"/>
        <w:tblW w:w="9298" w:type="dxa"/>
        <w:tblLook w:val="06A0" w:firstRow="1" w:lastRow="0" w:firstColumn="1" w:lastColumn="0" w:noHBand="1" w:noVBand="1"/>
      </w:tblPr>
      <w:tblGrid>
        <w:gridCol w:w="4649"/>
        <w:gridCol w:w="4649"/>
      </w:tblGrid>
      <w:tr w:rsidR="00C36663" w14:paraId="741A16C6" w14:textId="77777777" w:rsidTr="0007127F">
        <w:trPr>
          <w:tblHeader/>
        </w:trPr>
        <w:tc>
          <w:tcPr>
            <w:tcW w:w="4649" w:type="dxa"/>
          </w:tcPr>
          <w:p w14:paraId="708483D1" w14:textId="2E4FD02E" w:rsidR="00C36663" w:rsidRPr="00CB3285" w:rsidRDefault="00666A94" w:rsidP="0007127F">
            <w:pPr>
              <w:pStyle w:val="Tablecolhead"/>
              <w:keepNext/>
              <w:keepLines/>
            </w:pPr>
            <w:r>
              <w:t>Direct costs</w:t>
            </w:r>
          </w:p>
        </w:tc>
        <w:tc>
          <w:tcPr>
            <w:tcW w:w="4649" w:type="dxa"/>
          </w:tcPr>
          <w:p w14:paraId="26C1CE75" w14:textId="19D8DD78" w:rsidR="00C36663" w:rsidRDefault="00666A94" w:rsidP="0007127F">
            <w:pPr>
              <w:pStyle w:val="Tablecolhead"/>
              <w:keepNext/>
              <w:keepLines/>
            </w:pPr>
            <w:r>
              <w:t>Indirect costs</w:t>
            </w:r>
          </w:p>
        </w:tc>
      </w:tr>
      <w:tr w:rsidR="00C36663" w14:paraId="127648CC" w14:textId="77777777" w:rsidTr="0007127F">
        <w:tc>
          <w:tcPr>
            <w:tcW w:w="4649" w:type="dxa"/>
          </w:tcPr>
          <w:p w14:paraId="27E89395" w14:textId="4FEABEF5" w:rsidR="00C36663" w:rsidRDefault="00666A94" w:rsidP="0007127F">
            <w:pPr>
              <w:pStyle w:val="Tabletext"/>
              <w:keepNext/>
              <w:keepLines/>
            </w:pPr>
            <w:r>
              <w:rPr>
                <w:lang w:eastAsia="en-AU"/>
              </w:rPr>
              <w:t>Workforce costs for the delivery of one hour of service.</w:t>
            </w:r>
          </w:p>
        </w:tc>
        <w:tc>
          <w:tcPr>
            <w:tcW w:w="4649" w:type="dxa"/>
          </w:tcPr>
          <w:p w14:paraId="47E1F500" w14:textId="77777777" w:rsidR="00C36663" w:rsidRDefault="00666A94" w:rsidP="0007127F">
            <w:pPr>
              <w:pStyle w:val="Tablebullet1"/>
              <w:keepNext/>
              <w:keepLines/>
            </w:pPr>
            <w:r>
              <w:t>Travel expenses</w:t>
            </w:r>
          </w:p>
          <w:p w14:paraId="026D0F80" w14:textId="77777777" w:rsidR="00666A94" w:rsidRDefault="00666A94" w:rsidP="0007127F">
            <w:pPr>
              <w:pStyle w:val="Tablebullet1"/>
              <w:keepNext/>
              <w:keepLines/>
            </w:pPr>
            <w:r>
              <w:t>General operating costs and overheads</w:t>
            </w:r>
          </w:p>
          <w:p w14:paraId="307BA504" w14:textId="2714EF0B" w:rsidR="00666A94" w:rsidRDefault="00666A94" w:rsidP="0007127F">
            <w:pPr>
              <w:pStyle w:val="Tablebullet1"/>
              <w:keepNext/>
              <w:keepLines/>
            </w:pPr>
            <w:r>
              <w:t>Corporate costs (e.g., corporate support functions, rent, facility management, etc.)</w:t>
            </w:r>
          </w:p>
        </w:tc>
      </w:tr>
    </w:tbl>
    <w:p w14:paraId="2A45D11F" w14:textId="66CA0AB1" w:rsidR="00C36663" w:rsidRDefault="00C36663" w:rsidP="00F45BC0">
      <w:pPr>
        <w:pStyle w:val="Body"/>
      </w:pPr>
    </w:p>
    <w:p w14:paraId="42EFA5EA" w14:textId="77777777" w:rsidR="00F45BC0" w:rsidRPr="00F45BC0" w:rsidRDefault="00F45BC0" w:rsidP="00F45BC0">
      <w:pPr>
        <w:pStyle w:val="Body"/>
        <w:rPr>
          <w:b/>
          <w:bCs/>
        </w:rPr>
      </w:pPr>
      <w:r w:rsidRPr="00F45BC0">
        <w:rPr>
          <w:b/>
          <w:bCs/>
        </w:rPr>
        <w:t>Supporting resource</w:t>
      </w:r>
    </w:p>
    <w:p w14:paraId="7EBCC956" w14:textId="6ABC39CD" w:rsidR="00F45BC0" w:rsidRDefault="00F45BC0" w:rsidP="00F45BC0">
      <w:pPr>
        <w:pStyle w:val="Body"/>
      </w:pPr>
      <w:hyperlink r:id="rId30">
        <w:r w:rsidRPr="3325ED4B">
          <w:rPr>
            <w:rStyle w:val="Hyperlink"/>
          </w:rPr>
          <w:t xml:space="preserve">Policy and </w:t>
        </w:r>
        <w:r>
          <w:rPr>
            <w:rStyle w:val="Hyperlink"/>
          </w:rPr>
          <w:t>F</w:t>
        </w:r>
        <w:r w:rsidRPr="3325ED4B">
          <w:rPr>
            <w:rStyle w:val="Hyperlink"/>
          </w:rPr>
          <w:t xml:space="preserve">unding </w:t>
        </w:r>
        <w:r>
          <w:rPr>
            <w:rStyle w:val="Hyperlink"/>
          </w:rPr>
          <w:t>G</w:t>
        </w:r>
        <w:r w:rsidRPr="3325ED4B">
          <w:rPr>
            <w:rStyle w:val="Hyperlink"/>
          </w:rPr>
          <w:t>uidelines for health services</w:t>
        </w:r>
      </w:hyperlink>
      <w:r>
        <w:t xml:space="preserve"> &lt;https://www.health.vic.gov.au/policy-and-funding-guidelines-for-health-services&gt;</w:t>
      </w:r>
    </w:p>
    <w:p w14:paraId="725D3214" w14:textId="77777777" w:rsidR="00E23AC5" w:rsidRPr="00B65E6F" w:rsidDel="00C83387" w:rsidRDefault="00E23AC5" w:rsidP="00E23AC5">
      <w:pPr>
        <w:pStyle w:val="Heading2"/>
      </w:pPr>
      <w:bookmarkStart w:id="54" w:name="_Toc232491449"/>
      <w:bookmarkStart w:id="55" w:name="_Toc233281406"/>
      <w:r>
        <w:t>7.2</w:t>
      </w:r>
      <w:r w:rsidDel="00C83387">
        <w:t xml:space="preserve"> </w:t>
      </w:r>
      <w:r w:rsidRPr="00B65E6F" w:rsidDel="00C83387">
        <w:t>Fees policy</w:t>
      </w:r>
      <w:bookmarkEnd w:id="54"/>
      <w:bookmarkEnd w:id="55"/>
    </w:p>
    <w:p w14:paraId="7C57227F" w14:textId="77777777" w:rsidR="00E23AC5" w:rsidRPr="0026186E" w:rsidRDefault="00E23AC5" w:rsidP="00E23AC5">
      <w:pPr>
        <w:pStyle w:val="Body"/>
      </w:pPr>
      <w:r>
        <w:t>Providers</w:t>
      </w:r>
      <w:r w:rsidRPr="00044FDF">
        <w:t xml:space="preserve"> are funded through a combination of departmental funding and </w:t>
      </w:r>
      <w:r>
        <w:t>consumer</w:t>
      </w:r>
      <w:r w:rsidRPr="00044FDF">
        <w:t xml:space="preserve"> contributions. In addition to direct funding, all HACC PYP-funded organisations are required to operate in accordance with </w:t>
      </w:r>
      <w:r w:rsidRPr="0026186E">
        <w:t xml:space="preserve">the </w:t>
      </w:r>
      <w:r w:rsidRPr="003342D1">
        <w:t>HACC PYP fees policy and schedule of fees</w:t>
      </w:r>
      <w:r w:rsidRPr="0026186E">
        <w:t xml:space="preserve">, which sets out the principles and approach for determining </w:t>
      </w:r>
      <w:r>
        <w:t>consumer</w:t>
      </w:r>
      <w:r w:rsidRPr="0026186E">
        <w:t xml:space="preserve"> contributions.</w:t>
      </w:r>
    </w:p>
    <w:p w14:paraId="35D35E72" w14:textId="77777777" w:rsidR="00E23AC5" w:rsidRDefault="00E23AC5" w:rsidP="00E23AC5">
      <w:pPr>
        <w:pStyle w:val="Body"/>
        <w:rPr>
          <w:kern w:val="2"/>
          <w:szCs w:val="21"/>
          <w14:ligatures w14:val="standardContextual"/>
        </w:rPr>
      </w:pPr>
      <w:r>
        <w:t xml:space="preserve">Providers may charge a fee to consumers assessed as having the capacity to pay; however, fees must be applied consistently, equitably, and within the fees policy, including that inability to pay cannot be used as a basis to refuse a service and that fees must not exceed the cost of service provision. </w:t>
      </w:r>
    </w:p>
    <w:p w14:paraId="08DAFC15" w14:textId="77777777" w:rsidR="00E23AC5" w:rsidRPr="00206A9B" w:rsidRDefault="00E23AC5" w:rsidP="00E23AC5">
      <w:pPr>
        <w:pStyle w:val="Body"/>
      </w:pPr>
      <w:r w:rsidRPr="00206A9B">
        <w:t>Service</w:t>
      </w:r>
      <w:r w:rsidRPr="007B085F">
        <w:t>s</w:t>
      </w:r>
      <w:r w:rsidRPr="00206A9B">
        <w:t xml:space="preserve"> provided to </w:t>
      </w:r>
      <w:r>
        <w:t>consumer</w:t>
      </w:r>
      <w:r w:rsidRPr="00206A9B">
        <w:t xml:space="preserve">s in a private capacity, where the full cost of the service is paid by the </w:t>
      </w:r>
      <w:r>
        <w:t>consumer</w:t>
      </w:r>
      <w:r w:rsidRPr="00206A9B">
        <w:t xml:space="preserve"> or the fee charged exceeds the maximum fee</w:t>
      </w:r>
      <w:r>
        <w:t xml:space="preserve"> payable, as</w:t>
      </w:r>
      <w:r w:rsidRPr="00206A9B">
        <w:t xml:space="preserve"> set in the fees policy</w:t>
      </w:r>
      <w:r>
        <w:t>,</w:t>
      </w:r>
      <w:r w:rsidRPr="00206A9B">
        <w:t xml:space="preserve"> </w:t>
      </w:r>
      <w:r>
        <w:t>are</w:t>
      </w:r>
      <w:r w:rsidRPr="00206A9B">
        <w:t xml:space="preserve"> </w:t>
      </w:r>
      <w:r w:rsidRPr="00206A9B">
        <w:lastRenderedPageBreak/>
        <w:t>not reportable as service hours</w:t>
      </w:r>
      <w:r>
        <w:t xml:space="preserve"> against performance targets.</w:t>
      </w:r>
      <w:r w:rsidRPr="00206A9B">
        <w:t xml:space="preserve"> Income generated through fees is retained by the provider and used to enhance or expand service delivery. </w:t>
      </w:r>
    </w:p>
    <w:p w14:paraId="54055BBD" w14:textId="77777777" w:rsidR="00E23AC5" w:rsidDel="00C83387" w:rsidRDefault="00E23AC5" w:rsidP="00E23AC5">
      <w:pPr>
        <w:pStyle w:val="Body"/>
      </w:pPr>
      <w:r w:rsidRPr="006D1F5F" w:rsidDel="00C83387">
        <w:rPr>
          <w:b/>
          <w:bCs/>
        </w:rPr>
        <w:t xml:space="preserve">Supporting </w:t>
      </w:r>
      <w:r w:rsidDel="00C83387">
        <w:rPr>
          <w:b/>
          <w:bCs/>
        </w:rPr>
        <w:t>r</w:t>
      </w:r>
      <w:r w:rsidRPr="006D1F5F" w:rsidDel="00C83387">
        <w:rPr>
          <w:b/>
          <w:bCs/>
        </w:rPr>
        <w:t>esource</w:t>
      </w:r>
    </w:p>
    <w:p w14:paraId="6C9D3EA5" w14:textId="15F0DA4C" w:rsidR="00E23AC5" w:rsidRDefault="00E23AC5" w:rsidP="00E23AC5">
      <w:pPr>
        <w:pStyle w:val="Body"/>
        <w:rPr>
          <w:rFonts w:cs="Arial"/>
          <w:color w:val="000000"/>
          <w:szCs w:val="21"/>
          <w:shd w:val="clear" w:color="auto" w:fill="FFFFFF"/>
        </w:rPr>
      </w:pPr>
      <w:hyperlink r:id="rId31" w:history="1">
        <w:r w:rsidDel="00C83387">
          <w:rPr>
            <w:rStyle w:val="Hyperlink"/>
            <w:rFonts w:cs="Arial"/>
            <w:szCs w:val="21"/>
            <w:shd w:val="clear" w:color="auto" w:fill="FFFFFF"/>
          </w:rPr>
          <w:t>HACC PYP</w:t>
        </w:r>
        <w:r w:rsidRPr="007C362E" w:rsidDel="00C83387">
          <w:rPr>
            <w:rStyle w:val="Hyperlink"/>
            <w:rFonts w:cs="Arial"/>
            <w:szCs w:val="21"/>
            <w:shd w:val="clear" w:color="auto" w:fill="FFFFFF"/>
          </w:rPr>
          <w:t xml:space="preserve"> fees polic</w:t>
        </w:r>
        <w:r w:rsidDel="00C83387">
          <w:rPr>
            <w:rStyle w:val="Hyperlink"/>
            <w:rFonts w:cs="Arial"/>
            <w:szCs w:val="21"/>
            <w:shd w:val="clear" w:color="auto" w:fill="FFFFFF"/>
          </w:rPr>
          <w:t>y and schedule of fees</w:t>
        </w:r>
      </w:hyperlink>
      <w:r w:rsidDel="00C83387">
        <w:rPr>
          <w:rFonts w:cs="Arial"/>
          <w:color w:val="000000"/>
          <w:szCs w:val="21"/>
          <w:shd w:val="clear" w:color="auto" w:fill="FFFFFF"/>
        </w:rPr>
        <w:t xml:space="preserve"> &lt;</w:t>
      </w:r>
      <w:r w:rsidRPr="007C362E" w:rsidDel="00C83387">
        <w:rPr>
          <w:rFonts w:cs="Arial"/>
          <w:color w:val="000000"/>
          <w:szCs w:val="21"/>
          <w:shd w:val="clear" w:color="auto" w:fill="FFFFFF"/>
        </w:rPr>
        <w:t>https://www.health.vic.gov.au/home-and-community-care/</w:t>
      </w:r>
      <w:r w:rsidR="00AA2A4E" w:rsidRPr="00AA2A4E">
        <w:rPr>
          <w:rFonts w:cs="Arial"/>
          <w:color w:val="000000"/>
          <w:szCs w:val="21"/>
          <w:shd w:val="clear" w:color="auto" w:fill="FFFFFF"/>
        </w:rPr>
        <w:t>hacc-pyp-fees-policy-and-schedule-of-fees</w:t>
      </w:r>
      <w:r w:rsidDel="00C83387">
        <w:rPr>
          <w:rFonts w:cs="Arial"/>
          <w:color w:val="000000"/>
          <w:szCs w:val="21"/>
          <w:shd w:val="clear" w:color="auto" w:fill="FFFFFF"/>
        </w:rPr>
        <w:t>&gt;</w:t>
      </w:r>
    </w:p>
    <w:p w14:paraId="677929BD" w14:textId="77777777" w:rsidR="00E23AC5" w:rsidRPr="00BB1181" w:rsidRDefault="00E23AC5" w:rsidP="00E23AC5">
      <w:pPr>
        <w:pStyle w:val="Heading2"/>
      </w:pPr>
      <w:bookmarkStart w:id="56" w:name="_Toc232491450"/>
      <w:bookmarkStart w:id="57" w:name="_Toc233281407"/>
      <w:r>
        <w:t>7.3 Acknowledgement</w:t>
      </w:r>
      <w:r w:rsidRPr="00BB1181">
        <w:t xml:space="preserve"> of </w:t>
      </w:r>
      <w:r>
        <w:t>HACC PYP</w:t>
      </w:r>
      <w:r w:rsidRPr="00BB1181">
        <w:t xml:space="preserve"> Funding</w:t>
      </w:r>
      <w:bookmarkEnd w:id="56"/>
      <w:bookmarkEnd w:id="57"/>
    </w:p>
    <w:p w14:paraId="2E4323C8" w14:textId="77777777" w:rsidR="00E23AC5" w:rsidRPr="00BB1181" w:rsidRDefault="00E23AC5" w:rsidP="00E23AC5">
      <w:pPr>
        <w:pStyle w:val="Body"/>
      </w:pPr>
      <w:r>
        <w:t>Providers</w:t>
      </w:r>
      <w:r w:rsidRPr="00BB1181">
        <w:t xml:space="preserve"> acknowledge the use of </w:t>
      </w:r>
      <w:r>
        <w:t>HACC PYP</w:t>
      </w:r>
      <w:r w:rsidRPr="00BB1181">
        <w:t xml:space="preserve"> funding in program advertis</w:t>
      </w:r>
      <w:r>
        <w:t>ing, promotion, provider websites, and communications materials to</w:t>
      </w:r>
      <w:r w:rsidRPr="00BB1181">
        <w:t xml:space="preserve"> support </w:t>
      </w:r>
      <w:r>
        <w:t>visibility of the utilisation of public funds for Victorians</w:t>
      </w:r>
      <w:r w:rsidRPr="00BB1181">
        <w:t xml:space="preserve">. </w:t>
      </w:r>
      <w:r>
        <w:t>T</w:t>
      </w:r>
      <w:r w:rsidRPr="00BB1181">
        <w:t xml:space="preserve">he </w:t>
      </w:r>
      <w:r>
        <w:t>d</w:t>
      </w:r>
      <w:r w:rsidRPr="00BB1181">
        <w:t>epartment recommends the following:</w:t>
      </w:r>
    </w:p>
    <w:p w14:paraId="60C08D9D" w14:textId="77777777" w:rsidR="00E23AC5" w:rsidRDefault="00E23AC5" w:rsidP="00E23AC5">
      <w:pPr>
        <w:pStyle w:val="Body"/>
        <w:rPr>
          <w:i/>
          <w:iCs/>
        </w:rPr>
      </w:pPr>
      <w:r w:rsidRPr="00661B21">
        <w:rPr>
          <w:i/>
          <w:iCs/>
        </w:rPr>
        <w:t xml:space="preserve">This service is delivered </w:t>
      </w:r>
      <w:r>
        <w:rPr>
          <w:i/>
          <w:iCs/>
        </w:rPr>
        <w:t>with</w:t>
      </w:r>
      <w:r w:rsidRPr="00661B21">
        <w:rPr>
          <w:i/>
          <w:iCs/>
        </w:rPr>
        <w:t xml:space="preserve"> Victorian Government funding and is part of the Victorian </w:t>
      </w:r>
      <w:r>
        <w:rPr>
          <w:i/>
          <w:iCs/>
        </w:rPr>
        <w:t>Home and Community Care Program for Younger People.</w:t>
      </w:r>
    </w:p>
    <w:p w14:paraId="5605B7B2" w14:textId="77777777" w:rsidR="00E23AC5" w:rsidRPr="003342D1" w:rsidRDefault="00E23AC5" w:rsidP="00E23AC5">
      <w:pPr>
        <w:pStyle w:val="Body"/>
        <w:rPr>
          <w:b/>
          <w:bCs/>
        </w:rPr>
      </w:pPr>
      <w:r w:rsidRPr="003342D1">
        <w:rPr>
          <w:b/>
          <w:bCs/>
        </w:rPr>
        <w:t>Supporting resource:</w:t>
      </w:r>
    </w:p>
    <w:p w14:paraId="34650494" w14:textId="523D4DAA" w:rsidR="00E23AC5" w:rsidRPr="00204AB6" w:rsidDel="00C83387" w:rsidRDefault="008D6354" w:rsidP="00E23AC5">
      <w:pPr>
        <w:pStyle w:val="Body"/>
      </w:pPr>
      <w:hyperlink r:id="rId32" w:history="1">
        <w:r w:rsidRPr="008D6354">
          <w:rPr>
            <w:rStyle w:val="Hyperlink"/>
          </w:rPr>
          <w:t>Home | DFFH Funded Agency Channel</w:t>
        </w:r>
      </w:hyperlink>
      <w:r w:rsidRPr="008D6354">
        <w:t xml:space="preserve"> </w:t>
      </w:r>
      <w:r w:rsidR="00E23AC5" w:rsidRPr="00204AB6">
        <w:t>&lt;https://fac.dffh.vic.gov.au&gt;</w:t>
      </w:r>
    </w:p>
    <w:p w14:paraId="226D5E3C" w14:textId="77777777" w:rsidR="00E23AC5" w:rsidRDefault="00E23AC5" w:rsidP="00E23AC5">
      <w:pPr>
        <w:pStyle w:val="Heading1"/>
      </w:pPr>
      <w:bookmarkStart w:id="58" w:name="_Toc232491451"/>
      <w:bookmarkStart w:id="59" w:name="_Toc233281408"/>
      <w:r>
        <w:t>8. Reporting and data collection</w:t>
      </w:r>
      <w:bookmarkEnd w:id="58"/>
      <w:bookmarkEnd w:id="59"/>
    </w:p>
    <w:p w14:paraId="58C4EDAD" w14:textId="77777777" w:rsidR="00E23AC5" w:rsidRDefault="00E23AC5" w:rsidP="00E23AC5">
      <w:pPr>
        <w:pStyle w:val="Body"/>
      </w:pPr>
      <w:r>
        <w:t xml:space="preserve">The department collects data from Providers through the </w:t>
      </w:r>
      <w:r w:rsidRPr="00520B48">
        <w:t>Victorian Community Support</w:t>
      </w:r>
      <w:r>
        <w:t xml:space="preserve"> Services</w:t>
      </w:r>
      <w:r w:rsidRPr="00520B48">
        <w:t xml:space="preserve"> </w:t>
      </w:r>
      <w:r>
        <w:t>M</w:t>
      </w:r>
      <w:r w:rsidRPr="00520B48">
        <w:t xml:space="preserve">inimum </w:t>
      </w:r>
      <w:r>
        <w:t>D</w:t>
      </w:r>
      <w:r w:rsidRPr="00520B48">
        <w:t xml:space="preserve">ata </w:t>
      </w:r>
      <w:r>
        <w:t>S</w:t>
      </w:r>
      <w:r w:rsidRPr="00520B48">
        <w:t xml:space="preserve">et </w:t>
      </w:r>
      <w:r>
        <w:t>(VCSS MDS).</w:t>
      </w:r>
    </w:p>
    <w:p w14:paraId="15DEE370" w14:textId="77777777" w:rsidR="00E23AC5" w:rsidRDefault="00E23AC5" w:rsidP="00E23AC5">
      <w:pPr>
        <w:pStyle w:val="Body"/>
      </w:pPr>
      <w:r w:rsidRPr="007B085F">
        <w:rPr>
          <w:rStyle w:val="Strong"/>
          <w:b w:val="0"/>
        </w:rPr>
        <w:t>The department uses VCSS</w:t>
      </w:r>
      <w:r>
        <w:rPr>
          <w:rStyle w:val="Strong"/>
          <w:b w:val="0"/>
        </w:rPr>
        <w:t xml:space="preserve"> </w:t>
      </w:r>
      <w:r w:rsidRPr="007B085F">
        <w:rPr>
          <w:rStyle w:val="Strong"/>
          <w:b w:val="0"/>
        </w:rPr>
        <w:t>MDS data for performance monitoring, service planning and policy development.</w:t>
      </w:r>
      <w:r>
        <w:t xml:space="preserve"> This includes monitoring service delivery against funding, understanding consumer characteristics and service use, and informing program and system-level strategy and decision-making.</w:t>
      </w:r>
    </w:p>
    <w:p w14:paraId="22C7EE25" w14:textId="77777777" w:rsidR="00E23AC5" w:rsidRDefault="00E23AC5" w:rsidP="00E23AC5">
      <w:pPr>
        <w:pStyle w:val="Body"/>
      </w:pPr>
      <w:r>
        <w:t>Providers are required to submit accurate and timely data in accordance with VCSS MDS requirements, to support transparency, accountability and a consistent evidence base of service delivery across the sector.</w:t>
      </w:r>
    </w:p>
    <w:p w14:paraId="6B07CC98" w14:textId="77777777" w:rsidR="00E23AC5" w:rsidRPr="00133C1B" w:rsidRDefault="00E23AC5" w:rsidP="00E23AC5">
      <w:pPr>
        <w:pStyle w:val="Body"/>
        <w:rPr>
          <w:rFonts w:cs="Arial"/>
          <w:color w:val="000000"/>
          <w:szCs w:val="21"/>
          <w:shd w:val="clear" w:color="auto" w:fill="FFFFFF"/>
        </w:rPr>
      </w:pPr>
      <w:r>
        <w:t xml:space="preserve">Each HACC PYP service provider can view a series of reports generated from data submitted, including a report which details the service provider’s number of hours service delivered against the annual targets for each activity. </w:t>
      </w:r>
      <w:r w:rsidRPr="00BF660C">
        <w:rPr>
          <w:lang w:val="en-US"/>
        </w:rPr>
        <w:t xml:space="preserve">All </w:t>
      </w:r>
      <w:r>
        <w:rPr>
          <w:lang w:val="en-US"/>
        </w:rPr>
        <w:t>providers</w:t>
      </w:r>
      <w:r w:rsidRPr="00BF660C">
        <w:rPr>
          <w:lang w:val="en-US"/>
        </w:rPr>
        <w:t xml:space="preserve"> are expected to deliver at least 95% of service hours against each funded activity</w:t>
      </w:r>
      <w:r>
        <w:t>providers.</w:t>
      </w:r>
    </w:p>
    <w:p w14:paraId="2540C42E" w14:textId="77777777" w:rsidR="00E23AC5" w:rsidRPr="00DC5BB6" w:rsidRDefault="00E23AC5" w:rsidP="00E23AC5">
      <w:pPr>
        <w:pStyle w:val="Heading2"/>
      </w:pPr>
      <w:bookmarkStart w:id="60" w:name="_Toc232491452"/>
      <w:bookmarkStart w:id="61" w:name="_Toc233281409"/>
      <w:bookmarkStart w:id="62" w:name="_Hlk126835430"/>
      <w:r>
        <w:t>8.1 VCSS MDS</w:t>
      </w:r>
      <w:bookmarkEnd w:id="60"/>
      <w:bookmarkEnd w:id="61"/>
    </w:p>
    <w:bookmarkEnd w:id="62"/>
    <w:p w14:paraId="40B2CDFC" w14:textId="77777777" w:rsidR="00E23AC5" w:rsidRPr="00BC48B2" w:rsidRDefault="00E23AC5" w:rsidP="00E23AC5">
      <w:pPr>
        <w:pStyle w:val="Body"/>
      </w:pPr>
      <w:r>
        <w:t xml:space="preserve">The </w:t>
      </w:r>
      <w:r w:rsidRPr="00BC48B2">
        <w:t>VCSS</w:t>
      </w:r>
      <w:r>
        <w:t xml:space="preserve"> </w:t>
      </w:r>
      <w:r w:rsidRPr="00BC48B2">
        <w:t>MDS</w:t>
      </w:r>
      <w:r w:rsidRPr="00BC48B2">
        <w:rPr>
          <w:b/>
        </w:rPr>
        <w:t xml:space="preserve"> </w:t>
      </w:r>
      <w:r w:rsidRPr="00BC48B2">
        <w:t xml:space="preserve">is the key data repository for </w:t>
      </w:r>
      <w:r>
        <w:t xml:space="preserve">HACC PYP. </w:t>
      </w:r>
      <w:r w:rsidRPr="4663CE56">
        <w:t xml:space="preserve">All </w:t>
      </w:r>
      <w:r>
        <w:t>HACC PYP</w:t>
      </w:r>
      <w:r w:rsidRPr="4663CE56">
        <w:t xml:space="preserve"> services submit quarterly data to the department </w:t>
      </w:r>
      <w:r>
        <w:t>via</w:t>
      </w:r>
      <w:r w:rsidRPr="4663CE56">
        <w:t xml:space="preserve"> the VCSS</w:t>
      </w:r>
      <w:r>
        <w:t xml:space="preserve"> </w:t>
      </w:r>
      <w:r w:rsidRPr="4663CE56">
        <w:t>MDS</w:t>
      </w:r>
      <w:r>
        <w:t>,</w:t>
      </w:r>
      <w:r w:rsidRPr="4663CE56">
        <w:t xml:space="preserve"> as a condition of funding. The data collected is used </w:t>
      </w:r>
      <w:r>
        <w:t>for</w:t>
      </w:r>
      <w:r w:rsidRPr="4663CE56">
        <w:t xml:space="preserve"> assessment of </w:t>
      </w:r>
      <w:r>
        <w:t>Providers</w:t>
      </w:r>
      <w:r w:rsidRPr="4663CE56">
        <w:t xml:space="preserve"> against the </w:t>
      </w:r>
      <w:r>
        <w:t>HACC PYP</w:t>
      </w:r>
      <w:r w:rsidRPr="4663CE56">
        <w:t xml:space="preserve"> performance target for ‘hours of service’</w:t>
      </w:r>
      <w:r>
        <w:t>,</w:t>
      </w:r>
      <w:r w:rsidRPr="4663CE56">
        <w:t xml:space="preserve"> and to fulfil the department’s</w:t>
      </w:r>
      <w:r>
        <w:t xml:space="preserve"> </w:t>
      </w:r>
      <w:r w:rsidRPr="4663CE56">
        <w:t xml:space="preserve">reporting obligations. </w:t>
      </w:r>
    </w:p>
    <w:p w14:paraId="26951C02" w14:textId="77777777" w:rsidR="00E23AC5" w:rsidRDefault="00E23AC5" w:rsidP="00E23AC5">
      <w:pPr>
        <w:pStyle w:val="Body"/>
      </w:pPr>
      <w:r>
        <w:t>When a person becomes a consumer of the service provider, a record is created and must be kept current.</w:t>
      </w:r>
      <w:r w:rsidRPr="0010023E">
        <w:t xml:space="preserve"> </w:t>
      </w:r>
    </w:p>
    <w:p w14:paraId="41603BF0" w14:textId="77777777" w:rsidR="00E23AC5" w:rsidRDefault="00E23AC5" w:rsidP="00E23AC5">
      <w:pPr>
        <w:pStyle w:val="Body"/>
      </w:pPr>
      <w:r>
        <w:t xml:space="preserve">Providers may use a software system of their choice to securely collect and store consumer information. </w:t>
      </w:r>
    </w:p>
    <w:p w14:paraId="5E20EBBF" w14:textId="77777777" w:rsidR="00985CCF" w:rsidRDefault="00985CCF" w:rsidP="00E23AC5">
      <w:pPr>
        <w:pStyle w:val="Body"/>
        <w:rPr>
          <w:b/>
          <w:bCs/>
        </w:rPr>
      </w:pPr>
    </w:p>
    <w:p w14:paraId="23E83D68" w14:textId="3F5C9730" w:rsidR="00E23AC5" w:rsidRPr="001B3586" w:rsidRDefault="00E23AC5" w:rsidP="00E23AC5">
      <w:pPr>
        <w:pStyle w:val="Body"/>
        <w:rPr>
          <w:b/>
          <w:bCs/>
        </w:rPr>
      </w:pPr>
      <w:r w:rsidRPr="001B3586">
        <w:rPr>
          <w:b/>
          <w:bCs/>
        </w:rPr>
        <w:lastRenderedPageBreak/>
        <w:t>Supporting resource</w:t>
      </w:r>
    </w:p>
    <w:p w14:paraId="1F8882BE" w14:textId="14D96447" w:rsidR="00E23AC5" w:rsidRPr="00BC48B2" w:rsidRDefault="00E23AC5" w:rsidP="00E23AC5">
      <w:pPr>
        <w:pStyle w:val="Body"/>
      </w:pPr>
      <w:hyperlink r:id="rId33" w:history="1">
        <w:r w:rsidRPr="00A426EB">
          <w:rPr>
            <w:rStyle w:val="Hyperlink"/>
          </w:rPr>
          <w:t>Home and Community Care data reporting</w:t>
        </w:r>
      </w:hyperlink>
      <w:r w:rsidRPr="00BC48B2">
        <w:t xml:space="preserve"> </w:t>
      </w:r>
      <w:r>
        <w:t>&lt;</w:t>
      </w:r>
      <w:r w:rsidRPr="00242BD3">
        <w:t>https://www.health.vic.gov.au/home-and-community-care/reporting-and-data</w:t>
      </w:r>
      <w:r>
        <w:t>&gt;</w:t>
      </w:r>
    </w:p>
    <w:p w14:paraId="530C8332" w14:textId="77777777" w:rsidR="00E23AC5" w:rsidRDefault="00E23AC5" w:rsidP="00E23AC5">
      <w:pPr>
        <w:pStyle w:val="Body"/>
        <w:rPr>
          <w:rFonts w:eastAsia="MS Gothic" w:cs="Arial"/>
          <w:color w:val="C5511A"/>
          <w:kern w:val="32"/>
          <w:sz w:val="44"/>
          <w:szCs w:val="44"/>
        </w:rPr>
      </w:pPr>
      <w:r>
        <w:br w:type="page"/>
      </w:r>
    </w:p>
    <w:p w14:paraId="2211FCA4" w14:textId="77777777" w:rsidR="00E23AC5" w:rsidRDefault="00E23AC5" w:rsidP="00E23AC5">
      <w:pPr>
        <w:pStyle w:val="Heading1"/>
      </w:pPr>
      <w:bookmarkStart w:id="63" w:name="_6.0_Performance_monitoring"/>
      <w:bookmarkStart w:id="64" w:name="_Toc232491453"/>
      <w:bookmarkStart w:id="65" w:name="_Toc233281410"/>
      <w:bookmarkEnd w:id="63"/>
      <w:r>
        <w:lastRenderedPageBreak/>
        <w:t>Appendix A. Legislative context</w:t>
      </w:r>
      <w:bookmarkEnd w:id="64"/>
      <w:bookmarkEnd w:id="65"/>
    </w:p>
    <w:p w14:paraId="2715F380" w14:textId="77777777" w:rsidR="00E23AC5" w:rsidRDefault="00E23AC5" w:rsidP="00E23AC5">
      <w:pPr>
        <w:pStyle w:val="Body"/>
      </w:pPr>
      <w:r>
        <w:t>In the delivery of services, HACC PYP-funded providers are required to comply with legislation and legislative requirements. These include, but are not limited to the:</w:t>
      </w:r>
    </w:p>
    <w:p w14:paraId="102B39C3" w14:textId="77777777" w:rsidR="00E23AC5" w:rsidRPr="00FA3348" w:rsidRDefault="00E23AC5" w:rsidP="00E23AC5">
      <w:pPr>
        <w:pStyle w:val="Bullet1"/>
        <w:numPr>
          <w:ilvl w:val="0"/>
          <w:numId w:val="46"/>
        </w:numPr>
        <w:rPr>
          <w:i/>
          <w:iCs/>
        </w:rPr>
      </w:pPr>
      <w:r w:rsidRPr="00FA3348">
        <w:rPr>
          <w:i/>
          <w:iCs/>
        </w:rPr>
        <w:t>Health Records Act 2001</w:t>
      </w:r>
    </w:p>
    <w:p w14:paraId="6553B385" w14:textId="77777777" w:rsidR="00E23AC5" w:rsidRPr="00FA3348" w:rsidRDefault="00E23AC5" w:rsidP="00E23AC5">
      <w:pPr>
        <w:pStyle w:val="Bullet1"/>
        <w:numPr>
          <w:ilvl w:val="0"/>
          <w:numId w:val="46"/>
        </w:numPr>
        <w:rPr>
          <w:i/>
          <w:iCs/>
        </w:rPr>
      </w:pPr>
      <w:r w:rsidRPr="00FA3348">
        <w:rPr>
          <w:i/>
          <w:iCs/>
        </w:rPr>
        <w:t>Privacy and Data Protection Act 2014</w:t>
      </w:r>
    </w:p>
    <w:p w14:paraId="571AF2AC" w14:textId="77777777" w:rsidR="00E23AC5" w:rsidRPr="00FA3348" w:rsidRDefault="00E23AC5" w:rsidP="00E23AC5">
      <w:pPr>
        <w:pStyle w:val="Bullet1"/>
        <w:numPr>
          <w:ilvl w:val="0"/>
          <w:numId w:val="46"/>
        </w:numPr>
        <w:rPr>
          <w:i/>
          <w:iCs/>
        </w:rPr>
      </w:pPr>
      <w:r w:rsidRPr="00FA3348">
        <w:rPr>
          <w:i/>
          <w:iCs/>
        </w:rPr>
        <w:t>Freedom of Information Act 1982</w:t>
      </w:r>
    </w:p>
    <w:p w14:paraId="3FDC85E7" w14:textId="77777777" w:rsidR="00E23AC5" w:rsidRPr="00FA3348" w:rsidRDefault="00E23AC5" w:rsidP="00E23AC5">
      <w:pPr>
        <w:pStyle w:val="Bullet1"/>
        <w:numPr>
          <w:ilvl w:val="0"/>
          <w:numId w:val="46"/>
        </w:numPr>
        <w:rPr>
          <w:i/>
          <w:iCs/>
        </w:rPr>
      </w:pPr>
      <w:r w:rsidRPr="00FA3348">
        <w:rPr>
          <w:i/>
          <w:iCs/>
        </w:rPr>
        <w:t>Public Records Act 1973</w:t>
      </w:r>
    </w:p>
    <w:p w14:paraId="0A09CB75" w14:textId="77777777" w:rsidR="00E23AC5" w:rsidRPr="00FA3348" w:rsidRDefault="00E23AC5" w:rsidP="00E23AC5">
      <w:pPr>
        <w:pStyle w:val="Bullet1"/>
        <w:numPr>
          <w:ilvl w:val="0"/>
          <w:numId w:val="46"/>
        </w:numPr>
        <w:rPr>
          <w:i/>
          <w:iCs/>
        </w:rPr>
      </w:pPr>
      <w:r w:rsidRPr="00FA3348">
        <w:rPr>
          <w:i/>
          <w:iCs/>
        </w:rPr>
        <w:t>Child Wellbeing and Safety Act 2005</w:t>
      </w:r>
    </w:p>
    <w:p w14:paraId="34CF077E" w14:textId="77777777" w:rsidR="00E23AC5" w:rsidRPr="00FA3348" w:rsidRDefault="00E23AC5" w:rsidP="00E23AC5">
      <w:pPr>
        <w:pStyle w:val="Bullet1"/>
        <w:numPr>
          <w:ilvl w:val="0"/>
          <w:numId w:val="46"/>
        </w:numPr>
        <w:rPr>
          <w:i/>
          <w:iCs/>
        </w:rPr>
      </w:pPr>
      <w:r w:rsidRPr="00FA3348">
        <w:rPr>
          <w:i/>
          <w:iCs/>
        </w:rPr>
        <w:t>Family Violence Protection Act 2008</w:t>
      </w:r>
    </w:p>
    <w:p w14:paraId="055F4B43" w14:textId="77777777" w:rsidR="00E23AC5" w:rsidRPr="00FA3348" w:rsidRDefault="00E23AC5" w:rsidP="00E23AC5">
      <w:pPr>
        <w:pStyle w:val="Bullet1"/>
        <w:numPr>
          <w:ilvl w:val="0"/>
          <w:numId w:val="46"/>
        </w:numPr>
        <w:rPr>
          <w:i/>
          <w:iCs/>
        </w:rPr>
      </w:pPr>
      <w:r w:rsidRPr="00FA3348">
        <w:rPr>
          <w:i/>
          <w:iCs/>
        </w:rPr>
        <w:t>Children, Youth and Families Act 2005</w:t>
      </w:r>
    </w:p>
    <w:p w14:paraId="33D6FEB1" w14:textId="77777777" w:rsidR="00E23AC5" w:rsidRPr="00FA3348" w:rsidRDefault="00E23AC5" w:rsidP="00E23AC5">
      <w:pPr>
        <w:pStyle w:val="Bullet1"/>
        <w:numPr>
          <w:ilvl w:val="0"/>
          <w:numId w:val="46"/>
        </w:numPr>
        <w:rPr>
          <w:i/>
          <w:iCs/>
        </w:rPr>
      </w:pPr>
      <w:r w:rsidRPr="00FA3348">
        <w:rPr>
          <w:i/>
          <w:iCs/>
        </w:rPr>
        <w:t>Occupational Health and Safety Act 2004.</w:t>
      </w:r>
    </w:p>
    <w:p w14:paraId="59F58C5D" w14:textId="77777777" w:rsidR="00E23AC5" w:rsidRDefault="00E23AC5" w:rsidP="00E23AC5">
      <w:pPr>
        <w:pStyle w:val="Bodyafterbullets"/>
      </w:pPr>
      <w:r w:rsidRPr="00714A81">
        <w:rPr>
          <w:b/>
          <w:bCs/>
        </w:rPr>
        <w:t>Note</w:t>
      </w:r>
      <w:r>
        <w:t>: The information and supporting resources in this chapter are provided for information purposes only. They are not intended to be a definitive list of legislation that Providers are required to comply with, nor is this chapter and the information contained within it intended to constitute legal advice.</w:t>
      </w:r>
    </w:p>
    <w:p w14:paraId="3C16B13D" w14:textId="77777777" w:rsidR="00E23AC5" w:rsidRPr="005A7820" w:rsidRDefault="00E23AC5" w:rsidP="00E23AC5">
      <w:pPr>
        <w:pStyle w:val="Bodyafterbullets"/>
      </w:pPr>
      <w:r>
        <w:t xml:space="preserve">HACC PYP-funded providers and their employees should seek their own legal advice in relation to their legal and legislative compliance requirements. </w:t>
      </w:r>
    </w:p>
    <w:p w14:paraId="4D9A48C0" w14:textId="77777777" w:rsidR="00E23AC5" w:rsidRPr="00C1490A" w:rsidRDefault="00E23AC5" w:rsidP="00E23AC5">
      <w:pPr>
        <w:pStyle w:val="Body"/>
        <w:rPr>
          <w:b/>
          <w:bCs/>
        </w:rPr>
      </w:pPr>
      <w:r w:rsidRPr="00C1490A">
        <w:rPr>
          <w:b/>
          <w:bCs/>
        </w:rPr>
        <w:t xml:space="preserve">Supporting </w:t>
      </w:r>
      <w:r>
        <w:rPr>
          <w:b/>
          <w:bCs/>
        </w:rPr>
        <w:t>resources</w:t>
      </w:r>
    </w:p>
    <w:p w14:paraId="32E5D48E" w14:textId="1289E52D" w:rsidR="00E23AC5" w:rsidRPr="00C1490A" w:rsidRDefault="00E23AC5" w:rsidP="00E23AC5">
      <w:pPr>
        <w:pStyle w:val="Body"/>
      </w:pPr>
      <w:hyperlink r:id="rId34" w:history="1">
        <w:r w:rsidRPr="00744053">
          <w:rPr>
            <w:rStyle w:val="Hyperlink"/>
          </w:rPr>
          <w:t>Health Records Act</w:t>
        </w:r>
      </w:hyperlink>
      <w:r w:rsidRPr="00C1490A">
        <w:t xml:space="preserve"> &lt;</w:t>
      </w:r>
      <w:r w:rsidRPr="00550C17">
        <w:t>https://www.health.vic.gov.au/legislation/health-records-act</w:t>
      </w:r>
      <w:r w:rsidRPr="00C1490A">
        <w:t>&gt;</w:t>
      </w:r>
    </w:p>
    <w:p w14:paraId="36180728" w14:textId="64105B73" w:rsidR="00E23AC5" w:rsidRPr="00C1490A" w:rsidRDefault="00E23AC5" w:rsidP="00E23AC5">
      <w:pPr>
        <w:pStyle w:val="Body"/>
      </w:pPr>
      <w:hyperlink r:id="rId35" w:history="1">
        <w:r w:rsidRPr="00C1490A">
          <w:rPr>
            <w:rStyle w:val="Hyperlink"/>
          </w:rPr>
          <w:t>Privacy and Data Protection Act</w:t>
        </w:r>
      </w:hyperlink>
      <w:r w:rsidRPr="00C1490A">
        <w:rPr>
          <w:u w:val="dotted"/>
        </w:rPr>
        <w:t xml:space="preserve"> </w:t>
      </w:r>
      <w:r w:rsidRPr="00C1490A">
        <w:t>&lt;</w:t>
      </w:r>
      <w:r w:rsidRPr="00550C17">
        <w:t>https://www.legislation.vic.gov.au/in-force/acts/privacy-and-data-protection-act-2014/029</w:t>
      </w:r>
      <w:r w:rsidRPr="00C1490A">
        <w:t>&gt;</w:t>
      </w:r>
    </w:p>
    <w:p w14:paraId="52D74C84" w14:textId="629142BC" w:rsidR="00E23AC5" w:rsidRPr="00C1490A" w:rsidRDefault="00E23AC5" w:rsidP="00E23AC5">
      <w:pPr>
        <w:pStyle w:val="Body"/>
      </w:pPr>
      <w:hyperlink r:id="rId36" w:history="1">
        <w:r w:rsidRPr="00C1490A">
          <w:rPr>
            <w:rStyle w:val="Hyperlink"/>
          </w:rPr>
          <w:t>Freedom of Information Act</w:t>
        </w:r>
      </w:hyperlink>
      <w:r w:rsidRPr="00C1490A">
        <w:rPr>
          <w:bCs/>
          <w:i/>
          <w:u w:val="single"/>
        </w:rPr>
        <w:t xml:space="preserve"> </w:t>
      </w:r>
      <w:r w:rsidRPr="00C1490A">
        <w:t>&lt;</w:t>
      </w:r>
      <w:r w:rsidRPr="00BF6C1E">
        <w:t>https://www.legislation.vic.gov.au/in-force/acts/freedom-information-act-1982/111</w:t>
      </w:r>
      <w:r w:rsidRPr="00C1490A">
        <w:t>&gt;</w:t>
      </w:r>
    </w:p>
    <w:p w14:paraId="289F4CA1" w14:textId="79BA1F14" w:rsidR="00E23AC5" w:rsidRDefault="00E23AC5" w:rsidP="00E23AC5">
      <w:pPr>
        <w:pStyle w:val="Body"/>
      </w:pPr>
      <w:hyperlink r:id="rId37" w:history="1">
        <w:r w:rsidRPr="00165385">
          <w:rPr>
            <w:rStyle w:val="Hyperlink"/>
          </w:rPr>
          <w:t>Public Records Act</w:t>
        </w:r>
      </w:hyperlink>
      <w:r w:rsidRPr="00C1490A">
        <w:t xml:space="preserve"> &lt;</w:t>
      </w:r>
      <w:r w:rsidRPr="00B600DC">
        <w:t>https://www.legislation.vic.gov.au/in-force/acts/public-records-act-1973/041</w:t>
      </w:r>
      <w:r w:rsidRPr="00C1490A">
        <w:t>&gt;</w:t>
      </w:r>
    </w:p>
    <w:p w14:paraId="024B8CD1" w14:textId="74473AF9" w:rsidR="00E23AC5" w:rsidRPr="00C1490A" w:rsidRDefault="00E23AC5" w:rsidP="00E23AC5">
      <w:pPr>
        <w:pStyle w:val="Body"/>
      </w:pPr>
      <w:hyperlink r:id="rId38" w:tgtFrame="_blank" w:history="1">
        <w:r w:rsidRPr="00714A81">
          <w:rPr>
            <w:rStyle w:val="Hyperlink"/>
            <w:i/>
            <w:iCs/>
          </w:rPr>
          <w:t>Crimes Act 1958</w:t>
        </w:r>
      </w:hyperlink>
      <w:r>
        <w:rPr>
          <w:rStyle w:val="normaltextrun"/>
          <w:rFonts w:cs="Arial"/>
          <w:color w:val="000000"/>
          <w:szCs w:val="21"/>
          <w:shd w:val="clear" w:color="auto" w:fill="FFFFFF"/>
        </w:rPr>
        <w:t xml:space="preserve"> &lt;https://www.legislation.vic.gov.au/in-force/acts/crimes-act-1958&gt;</w:t>
      </w:r>
    </w:p>
    <w:p w14:paraId="2765D69D" w14:textId="19E3D7F9" w:rsidR="00E23AC5" w:rsidRPr="00817AD6" w:rsidRDefault="00E23AC5" w:rsidP="00E23AC5">
      <w:pPr>
        <w:pStyle w:val="Body"/>
        <w:rPr>
          <w:b/>
        </w:rPr>
      </w:pPr>
      <w:hyperlink r:id="rId39" w:history="1">
        <w:r w:rsidRPr="00714A81">
          <w:rPr>
            <w:rStyle w:val="Hyperlink"/>
            <w:i/>
            <w:iCs/>
          </w:rPr>
          <w:t>Public Interest Disclosures Act 2012</w:t>
        </w:r>
      </w:hyperlink>
      <w:r w:rsidRPr="00C1490A">
        <w:t xml:space="preserve"> </w:t>
      </w:r>
      <w:r>
        <w:t>&lt;</w:t>
      </w:r>
      <w:r w:rsidRPr="00714A81">
        <w:t>https://www.legislation.vic.gov.au/in-force/acts/public-interest-disclosures-act-2012/026</w:t>
      </w:r>
      <w:r>
        <w:t>&gt;</w:t>
      </w:r>
    </w:p>
    <w:p w14:paraId="08E710B8" w14:textId="54E13D81" w:rsidR="00E23AC5" w:rsidRPr="00817AD6" w:rsidRDefault="00E23AC5" w:rsidP="00E23AC5">
      <w:pPr>
        <w:pStyle w:val="Body"/>
      </w:pPr>
      <w:hyperlink r:id="rId40" w:history="1">
        <w:r w:rsidRPr="00714A81">
          <w:rPr>
            <w:rStyle w:val="Hyperlink"/>
            <w:i/>
            <w:iCs/>
          </w:rPr>
          <w:t>Child Wellbeing and Safety Ac</w:t>
        </w:r>
        <w:r>
          <w:rPr>
            <w:rStyle w:val="Hyperlink"/>
            <w:i/>
            <w:iCs/>
          </w:rPr>
          <w:t>t 2005</w:t>
        </w:r>
      </w:hyperlink>
      <w:r w:rsidRPr="00817AD6">
        <w:rPr>
          <w:u w:val="dotted"/>
        </w:rPr>
        <w:t xml:space="preserve"> </w:t>
      </w:r>
      <w:r w:rsidRPr="00817AD6">
        <w:t>&lt;</w:t>
      </w:r>
      <w:r w:rsidRPr="00806DCB">
        <w:t>https://www.legislation.vic.gov.au/in-force/acts/child-wellbeing-and-safety-act-2005/0</w:t>
      </w:r>
      <w:r>
        <w:t>41</w:t>
      </w:r>
      <w:r w:rsidRPr="00817AD6">
        <w:t>&gt;</w:t>
      </w:r>
    </w:p>
    <w:p w14:paraId="2379187F" w14:textId="600153BB" w:rsidR="00E23AC5" w:rsidRPr="00817AD6" w:rsidRDefault="00E23AC5" w:rsidP="00E23AC5">
      <w:pPr>
        <w:pStyle w:val="Body"/>
      </w:pPr>
      <w:hyperlink r:id="rId41" w:history="1">
        <w:r w:rsidRPr="000C3E82">
          <w:rPr>
            <w:rStyle w:val="Hyperlink"/>
          </w:rPr>
          <w:t>Child Safe Standards</w:t>
        </w:r>
      </w:hyperlink>
      <w:r w:rsidRPr="00817AD6">
        <w:t xml:space="preserve"> &lt;</w:t>
      </w:r>
      <w:r w:rsidRPr="00806DCB">
        <w:t>https://providers.dffh.vic.gov.au/child-safe-standards</w:t>
      </w:r>
      <w:r w:rsidRPr="00817AD6">
        <w:t>&gt;</w:t>
      </w:r>
    </w:p>
    <w:p w14:paraId="77AD75B5" w14:textId="2DF60CEB" w:rsidR="00E23AC5" w:rsidRPr="00817AD6" w:rsidRDefault="00E23AC5" w:rsidP="00E23AC5">
      <w:pPr>
        <w:pStyle w:val="Body"/>
      </w:pPr>
      <w:hyperlink r:id="rId42" w:history="1">
        <w:r w:rsidRPr="00714A81">
          <w:rPr>
            <w:rStyle w:val="Hyperlink"/>
            <w:i/>
            <w:iCs/>
          </w:rPr>
          <w:t>Commission for Children and Young People Ac</w:t>
        </w:r>
        <w:r>
          <w:rPr>
            <w:rStyle w:val="Hyperlink"/>
            <w:i/>
            <w:iCs/>
          </w:rPr>
          <w:t>t 2012</w:t>
        </w:r>
      </w:hyperlink>
      <w:r w:rsidRPr="00817AD6">
        <w:t xml:space="preserve"> &lt;</w:t>
      </w:r>
      <w:r w:rsidRPr="00806DCB">
        <w:t>https://www.legislation.vic.gov.au/in-force/acts/commission-children-and-young-people-act-2012/01</w:t>
      </w:r>
      <w:r>
        <w:t>8&gt;</w:t>
      </w:r>
    </w:p>
    <w:p w14:paraId="54899C16" w14:textId="535A60FF" w:rsidR="00E23AC5" w:rsidRPr="00817AD6" w:rsidRDefault="00E23AC5" w:rsidP="00E23AC5">
      <w:pPr>
        <w:pStyle w:val="Body"/>
      </w:pPr>
      <w:hyperlink r:id="rId43" w:history="1">
        <w:r w:rsidRPr="001E5DF7">
          <w:rPr>
            <w:rStyle w:val="Hyperlink"/>
            <w:i/>
            <w:iCs/>
          </w:rPr>
          <w:t>Healthcare that counts: A framework for improving care for vulnerable children in Victorian health services</w:t>
        </w:r>
      </w:hyperlink>
      <w:r w:rsidRPr="005B3F68" w:rsidDel="005B3F68">
        <w:t xml:space="preserve"> </w:t>
      </w:r>
      <w:r w:rsidRPr="00817AD6">
        <w:t>&lt;</w:t>
      </w:r>
      <w:r w:rsidRPr="001E5DF7">
        <w:t>https://www.health.vic.gov.au/publications/healthcare-that-counts-a-framework-for-improving-care-for-vulnerable-children-in</w:t>
      </w:r>
      <w:r w:rsidRPr="00817AD6">
        <w:t>&gt;</w:t>
      </w:r>
    </w:p>
    <w:p w14:paraId="3E35D13B" w14:textId="4D47F75E" w:rsidR="00E23AC5" w:rsidRPr="00817AD6" w:rsidRDefault="00E23AC5" w:rsidP="00E23AC5">
      <w:pPr>
        <w:pStyle w:val="Body"/>
      </w:pPr>
      <w:hyperlink r:id="rId44" w:history="1">
        <w:r w:rsidRPr="00817AD6">
          <w:rPr>
            <w:rStyle w:val="Hyperlink"/>
          </w:rPr>
          <w:t xml:space="preserve">Child </w:t>
        </w:r>
        <w:r>
          <w:rPr>
            <w:rStyle w:val="Hyperlink"/>
          </w:rPr>
          <w:t>I</w:t>
        </w:r>
        <w:r w:rsidRPr="00817AD6">
          <w:rPr>
            <w:rStyle w:val="Hyperlink"/>
          </w:rPr>
          <w:t xml:space="preserve">nformation </w:t>
        </w:r>
        <w:r>
          <w:rPr>
            <w:rStyle w:val="Hyperlink"/>
          </w:rPr>
          <w:t>S</w:t>
        </w:r>
        <w:r w:rsidRPr="00817AD6">
          <w:rPr>
            <w:rStyle w:val="Hyperlink"/>
          </w:rPr>
          <w:t xml:space="preserve">haring </w:t>
        </w:r>
        <w:r>
          <w:rPr>
            <w:rStyle w:val="Hyperlink"/>
          </w:rPr>
          <w:t>Scheme M</w:t>
        </w:r>
        <w:r w:rsidRPr="00817AD6">
          <w:rPr>
            <w:rStyle w:val="Hyperlink"/>
          </w:rPr>
          <w:t xml:space="preserve">inisterial </w:t>
        </w:r>
        <w:r>
          <w:rPr>
            <w:rStyle w:val="Hyperlink"/>
          </w:rPr>
          <w:t>G</w:t>
        </w:r>
        <w:r w:rsidRPr="00817AD6">
          <w:rPr>
            <w:rStyle w:val="Hyperlink"/>
          </w:rPr>
          <w:t>uidelines</w:t>
        </w:r>
      </w:hyperlink>
      <w:r w:rsidRPr="00817AD6">
        <w:t xml:space="preserve"> &lt;</w:t>
      </w:r>
      <w:r w:rsidRPr="001E5DF7">
        <w:t>https://www.vic.gov.au/child-information-sharing-scheme-ministerial-guidelines</w:t>
      </w:r>
      <w:r w:rsidRPr="00817AD6">
        <w:t>&gt;</w:t>
      </w:r>
    </w:p>
    <w:p w14:paraId="31A8AB16" w14:textId="5CE9BE18" w:rsidR="00E23AC5" w:rsidRPr="00817AD6" w:rsidRDefault="00E23AC5" w:rsidP="00E23AC5">
      <w:pPr>
        <w:pStyle w:val="Body"/>
      </w:pPr>
      <w:hyperlink r:id="rId45" w:history="1">
        <w:r w:rsidRPr="00410801">
          <w:rPr>
            <w:rStyle w:val="Hyperlink"/>
          </w:rPr>
          <w:t>Family Violence Protection Act</w:t>
        </w:r>
      </w:hyperlink>
      <w:r>
        <w:t xml:space="preserve"> </w:t>
      </w:r>
      <w:r w:rsidRPr="00817AD6">
        <w:t>&lt;</w:t>
      </w:r>
      <w:r w:rsidRPr="00F5277A">
        <w:t>https://www.legislation.vic.gov.au/in-force/acts/family-violence-protection-act-2008/0</w:t>
      </w:r>
      <w:r>
        <w:t>61</w:t>
      </w:r>
      <w:r w:rsidRPr="00817AD6">
        <w:t>&gt;</w:t>
      </w:r>
    </w:p>
    <w:p w14:paraId="2EB83EFD" w14:textId="0E2E7C9B" w:rsidR="00E23AC5" w:rsidRPr="00817AD6" w:rsidRDefault="00E23AC5" w:rsidP="00E23AC5">
      <w:pPr>
        <w:pStyle w:val="Body"/>
      </w:pPr>
      <w:hyperlink r:id="rId46" w:history="1">
        <w:r w:rsidRPr="00817AD6">
          <w:rPr>
            <w:rStyle w:val="Hyperlink"/>
          </w:rPr>
          <w:t>Family Violence Information Sharing Scheme</w:t>
        </w:r>
      </w:hyperlink>
      <w:r w:rsidRPr="00817AD6">
        <w:rPr>
          <w:u w:val="dotted"/>
        </w:rPr>
        <w:t xml:space="preserve"> </w:t>
      </w:r>
      <w:r w:rsidRPr="00817AD6">
        <w:t>&lt;https://www.vic.gov.au/family-violence-information-sharing-scheme&gt;</w:t>
      </w:r>
    </w:p>
    <w:p w14:paraId="6D553B23" w14:textId="20CFC45D" w:rsidR="00E23AC5" w:rsidRPr="00817AD6" w:rsidRDefault="00E23AC5" w:rsidP="00E23AC5">
      <w:pPr>
        <w:pStyle w:val="Body"/>
      </w:pPr>
      <w:hyperlink r:id="rId47" w:history="1">
        <w:r w:rsidRPr="00817AD6">
          <w:rPr>
            <w:rStyle w:val="Hyperlink"/>
          </w:rPr>
          <w:t>Royal Commission into Family Violence</w:t>
        </w:r>
      </w:hyperlink>
      <w:r w:rsidRPr="00817AD6">
        <w:t xml:space="preserve"> &lt;</w:t>
      </w:r>
      <w:r w:rsidR="0022464D" w:rsidRPr="0022464D">
        <w:t>http://rcfv.archive.royalcommission.vic.gov.au/Home.html</w:t>
      </w:r>
      <w:r w:rsidRPr="00817AD6">
        <w:t>&gt;</w:t>
      </w:r>
    </w:p>
    <w:p w14:paraId="79CA95A3" w14:textId="47DE1E3F" w:rsidR="00E23AC5" w:rsidRDefault="00E23AC5" w:rsidP="00E23AC5">
      <w:pPr>
        <w:pStyle w:val="Body"/>
      </w:pPr>
      <w:hyperlink r:id="rId48" w:history="1">
        <w:r w:rsidRPr="00A77958">
          <w:rPr>
            <w:rStyle w:val="Hyperlink"/>
            <w:i/>
            <w:iCs/>
          </w:rPr>
          <w:t xml:space="preserve">Family </w:t>
        </w:r>
        <w:r>
          <w:rPr>
            <w:rStyle w:val="Hyperlink"/>
            <w:i/>
            <w:iCs/>
          </w:rPr>
          <w:t>V</w:t>
        </w:r>
        <w:r w:rsidRPr="00A77958">
          <w:rPr>
            <w:rStyle w:val="Hyperlink"/>
            <w:i/>
            <w:iCs/>
          </w:rPr>
          <w:t xml:space="preserve">iolence </w:t>
        </w:r>
        <w:r>
          <w:rPr>
            <w:rStyle w:val="Hyperlink"/>
            <w:i/>
            <w:iCs/>
          </w:rPr>
          <w:t>M</w:t>
        </w:r>
        <w:r w:rsidRPr="00A77958">
          <w:rPr>
            <w:rStyle w:val="Hyperlink"/>
            <w:i/>
            <w:iCs/>
          </w:rPr>
          <w:t>ulti</w:t>
        </w:r>
        <w:r>
          <w:rPr>
            <w:rStyle w:val="Hyperlink"/>
            <w:i/>
            <w:iCs/>
          </w:rPr>
          <w:t>-A</w:t>
        </w:r>
        <w:r w:rsidRPr="00A77958">
          <w:rPr>
            <w:rStyle w:val="Hyperlink"/>
            <w:i/>
            <w:iCs/>
          </w:rPr>
          <w:t xml:space="preserve">gency </w:t>
        </w:r>
        <w:r>
          <w:rPr>
            <w:rStyle w:val="Hyperlink"/>
            <w:i/>
            <w:iCs/>
          </w:rPr>
          <w:t>R</w:t>
        </w:r>
        <w:r w:rsidRPr="00A77958">
          <w:rPr>
            <w:rStyle w:val="Hyperlink"/>
            <w:i/>
            <w:iCs/>
          </w:rPr>
          <w:t xml:space="preserve">isk </w:t>
        </w:r>
        <w:r>
          <w:rPr>
            <w:rStyle w:val="Hyperlink"/>
            <w:i/>
            <w:iCs/>
          </w:rPr>
          <w:t>A</w:t>
        </w:r>
        <w:r w:rsidRPr="00A77958">
          <w:rPr>
            <w:rStyle w:val="Hyperlink"/>
            <w:i/>
            <w:iCs/>
          </w:rPr>
          <w:t xml:space="preserve">ssessment and </w:t>
        </w:r>
        <w:r>
          <w:rPr>
            <w:rStyle w:val="Hyperlink"/>
            <w:i/>
            <w:iCs/>
          </w:rPr>
          <w:t>M</w:t>
        </w:r>
        <w:r w:rsidRPr="00A77958">
          <w:rPr>
            <w:rStyle w:val="Hyperlink"/>
            <w:i/>
            <w:iCs/>
          </w:rPr>
          <w:t xml:space="preserve">anagement </w:t>
        </w:r>
        <w:r>
          <w:rPr>
            <w:rStyle w:val="Hyperlink"/>
            <w:i/>
            <w:iCs/>
          </w:rPr>
          <w:t>F</w:t>
        </w:r>
        <w:r w:rsidRPr="00A77958">
          <w:rPr>
            <w:rStyle w:val="Hyperlink"/>
            <w:i/>
            <w:iCs/>
          </w:rPr>
          <w:t>ramewor</w:t>
        </w:r>
        <w:r>
          <w:rPr>
            <w:rStyle w:val="Hyperlink"/>
            <w:i/>
            <w:iCs/>
          </w:rPr>
          <w:t xml:space="preserve">k </w:t>
        </w:r>
        <w:r w:rsidRPr="00D70322">
          <w:rPr>
            <w:rStyle w:val="Hyperlink"/>
            <w:i/>
            <w:iCs/>
          </w:rPr>
          <w:t>(MARAM)</w:t>
        </w:r>
      </w:hyperlink>
      <w:r w:rsidRPr="00817AD6">
        <w:t xml:space="preserve"> &lt;</w:t>
      </w:r>
      <w:r w:rsidRPr="00F5277A">
        <w:t>https://www.vic.gov.au/family-violence-multi-agency-risk-assessment-and-management-framework</w:t>
      </w:r>
      <w:r w:rsidRPr="00817AD6">
        <w:t>&gt;</w:t>
      </w:r>
    </w:p>
    <w:p w14:paraId="6BDB8C04" w14:textId="2F3B3958" w:rsidR="00E23AC5" w:rsidRPr="001C6F57" w:rsidRDefault="00E23AC5" w:rsidP="00E23AC5">
      <w:pPr>
        <w:pStyle w:val="Body"/>
      </w:pPr>
      <w:hyperlink r:id="rId49" w:history="1">
        <w:r>
          <w:rPr>
            <w:rStyle w:val="Hyperlink"/>
          </w:rPr>
          <w:t>MARAM</w:t>
        </w:r>
        <w:r w:rsidRPr="001844F8">
          <w:rPr>
            <w:rStyle w:val="Hyperlink"/>
          </w:rPr>
          <w:t xml:space="preserve"> </w:t>
        </w:r>
        <w:r w:rsidRPr="001C6F57">
          <w:rPr>
            <w:rStyle w:val="Hyperlink"/>
          </w:rPr>
          <w:t>practice guide</w:t>
        </w:r>
        <w:r>
          <w:rPr>
            <w:rStyle w:val="Hyperlink"/>
          </w:rPr>
          <w:t>s</w:t>
        </w:r>
        <w:r w:rsidRPr="001C6F57">
          <w:rPr>
            <w:rStyle w:val="Hyperlink"/>
          </w:rPr>
          <w:t xml:space="preserve"> and </w:t>
        </w:r>
        <w:r>
          <w:rPr>
            <w:rStyle w:val="Hyperlink"/>
          </w:rPr>
          <w:t>resources</w:t>
        </w:r>
      </w:hyperlink>
      <w:r>
        <w:t xml:space="preserve"> &lt;</w:t>
      </w:r>
      <w:r w:rsidRPr="001C6F57">
        <w:t>https://www.vic.gov.au/maram-practice-guides-and-resources</w:t>
      </w:r>
      <w:r>
        <w:t>&gt;</w:t>
      </w:r>
    </w:p>
    <w:p w14:paraId="609774C1" w14:textId="0E13B260" w:rsidR="00E23AC5" w:rsidRPr="00765CBF" w:rsidRDefault="00E23AC5" w:rsidP="00E23AC5">
      <w:pPr>
        <w:pStyle w:val="Body"/>
      </w:pPr>
      <w:hyperlink r:id="rId50" w:history="1">
        <w:r w:rsidRPr="001C6F57">
          <w:rPr>
            <w:rStyle w:val="Hyperlink"/>
          </w:rPr>
          <w:t>Family Safety Victoria</w:t>
        </w:r>
      </w:hyperlink>
      <w:r w:rsidRPr="00A77958">
        <w:t xml:space="preserve"> </w:t>
      </w:r>
      <w:r w:rsidRPr="001C6F57">
        <w:t>&lt;https://www.vic.gov.au/family-safety-victoria&gt;</w:t>
      </w:r>
    </w:p>
    <w:p w14:paraId="2D670155" w14:textId="24AEB257" w:rsidR="00E23AC5" w:rsidRPr="00817AD6" w:rsidRDefault="00E23AC5" w:rsidP="00E23AC5">
      <w:pPr>
        <w:pStyle w:val="Body"/>
      </w:pPr>
      <w:hyperlink r:id="rId51" w:history="1">
        <w:r w:rsidRPr="00817AD6">
          <w:rPr>
            <w:rStyle w:val="Hyperlink"/>
          </w:rPr>
          <w:t>Children</w:t>
        </w:r>
        <w:r>
          <w:rPr>
            <w:rStyle w:val="Hyperlink"/>
          </w:rPr>
          <w:t>,</w:t>
        </w:r>
        <w:r w:rsidRPr="00817AD6">
          <w:rPr>
            <w:rStyle w:val="Hyperlink"/>
          </w:rPr>
          <w:t xml:space="preserve"> Youth and Families Act</w:t>
        </w:r>
      </w:hyperlink>
      <w:r w:rsidRPr="00817AD6">
        <w:t xml:space="preserve"> &lt;</w:t>
      </w:r>
      <w:r w:rsidRPr="001B7C1D">
        <w:t>https://www.legislation.vic.gov.au/in-force/acts/children-youth-and-families-act-2005/1</w:t>
      </w:r>
      <w:r>
        <w:t>34</w:t>
      </w:r>
      <w:r w:rsidRPr="00817AD6">
        <w:t>&gt;</w:t>
      </w:r>
    </w:p>
    <w:p w14:paraId="63AADEF6" w14:textId="5CFC868D" w:rsidR="00E23AC5" w:rsidRPr="00817AD6" w:rsidRDefault="00E23AC5" w:rsidP="00E23AC5">
      <w:pPr>
        <w:pStyle w:val="Body"/>
        <w:rPr>
          <w:u w:val="dotted"/>
        </w:rPr>
      </w:pPr>
      <w:hyperlink r:id="rId52" w:history="1">
        <w:r w:rsidRPr="00817AD6">
          <w:rPr>
            <w:rStyle w:val="Hyperlink"/>
          </w:rPr>
          <w:t xml:space="preserve">Best interests case practice model </w:t>
        </w:r>
        <w:r>
          <w:rPr>
            <w:rStyle w:val="Hyperlink"/>
          </w:rPr>
          <w:t xml:space="preserve">– </w:t>
        </w:r>
        <w:r w:rsidRPr="00817AD6">
          <w:rPr>
            <w:rStyle w:val="Hyperlink"/>
          </w:rPr>
          <w:t>summary guide</w:t>
        </w:r>
      </w:hyperlink>
      <w:r w:rsidRPr="00817AD6">
        <w:t xml:space="preserve"> &lt;</w:t>
      </w:r>
      <w:r w:rsidRPr="001B7C1D">
        <w:t>https://www.dffh.vic.gov.au/publications/best-interests-case-practice-model-summary-guide</w:t>
      </w:r>
      <w:r w:rsidRPr="00817AD6">
        <w:t>&gt;</w:t>
      </w:r>
    </w:p>
    <w:p w14:paraId="2D386F57" w14:textId="5EC2ABFB" w:rsidR="00E23AC5" w:rsidRDefault="00E23AC5" w:rsidP="00E23AC5">
      <w:pPr>
        <w:pStyle w:val="Body"/>
      </w:pPr>
      <w:hyperlink r:id="rId53" w:history="1">
        <w:r w:rsidRPr="00817AD6">
          <w:rPr>
            <w:rStyle w:val="Hyperlink"/>
          </w:rPr>
          <w:t>Best interests case practice mode</w:t>
        </w:r>
        <w:r>
          <w:rPr>
            <w:rStyle w:val="Hyperlink"/>
          </w:rPr>
          <w:t>l</w:t>
        </w:r>
      </w:hyperlink>
      <w:r w:rsidRPr="00817AD6">
        <w:t xml:space="preserve"> &lt;http://www.cpmanual.vic.gov.au/our-approach/best-interests-case-practice-model&gt;</w:t>
      </w:r>
    </w:p>
    <w:p w14:paraId="69142CA0" w14:textId="6D4CB770" w:rsidR="00E23AC5" w:rsidRPr="00817AD6" w:rsidRDefault="00E23AC5" w:rsidP="00E23AC5">
      <w:pPr>
        <w:pStyle w:val="Body"/>
      </w:pPr>
      <w:hyperlink r:id="rId54" w:history="1">
        <w:r>
          <w:rPr>
            <w:rStyle w:val="Hyperlink"/>
          </w:rPr>
          <w:t>M</w:t>
        </w:r>
        <w:r w:rsidRPr="00817AD6">
          <w:rPr>
            <w:rStyle w:val="Hyperlink"/>
          </w:rPr>
          <w:t>aking a report to child protection</w:t>
        </w:r>
      </w:hyperlink>
      <w:r w:rsidRPr="00817AD6">
        <w:t xml:space="preserve"> &lt;</w:t>
      </w:r>
      <w:r w:rsidRPr="0069053C">
        <w:t>https://providers.dffh.vic.gov.au/making-report-child-protection</w:t>
      </w:r>
      <w:r w:rsidRPr="00817AD6">
        <w:t xml:space="preserve">&gt; </w:t>
      </w:r>
    </w:p>
    <w:p w14:paraId="4600F607" w14:textId="33263C2C" w:rsidR="00E23AC5" w:rsidRDefault="00E23AC5" w:rsidP="00E23AC5">
      <w:pPr>
        <w:pStyle w:val="Body"/>
        <w:rPr>
          <w:b/>
        </w:rPr>
      </w:pPr>
      <w:hyperlink r:id="rId55" w:history="1">
        <w:r w:rsidRPr="00817AD6">
          <w:rPr>
            <w:rStyle w:val="Hyperlink"/>
          </w:rPr>
          <w:t>Man</w:t>
        </w:r>
        <w:r>
          <w:rPr>
            <w:rStyle w:val="Hyperlink"/>
          </w:rPr>
          <w:t>d</w:t>
        </w:r>
        <w:r w:rsidRPr="00817AD6">
          <w:rPr>
            <w:rStyle w:val="Hyperlink"/>
          </w:rPr>
          <w:t xml:space="preserve">atory reporting </w:t>
        </w:r>
        <w:r>
          <w:rPr>
            <w:rStyle w:val="Hyperlink"/>
          </w:rPr>
          <w:t xml:space="preserve">– </w:t>
        </w:r>
        <w:r w:rsidRPr="00817AD6">
          <w:rPr>
            <w:rStyle w:val="Hyperlink"/>
          </w:rPr>
          <w:t>advice</w:t>
        </w:r>
      </w:hyperlink>
      <w:r w:rsidRPr="00817AD6">
        <w:t xml:space="preserve"> &lt;http://www.cpmanual.vic.gov.au/advice-and-protocols/advice/intake/mandatory-reporting&gt;</w:t>
      </w:r>
    </w:p>
    <w:p w14:paraId="2DEB46B5" w14:textId="5CDF40D2" w:rsidR="00E23AC5" w:rsidRDefault="00E23AC5" w:rsidP="00E23AC5">
      <w:pPr>
        <w:pStyle w:val="Body"/>
      </w:pPr>
      <w:hyperlink r:id="rId56" w:history="1">
        <w:r w:rsidRPr="00677647">
          <w:rPr>
            <w:rStyle w:val="Hyperlink"/>
          </w:rPr>
          <w:t>Occupational Health and Safety Act</w:t>
        </w:r>
      </w:hyperlink>
      <w:r w:rsidRPr="00677647">
        <w:t xml:space="preserve"> </w:t>
      </w:r>
      <w:r>
        <w:t>&lt;</w:t>
      </w:r>
      <w:r w:rsidRPr="00677647">
        <w:t>https://www.legislation.vic.gov.au/in-force/acts/occupational-health-and-safety-act-2004/0</w:t>
      </w:r>
      <w:r>
        <w:t>43&gt;</w:t>
      </w:r>
    </w:p>
    <w:p w14:paraId="36045144" w14:textId="7BC69426" w:rsidR="00E23AC5" w:rsidRDefault="00E23AC5" w:rsidP="00E23AC5">
      <w:pPr>
        <w:pStyle w:val="Body"/>
      </w:pPr>
      <w:hyperlink r:id="rId57" w:history="1">
        <w:r w:rsidRPr="003B2E0E">
          <w:rPr>
            <w:rStyle w:val="Hyperlink"/>
          </w:rPr>
          <w:t>AHPRA</w:t>
        </w:r>
      </w:hyperlink>
      <w:r>
        <w:t xml:space="preserve"> &lt;</w:t>
      </w:r>
      <w:r w:rsidRPr="003B2E0E">
        <w:t>https://www.ahpra.gov.au</w:t>
      </w:r>
      <w:r>
        <w:t>&gt;</w:t>
      </w:r>
    </w:p>
    <w:p w14:paraId="5EAE6A6E" w14:textId="0C2E6A2C" w:rsidR="00E23AC5" w:rsidRDefault="00E23AC5" w:rsidP="00E23AC5">
      <w:pPr>
        <w:pStyle w:val="Body"/>
      </w:pPr>
      <w:hyperlink r:id="rId58" w:history="1">
        <w:r w:rsidRPr="008D1CE4">
          <w:rPr>
            <w:rStyle w:val="Hyperlink"/>
          </w:rPr>
          <w:t>Victorian home care industry: occupational health and safety guide</w:t>
        </w:r>
      </w:hyperlink>
      <w:r>
        <w:t xml:space="preserve"> &lt;</w:t>
      </w:r>
      <w:r w:rsidRPr="00D747EA">
        <w:t>https://www.worksafe.vic.gov.au/resources/victorian-home-care-industry-occupational-health-and-safety-guide</w:t>
      </w:r>
      <w:r>
        <w:t>&gt;</w:t>
      </w:r>
    </w:p>
    <w:p w14:paraId="6435D7CC" w14:textId="6BABD0E8" w:rsidR="00E23AC5" w:rsidRDefault="00E23AC5" w:rsidP="00E23AC5">
      <w:pPr>
        <w:pStyle w:val="Body"/>
      </w:pPr>
      <w:hyperlink r:id="rId59" w:history="1">
        <w:r w:rsidRPr="00874E90">
          <w:rPr>
            <w:rStyle w:val="Hyperlink"/>
          </w:rPr>
          <w:t>Community support services: Safety basics</w:t>
        </w:r>
      </w:hyperlink>
      <w:r>
        <w:t xml:space="preserve"> &lt;</w:t>
      </w:r>
      <w:r w:rsidRPr="00874E90">
        <w:t>https://www.worksafe.vic.gov.au/community-support-services-safety-basics</w:t>
      </w:r>
      <w:r>
        <w:t>&gt;</w:t>
      </w:r>
    </w:p>
    <w:p w14:paraId="00A4A526" w14:textId="397A3397" w:rsidR="00E23AC5" w:rsidRPr="00874E90" w:rsidRDefault="00E23AC5" w:rsidP="00E23AC5">
      <w:pPr>
        <w:pStyle w:val="Body"/>
      </w:pPr>
      <w:hyperlink r:id="rId60" w:history="1">
        <w:r>
          <w:rPr>
            <w:rStyle w:val="Hyperlink"/>
          </w:rPr>
          <w:t>Prevention and management of violence and aggression in health services</w:t>
        </w:r>
      </w:hyperlink>
      <w:r>
        <w:t xml:space="preserve"> </w:t>
      </w:r>
      <w:r w:rsidRPr="008D1CE4">
        <w:t>&lt;</w:t>
      </w:r>
      <w:r w:rsidRPr="00874E90">
        <w:t>https://www.worksafe.vic.gov.au/resources/prevention-and-management-violence-and-aggression-health-services</w:t>
      </w:r>
      <w:r w:rsidRPr="008D1CE4">
        <w:t>&gt;</w:t>
      </w:r>
    </w:p>
    <w:p w14:paraId="476055D5" w14:textId="77777777" w:rsidR="00E23AC5" w:rsidRPr="00430382" w:rsidRDefault="00E23AC5" w:rsidP="00E23AC5">
      <w:pPr>
        <w:spacing w:after="0" w:line="240" w:lineRule="auto"/>
      </w:pPr>
      <w:r>
        <w:br w:type="page"/>
      </w:r>
    </w:p>
    <w:p w14:paraId="55C99A9B" w14:textId="77777777" w:rsidR="00E23AC5" w:rsidRPr="00554DF3" w:rsidRDefault="00E23AC5" w:rsidP="00E23AC5">
      <w:pPr>
        <w:pStyle w:val="Heading1"/>
      </w:pPr>
      <w:bookmarkStart w:id="66" w:name="_Toc232491454"/>
      <w:bookmarkStart w:id="67" w:name="_Toc233281411"/>
      <w:r>
        <w:lastRenderedPageBreak/>
        <w:t>Appendix B</w:t>
      </w:r>
      <w:r w:rsidRPr="00CC4789">
        <w:t xml:space="preserve">. </w:t>
      </w:r>
      <w:r w:rsidRPr="00554DF3">
        <w:t>Services and supports beyond HACC PYP</w:t>
      </w:r>
      <w:bookmarkEnd w:id="66"/>
      <w:bookmarkEnd w:id="67"/>
    </w:p>
    <w:p w14:paraId="323D0387" w14:textId="77777777" w:rsidR="00E23AC5" w:rsidRDefault="00E23AC5" w:rsidP="00E23AC5">
      <w:pPr>
        <w:pStyle w:val="Body"/>
      </w:pPr>
      <w:r w:rsidRPr="00A000DB">
        <w:rPr>
          <w:rStyle w:val="DHHSbodyChar"/>
        </w:rPr>
        <w:t>HACC PYP operates within a broader service environment across community, education, transport, housing and healthcare systems. Providers may connect people to other programs or services where these are better suited to meet identified needs. The services below are examples only and do not include the full range of supports available through local councils, communities and other service systems</w:t>
      </w:r>
      <w:r>
        <w:t>.</w:t>
      </w:r>
    </w:p>
    <w:p w14:paraId="69BD1600" w14:textId="77777777" w:rsidR="00E23AC5" w:rsidRPr="00A000DB" w:rsidRDefault="00E23AC5" w:rsidP="00E23AC5">
      <w:pPr>
        <w:pStyle w:val="Heading2"/>
      </w:pPr>
      <w:bookmarkStart w:id="68" w:name="_Toc232491455"/>
      <w:bookmarkStart w:id="69" w:name="_Toc233281412"/>
      <w:r w:rsidRPr="00A000DB">
        <w:t>Carer support</w:t>
      </w:r>
      <w:bookmarkEnd w:id="68"/>
      <w:bookmarkEnd w:id="69"/>
    </w:p>
    <w:p w14:paraId="1601F48A" w14:textId="77777777" w:rsidR="00E23AC5" w:rsidRDefault="00E23AC5" w:rsidP="00D65C14">
      <w:pPr>
        <w:pStyle w:val="Body"/>
      </w:pPr>
      <w:hyperlink r:id="rId61">
        <w:r>
          <w:rPr>
            <w:color w:val="0563C1"/>
            <w:u w:val="single"/>
          </w:rPr>
          <w:t>Support for Carers Program</w:t>
        </w:r>
      </w:hyperlink>
      <w:r>
        <w:t xml:space="preserve"> &lt;https://www.vic.gov.au/support-carers-program&gt;</w:t>
      </w:r>
    </w:p>
    <w:p w14:paraId="640F133E" w14:textId="201A037F" w:rsidR="00E23AC5" w:rsidRDefault="00E23AC5" w:rsidP="00D65C14">
      <w:pPr>
        <w:pStyle w:val="Body"/>
      </w:pPr>
      <w:hyperlink r:id="rId62">
        <w:r>
          <w:rPr>
            <w:color w:val="0563C1"/>
            <w:u w:val="single"/>
          </w:rPr>
          <w:t>Carer Gateway</w:t>
        </w:r>
      </w:hyperlink>
      <w:r>
        <w:t xml:space="preserve"> &lt;https://www.carergateway.gov.au&gt;</w:t>
      </w:r>
    </w:p>
    <w:p w14:paraId="31622BCF" w14:textId="77777777" w:rsidR="00E23AC5" w:rsidRDefault="00E23AC5" w:rsidP="00E23AC5">
      <w:pPr>
        <w:pStyle w:val="Heading2"/>
      </w:pPr>
      <w:bookmarkStart w:id="70" w:name="_Toc232491456"/>
      <w:bookmarkStart w:id="71" w:name="_Toc233281413"/>
      <w:r>
        <w:t>Health supports</w:t>
      </w:r>
      <w:bookmarkEnd w:id="70"/>
      <w:bookmarkEnd w:id="71"/>
    </w:p>
    <w:p w14:paraId="1E376876" w14:textId="77777777" w:rsidR="00E23AC5" w:rsidRDefault="00E23AC5" w:rsidP="00D65C14">
      <w:pPr>
        <w:pStyle w:val="Body"/>
      </w:pPr>
      <w:hyperlink r:id="rId63">
        <w:r>
          <w:rPr>
            <w:color w:val="0563C1"/>
            <w:u w:val="single"/>
          </w:rPr>
          <w:t>Health independence</w:t>
        </w:r>
      </w:hyperlink>
      <w:r>
        <w:t xml:space="preserve"> &lt;https://www.health.vic.gov.au/patient-care/health-independence-program-overview&gt;</w:t>
      </w:r>
    </w:p>
    <w:p w14:paraId="4EAF3C8D" w14:textId="77777777" w:rsidR="00E23AC5" w:rsidRDefault="00E23AC5" w:rsidP="00D65C14">
      <w:pPr>
        <w:pStyle w:val="Body"/>
      </w:pPr>
      <w:hyperlink r:id="rId64">
        <w:r>
          <w:rPr>
            <w:color w:val="0563C1"/>
            <w:u w:val="single"/>
          </w:rPr>
          <w:t>Aids and equipment</w:t>
        </w:r>
      </w:hyperlink>
      <w:r>
        <w:t xml:space="preserve"> &lt;https://www.health.vic.gov.au/supporting-independent-living/victorian-aids-and-equipment-program&gt;</w:t>
      </w:r>
    </w:p>
    <w:p w14:paraId="33B2C437" w14:textId="77777777" w:rsidR="00E23AC5" w:rsidRDefault="00E23AC5" w:rsidP="00D65C14">
      <w:pPr>
        <w:pStyle w:val="Body"/>
      </w:pPr>
      <w:hyperlink r:id="rId65">
        <w:r>
          <w:rPr>
            <w:color w:val="0563C1"/>
            <w:u w:val="single"/>
          </w:rPr>
          <w:t>Mental health support</w:t>
        </w:r>
      </w:hyperlink>
      <w:r>
        <w:t xml:space="preserve"> &lt;https://www.health.vic.gov.au/mental-health-services/mental-health-community-support-services&gt;</w:t>
      </w:r>
    </w:p>
    <w:p w14:paraId="6C1E4765" w14:textId="77777777" w:rsidR="00E23AC5" w:rsidRDefault="00E23AC5" w:rsidP="00D65C14">
      <w:pPr>
        <w:pStyle w:val="Body"/>
      </w:pPr>
      <w:hyperlink r:id="rId66">
        <w:r>
          <w:rPr>
            <w:color w:val="0563C1"/>
            <w:u w:val="single"/>
          </w:rPr>
          <w:t>Alcohol and drug support</w:t>
        </w:r>
      </w:hyperlink>
      <w:r>
        <w:t xml:space="preserve"> &lt;https://www.health.vic.gov.au/alcohol-and-drugs/alcohol-and-other-drug-treatment-services&gt;</w:t>
      </w:r>
    </w:p>
    <w:p w14:paraId="60A5F097" w14:textId="77777777" w:rsidR="00E23AC5" w:rsidRPr="00585B68" w:rsidRDefault="00E23AC5" w:rsidP="00D65C14">
      <w:pPr>
        <w:pStyle w:val="Body"/>
        <w:rPr>
          <w:rStyle w:val="BodyChar"/>
        </w:rPr>
      </w:pPr>
      <w:hyperlink r:id="rId67">
        <w:r>
          <w:rPr>
            <w:color w:val="0563C1"/>
            <w:u w:val="single"/>
          </w:rPr>
          <w:t>Palliative care</w:t>
        </w:r>
      </w:hyperlink>
      <w:r>
        <w:t xml:space="preserve"> </w:t>
      </w:r>
      <w:r w:rsidRPr="00585B68">
        <w:rPr>
          <w:rStyle w:val="BodyChar"/>
        </w:rPr>
        <w:t>&lt;</w:t>
      </w:r>
      <w:hyperlink r:id="rId68" w:history="1">
        <w:r w:rsidRPr="00585B68">
          <w:rPr>
            <w:rStyle w:val="BodyChar"/>
          </w:rPr>
          <w:t>https://www.health.vic.gov.au/end-of-life-care/palliative-care-program</w:t>
        </w:r>
      </w:hyperlink>
      <w:r w:rsidRPr="00585B68">
        <w:rPr>
          <w:rStyle w:val="BodyChar"/>
        </w:rPr>
        <w:t>&gt;</w:t>
      </w:r>
    </w:p>
    <w:p w14:paraId="590BB748" w14:textId="2104D83C" w:rsidR="00E23AC5" w:rsidRDefault="00E23AC5" w:rsidP="00D65C14">
      <w:pPr>
        <w:pStyle w:val="Body"/>
      </w:pPr>
      <w:hyperlink r:id="rId69">
        <w:r>
          <w:rPr>
            <w:color w:val="0563C1"/>
            <w:u w:val="single"/>
          </w:rPr>
          <w:t>Continence support</w:t>
        </w:r>
      </w:hyperlink>
      <w:r>
        <w:t xml:space="preserve"> &lt;https://www.continence.org.au&gt;</w:t>
      </w:r>
    </w:p>
    <w:p w14:paraId="31832A9C" w14:textId="77777777" w:rsidR="00E23AC5" w:rsidRDefault="00E23AC5" w:rsidP="00E23AC5">
      <w:pPr>
        <w:pStyle w:val="Heading2"/>
      </w:pPr>
      <w:bookmarkStart w:id="72" w:name="_Toc232491457"/>
      <w:bookmarkStart w:id="73" w:name="_Toc233281414"/>
      <w:r>
        <w:t>Community support</w:t>
      </w:r>
      <w:bookmarkEnd w:id="72"/>
      <w:bookmarkEnd w:id="73"/>
    </w:p>
    <w:p w14:paraId="10067A44" w14:textId="77777777" w:rsidR="00E23AC5" w:rsidRPr="00870C84" w:rsidRDefault="00E23AC5" w:rsidP="00D65C14">
      <w:pPr>
        <w:pStyle w:val="Body"/>
        <w:rPr>
          <w:color w:val="0563C1"/>
          <w:u w:val="single"/>
        </w:rPr>
      </w:pPr>
      <w:hyperlink r:id="rId70" w:history="1">
        <w:r w:rsidRPr="00870C84">
          <w:rPr>
            <w:color w:val="0563C1"/>
            <w:u w:val="single"/>
          </w:rPr>
          <w:t>Community transport providers | Better Health Channel</w:t>
        </w:r>
      </w:hyperlink>
    </w:p>
    <w:p w14:paraId="638D4324" w14:textId="77777777" w:rsidR="00E23AC5" w:rsidRDefault="00E23AC5" w:rsidP="00D65C14">
      <w:pPr>
        <w:pStyle w:val="Body"/>
      </w:pPr>
      <w:r>
        <w:t>&lt;</w:t>
      </w:r>
      <w:r w:rsidRPr="005E78B9">
        <w:t>https://www.betterhealth.vic.gov.au/health/servicesandsupports/community-transport-providers</w:t>
      </w:r>
      <w:r>
        <w:t>&gt;</w:t>
      </w:r>
    </w:p>
    <w:p w14:paraId="3D559E03" w14:textId="77777777" w:rsidR="00E23AC5" w:rsidRDefault="00E23AC5" w:rsidP="00D65C14">
      <w:pPr>
        <w:pStyle w:val="Body"/>
      </w:pPr>
      <w:hyperlink r:id="rId71">
        <w:r w:rsidRPr="002B108F">
          <w:rPr>
            <w:color w:val="0563C1"/>
            <w:u w:val="single"/>
          </w:rPr>
          <w:t>Food relief</w:t>
        </w:r>
      </w:hyperlink>
      <w:r>
        <w:t xml:space="preserve"> &lt;https://providers.dffh.vic.gov.au/community-food-relief&gt;</w:t>
      </w:r>
      <w:r>
        <w:br/>
      </w:r>
    </w:p>
    <w:p w14:paraId="189B9C14" w14:textId="77777777" w:rsidR="00E23AC5" w:rsidRDefault="00E23AC5" w:rsidP="00E23AC5">
      <w:pPr>
        <w:pStyle w:val="Heading2"/>
      </w:pPr>
      <w:bookmarkStart w:id="74" w:name="_Toc232491458"/>
      <w:bookmarkStart w:id="75" w:name="_Toc233281415"/>
      <w:r>
        <w:t>Complex needs support</w:t>
      </w:r>
      <w:bookmarkEnd w:id="74"/>
      <w:bookmarkEnd w:id="75"/>
    </w:p>
    <w:p w14:paraId="24BF6D94" w14:textId="77777777" w:rsidR="00E23AC5" w:rsidRDefault="00E23AC5" w:rsidP="00D65C14">
      <w:pPr>
        <w:pStyle w:val="Body"/>
      </w:pPr>
      <w:hyperlink r:id="rId72">
        <w:r>
          <w:rPr>
            <w:color w:val="0563C1"/>
            <w:u w:val="single"/>
          </w:rPr>
          <w:t>Complex needs support</w:t>
        </w:r>
      </w:hyperlink>
      <w:r>
        <w:t xml:space="preserve"> &lt;https://www.dffh.vic.gov.au/service-provision-framework-complex-needs&gt;</w:t>
      </w:r>
    </w:p>
    <w:p w14:paraId="5EDB9716" w14:textId="77777777" w:rsidR="00E23AC5" w:rsidRDefault="00E23AC5" w:rsidP="00E23AC5">
      <w:pPr>
        <w:pStyle w:val="Heading2"/>
      </w:pPr>
      <w:bookmarkStart w:id="76" w:name="_Toc232491459"/>
      <w:bookmarkStart w:id="77" w:name="_Toc233281416"/>
      <w:r>
        <w:t>Disability</w:t>
      </w:r>
      <w:bookmarkEnd w:id="76"/>
      <w:bookmarkEnd w:id="77"/>
    </w:p>
    <w:p w14:paraId="29401C68" w14:textId="77777777" w:rsidR="00E23AC5" w:rsidRDefault="00E23AC5" w:rsidP="00D65C14">
      <w:pPr>
        <w:pStyle w:val="Body"/>
      </w:pPr>
      <w:hyperlink r:id="rId73">
        <w:r>
          <w:rPr>
            <w:color w:val="0563C1"/>
            <w:u w:val="single"/>
          </w:rPr>
          <w:t>NDIS support</w:t>
        </w:r>
      </w:hyperlink>
      <w:r>
        <w:t xml:space="preserve"> &lt;https://www.ndis.gov.au/contact/find-us/ndis-each-state/victoria&gt;</w:t>
      </w:r>
    </w:p>
    <w:p w14:paraId="1B8E8D76" w14:textId="7604AC46" w:rsidR="00E23AC5" w:rsidRDefault="00E23AC5" w:rsidP="00D65C14">
      <w:pPr>
        <w:pStyle w:val="Body"/>
      </w:pPr>
      <w:hyperlink r:id="rId74">
        <w:r>
          <w:rPr>
            <w:color w:val="0563C1"/>
            <w:u w:val="single"/>
          </w:rPr>
          <w:t>Victorians Ineligible for NDIS (VIN) program</w:t>
        </w:r>
      </w:hyperlink>
      <w:r>
        <w:t xml:space="preserve"> &lt;https://www.rch.org.au/immigranthealth/other/other_resources&gt;</w:t>
      </w:r>
    </w:p>
    <w:p w14:paraId="46D5ACE0" w14:textId="77777777" w:rsidR="00E23AC5" w:rsidRDefault="00E23AC5" w:rsidP="00E23AC5">
      <w:pPr>
        <w:pStyle w:val="Heading2"/>
      </w:pPr>
      <w:bookmarkStart w:id="78" w:name="_Toc232491460"/>
      <w:bookmarkStart w:id="79" w:name="_Toc233281417"/>
      <w:r>
        <w:lastRenderedPageBreak/>
        <w:t>Aged care</w:t>
      </w:r>
      <w:bookmarkEnd w:id="78"/>
      <w:bookmarkEnd w:id="79"/>
    </w:p>
    <w:p w14:paraId="0E55F262" w14:textId="77777777" w:rsidR="00E23AC5" w:rsidRDefault="00E23AC5" w:rsidP="00D65C14">
      <w:pPr>
        <w:pStyle w:val="Body"/>
      </w:pPr>
      <w:hyperlink r:id="rId75">
        <w:r>
          <w:rPr>
            <w:color w:val="0563C1"/>
            <w:u w:val="single"/>
          </w:rPr>
          <w:t>Aged care</w:t>
        </w:r>
      </w:hyperlink>
      <w:r>
        <w:t xml:space="preserve"> &lt;https://www.myagedcare.gov.au/aged-care-programs&gt;</w:t>
      </w:r>
    </w:p>
    <w:p w14:paraId="52C80DF1" w14:textId="77777777" w:rsidR="00FB5FAD" w:rsidRDefault="00FB5FAD" w:rsidP="00FB5FAD">
      <w:pPr>
        <w:pStyle w:val="Heading1"/>
      </w:pPr>
      <w:bookmarkStart w:id="80" w:name="_Toc232491461"/>
      <w:bookmarkStart w:id="81" w:name="_Toc233281418"/>
      <w:r w:rsidRPr="0065485F">
        <w:t>Appendix</w:t>
      </w:r>
      <w:r>
        <w:t xml:space="preserve"> C. HACC PYP Activities</w:t>
      </w:r>
      <w:bookmarkEnd w:id="80"/>
      <w:bookmarkEnd w:id="81"/>
    </w:p>
    <w:p w14:paraId="5FCBC06C" w14:textId="77777777" w:rsidR="00FB5FAD" w:rsidRDefault="00FB5FAD" w:rsidP="00FB5FAD">
      <w:pPr>
        <w:pStyle w:val="Body"/>
      </w:pPr>
      <w:r>
        <w:t xml:space="preserve">The following table outlines the core funded activities for each HACC PYP service stream. </w:t>
      </w:r>
    </w:p>
    <w:p w14:paraId="26A1E253" w14:textId="2C51E9E6" w:rsidR="00FB5FAD" w:rsidRPr="00687A84" w:rsidRDefault="00FB5FAD" w:rsidP="00FB5FAD">
      <w:pPr>
        <w:pStyle w:val="Body"/>
      </w:pPr>
      <w:r>
        <w:t xml:space="preserve">Activity descriptions can be found at the </w:t>
      </w:r>
      <w:hyperlink r:id="rId76" w:history="1">
        <w:r w:rsidRPr="0066643B">
          <w:rPr>
            <w:rStyle w:val="Hyperlink"/>
          </w:rPr>
          <w:t xml:space="preserve">DFFH Providers website </w:t>
        </w:r>
      </w:hyperlink>
      <w:r>
        <w:t>&lt;ht</w:t>
      </w:r>
      <w:r w:rsidRPr="00F13AF6">
        <w:t>tps://providers.dffh.vic.gov.au/families-fairness-housing-health-activity-search</w:t>
      </w:r>
      <w:r>
        <w:t>&gt;</w:t>
      </w:r>
    </w:p>
    <w:p w14:paraId="472F0846" w14:textId="6EDD98A6" w:rsidR="00E23AC5" w:rsidRDefault="00FB5FAD" w:rsidP="00FB5FAD">
      <w:pPr>
        <w:pStyle w:val="Tablecaption"/>
      </w:pPr>
      <w:r>
        <w:t>Table 3: HACC PYP activities</w:t>
      </w:r>
    </w:p>
    <w:tbl>
      <w:tblPr>
        <w:tblStyle w:val="TableGrid"/>
        <w:tblW w:w="9298" w:type="dxa"/>
        <w:tblLook w:val="06A0" w:firstRow="1" w:lastRow="0" w:firstColumn="1" w:lastColumn="0" w:noHBand="1" w:noVBand="1"/>
      </w:tblPr>
      <w:tblGrid>
        <w:gridCol w:w="3099"/>
        <w:gridCol w:w="3099"/>
        <w:gridCol w:w="3100"/>
      </w:tblGrid>
      <w:tr w:rsidR="00D835BD" w14:paraId="3621792A" w14:textId="77777777" w:rsidTr="00D835BD">
        <w:trPr>
          <w:tblHeader/>
        </w:trPr>
        <w:tc>
          <w:tcPr>
            <w:tcW w:w="3099" w:type="dxa"/>
          </w:tcPr>
          <w:p w14:paraId="620A00B0" w14:textId="5F6B33D9" w:rsidR="00D835BD" w:rsidRPr="00CB3285" w:rsidRDefault="00D835BD" w:rsidP="0007127F">
            <w:pPr>
              <w:pStyle w:val="Tablecolhead"/>
              <w:keepNext/>
              <w:keepLines/>
            </w:pPr>
            <w:r>
              <w:t>Activity number</w:t>
            </w:r>
          </w:p>
        </w:tc>
        <w:tc>
          <w:tcPr>
            <w:tcW w:w="3099" w:type="dxa"/>
          </w:tcPr>
          <w:p w14:paraId="5BA58EE9" w14:textId="4DFA87E7" w:rsidR="00D835BD" w:rsidRPr="00CB3285" w:rsidRDefault="00D835BD" w:rsidP="0007127F">
            <w:pPr>
              <w:pStyle w:val="Tablecolhead"/>
              <w:keepNext/>
              <w:keepLines/>
            </w:pPr>
            <w:r>
              <w:t>Activity</w:t>
            </w:r>
          </w:p>
        </w:tc>
        <w:tc>
          <w:tcPr>
            <w:tcW w:w="3100" w:type="dxa"/>
          </w:tcPr>
          <w:p w14:paraId="79686CC3" w14:textId="425CE694" w:rsidR="00D835BD" w:rsidRDefault="00D835BD" w:rsidP="0007127F">
            <w:pPr>
              <w:pStyle w:val="Tablecolhead"/>
              <w:keepNext/>
              <w:keepLines/>
            </w:pPr>
            <w:r>
              <w:t>Sub-activity</w:t>
            </w:r>
          </w:p>
        </w:tc>
      </w:tr>
      <w:tr w:rsidR="009E6449" w14:paraId="7FFD72C7" w14:textId="77777777" w:rsidTr="00AD3577">
        <w:tc>
          <w:tcPr>
            <w:tcW w:w="9298" w:type="dxa"/>
            <w:gridSpan w:val="3"/>
          </w:tcPr>
          <w:p w14:paraId="69C32F60" w14:textId="528B5CF6" w:rsidR="009E6449" w:rsidRDefault="009E6449" w:rsidP="009E6449">
            <w:pPr>
              <w:pStyle w:val="Tablecolhead"/>
            </w:pPr>
            <w:r>
              <w:t>Assessment and access supports</w:t>
            </w:r>
          </w:p>
        </w:tc>
      </w:tr>
      <w:tr w:rsidR="00C37418" w14:paraId="6B65295D" w14:textId="77777777" w:rsidTr="00D835BD">
        <w:tc>
          <w:tcPr>
            <w:tcW w:w="3099" w:type="dxa"/>
          </w:tcPr>
          <w:p w14:paraId="1C6F4B2F" w14:textId="21A2E5C6" w:rsidR="00C37418" w:rsidRPr="00B8380C" w:rsidRDefault="00C37418" w:rsidP="00B8380C">
            <w:pPr>
              <w:pStyle w:val="Tabletext"/>
            </w:pPr>
            <w:r w:rsidRPr="00B8380C">
              <w:t>13024</w:t>
            </w:r>
          </w:p>
        </w:tc>
        <w:tc>
          <w:tcPr>
            <w:tcW w:w="3099" w:type="dxa"/>
          </w:tcPr>
          <w:p w14:paraId="74A413BA" w14:textId="0155968E" w:rsidR="00C37418" w:rsidRPr="00B8380C" w:rsidRDefault="00C37418" w:rsidP="00B8380C">
            <w:pPr>
              <w:pStyle w:val="Tabletext"/>
            </w:pPr>
            <w:r w:rsidRPr="00B8380C">
              <w:t>HACC-PYP Assessment and Care Management</w:t>
            </w:r>
          </w:p>
        </w:tc>
        <w:tc>
          <w:tcPr>
            <w:tcW w:w="3100" w:type="dxa"/>
          </w:tcPr>
          <w:p w14:paraId="5595B59D" w14:textId="4B7D6CD9" w:rsidR="00C37418" w:rsidRPr="00B8380C" w:rsidRDefault="00C37418" w:rsidP="00B8380C">
            <w:pPr>
              <w:pStyle w:val="Tabletext"/>
            </w:pPr>
            <w:r w:rsidRPr="00B8380C">
              <w:t>HACC-PYP - Assessment (KPOM)</w:t>
            </w:r>
          </w:p>
        </w:tc>
      </w:tr>
      <w:tr w:rsidR="00C37418" w14:paraId="119C26E8" w14:textId="77777777" w:rsidTr="00D835BD">
        <w:tc>
          <w:tcPr>
            <w:tcW w:w="3099" w:type="dxa"/>
          </w:tcPr>
          <w:p w14:paraId="1DE70B42" w14:textId="25C5A191" w:rsidR="00C37418" w:rsidRPr="00B8380C" w:rsidRDefault="00C37418" w:rsidP="00B8380C">
            <w:pPr>
              <w:pStyle w:val="Tabletext"/>
            </w:pPr>
            <w:r w:rsidRPr="00B8380C">
              <w:t>13229</w:t>
            </w:r>
          </w:p>
        </w:tc>
        <w:tc>
          <w:tcPr>
            <w:tcW w:w="3099" w:type="dxa"/>
          </w:tcPr>
          <w:p w14:paraId="43A7946E" w14:textId="29D409B9" w:rsidR="00C37418" w:rsidRPr="00B8380C" w:rsidRDefault="00C37418" w:rsidP="00B8380C">
            <w:pPr>
              <w:pStyle w:val="Tabletext"/>
            </w:pPr>
            <w:r w:rsidRPr="00B8380C">
              <w:t>HACC-PYP Access and Support</w:t>
            </w:r>
          </w:p>
        </w:tc>
        <w:tc>
          <w:tcPr>
            <w:tcW w:w="3100" w:type="dxa"/>
          </w:tcPr>
          <w:p w14:paraId="0EF6154F" w14:textId="4685D413" w:rsidR="00C37418" w:rsidRPr="00B8380C" w:rsidRDefault="00C37418" w:rsidP="00B8380C">
            <w:pPr>
              <w:pStyle w:val="Tabletext"/>
            </w:pPr>
            <w:r w:rsidRPr="00B8380C">
              <w:t>HACC-PYP - Access &amp; Support (KPOM)</w:t>
            </w:r>
          </w:p>
        </w:tc>
      </w:tr>
      <w:tr w:rsidR="009E6449" w14:paraId="15616AB0" w14:textId="77777777" w:rsidTr="00D835BD">
        <w:tc>
          <w:tcPr>
            <w:tcW w:w="3099" w:type="dxa"/>
            <w:vMerge w:val="restart"/>
          </w:tcPr>
          <w:p w14:paraId="716FA674" w14:textId="77777777" w:rsidR="009E6449" w:rsidRPr="00B8380C" w:rsidRDefault="009E6449" w:rsidP="00B8380C">
            <w:pPr>
              <w:pStyle w:val="Tabletext"/>
            </w:pPr>
            <w:r w:rsidRPr="00B8380C">
              <w:t>13015</w:t>
            </w:r>
          </w:p>
          <w:p w14:paraId="1082B57B" w14:textId="6351AFE4" w:rsidR="009E6449" w:rsidRPr="00B8380C" w:rsidRDefault="009E6449" w:rsidP="00B8380C">
            <w:pPr>
              <w:pStyle w:val="Tabletext"/>
            </w:pPr>
            <w:r w:rsidRPr="00B8380C">
              <w:t xml:space="preserve"> </w:t>
            </w:r>
          </w:p>
        </w:tc>
        <w:tc>
          <w:tcPr>
            <w:tcW w:w="3099" w:type="dxa"/>
          </w:tcPr>
          <w:p w14:paraId="0178F3DF" w14:textId="1DCC1E18" w:rsidR="009E6449" w:rsidRPr="00B8380C" w:rsidRDefault="009E6449" w:rsidP="00B8380C">
            <w:pPr>
              <w:pStyle w:val="Tabletext"/>
            </w:pPr>
            <w:r w:rsidRPr="00B8380C">
              <w:t xml:space="preserve">HACC-PYP Linkages – Case Management </w:t>
            </w:r>
          </w:p>
        </w:tc>
        <w:tc>
          <w:tcPr>
            <w:tcW w:w="3100" w:type="dxa"/>
          </w:tcPr>
          <w:p w14:paraId="183070BB" w14:textId="3AAB3917" w:rsidR="009E6449" w:rsidRPr="00B8380C" w:rsidRDefault="009E6449" w:rsidP="00B8380C">
            <w:pPr>
              <w:pStyle w:val="Tabletext"/>
            </w:pPr>
            <w:r w:rsidRPr="00B8380C">
              <w:t xml:space="preserve">Linkages - Case Management </w:t>
            </w:r>
          </w:p>
        </w:tc>
      </w:tr>
      <w:tr w:rsidR="009E6449" w14:paraId="77C868E7" w14:textId="77777777" w:rsidTr="00D835BD">
        <w:tc>
          <w:tcPr>
            <w:tcW w:w="3099" w:type="dxa"/>
            <w:vMerge/>
          </w:tcPr>
          <w:p w14:paraId="2AD390E2" w14:textId="0AE59E55" w:rsidR="009E6449" w:rsidRPr="00B8380C" w:rsidRDefault="009E6449" w:rsidP="00B8380C">
            <w:pPr>
              <w:pStyle w:val="Tabletext"/>
            </w:pPr>
          </w:p>
        </w:tc>
        <w:tc>
          <w:tcPr>
            <w:tcW w:w="3099" w:type="dxa"/>
          </w:tcPr>
          <w:p w14:paraId="116A06D2" w14:textId="58E9EE12" w:rsidR="009E6449" w:rsidRPr="00B8380C" w:rsidRDefault="009E6449" w:rsidP="00B8380C">
            <w:pPr>
              <w:pStyle w:val="Tabletext"/>
            </w:pPr>
            <w:r w:rsidRPr="00B8380C">
              <w:t xml:space="preserve"> </w:t>
            </w:r>
          </w:p>
        </w:tc>
        <w:tc>
          <w:tcPr>
            <w:tcW w:w="3100" w:type="dxa"/>
          </w:tcPr>
          <w:p w14:paraId="2B946A8D" w14:textId="215F193C" w:rsidR="009E6449" w:rsidRPr="00B8380C" w:rsidRDefault="009E6449" w:rsidP="00B8380C">
            <w:pPr>
              <w:pStyle w:val="Tabletext"/>
            </w:pPr>
            <w:r w:rsidRPr="00B8380C">
              <w:t>Linkages</w:t>
            </w:r>
          </w:p>
        </w:tc>
      </w:tr>
      <w:tr w:rsidR="009E6449" w14:paraId="0CE7EE63" w14:textId="77777777" w:rsidTr="004F07C0">
        <w:tc>
          <w:tcPr>
            <w:tcW w:w="9298" w:type="dxa"/>
            <w:gridSpan w:val="3"/>
          </w:tcPr>
          <w:p w14:paraId="2F272CA1" w14:textId="4E42638C" w:rsidR="009E6449" w:rsidRDefault="009E6449" w:rsidP="009E6449">
            <w:pPr>
              <w:pStyle w:val="Tablecolhead"/>
            </w:pPr>
            <w:r>
              <w:t>Health supports</w:t>
            </w:r>
          </w:p>
        </w:tc>
      </w:tr>
      <w:tr w:rsidR="00EB7AC7" w14:paraId="0E1654EE" w14:textId="77777777" w:rsidTr="00D835BD">
        <w:tc>
          <w:tcPr>
            <w:tcW w:w="3099" w:type="dxa"/>
          </w:tcPr>
          <w:p w14:paraId="13B70851" w14:textId="51312148" w:rsidR="00EB7AC7" w:rsidRDefault="00EB7AC7" w:rsidP="00B8380C">
            <w:pPr>
              <w:pStyle w:val="Tabletext"/>
            </w:pPr>
            <w:r>
              <w:t>13223</w:t>
            </w:r>
          </w:p>
        </w:tc>
        <w:tc>
          <w:tcPr>
            <w:tcW w:w="3099" w:type="dxa"/>
          </w:tcPr>
          <w:p w14:paraId="6FC6BC6D" w14:textId="64D6BA78" w:rsidR="00EB7AC7" w:rsidRDefault="00EB7AC7" w:rsidP="00B8380C">
            <w:pPr>
              <w:pStyle w:val="Tabletext"/>
            </w:pPr>
            <w:r>
              <w:t>HACC-PYP Health Supports</w:t>
            </w:r>
          </w:p>
        </w:tc>
        <w:tc>
          <w:tcPr>
            <w:tcW w:w="3100" w:type="dxa"/>
          </w:tcPr>
          <w:p w14:paraId="363799DC" w14:textId="1CBC7C57" w:rsidR="00EB7AC7" w:rsidRDefault="00EB7AC7" w:rsidP="00B8380C">
            <w:pPr>
              <w:pStyle w:val="Tabletext"/>
            </w:pPr>
            <w:r>
              <w:t>HACC-PYP - Allied Health and Nursing SUP (KPOM)</w:t>
            </w:r>
          </w:p>
        </w:tc>
      </w:tr>
      <w:tr w:rsidR="00EB7AC7" w14:paraId="3F6A04B4" w14:textId="77777777" w:rsidTr="00D835BD">
        <w:tc>
          <w:tcPr>
            <w:tcW w:w="3099" w:type="dxa"/>
          </w:tcPr>
          <w:p w14:paraId="7C4E6F13" w14:textId="77777777" w:rsidR="00EB7AC7" w:rsidRDefault="00EB7AC7" w:rsidP="00B8380C">
            <w:pPr>
              <w:pStyle w:val="Tabletext"/>
            </w:pPr>
          </w:p>
        </w:tc>
        <w:tc>
          <w:tcPr>
            <w:tcW w:w="3099" w:type="dxa"/>
          </w:tcPr>
          <w:p w14:paraId="680817CC" w14:textId="77777777" w:rsidR="00EB7AC7" w:rsidRDefault="00EB7AC7" w:rsidP="00B8380C">
            <w:pPr>
              <w:pStyle w:val="Tabletext"/>
            </w:pPr>
          </w:p>
        </w:tc>
        <w:tc>
          <w:tcPr>
            <w:tcW w:w="3100" w:type="dxa"/>
          </w:tcPr>
          <w:p w14:paraId="1985DC88" w14:textId="05FADAEB" w:rsidR="00EB7AC7" w:rsidRDefault="00EB7AC7" w:rsidP="00B8380C">
            <w:pPr>
              <w:pStyle w:val="Tabletext"/>
            </w:pPr>
            <w:r>
              <w:t>HACC-PYP - Nursing - After Hours</w:t>
            </w:r>
          </w:p>
        </w:tc>
      </w:tr>
      <w:tr w:rsidR="00EB7AC7" w14:paraId="5E53C139" w14:textId="77777777" w:rsidTr="00D835BD">
        <w:tc>
          <w:tcPr>
            <w:tcW w:w="3099" w:type="dxa"/>
          </w:tcPr>
          <w:p w14:paraId="1B84DD1A" w14:textId="77777777" w:rsidR="00EB7AC7" w:rsidRDefault="00EB7AC7" w:rsidP="00B8380C">
            <w:pPr>
              <w:pStyle w:val="Tabletext"/>
            </w:pPr>
          </w:p>
        </w:tc>
        <w:tc>
          <w:tcPr>
            <w:tcW w:w="3099" w:type="dxa"/>
          </w:tcPr>
          <w:p w14:paraId="5322F254" w14:textId="77777777" w:rsidR="00EB7AC7" w:rsidRDefault="00EB7AC7" w:rsidP="00B8380C">
            <w:pPr>
              <w:pStyle w:val="Tabletext"/>
            </w:pPr>
          </w:p>
        </w:tc>
        <w:tc>
          <w:tcPr>
            <w:tcW w:w="3100" w:type="dxa"/>
          </w:tcPr>
          <w:p w14:paraId="7EB77015" w14:textId="03AD1D86" w:rsidR="00EB7AC7" w:rsidRDefault="00EB7AC7" w:rsidP="00B8380C">
            <w:pPr>
              <w:pStyle w:val="Tabletext"/>
            </w:pPr>
            <w:r>
              <w:t xml:space="preserve">HACC-PYP - Nursing Wound Consumables </w:t>
            </w:r>
          </w:p>
        </w:tc>
      </w:tr>
      <w:tr w:rsidR="009E6449" w14:paraId="5B76B106" w14:textId="77777777" w:rsidTr="00E2014D">
        <w:tc>
          <w:tcPr>
            <w:tcW w:w="9298" w:type="dxa"/>
            <w:gridSpan w:val="3"/>
          </w:tcPr>
          <w:p w14:paraId="1C1E8F93" w14:textId="79457FB9" w:rsidR="009E6449" w:rsidRDefault="009E6449" w:rsidP="009E6449">
            <w:pPr>
              <w:pStyle w:val="Tablecolhead"/>
            </w:pPr>
            <w:r>
              <w:t>Personal and in-home support</w:t>
            </w:r>
          </w:p>
        </w:tc>
      </w:tr>
      <w:tr w:rsidR="003A7D1E" w14:paraId="4E546634" w14:textId="77777777" w:rsidTr="00D835BD">
        <w:tc>
          <w:tcPr>
            <w:tcW w:w="3099" w:type="dxa"/>
          </w:tcPr>
          <w:p w14:paraId="0F18EE2A" w14:textId="77777777" w:rsidR="003A7D1E" w:rsidRPr="003C4CED" w:rsidRDefault="003A7D1E" w:rsidP="00B8380C">
            <w:pPr>
              <w:pStyle w:val="Tabletext"/>
            </w:pPr>
            <w:r w:rsidRPr="003C4CED">
              <w:t>13026</w:t>
            </w:r>
          </w:p>
          <w:p w14:paraId="6733FFD5" w14:textId="77777777" w:rsidR="003A7D1E" w:rsidRDefault="003A7D1E" w:rsidP="00B8380C">
            <w:pPr>
              <w:pStyle w:val="Tabletext"/>
            </w:pPr>
          </w:p>
        </w:tc>
        <w:tc>
          <w:tcPr>
            <w:tcW w:w="3099" w:type="dxa"/>
          </w:tcPr>
          <w:p w14:paraId="50EA6E23" w14:textId="4A756F57" w:rsidR="003A7D1E" w:rsidRDefault="003A7D1E" w:rsidP="00B8380C">
            <w:pPr>
              <w:pStyle w:val="Tabletext"/>
            </w:pPr>
            <w:r>
              <w:t>HACC - PYP</w:t>
            </w:r>
            <w:r w:rsidRPr="003C4CED">
              <w:t xml:space="preserve"> Community Care</w:t>
            </w:r>
          </w:p>
        </w:tc>
        <w:tc>
          <w:tcPr>
            <w:tcW w:w="3100" w:type="dxa"/>
          </w:tcPr>
          <w:p w14:paraId="4C9013CC" w14:textId="163D2B48" w:rsidR="003A7D1E" w:rsidRDefault="003A7D1E" w:rsidP="00B8380C">
            <w:pPr>
              <w:pStyle w:val="Tabletext"/>
            </w:pPr>
            <w:r>
              <w:t>HACC - PYP</w:t>
            </w:r>
            <w:r w:rsidRPr="003C4CED">
              <w:t xml:space="preserve"> </w:t>
            </w:r>
            <w:r>
              <w:t xml:space="preserve">- </w:t>
            </w:r>
            <w:r w:rsidRPr="003C4CED">
              <w:t>Community Care (KPOM)</w:t>
            </w:r>
          </w:p>
        </w:tc>
      </w:tr>
      <w:tr w:rsidR="003A7D1E" w14:paraId="0EFCE1C8" w14:textId="77777777" w:rsidTr="00D835BD">
        <w:tc>
          <w:tcPr>
            <w:tcW w:w="3099" w:type="dxa"/>
          </w:tcPr>
          <w:p w14:paraId="43B2385B" w14:textId="77777777" w:rsidR="003A7D1E" w:rsidRPr="003C4CED" w:rsidRDefault="003A7D1E" w:rsidP="00B8380C">
            <w:pPr>
              <w:pStyle w:val="Tabletext"/>
            </w:pPr>
            <w:r w:rsidRPr="003C4CED">
              <w:t>13097</w:t>
            </w:r>
          </w:p>
          <w:p w14:paraId="47E401FE" w14:textId="77777777" w:rsidR="003A7D1E" w:rsidRDefault="003A7D1E" w:rsidP="00B8380C">
            <w:pPr>
              <w:pStyle w:val="Tabletext"/>
            </w:pPr>
          </w:p>
        </w:tc>
        <w:tc>
          <w:tcPr>
            <w:tcW w:w="3099" w:type="dxa"/>
          </w:tcPr>
          <w:p w14:paraId="112D3ECC" w14:textId="2728D4AD" w:rsidR="003A7D1E" w:rsidRDefault="003A7D1E" w:rsidP="00B8380C">
            <w:pPr>
              <w:pStyle w:val="Tabletext"/>
            </w:pPr>
            <w:r w:rsidRPr="002527A9">
              <w:t>HACC - PYP Delivered Meals</w:t>
            </w:r>
          </w:p>
        </w:tc>
        <w:tc>
          <w:tcPr>
            <w:tcW w:w="3100" w:type="dxa"/>
          </w:tcPr>
          <w:p w14:paraId="0FCEE391" w14:textId="6473AD9D" w:rsidR="003A7D1E" w:rsidRDefault="003A7D1E" w:rsidP="00B8380C">
            <w:pPr>
              <w:pStyle w:val="Tabletext"/>
            </w:pPr>
            <w:r w:rsidRPr="002527A9">
              <w:t>HACC PYP- Delivered Meals (KPOM)</w:t>
            </w:r>
          </w:p>
        </w:tc>
      </w:tr>
      <w:tr w:rsidR="003A7D1E" w14:paraId="40249D11" w14:textId="77777777" w:rsidTr="00D835BD">
        <w:tc>
          <w:tcPr>
            <w:tcW w:w="3099" w:type="dxa"/>
          </w:tcPr>
          <w:p w14:paraId="44D845CA" w14:textId="77777777" w:rsidR="003A7D1E" w:rsidRPr="003C4CED" w:rsidRDefault="003A7D1E" w:rsidP="00B8380C">
            <w:pPr>
              <w:pStyle w:val="Tabletext"/>
            </w:pPr>
            <w:r w:rsidRPr="003C4CED">
              <w:t>13043</w:t>
            </w:r>
          </w:p>
          <w:p w14:paraId="531838EF" w14:textId="77777777" w:rsidR="003A7D1E" w:rsidRDefault="003A7D1E" w:rsidP="00B8380C">
            <w:pPr>
              <w:pStyle w:val="Tabletext"/>
            </w:pPr>
          </w:p>
        </w:tc>
        <w:tc>
          <w:tcPr>
            <w:tcW w:w="3099" w:type="dxa"/>
          </w:tcPr>
          <w:p w14:paraId="634CFB52" w14:textId="37FA237C" w:rsidR="003A7D1E" w:rsidRDefault="003A7D1E" w:rsidP="00B8380C">
            <w:pPr>
              <w:pStyle w:val="Tabletext"/>
            </w:pPr>
            <w:r>
              <w:t xml:space="preserve">HACC - PYP </w:t>
            </w:r>
            <w:r w:rsidRPr="003C4CED">
              <w:t>F</w:t>
            </w:r>
            <w:r>
              <w:t>lexible Service Response</w:t>
            </w:r>
          </w:p>
        </w:tc>
        <w:tc>
          <w:tcPr>
            <w:tcW w:w="3100" w:type="dxa"/>
          </w:tcPr>
          <w:p w14:paraId="1230225E" w14:textId="77777777" w:rsidR="003A7D1E" w:rsidRPr="008B4516" w:rsidRDefault="003A7D1E" w:rsidP="00B8380C">
            <w:pPr>
              <w:pStyle w:val="Tabletext"/>
            </w:pPr>
            <w:r w:rsidRPr="008B4516">
              <w:t>HACC-PYP</w:t>
            </w:r>
            <w:r>
              <w:t xml:space="preserve"> – </w:t>
            </w:r>
            <w:r w:rsidRPr="008B4516">
              <w:t>FSR</w:t>
            </w:r>
            <w:r>
              <w:t xml:space="preserve"> </w:t>
            </w:r>
            <w:r w:rsidRPr="008B4516">
              <w:t>-</w:t>
            </w:r>
            <w:r>
              <w:t xml:space="preserve"> </w:t>
            </w:r>
            <w:r w:rsidRPr="008B4516">
              <w:t>Meals</w:t>
            </w:r>
          </w:p>
          <w:p w14:paraId="1B52521B" w14:textId="5BA32D37" w:rsidR="003A7D1E" w:rsidRDefault="003A7D1E" w:rsidP="00B8380C">
            <w:pPr>
              <w:pStyle w:val="Tabletext"/>
            </w:pPr>
            <w:r w:rsidRPr="008B4516">
              <w:t>HACC-PYP</w:t>
            </w:r>
            <w:r>
              <w:t xml:space="preserve"> – </w:t>
            </w:r>
            <w:r w:rsidRPr="008B4516">
              <w:t>FSR</w:t>
            </w:r>
            <w:r>
              <w:t xml:space="preserve"> </w:t>
            </w:r>
            <w:r w:rsidRPr="008B4516">
              <w:t>-</w:t>
            </w:r>
            <w:r>
              <w:t xml:space="preserve"> </w:t>
            </w:r>
            <w:r w:rsidRPr="008B4516">
              <w:t>Meal Vouchers</w:t>
            </w:r>
            <w:r>
              <w:t xml:space="preserve"> </w:t>
            </w:r>
          </w:p>
        </w:tc>
      </w:tr>
      <w:tr w:rsidR="003A7D1E" w14:paraId="20F74B18" w14:textId="77777777" w:rsidTr="00D835BD">
        <w:tc>
          <w:tcPr>
            <w:tcW w:w="3099" w:type="dxa"/>
          </w:tcPr>
          <w:p w14:paraId="2CE2DBB6" w14:textId="1E0A723F" w:rsidR="003A7D1E" w:rsidRDefault="003A7D1E" w:rsidP="00B8380C">
            <w:pPr>
              <w:pStyle w:val="Tabletext"/>
            </w:pPr>
            <w:r>
              <w:t>13099</w:t>
            </w:r>
          </w:p>
        </w:tc>
        <w:tc>
          <w:tcPr>
            <w:tcW w:w="3099" w:type="dxa"/>
          </w:tcPr>
          <w:p w14:paraId="1613A8E4" w14:textId="11CD9782" w:rsidR="003A7D1E" w:rsidRDefault="003A7D1E" w:rsidP="00B8380C">
            <w:pPr>
              <w:pStyle w:val="Tabletext"/>
            </w:pPr>
            <w:r>
              <w:t>HACC - PYP Property Maintenance</w:t>
            </w:r>
          </w:p>
        </w:tc>
        <w:tc>
          <w:tcPr>
            <w:tcW w:w="3100" w:type="dxa"/>
          </w:tcPr>
          <w:p w14:paraId="0B42E928" w14:textId="173A07AF" w:rsidR="003A7D1E" w:rsidRDefault="003A7D1E" w:rsidP="00B8380C">
            <w:pPr>
              <w:pStyle w:val="Tabletext"/>
            </w:pPr>
            <w:r w:rsidRPr="00684D2E">
              <w:t>HACC-PYP - Property Maintenance (KPOM)</w:t>
            </w:r>
          </w:p>
        </w:tc>
      </w:tr>
      <w:tr w:rsidR="009E6449" w14:paraId="1657934D" w14:textId="77777777" w:rsidTr="0021191E">
        <w:tc>
          <w:tcPr>
            <w:tcW w:w="9298" w:type="dxa"/>
            <w:gridSpan w:val="3"/>
          </w:tcPr>
          <w:p w14:paraId="34D2CEE2" w14:textId="3591E0C0" w:rsidR="009E6449" w:rsidRDefault="009E6449" w:rsidP="009E6449">
            <w:pPr>
              <w:pStyle w:val="Tablecolhead"/>
            </w:pPr>
            <w:r>
              <w:t>Social and community engagement</w:t>
            </w:r>
          </w:p>
        </w:tc>
      </w:tr>
      <w:tr w:rsidR="00E8795D" w14:paraId="7932832B" w14:textId="77777777" w:rsidTr="00D835BD">
        <w:tc>
          <w:tcPr>
            <w:tcW w:w="3099" w:type="dxa"/>
          </w:tcPr>
          <w:p w14:paraId="2EC2A0D5" w14:textId="15A4F905" w:rsidR="00E8795D" w:rsidRDefault="00E8795D" w:rsidP="00B8380C">
            <w:pPr>
              <w:pStyle w:val="Tabletext"/>
            </w:pPr>
            <w:r>
              <w:t>13056</w:t>
            </w:r>
          </w:p>
        </w:tc>
        <w:tc>
          <w:tcPr>
            <w:tcW w:w="3099" w:type="dxa"/>
          </w:tcPr>
          <w:p w14:paraId="7BA0C8E4" w14:textId="74F1EE49" w:rsidR="00E8795D" w:rsidRDefault="00E8795D" w:rsidP="00B8380C">
            <w:pPr>
              <w:pStyle w:val="Tabletext"/>
            </w:pPr>
            <w:r>
              <w:t>HACC - PYP Planned Activity Group</w:t>
            </w:r>
          </w:p>
        </w:tc>
        <w:tc>
          <w:tcPr>
            <w:tcW w:w="3100" w:type="dxa"/>
          </w:tcPr>
          <w:p w14:paraId="6247D7E6" w14:textId="004F4C93" w:rsidR="00E8795D" w:rsidRDefault="00E8795D" w:rsidP="00B8380C">
            <w:pPr>
              <w:pStyle w:val="Tabletext"/>
            </w:pPr>
            <w:r>
              <w:t>HACC - PYP - Planned Activity Group (KPOM)</w:t>
            </w:r>
          </w:p>
        </w:tc>
      </w:tr>
      <w:tr w:rsidR="00E8795D" w14:paraId="6D701B20" w14:textId="77777777" w:rsidTr="00D835BD">
        <w:tc>
          <w:tcPr>
            <w:tcW w:w="3099" w:type="dxa"/>
          </w:tcPr>
          <w:p w14:paraId="4EC8041C" w14:textId="7D396629" w:rsidR="00E8795D" w:rsidRDefault="00E8795D" w:rsidP="00B8380C">
            <w:pPr>
              <w:pStyle w:val="Tabletext"/>
            </w:pPr>
            <w:r>
              <w:lastRenderedPageBreak/>
              <w:t>13043</w:t>
            </w:r>
          </w:p>
        </w:tc>
        <w:tc>
          <w:tcPr>
            <w:tcW w:w="3099" w:type="dxa"/>
          </w:tcPr>
          <w:p w14:paraId="6A528E78" w14:textId="1E112D08" w:rsidR="00E8795D" w:rsidRDefault="00E8795D" w:rsidP="00B8380C">
            <w:pPr>
              <w:pStyle w:val="Tabletext"/>
            </w:pPr>
            <w:r>
              <w:t xml:space="preserve">HACC - PYP </w:t>
            </w:r>
            <w:r w:rsidRPr="003C4CED">
              <w:t>F</w:t>
            </w:r>
            <w:r>
              <w:t>lexible Service Response</w:t>
            </w:r>
          </w:p>
        </w:tc>
        <w:tc>
          <w:tcPr>
            <w:tcW w:w="3100" w:type="dxa"/>
          </w:tcPr>
          <w:p w14:paraId="7C308BCC" w14:textId="13F9509E" w:rsidR="00E8795D" w:rsidRDefault="00E8795D" w:rsidP="00B8380C">
            <w:pPr>
              <w:pStyle w:val="Tabletext"/>
            </w:pPr>
            <w:r>
              <w:t>HACC-PYP</w:t>
            </w:r>
            <w:r w:rsidRPr="003C4CED">
              <w:t xml:space="preserve"> </w:t>
            </w:r>
            <w:r>
              <w:t>–</w:t>
            </w:r>
            <w:r w:rsidRPr="003C4CED">
              <w:t xml:space="preserve"> FSR </w:t>
            </w:r>
            <w:r>
              <w:t>–</w:t>
            </w:r>
            <w:r w:rsidRPr="003C4CED">
              <w:t xml:space="preserve"> Social Support</w:t>
            </w:r>
          </w:p>
        </w:tc>
      </w:tr>
      <w:tr w:rsidR="00E8795D" w14:paraId="01AA7823" w14:textId="77777777" w:rsidTr="00D835BD">
        <w:tc>
          <w:tcPr>
            <w:tcW w:w="3099" w:type="dxa"/>
          </w:tcPr>
          <w:p w14:paraId="3AF6EC1C" w14:textId="5E968687" w:rsidR="00E8795D" w:rsidRDefault="00E8795D" w:rsidP="00B8380C">
            <w:pPr>
              <w:pStyle w:val="Tabletext"/>
            </w:pPr>
            <w:r>
              <w:t>13063</w:t>
            </w:r>
          </w:p>
        </w:tc>
        <w:tc>
          <w:tcPr>
            <w:tcW w:w="3099" w:type="dxa"/>
          </w:tcPr>
          <w:p w14:paraId="2DCCC3F7" w14:textId="4FB3CDAC" w:rsidR="00E8795D" w:rsidRDefault="00E8795D" w:rsidP="00B8380C">
            <w:pPr>
              <w:pStyle w:val="Tabletext"/>
            </w:pPr>
            <w:r>
              <w:t>HACC - PYP Volunteer Co-ordination</w:t>
            </w:r>
          </w:p>
        </w:tc>
        <w:tc>
          <w:tcPr>
            <w:tcW w:w="3100" w:type="dxa"/>
          </w:tcPr>
          <w:p w14:paraId="2386B3BF" w14:textId="3FE61727" w:rsidR="00E8795D" w:rsidRDefault="00E8795D" w:rsidP="00B8380C">
            <w:pPr>
              <w:pStyle w:val="Tabletext"/>
            </w:pPr>
            <w:r>
              <w:t>HACC-PYP - Volunteer Co-ordination (KPOM)</w:t>
            </w:r>
          </w:p>
        </w:tc>
      </w:tr>
      <w:tr w:rsidR="00E8795D" w14:paraId="77B331C0" w14:textId="77777777" w:rsidTr="00D835BD">
        <w:tc>
          <w:tcPr>
            <w:tcW w:w="3099" w:type="dxa"/>
          </w:tcPr>
          <w:p w14:paraId="61F5947B" w14:textId="7912FA92" w:rsidR="00E8795D" w:rsidRDefault="00E8795D" w:rsidP="00B8380C">
            <w:pPr>
              <w:pStyle w:val="Tabletext"/>
            </w:pPr>
            <w:r>
              <w:t>13130</w:t>
            </w:r>
          </w:p>
        </w:tc>
        <w:tc>
          <w:tcPr>
            <w:tcW w:w="3099" w:type="dxa"/>
          </w:tcPr>
          <w:p w14:paraId="254E240D" w14:textId="6823B736" w:rsidR="00E8795D" w:rsidRDefault="00E8795D" w:rsidP="00B8380C">
            <w:pPr>
              <w:pStyle w:val="Tabletext"/>
            </w:pPr>
            <w:r>
              <w:t>HACC-PYP Volunteer Coordination - Other</w:t>
            </w:r>
          </w:p>
        </w:tc>
        <w:tc>
          <w:tcPr>
            <w:tcW w:w="3100" w:type="dxa"/>
          </w:tcPr>
          <w:p w14:paraId="41C9D9BE" w14:textId="3D387C57" w:rsidR="00E8795D" w:rsidRDefault="00E8795D" w:rsidP="00B8380C">
            <w:pPr>
              <w:pStyle w:val="Tabletext"/>
            </w:pPr>
            <w:r>
              <w:t>HACC-PYP- VCO-Investment Activity (No KPOM)</w:t>
            </w:r>
          </w:p>
        </w:tc>
      </w:tr>
      <w:tr w:rsidR="009E6449" w14:paraId="2C88637B" w14:textId="77777777" w:rsidTr="001F4CD2">
        <w:tc>
          <w:tcPr>
            <w:tcW w:w="9298" w:type="dxa"/>
            <w:gridSpan w:val="3"/>
          </w:tcPr>
          <w:p w14:paraId="44347C11" w14:textId="5C053DA4" w:rsidR="009E6449" w:rsidRDefault="009E6449" w:rsidP="009E6449">
            <w:pPr>
              <w:pStyle w:val="Tablecolhead"/>
            </w:pPr>
            <w:r>
              <w:t>ACCO services</w:t>
            </w:r>
          </w:p>
        </w:tc>
      </w:tr>
      <w:tr w:rsidR="009673B5" w14:paraId="4EB9027D" w14:textId="77777777" w:rsidTr="00D835BD">
        <w:tc>
          <w:tcPr>
            <w:tcW w:w="3099" w:type="dxa"/>
          </w:tcPr>
          <w:p w14:paraId="7E35CA60" w14:textId="1A531FE6" w:rsidR="009673B5" w:rsidRDefault="009673B5" w:rsidP="00B8380C">
            <w:pPr>
              <w:pStyle w:val="Tabletext"/>
            </w:pPr>
            <w:r>
              <w:t>13227</w:t>
            </w:r>
          </w:p>
        </w:tc>
        <w:tc>
          <w:tcPr>
            <w:tcW w:w="3099" w:type="dxa"/>
          </w:tcPr>
          <w:p w14:paraId="70A1BEEE" w14:textId="01FB76E0" w:rsidR="009673B5" w:rsidRDefault="009673B5" w:rsidP="00B8380C">
            <w:pPr>
              <w:pStyle w:val="Tabletext"/>
            </w:pPr>
            <w:r>
              <w:t>HACC-PYP- ACCO Services</w:t>
            </w:r>
          </w:p>
        </w:tc>
        <w:tc>
          <w:tcPr>
            <w:tcW w:w="3100" w:type="dxa"/>
          </w:tcPr>
          <w:p w14:paraId="0826AC9F" w14:textId="77777777" w:rsidR="009673B5" w:rsidRDefault="009673B5" w:rsidP="00B8380C">
            <w:pPr>
              <w:pStyle w:val="Tabletext"/>
            </w:pPr>
          </w:p>
        </w:tc>
      </w:tr>
      <w:tr w:rsidR="00B8380C" w14:paraId="5C008341" w14:textId="77777777" w:rsidTr="004C0BB1">
        <w:tc>
          <w:tcPr>
            <w:tcW w:w="9298" w:type="dxa"/>
            <w:gridSpan w:val="3"/>
          </w:tcPr>
          <w:p w14:paraId="2A6767A9" w14:textId="06380693" w:rsidR="00B8380C" w:rsidRDefault="00B8380C" w:rsidP="00B8380C">
            <w:pPr>
              <w:pStyle w:val="Tablecolhead"/>
            </w:pPr>
            <w:r>
              <w:t>Small rural services</w:t>
            </w:r>
          </w:p>
        </w:tc>
      </w:tr>
      <w:tr w:rsidR="00A808FB" w14:paraId="35D7CBAD" w14:textId="77777777" w:rsidTr="00D835BD">
        <w:tc>
          <w:tcPr>
            <w:tcW w:w="3099" w:type="dxa"/>
          </w:tcPr>
          <w:p w14:paraId="7FA52C5C" w14:textId="557FB0CE" w:rsidR="00A808FB" w:rsidRDefault="00A808FB" w:rsidP="00B8380C">
            <w:pPr>
              <w:pStyle w:val="Tabletext"/>
            </w:pPr>
            <w:r>
              <w:t>35030</w:t>
            </w:r>
          </w:p>
        </w:tc>
        <w:tc>
          <w:tcPr>
            <w:tcW w:w="3099" w:type="dxa"/>
          </w:tcPr>
          <w:p w14:paraId="7EA3C6BF" w14:textId="1EAEB963" w:rsidR="00A808FB" w:rsidRDefault="00A808FB" w:rsidP="00B8380C">
            <w:pPr>
              <w:pStyle w:val="Tabletext"/>
            </w:pPr>
            <w:r>
              <w:t>HACC-PYP - Small Rural Services</w:t>
            </w:r>
          </w:p>
        </w:tc>
        <w:tc>
          <w:tcPr>
            <w:tcW w:w="3100" w:type="dxa"/>
          </w:tcPr>
          <w:p w14:paraId="6C0C7B01" w14:textId="77777777" w:rsidR="00A808FB" w:rsidRDefault="00A808FB" w:rsidP="00B8380C">
            <w:pPr>
              <w:pStyle w:val="Tabletext"/>
            </w:pPr>
          </w:p>
        </w:tc>
      </w:tr>
    </w:tbl>
    <w:p w14:paraId="4DF4D073" w14:textId="77777777" w:rsidR="00A42269" w:rsidRDefault="00A42269" w:rsidP="00A42269">
      <w:pPr>
        <w:pStyle w:val="Heading1"/>
      </w:pPr>
      <w:bookmarkStart w:id="82" w:name="_Toc232491462"/>
      <w:bookmarkStart w:id="83" w:name="_Toc233281419"/>
      <w:r>
        <w:t>Appendix D. Glossary of terms</w:t>
      </w:r>
      <w:bookmarkEnd w:id="82"/>
      <w:bookmarkEnd w:id="83"/>
    </w:p>
    <w:tbl>
      <w:tblPr>
        <w:tblW w:w="0" w:type="auto"/>
        <w:tblCellMar>
          <w:left w:w="0" w:type="dxa"/>
          <w:right w:w="0" w:type="dxa"/>
        </w:tblCellMar>
        <w:tblLook w:val="04A0" w:firstRow="1" w:lastRow="0" w:firstColumn="1" w:lastColumn="0" w:noHBand="0" w:noVBand="1"/>
      </w:tblPr>
      <w:tblGrid>
        <w:gridCol w:w="2258"/>
        <w:gridCol w:w="7020"/>
      </w:tblGrid>
      <w:tr w:rsidR="00850CF0" w14:paraId="0F3BE804" w14:textId="77777777" w:rsidTr="00850CF0">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96CEB5" w14:textId="77777777" w:rsidR="00850CF0" w:rsidRDefault="00850CF0">
            <w:pPr>
              <w:pStyle w:val="Tablecolhead"/>
              <w:rPr>
                <w:kern w:val="2"/>
                <w:szCs w:val="21"/>
                <w14:ligatures w14:val="standardContextual"/>
              </w:rPr>
            </w:pPr>
            <w:r>
              <w:t>Acronym/term</w:t>
            </w:r>
          </w:p>
        </w:tc>
        <w:tc>
          <w:tcPr>
            <w:tcW w:w="7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4E46D" w14:textId="00B8F87B" w:rsidR="00850CF0" w:rsidRDefault="00850CF0">
            <w:pPr>
              <w:pStyle w:val="Tablecolhead"/>
            </w:pPr>
            <w:r>
              <w:t>Definition</w:t>
            </w:r>
          </w:p>
        </w:tc>
      </w:tr>
      <w:tr w:rsidR="00850CF0" w14:paraId="633E2293"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0A0B2" w14:textId="77777777" w:rsidR="00850CF0" w:rsidRDefault="00850CF0">
            <w:pPr>
              <w:pStyle w:val="Body"/>
            </w:pPr>
            <w:r>
              <w:t>ACCO</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32618BD4" w14:textId="77777777" w:rsidR="00850CF0" w:rsidRDefault="00850CF0">
            <w:pPr>
              <w:pStyle w:val="Body"/>
            </w:pPr>
            <w:r>
              <w:t>Aboriginal Community Controlled Organisation</w:t>
            </w:r>
          </w:p>
        </w:tc>
      </w:tr>
      <w:tr w:rsidR="00850CF0" w14:paraId="7CFFA5A6"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14415" w14:textId="77777777" w:rsidR="00850CF0" w:rsidRDefault="00850CF0">
            <w:pPr>
              <w:pStyle w:val="Body"/>
            </w:pPr>
            <w:r>
              <w:t>AHPRA</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4E5DBBEF" w14:textId="77777777" w:rsidR="00850CF0" w:rsidRDefault="00850CF0">
            <w:pPr>
              <w:pStyle w:val="Body"/>
            </w:pPr>
            <w:r>
              <w:t>Australian Health Practitioner Regulation Agency</w:t>
            </w:r>
          </w:p>
        </w:tc>
      </w:tr>
      <w:tr w:rsidR="00850CF0" w14:paraId="260DEC2E"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2CBBC" w14:textId="77777777" w:rsidR="00850CF0" w:rsidRDefault="00850CF0">
            <w:pPr>
              <w:pStyle w:val="Body"/>
            </w:pPr>
            <w:r>
              <w:t>CHSP</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12CEE402" w14:textId="77777777" w:rsidR="00850CF0" w:rsidRDefault="00850CF0">
            <w:pPr>
              <w:pStyle w:val="Body"/>
            </w:pPr>
            <w:r>
              <w:t>Commonwealth Home Support Program</w:t>
            </w:r>
          </w:p>
        </w:tc>
      </w:tr>
      <w:tr w:rsidR="00850CF0" w14:paraId="587B4193"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A772D" w14:textId="77777777" w:rsidR="00850CF0" w:rsidRDefault="00850CF0">
            <w:pPr>
              <w:pStyle w:val="Body"/>
            </w:pPr>
            <w:r>
              <w:t>Department</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1B2AEAB7" w14:textId="77777777" w:rsidR="00850CF0" w:rsidRDefault="00850CF0">
            <w:pPr>
              <w:pStyle w:val="Body"/>
            </w:pPr>
            <w:r>
              <w:t>Department of Health</w:t>
            </w:r>
          </w:p>
        </w:tc>
      </w:tr>
      <w:tr w:rsidR="00850CF0" w14:paraId="2BD782F4"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F8F1B" w14:textId="77777777" w:rsidR="00850CF0" w:rsidRDefault="00850CF0">
            <w:pPr>
              <w:pStyle w:val="Body"/>
            </w:pPr>
            <w:r>
              <w:t>DFFH</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1D71A519" w14:textId="77777777" w:rsidR="00850CF0" w:rsidRDefault="00850CF0">
            <w:pPr>
              <w:pStyle w:val="Body"/>
            </w:pPr>
            <w:r>
              <w:t>Department of Families, Fairness and Housing</w:t>
            </w:r>
          </w:p>
        </w:tc>
      </w:tr>
      <w:tr w:rsidR="00850CF0" w14:paraId="1FEE2A5B"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7A070" w14:textId="77777777" w:rsidR="00850CF0" w:rsidRDefault="00850CF0">
            <w:pPr>
              <w:pStyle w:val="Body"/>
            </w:pPr>
            <w:r>
              <w:t>FSR</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56629B57" w14:textId="77777777" w:rsidR="00850CF0" w:rsidRDefault="00850CF0">
            <w:pPr>
              <w:pStyle w:val="Body"/>
            </w:pPr>
            <w:r>
              <w:t>Flexible service response</w:t>
            </w:r>
          </w:p>
        </w:tc>
      </w:tr>
      <w:tr w:rsidR="00850CF0" w14:paraId="150171EE"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B9F0E" w14:textId="77777777" w:rsidR="00850CF0" w:rsidRDefault="00850CF0">
            <w:pPr>
              <w:pStyle w:val="Body"/>
            </w:pPr>
            <w:r>
              <w:t>Guidelines</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1A71A631" w14:textId="77777777" w:rsidR="00850CF0" w:rsidRDefault="00850CF0">
            <w:pPr>
              <w:pStyle w:val="Body"/>
            </w:pPr>
            <w:r>
              <w:t>HACC PYP Guidelines 2026</w:t>
            </w:r>
          </w:p>
        </w:tc>
      </w:tr>
      <w:tr w:rsidR="00850CF0" w14:paraId="738B84D8"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C7FEA" w14:textId="77777777" w:rsidR="00850CF0" w:rsidRDefault="00850CF0">
            <w:pPr>
              <w:pStyle w:val="Body"/>
            </w:pPr>
            <w:r>
              <w:t>HACC PYP</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0A4426A7" w14:textId="77777777" w:rsidR="00850CF0" w:rsidRDefault="00850CF0">
            <w:pPr>
              <w:pStyle w:val="Body"/>
            </w:pPr>
            <w:r>
              <w:t>Home and Community Care Program for Younger People</w:t>
            </w:r>
          </w:p>
        </w:tc>
      </w:tr>
      <w:tr w:rsidR="00850CF0" w14:paraId="7BAAC324"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44ACE" w14:textId="77777777" w:rsidR="00850CF0" w:rsidRDefault="00850CF0">
            <w:pPr>
              <w:pStyle w:val="Body"/>
            </w:pPr>
            <w:r>
              <w:t>KPOM</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6A668FE2" w14:textId="77777777" w:rsidR="00850CF0" w:rsidRDefault="00850CF0">
            <w:pPr>
              <w:pStyle w:val="Body"/>
            </w:pPr>
            <w:r>
              <w:t>Key Performance Outcome Measures</w:t>
            </w:r>
          </w:p>
        </w:tc>
      </w:tr>
      <w:tr w:rsidR="00850CF0" w14:paraId="6FFDEBAB"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D2773" w14:textId="77777777" w:rsidR="00850CF0" w:rsidRDefault="00850CF0">
            <w:pPr>
              <w:pStyle w:val="Body"/>
            </w:pPr>
            <w:r>
              <w:t>LGA</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50AF4BDB" w14:textId="77777777" w:rsidR="00850CF0" w:rsidRDefault="00850CF0">
            <w:pPr>
              <w:pStyle w:val="Body"/>
            </w:pPr>
            <w:r>
              <w:t>Local government area</w:t>
            </w:r>
          </w:p>
        </w:tc>
      </w:tr>
      <w:tr w:rsidR="00850CF0" w14:paraId="1768B2FD"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6FA86" w14:textId="77777777" w:rsidR="00850CF0" w:rsidRDefault="00850CF0">
            <w:pPr>
              <w:pStyle w:val="Body"/>
            </w:pPr>
            <w:r>
              <w:t>MARAM</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6D05ED2C" w14:textId="77777777" w:rsidR="00850CF0" w:rsidRDefault="00850CF0">
            <w:pPr>
              <w:pStyle w:val="Body"/>
            </w:pPr>
            <w:r>
              <w:t>Multi-Agency Risk Assessment and Management</w:t>
            </w:r>
          </w:p>
        </w:tc>
      </w:tr>
      <w:tr w:rsidR="00850CF0" w14:paraId="1DA4204C"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74D15" w14:textId="77777777" w:rsidR="00850CF0" w:rsidRDefault="00850CF0">
            <w:pPr>
              <w:pStyle w:val="Body"/>
            </w:pPr>
            <w:r>
              <w:t>NDIS</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7B44E8CE" w14:textId="77777777" w:rsidR="00850CF0" w:rsidRDefault="00850CF0">
            <w:pPr>
              <w:pStyle w:val="Body"/>
            </w:pPr>
            <w:r>
              <w:t>National Disability Insurance Scheme</w:t>
            </w:r>
          </w:p>
        </w:tc>
      </w:tr>
      <w:tr w:rsidR="00850CF0" w14:paraId="13920671"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7C805" w14:textId="77777777" w:rsidR="00850CF0" w:rsidRDefault="00850CF0">
            <w:pPr>
              <w:pStyle w:val="Body"/>
            </w:pPr>
            <w:r>
              <w:t>VCSS MDS</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5A413B6F" w14:textId="77777777" w:rsidR="00850CF0" w:rsidRDefault="00850CF0">
            <w:pPr>
              <w:pStyle w:val="Body"/>
            </w:pPr>
            <w:r>
              <w:t>Victorian Community Support Services Minimum Data Set</w:t>
            </w:r>
          </w:p>
        </w:tc>
      </w:tr>
      <w:tr w:rsidR="00850CF0" w14:paraId="33DFAD3A"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CCDA" w14:textId="77777777" w:rsidR="00850CF0" w:rsidRDefault="00850CF0">
            <w:pPr>
              <w:pStyle w:val="Body"/>
            </w:pPr>
            <w:r>
              <w:t>VCO</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0078C30E" w14:textId="77777777" w:rsidR="00850CF0" w:rsidRDefault="00850CF0">
            <w:pPr>
              <w:pStyle w:val="Body"/>
            </w:pPr>
            <w:r>
              <w:t>Volunteer Coordination — Other</w:t>
            </w:r>
          </w:p>
        </w:tc>
      </w:tr>
      <w:tr w:rsidR="00850CF0" w14:paraId="4C3193B8" w14:textId="77777777" w:rsidTr="00850CF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56C4E" w14:textId="77777777" w:rsidR="00850CF0" w:rsidRDefault="00850CF0">
            <w:pPr>
              <w:pStyle w:val="Body"/>
            </w:pPr>
            <w:r>
              <w:t>VIN</w:t>
            </w:r>
          </w:p>
        </w:tc>
        <w:tc>
          <w:tcPr>
            <w:tcW w:w="7020" w:type="dxa"/>
            <w:tcBorders>
              <w:top w:val="nil"/>
              <w:left w:val="nil"/>
              <w:bottom w:val="single" w:sz="8" w:space="0" w:color="auto"/>
              <w:right w:val="single" w:sz="8" w:space="0" w:color="auto"/>
            </w:tcBorders>
            <w:tcMar>
              <w:top w:w="0" w:type="dxa"/>
              <w:left w:w="108" w:type="dxa"/>
              <w:bottom w:w="0" w:type="dxa"/>
              <w:right w:w="108" w:type="dxa"/>
            </w:tcMar>
            <w:hideMark/>
          </w:tcPr>
          <w:p w14:paraId="1618B056" w14:textId="77777777" w:rsidR="00850CF0" w:rsidRDefault="00850CF0">
            <w:pPr>
              <w:pStyle w:val="Body"/>
            </w:pPr>
            <w:r>
              <w:t>Victorians Ineligible for NDIS</w:t>
            </w:r>
          </w:p>
        </w:tc>
      </w:tr>
    </w:tbl>
    <w:p w14:paraId="1AC1BAD7" w14:textId="77777777" w:rsidR="001F1B18" w:rsidRDefault="001F1B18" w:rsidP="001F1B18">
      <w:pPr>
        <w:pStyle w:val="Body"/>
      </w:pPr>
    </w:p>
    <w:p w14:paraId="759259FA" w14:textId="77777777" w:rsidR="001F1B18" w:rsidRDefault="001F1B18" w:rsidP="001F1B18">
      <w:pPr>
        <w:pStyle w:val="Body"/>
      </w:pPr>
    </w:p>
    <w:bookmarkEnd w:id="3"/>
    <w:p w14:paraId="168BE6F9" w14:textId="77777777" w:rsidR="00F45BC0" w:rsidRDefault="00F45BC0" w:rsidP="00544A91">
      <w:pPr>
        <w:pStyle w:val="Body"/>
      </w:pPr>
    </w:p>
    <w:sectPr w:rsidR="00F45BC0" w:rsidSect="00454A7D">
      <w:headerReference w:type="even" r:id="rId77"/>
      <w:headerReference w:type="default" r:id="rId78"/>
      <w:footerReference w:type="even" r:id="rId79"/>
      <w:footerReference w:type="default" r:id="rId8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356F" w14:textId="77777777" w:rsidR="004275FF" w:rsidRDefault="004275FF">
      <w:r>
        <w:separator/>
      </w:r>
    </w:p>
    <w:p w14:paraId="4A25C854" w14:textId="77777777" w:rsidR="004275FF" w:rsidRDefault="004275FF"/>
  </w:endnote>
  <w:endnote w:type="continuationSeparator" w:id="0">
    <w:p w14:paraId="0D6FB690" w14:textId="77777777" w:rsidR="004275FF" w:rsidRDefault="004275FF">
      <w:r>
        <w:continuationSeparator/>
      </w:r>
    </w:p>
    <w:p w14:paraId="11BB6BA3" w14:textId="77777777" w:rsidR="004275FF" w:rsidRDefault="00427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67B4"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B6BD1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8B6BD1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AE97"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83722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783722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F141"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1F60853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AC6A0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FAC6A0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11E8"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41A4A4B6">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2FBD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832FBD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5106"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4B67FAF3" wp14:editId="7290D3AE">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012C38"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67FAF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5012C38"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CE6A1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08CE6A1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C3FF" w14:textId="77777777" w:rsidR="004275FF" w:rsidRDefault="004275FF" w:rsidP="00207717">
      <w:pPr>
        <w:spacing w:before="120"/>
      </w:pPr>
      <w:r>
        <w:separator/>
      </w:r>
    </w:p>
  </w:footnote>
  <w:footnote w:type="continuationSeparator" w:id="0">
    <w:p w14:paraId="092E6D9B" w14:textId="77777777" w:rsidR="004275FF" w:rsidRDefault="004275FF">
      <w:r>
        <w:continuationSeparator/>
      </w:r>
    </w:p>
    <w:p w14:paraId="552F7BFE" w14:textId="77777777" w:rsidR="004275FF" w:rsidRDefault="00427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EEA2" w14:textId="651C49EA" w:rsidR="00AD40BC" w:rsidRDefault="00C91391">
    <w:pPr>
      <w:pStyle w:val="Header"/>
    </w:pPr>
    <w:r>
      <w:t>HACC PYP Guidelines 2026</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30EF" w14:textId="77777777" w:rsidR="00431A70" w:rsidRPr="00454A7D" w:rsidRDefault="00431A70"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F177" w14:textId="71D28188" w:rsidR="00562811" w:rsidRPr="0051568D" w:rsidRDefault="00C36663" w:rsidP="0017674D">
    <w:pPr>
      <w:pStyle w:val="Header"/>
    </w:pPr>
    <w:r>
      <w:t>HACC PYP Guidelines 2026</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1A2AD4"/>
    <w:multiLevelType w:val="multilevel"/>
    <w:tmpl w:val="C45EC82A"/>
    <w:lvl w:ilvl="0">
      <w:start w:val="1"/>
      <w:numFmt w:val="bullet"/>
      <w:lvlText w:val="•"/>
      <w:lvlJc w:val="left"/>
      <w:pPr>
        <w:ind w:left="284" w:hanging="284"/>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25711BAB"/>
    <w:multiLevelType w:val="multilevel"/>
    <w:tmpl w:val="5D46D2EE"/>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273F60DE"/>
    <w:multiLevelType w:val="multilevel"/>
    <w:tmpl w:val="E490194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38D6DB7"/>
    <w:multiLevelType w:val="multilevel"/>
    <w:tmpl w:val="FCA25C0E"/>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4F7881"/>
    <w:multiLevelType w:val="multilevel"/>
    <w:tmpl w:val="F88CB5B4"/>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C950646"/>
    <w:multiLevelType w:val="hybridMultilevel"/>
    <w:tmpl w:val="D8720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CE4B08"/>
    <w:multiLevelType w:val="multilevel"/>
    <w:tmpl w:val="2CB8124A"/>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D757516"/>
    <w:multiLevelType w:val="multilevel"/>
    <w:tmpl w:val="E490194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57F6B51"/>
    <w:multiLevelType w:val="multilevel"/>
    <w:tmpl w:val="FCA25C0E"/>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CE94011"/>
    <w:multiLevelType w:val="hybridMultilevel"/>
    <w:tmpl w:val="1DEC4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0319575">
    <w:abstractNumId w:val="10"/>
  </w:num>
  <w:num w:numId="2" w16cid:durableId="420492651">
    <w:abstractNumId w:val="21"/>
  </w:num>
  <w:num w:numId="3" w16cid:durableId="145054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796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8453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2122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519119">
    <w:abstractNumId w:val="26"/>
  </w:num>
  <w:num w:numId="8" w16cid:durableId="668020407">
    <w:abstractNumId w:val="20"/>
  </w:num>
  <w:num w:numId="9" w16cid:durableId="749430141">
    <w:abstractNumId w:val="25"/>
  </w:num>
  <w:num w:numId="10" w16cid:durableId="13543039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247732">
    <w:abstractNumId w:val="29"/>
  </w:num>
  <w:num w:numId="12" w16cid:durableId="8378848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404410">
    <w:abstractNumId w:val="22"/>
  </w:num>
  <w:num w:numId="14" w16cid:durableId="907041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61083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07929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7120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7665570">
    <w:abstractNumId w:val="31"/>
  </w:num>
  <w:num w:numId="19" w16cid:durableId="1985430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6630623">
    <w:abstractNumId w:val="14"/>
  </w:num>
  <w:num w:numId="21" w16cid:durableId="1094938907">
    <w:abstractNumId w:val="12"/>
  </w:num>
  <w:num w:numId="22" w16cid:durableId="1821533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6624829">
    <w:abstractNumId w:val="15"/>
  </w:num>
  <w:num w:numId="24" w16cid:durableId="1702898087">
    <w:abstractNumId w:val="34"/>
  </w:num>
  <w:num w:numId="25" w16cid:durableId="522550197">
    <w:abstractNumId w:val="30"/>
  </w:num>
  <w:num w:numId="26" w16cid:durableId="133643470">
    <w:abstractNumId w:val="23"/>
  </w:num>
  <w:num w:numId="27" w16cid:durableId="75783924">
    <w:abstractNumId w:val="11"/>
  </w:num>
  <w:num w:numId="28" w16cid:durableId="638657423">
    <w:abstractNumId w:val="35"/>
  </w:num>
  <w:num w:numId="29" w16cid:durableId="1489633392">
    <w:abstractNumId w:val="9"/>
  </w:num>
  <w:num w:numId="30" w16cid:durableId="828835341">
    <w:abstractNumId w:val="7"/>
  </w:num>
  <w:num w:numId="31" w16cid:durableId="945651538">
    <w:abstractNumId w:val="6"/>
  </w:num>
  <w:num w:numId="32" w16cid:durableId="502093035">
    <w:abstractNumId w:val="5"/>
  </w:num>
  <w:num w:numId="33" w16cid:durableId="1770616284">
    <w:abstractNumId w:val="4"/>
  </w:num>
  <w:num w:numId="34" w16cid:durableId="1709916275">
    <w:abstractNumId w:val="8"/>
  </w:num>
  <w:num w:numId="35" w16cid:durableId="50468425">
    <w:abstractNumId w:val="3"/>
  </w:num>
  <w:num w:numId="36" w16cid:durableId="1834443272">
    <w:abstractNumId w:val="2"/>
  </w:num>
  <w:num w:numId="37" w16cid:durableId="505176043">
    <w:abstractNumId w:val="1"/>
  </w:num>
  <w:num w:numId="38" w16cid:durableId="988628176">
    <w:abstractNumId w:val="0"/>
  </w:num>
  <w:num w:numId="39" w16cid:durableId="8759715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3510956">
    <w:abstractNumId w:val="27"/>
  </w:num>
  <w:num w:numId="41" w16cid:durableId="1335182486">
    <w:abstractNumId w:val="16"/>
  </w:num>
  <w:num w:numId="42" w16cid:durableId="1227304825">
    <w:abstractNumId w:val="24"/>
  </w:num>
  <w:num w:numId="43" w16cid:durableId="748116995">
    <w:abstractNumId w:val="17"/>
  </w:num>
  <w:num w:numId="44" w16cid:durableId="1644189404">
    <w:abstractNumId w:val="33"/>
  </w:num>
  <w:num w:numId="45" w16cid:durableId="494302847">
    <w:abstractNumId w:val="19"/>
  </w:num>
  <w:num w:numId="46" w16cid:durableId="650526267">
    <w:abstractNumId w:val="28"/>
  </w:num>
  <w:num w:numId="47" w16cid:durableId="2086610255">
    <w:abstractNumId w:val="36"/>
  </w:num>
  <w:num w:numId="48" w16cid:durableId="2147358383">
    <w:abstractNumId w:val="18"/>
  </w:num>
  <w:num w:numId="49" w16cid:durableId="612327489">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63"/>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5DAF"/>
    <w:rsid w:val="00046B68"/>
    <w:rsid w:val="000527DD"/>
    <w:rsid w:val="00056EC4"/>
    <w:rsid w:val="000578B2"/>
    <w:rsid w:val="00060959"/>
    <w:rsid w:val="00060C8F"/>
    <w:rsid w:val="0006298A"/>
    <w:rsid w:val="000663CD"/>
    <w:rsid w:val="000719CE"/>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5E09"/>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3E1F"/>
    <w:rsid w:val="000F5213"/>
    <w:rsid w:val="00101001"/>
    <w:rsid w:val="001031BE"/>
    <w:rsid w:val="00103276"/>
    <w:rsid w:val="0010392D"/>
    <w:rsid w:val="0010447F"/>
    <w:rsid w:val="00104FE3"/>
    <w:rsid w:val="0010714F"/>
    <w:rsid w:val="001120C5"/>
    <w:rsid w:val="00113EBA"/>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3DAD"/>
    <w:rsid w:val="001850B8"/>
    <w:rsid w:val="00186B33"/>
    <w:rsid w:val="00192F9D"/>
    <w:rsid w:val="0019382B"/>
    <w:rsid w:val="00193853"/>
    <w:rsid w:val="00196EB8"/>
    <w:rsid w:val="00196EFB"/>
    <w:rsid w:val="001979FF"/>
    <w:rsid w:val="00197B17"/>
    <w:rsid w:val="001A1950"/>
    <w:rsid w:val="001A1C54"/>
    <w:rsid w:val="001A3ACE"/>
    <w:rsid w:val="001A3C4D"/>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B18"/>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464D"/>
    <w:rsid w:val="0022701F"/>
    <w:rsid w:val="00227C68"/>
    <w:rsid w:val="002333F5"/>
    <w:rsid w:val="00233724"/>
    <w:rsid w:val="00233F35"/>
    <w:rsid w:val="002365B4"/>
    <w:rsid w:val="002432E1"/>
    <w:rsid w:val="00246207"/>
    <w:rsid w:val="00246C5E"/>
    <w:rsid w:val="00250960"/>
    <w:rsid w:val="00251343"/>
    <w:rsid w:val="002536A4"/>
    <w:rsid w:val="00254F58"/>
    <w:rsid w:val="002620BC"/>
    <w:rsid w:val="00262802"/>
    <w:rsid w:val="00263A90"/>
    <w:rsid w:val="0026408B"/>
    <w:rsid w:val="00265C09"/>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2EE3"/>
    <w:rsid w:val="00303E53"/>
    <w:rsid w:val="00305B8B"/>
    <w:rsid w:val="00305BDE"/>
    <w:rsid w:val="00305CC1"/>
    <w:rsid w:val="00306E5F"/>
    <w:rsid w:val="00307E14"/>
    <w:rsid w:val="00314054"/>
    <w:rsid w:val="0031540D"/>
    <w:rsid w:val="00316F27"/>
    <w:rsid w:val="003214F1"/>
    <w:rsid w:val="00322E4B"/>
    <w:rsid w:val="00327870"/>
    <w:rsid w:val="00330A90"/>
    <w:rsid w:val="0033259D"/>
    <w:rsid w:val="003333D2"/>
    <w:rsid w:val="00334686"/>
    <w:rsid w:val="00337339"/>
    <w:rsid w:val="00340345"/>
    <w:rsid w:val="003406C6"/>
    <w:rsid w:val="003418CC"/>
    <w:rsid w:val="003434EE"/>
    <w:rsid w:val="003459BD"/>
    <w:rsid w:val="00350D38"/>
    <w:rsid w:val="00351B36"/>
    <w:rsid w:val="003577CF"/>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A7D1E"/>
    <w:rsid w:val="003B13B6"/>
    <w:rsid w:val="003B14C3"/>
    <w:rsid w:val="003B15E6"/>
    <w:rsid w:val="003B22EF"/>
    <w:rsid w:val="003B3BD2"/>
    <w:rsid w:val="003B408A"/>
    <w:rsid w:val="003C08A2"/>
    <w:rsid w:val="003C1544"/>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E7F64"/>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275FF"/>
    <w:rsid w:val="00430393"/>
    <w:rsid w:val="00431806"/>
    <w:rsid w:val="00431A70"/>
    <w:rsid w:val="00431F42"/>
    <w:rsid w:val="00442C6C"/>
    <w:rsid w:val="00443A4F"/>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1D2B"/>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D72DD"/>
    <w:rsid w:val="004E1106"/>
    <w:rsid w:val="004E138F"/>
    <w:rsid w:val="004E4649"/>
    <w:rsid w:val="004E48B8"/>
    <w:rsid w:val="004E5C2B"/>
    <w:rsid w:val="004F00DD"/>
    <w:rsid w:val="004F0A1F"/>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4A91"/>
    <w:rsid w:val="00546305"/>
    <w:rsid w:val="00547A95"/>
    <w:rsid w:val="0055119B"/>
    <w:rsid w:val="00561202"/>
    <w:rsid w:val="00562507"/>
    <w:rsid w:val="00562811"/>
    <w:rsid w:val="00572031"/>
    <w:rsid w:val="00572282"/>
    <w:rsid w:val="00573CE3"/>
    <w:rsid w:val="005746B2"/>
    <w:rsid w:val="00576E84"/>
    <w:rsid w:val="00580394"/>
    <w:rsid w:val="005809CD"/>
    <w:rsid w:val="00582B8C"/>
    <w:rsid w:val="0058757E"/>
    <w:rsid w:val="00596A4B"/>
    <w:rsid w:val="00597507"/>
    <w:rsid w:val="005A479D"/>
    <w:rsid w:val="005B1C6D"/>
    <w:rsid w:val="005B2169"/>
    <w:rsid w:val="005B21B6"/>
    <w:rsid w:val="005B3A08"/>
    <w:rsid w:val="005B7A63"/>
    <w:rsid w:val="005C0955"/>
    <w:rsid w:val="005C49DA"/>
    <w:rsid w:val="005C50F3"/>
    <w:rsid w:val="005C54B5"/>
    <w:rsid w:val="005C5D80"/>
    <w:rsid w:val="005C5D91"/>
    <w:rsid w:val="005D07B8"/>
    <w:rsid w:val="005D4F98"/>
    <w:rsid w:val="005D6597"/>
    <w:rsid w:val="005E14E7"/>
    <w:rsid w:val="005E26A3"/>
    <w:rsid w:val="005E2ECB"/>
    <w:rsid w:val="005E447E"/>
    <w:rsid w:val="005E4FD1"/>
    <w:rsid w:val="005F0775"/>
    <w:rsid w:val="005F0826"/>
    <w:rsid w:val="005F0CF5"/>
    <w:rsid w:val="005F21EB"/>
    <w:rsid w:val="005F424B"/>
    <w:rsid w:val="005F64CF"/>
    <w:rsid w:val="006041AD"/>
    <w:rsid w:val="00605908"/>
    <w:rsid w:val="00607850"/>
    <w:rsid w:val="00607EF7"/>
    <w:rsid w:val="00610D7C"/>
    <w:rsid w:val="00613414"/>
    <w:rsid w:val="00616581"/>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253"/>
    <w:rsid w:val="00646A68"/>
    <w:rsid w:val="006505BD"/>
    <w:rsid w:val="006508EA"/>
    <w:rsid w:val="0065092E"/>
    <w:rsid w:val="006557A7"/>
    <w:rsid w:val="00656290"/>
    <w:rsid w:val="006601C9"/>
    <w:rsid w:val="006608D8"/>
    <w:rsid w:val="006621D7"/>
    <w:rsid w:val="0066302A"/>
    <w:rsid w:val="00666A94"/>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A427F"/>
    <w:rsid w:val="006B077C"/>
    <w:rsid w:val="006B6803"/>
    <w:rsid w:val="006C3DD0"/>
    <w:rsid w:val="006C7B9E"/>
    <w:rsid w:val="006D0F16"/>
    <w:rsid w:val="006D2A3F"/>
    <w:rsid w:val="006D2FBC"/>
    <w:rsid w:val="006D6E34"/>
    <w:rsid w:val="006E138B"/>
    <w:rsid w:val="006E16FC"/>
    <w:rsid w:val="006E1867"/>
    <w:rsid w:val="006E275F"/>
    <w:rsid w:val="006F0330"/>
    <w:rsid w:val="006F1FDC"/>
    <w:rsid w:val="006F6B8C"/>
    <w:rsid w:val="007013EF"/>
    <w:rsid w:val="007055BD"/>
    <w:rsid w:val="007173CA"/>
    <w:rsid w:val="007216AA"/>
    <w:rsid w:val="00721AB5"/>
    <w:rsid w:val="00721CFB"/>
    <w:rsid w:val="00721DEF"/>
    <w:rsid w:val="00724A43"/>
    <w:rsid w:val="007273AC"/>
    <w:rsid w:val="00731AD4"/>
    <w:rsid w:val="00732837"/>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3C8A"/>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97DBA"/>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07D"/>
    <w:rsid w:val="007E3667"/>
    <w:rsid w:val="007E3B98"/>
    <w:rsid w:val="007E417A"/>
    <w:rsid w:val="007E548D"/>
    <w:rsid w:val="007E6145"/>
    <w:rsid w:val="007F31B6"/>
    <w:rsid w:val="007F546C"/>
    <w:rsid w:val="007F625F"/>
    <w:rsid w:val="007F665E"/>
    <w:rsid w:val="00800412"/>
    <w:rsid w:val="0080587B"/>
    <w:rsid w:val="00806468"/>
    <w:rsid w:val="00807082"/>
    <w:rsid w:val="0081126A"/>
    <w:rsid w:val="008119CA"/>
    <w:rsid w:val="008130C4"/>
    <w:rsid w:val="008155F0"/>
    <w:rsid w:val="00816735"/>
    <w:rsid w:val="00816CB4"/>
    <w:rsid w:val="00820141"/>
    <w:rsid w:val="00820E0C"/>
    <w:rsid w:val="00823275"/>
    <w:rsid w:val="0082366F"/>
    <w:rsid w:val="00832179"/>
    <w:rsid w:val="008338A2"/>
    <w:rsid w:val="00836601"/>
    <w:rsid w:val="00841AA9"/>
    <w:rsid w:val="008474FE"/>
    <w:rsid w:val="00850CF0"/>
    <w:rsid w:val="00853EE4"/>
    <w:rsid w:val="00855535"/>
    <w:rsid w:val="00857C5A"/>
    <w:rsid w:val="0086255E"/>
    <w:rsid w:val="008633F0"/>
    <w:rsid w:val="00867D9D"/>
    <w:rsid w:val="00870C84"/>
    <w:rsid w:val="00872E0A"/>
    <w:rsid w:val="00873594"/>
    <w:rsid w:val="00875285"/>
    <w:rsid w:val="00875746"/>
    <w:rsid w:val="00884B62"/>
    <w:rsid w:val="0088529C"/>
    <w:rsid w:val="00886AFB"/>
    <w:rsid w:val="00887903"/>
    <w:rsid w:val="008908D8"/>
    <w:rsid w:val="0089270A"/>
    <w:rsid w:val="00893AF6"/>
    <w:rsid w:val="00894BC4"/>
    <w:rsid w:val="00896890"/>
    <w:rsid w:val="008977D1"/>
    <w:rsid w:val="008A28A8"/>
    <w:rsid w:val="008A54AC"/>
    <w:rsid w:val="008A5B32"/>
    <w:rsid w:val="008A7729"/>
    <w:rsid w:val="008B2029"/>
    <w:rsid w:val="008B2EE4"/>
    <w:rsid w:val="008B3821"/>
    <w:rsid w:val="008B4D3D"/>
    <w:rsid w:val="008B57C7"/>
    <w:rsid w:val="008B6EBA"/>
    <w:rsid w:val="008C2F92"/>
    <w:rsid w:val="008C3546"/>
    <w:rsid w:val="008C589D"/>
    <w:rsid w:val="008C6D51"/>
    <w:rsid w:val="008D2846"/>
    <w:rsid w:val="008D4236"/>
    <w:rsid w:val="008D462F"/>
    <w:rsid w:val="008D6354"/>
    <w:rsid w:val="008D6934"/>
    <w:rsid w:val="008D6DCF"/>
    <w:rsid w:val="008E4376"/>
    <w:rsid w:val="008E7A0A"/>
    <w:rsid w:val="008E7B49"/>
    <w:rsid w:val="008F2F05"/>
    <w:rsid w:val="008F59F6"/>
    <w:rsid w:val="00900719"/>
    <w:rsid w:val="009017AC"/>
    <w:rsid w:val="00902A9A"/>
    <w:rsid w:val="00904A1C"/>
    <w:rsid w:val="00905030"/>
    <w:rsid w:val="00906490"/>
    <w:rsid w:val="009111B2"/>
    <w:rsid w:val="009151F5"/>
    <w:rsid w:val="00924AE1"/>
    <w:rsid w:val="009269B1"/>
    <w:rsid w:val="0092724D"/>
    <w:rsid w:val="009272B3"/>
    <w:rsid w:val="00930A48"/>
    <w:rsid w:val="009315BE"/>
    <w:rsid w:val="009326DD"/>
    <w:rsid w:val="0093338F"/>
    <w:rsid w:val="00937BD9"/>
    <w:rsid w:val="00944EB4"/>
    <w:rsid w:val="00950E2C"/>
    <w:rsid w:val="00951D50"/>
    <w:rsid w:val="009525EB"/>
    <w:rsid w:val="0095470B"/>
    <w:rsid w:val="00954874"/>
    <w:rsid w:val="0095615A"/>
    <w:rsid w:val="00961400"/>
    <w:rsid w:val="00963646"/>
    <w:rsid w:val="0096632D"/>
    <w:rsid w:val="00967124"/>
    <w:rsid w:val="009673B5"/>
    <w:rsid w:val="0097166C"/>
    <w:rsid w:val="009718C7"/>
    <w:rsid w:val="0097559F"/>
    <w:rsid w:val="009761EA"/>
    <w:rsid w:val="0097761E"/>
    <w:rsid w:val="00977C7C"/>
    <w:rsid w:val="00982454"/>
    <w:rsid w:val="00982CF0"/>
    <w:rsid w:val="00984F40"/>
    <w:rsid w:val="009853E1"/>
    <w:rsid w:val="00985CCF"/>
    <w:rsid w:val="00986E6B"/>
    <w:rsid w:val="00990032"/>
    <w:rsid w:val="00990B19"/>
    <w:rsid w:val="0099153B"/>
    <w:rsid w:val="00991769"/>
    <w:rsid w:val="0099232C"/>
    <w:rsid w:val="00992372"/>
    <w:rsid w:val="00994386"/>
    <w:rsid w:val="009A13D8"/>
    <w:rsid w:val="009A279E"/>
    <w:rsid w:val="009A3015"/>
    <w:rsid w:val="009A3490"/>
    <w:rsid w:val="009B0A6F"/>
    <w:rsid w:val="009B0A94"/>
    <w:rsid w:val="009B0C62"/>
    <w:rsid w:val="009B2AE8"/>
    <w:rsid w:val="009B5622"/>
    <w:rsid w:val="009B59E9"/>
    <w:rsid w:val="009B70AA"/>
    <w:rsid w:val="009B75BC"/>
    <w:rsid w:val="009C245E"/>
    <w:rsid w:val="009C5E77"/>
    <w:rsid w:val="009C7A7E"/>
    <w:rsid w:val="009D02E8"/>
    <w:rsid w:val="009D51D0"/>
    <w:rsid w:val="009D70A4"/>
    <w:rsid w:val="009D7B14"/>
    <w:rsid w:val="009E08D1"/>
    <w:rsid w:val="009E0D96"/>
    <w:rsid w:val="009E1B95"/>
    <w:rsid w:val="009E496F"/>
    <w:rsid w:val="009E4B0D"/>
    <w:rsid w:val="009E5250"/>
    <w:rsid w:val="009E6449"/>
    <w:rsid w:val="009E7A69"/>
    <w:rsid w:val="009E7F92"/>
    <w:rsid w:val="009F02A3"/>
    <w:rsid w:val="009F2182"/>
    <w:rsid w:val="009F2F27"/>
    <w:rsid w:val="009F34AA"/>
    <w:rsid w:val="009F46A9"/>
    <w:rsid w:val="009F6BCB"/>
    <w:rsid w:val="009F7B78"/>
    <w:rsid w:val="00A0057A"/>
    <w:rsid w:val="00A02FA1"/>
    <w:rsid w:val="00A04CCE"/>
    <w:rsid w:val="00A07421"/>
    <w:rsid w:val="00A0776B"/>
    <w:rsid w:val="00A10FB9"/>
    <w:rsid w:val="00A11421"/>
    <w:rsid w:val="00A1389F"/>
    <w:rsid w:val="00A13B7A"/>
    <w:rsid w:val="00A14071"/>
    <w:rsid w:val="00A157B1"/>
    <w:rsid w:val="00A21B45"/>
    <w:rsid w:val="00A22229"/>
    <w:rsid w:val="00A24442"/>
    <w:rsid w:val="00A24ADA"/>
    <w:rsid w:val="00A32577"/>
    <w:rsid w:val="00A330BB"/>
    <w:rsid w:val="00A42269"/>
    <w:rsid w:val="00A446F5"/>
    <w:rsid w:val="00A44882"/>
    <w:rsid w:val="00A45125"/>
    <w:rsid w:val="00A54715"/>
    <w:rsid w:val="00A54AB7"/>
    <w:rsid w:val="00A6061C"/>
    <w:rsid w:val="00A62D44"/>
    <w:rsid w:val="00A67263"/>
    <w:rsid w:val="00A7161C"/>
    <w:rsid w:val="00A71CE4"/>
    <w:rsid w:val="00A77AA3"/>
    <w:rsid w:val="00A808FB"/>
    <w:rsid w:val="00A8236D"/>
    <w:rsid w:val="00A854EB"/>
    <w:rsid w:val="00A872E5"/>
    <w:rsid w:val="00A91406"/>
    <w:rsid w:val="00A96E65"/>
    <w:rsid w:val="00A96ECE"/>
    <w:rsid w:val="00A97C72"/>
    <w:rsid w:val="00AA2A4E"/>
    <w:rsid w:val="00AA310B"/>
    <w:rsid w:val="00AA63D4"/>
    <w:rsid w:val="00AB06E8"/>
    <w:rsid w:val="00AB1CD3"/>
    <w:rsid w:val="00AB352F"/>
    <w:rsid w:val="00AC274B"/>
    <w:rsid w:val="00AC4764"/>
    <w:rsid w:val="00AC6D36"/>
    <w:rsid w:val="00AD0CBA"/>
    <w:rsid w:val="00AD26E2"/>
    <w:rsid w:val="00AD40BC"/>
    <w:rsid w:val="00AD4E6D"/>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07C29"/>
    <w:rsid w:val="00B13851"/>
    <w:rsid w:val="00B13B1C"/>
    <w:rsid w:val="00B13CF4"/>
    <w:rsid w:val="00B146F2"/>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823"/>
    <w:rsid w:val="00B62B50"/>
    <w:rsid w:val="00B635B7"/>
    <w:rsid w:val="00B63AE8"/>
    <w:rsid w:val="00B65950"/>
    <w:rsid w:val="00B66D83"/>
    <w:rsid w:val="00B672C0"/>
    <w:rsid w:val="00B676FD"/>
    <w:rsid w:val="00B678B6"/>
    <w:rsid w:val="00B75646"/>
    <w:rsid w:val="00B7629E"/>
    <w:rsid w:val="00B8380C"/>
    <w:rsid w:val="00B90729"/>
    <w:rsid w:val="00B907DA"/>
    <w:rsid w:val="00B90B09"/>
    <w:rsid w:val="00B94C5E"/>
    <w:rsid w:val="00B950BC"/>
    <w:rsid w:val="00B9714C"/>
    <w:rsid w:val="00BA26F6"/>
    <w:rsid w:val="00BA29AD"/>
    <w:rsid w:val="00BA33CF"/>
    <w:rsid w:val="00BA3F8D"/>
    <w:rsid w:val="00BA7B47"/>
    <w:rsid w:val="00BB247B"/>
    <w:rsid w:val="00BB74AC"/>
    <w:rsid w:val="00BB7A10"/>
    <w:rsid w:val="00BC1A06"/>
    <w:rsid w:val="00BC60BE"/>
    <w:rsid w:val="00BC7468"/>
    <w:rsid w:val="00BC7D4F"/>
    <w:rsid w:val="00BC7ED7"/>
    <w:rsid w:val="00BD2850"/>
    <w:rsid w:val="00BE0C66"/>
    <w:rsid w:val="00BE28D2"/>
    <w:rsid w:val="00BE44CB"/>
    <w:rsid w:val="00BE4A64"/>
    <w:rsid w:val="00BE5E43"/>
    <w:rsid w:val="00BE740B"/>
    <w:rsid w:val="00BF1E65"/>
    <w:rsid w:val="00BF557D"/>
    <w:rsid w:val="00BF658D"/>
    <w:rsid w:val="00BF7F58"/>
    <w:rsid w:val="00C008B8"/>
    <w:rsid w:val="00C01381"/>
    <w:rsid w:val="00C01AB1"/>
    <w:rsid w:val="00C026A0"/>
    <w:rsid w:val="00C06137"/>
    <w:rsid w:val="00C06929"/>
    <w:rsid w:val="00C079B8"/>
    <w:rsid w:val="00C10037"/>
    <w:rsid w:val="00C115E1"/>
    <w:rsid w:val="00C123EA"/>
    <w:rsid w:val="00C12A49"/>
    <w:rsid w:val="00C133EE"/>
    <w:rsid w:val="00C149D0"/>
    <w:rsid w:val="00C21D6A"/>
    <w:rsid w:val="00C26588"/>
    <w:rsid w:val="00C27DE9"/>
    <w:rsid w:val="00C32989"/>
    <w:rsid w:val="00C33388"/>
    <w:rsid w:val="00C35484"/>
    <w:rsid w:val="00C36663"/>
    <w:rsid w:val="00C37418"/>
    <w:rsid w:val="00C4173A"/>
    <w:rsid w:val="00C464BA"/>
    <w:rsid w:val="00C50DED"/>
    <w:rsid w:val="00C52217"/>
    <w:rsid w:val="00C52CB0"/>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1391"/>
    <w:rsid w:val="00C920EA"/>
    <w:rsid w:val="00C93C3E"/>
    <w:rsid w:val="00CA12E3"/>
    <w:rsid w:val="00CA1476"/>
    <w:rsid w:val="00CA41F7"/>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2023F"/>
    <w:rsid w:val="00D2675C"/>
    <w:rsid w:val="00D3185C"/>
    <w:rsid w:val="00D3205F"/>
    <w:rsid w:val="00D3318E"/>
    <w:rsid w:val="00D33E72"/>
    <w:rsid w:val="00D35BD6"/>
    <w:rsid w:val="00D361B5"/>
    <w:rsid w:val="00D411A2"/>
    <w:rsid w:val="00D4606D"/>
    <w:rsid w:val="00D50B9C"/>
    <w:rsid w:val="00D513AF"/>
    <w:rsid w:val="00D51DE7"/>
    <w:rsid w:val="00D52D73"/>
    <w:rsid w:val="00D52E58"/>
    <w:rsid w:val="00D56406"/>
    <w:rsid w:val="00D56B20"/>
    <w:rsid w:val="00D578B3"/>
    <w:rsid w:val="00D579A2"/>
    <w:rsid w:val="00D618F4"/>
    <w:rsid w:val="00D63636"/>
    <w:rsid w:val="00D65C14"/>
    <w:rsid w:val="00D714CC"/>
    <w:rsid w:val="00D75EA7"/>
    <w:rsid w:val="00D76ECC"/>
    <w:rsid w:val="00D77D27"/>
    <w:rsid w:val="00D81ADF"/>
    <w:rsid w:val="00D81F21"/>
    <w:rsid w:val="00D835BD"/>
    <w:rsid w:val="00D864F2"/>
    <w:rsid w:val="00D943F8"/>
    <w:rsid w:val="00D95470"/>
    <w:rsid w:val="00D96B55"/>
    <w:rsid w:val="00D971E3"/>
    <w:rsid w:val="00DA2619"/>
    <w:rsid w:val="00DA4239"/>
    <w:rsid w:val="00DA588C"/>
    <w:rsid w:val="00DA63A3"/>
    <w:rsid w:val="00DA65DE"/>
    <w:rsid w:val="00DA717A"/>
    <w:rsid w:val="00DB0B61"/>
    <w:rsid w:val="00DB1474"/>
    <w:rsid w:val="00DB2962"/>
    <w:rsid w:val="00DB52FB"/>
    <w:rsid w:val="00DC013B"/>
    <w:rsid w:val="00DC090B"/>
    <w:rsid w:val="00DC1679"/>
    <w:rsid w:val="00DC219B"/>
    <w:rsid w:val="00DC2CF1"/>
    <w:rsid w:val="00DC2DC7"/>
    <w:rsid w:val="00DC2EA0"/>
    <w:rsid w:val="00DC3A7C"/>
    <w:rsid w:val="00DC4020"/>
    <w:rsid w:val="00DC4FCF"/>
    <w:rsid w:val="00DC50E0"/>
    <w:rsid w:val="00DC6386"/>
    <w:rsid w:val="00DD1130"/>
    <w:rsid w:val="00DD1951"/>
    <w:rsid w:val="00DD487D"/>
    <w:rsid w:val="00DD48BF"/>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6DFA"/>
    <w:rsid w:val="00E170DC"/>
    <w:rsid w:val="00E17546"/>
    <w:rsid w:val="00E2033C"/>
    <w:rsid w:val="00E210B5"/>
    <w:rsid w:val="00E23AC5"/>
    <w:rsid w:val="00E261B3"/>
    <w:rsid w:val="00E26818"/>
    <w:rsid w:val="00E27FFC"/>
    <w:rsid w:val="00E30B15"/>
    <w:rsid w:val="00E319BF"/>
    <w:rsid w:val="00E33237"/>
    <w:rsid w:val="00E34BA9"/>
    <w:rsid w:val="00E36541"/>
    <w:rsid w:val="00E40181"/>
    <w:rsid w:val="00E52B36"/>
    <w:rsid w:val="00E54950"/>
    <w:rsid w:val="00E55FB3"/>
    <w:rsid w:val="00E56A01"/>
    <w:rsid w:val="00E629A1"/>
    <w:rsid w:val="00E6794C"/>
    <w:rsid w:val="00E71591"/>
    <w:rsid w:val="00E71CEB"/>
    <w:rsid w:val="00E7474F"/>
    <w:rsid w:val="00E75DF5"/>
    <w:rsid w:val="00E80DE3"/>
    <w:rsid w:val="00E82C55"/>
    <w:rsid w:val="00E8787E"/>
    <w:rsid w:val="00E8795D"/>
    <w:rsid w:val="00E879FD"/>
    <w:rsid w:val="00E9042A"/>
    <w:rsid w:val="00E92AC3"/>
    <w:rsid w:val="00EA2F6A"/>
    <w:rsid w:val="00EB00E0"/>
    <w:rsid w:val="00EB05D5"/>
    <w:rsid w:val="00EB4BC7"/>
    <w:rsid w:val="00EB56B9"/>
    <w:rsid w:val="00EB7A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170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2AAA"/>
    <w:rsid w:val="00F331AD"/>
    <w:rsid w:val="00F35287"/>
    <w:rsid w:val="00F353A9"/>
    <w:rsid w:val="00F40A70"/>
    <w:rsid w:val="00F43A37"/>
    <w:rsid w:val="00F45BC0"/>
    <w:rsid w:val="00F4641B"/>
    <w:rsid w:val="00F46EB8"/>
    <w:rsid w:val="00F50CD1"/>
    <w:rsid w:val="00F511E4"/>
    <w:rsid w:val="00F52D09"/>
    <w:rsid w:val="00F52E08"/>
    <w:rsid w:val="00F53648"/>
    <w:rsid w:val="00F53A66"/>
    <w:rsid w:val="00F5462D"/>
    <w:rsid w:val="00F55965"/>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5FAD"/>
    <w:rsid w:val="00FB6481"/>
    <w:rsid w:val="00FB6D36"/>
    <w:rsid w:val="00FC0965"/>
    <w:rsid w:val="00FC0F81"/>
    <w:rsid w:val="00FC252F"/>
    <w:rsid w:val="00FC395C"/>
    <w:rsid w:val="00FC5E8E"/>
    <w:rsid w:val="00FD2F32"/>
    <w:rsid w:val="00FD3766"/>
    <w:rsid w:val="00FD3D05"/>
    <w:rsid w:val="00FD47C4"/>
    <w:rsid w:val="00FE2DCF"/>
    <w:rsid w:val="00FE3FA7"/>
    <w:rsid w:val="00FE4081"/>
    <w:rsid w:val="00FE71F3"/>
    <w:rsid w:val="00FF2A4E"/>
    <w:rsid w:val="00FF2FCE"/>
    <w:rsid w:val="00FF3B3F"/>
    <w:rsid w:val="00FF4F7D"/>
    <w:rsid w:val="00FF6D9D"/>
    <w:rsid w:val="00FF7620"/>
    <w:rsid w:val="00FF7DD5"/>
    <w:rsid w:val="3B760E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5853D"/>
  <w15:docId w15:val="{F4E4497A-1308-4116-B38A-A302BCD3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paragraph" w:customStyle="1" w:styleId="DHHSbody">
    <w:name w:val="DHHS body"/>
    <w:link w:val="DHHSbodyChar"/>
    <w:qFormat/>
    <w:rsid w:val="00C36663"/>
    <w:pPr>
      <w:spacing w:after="120" w:line="270" w:lineRule="atLeast"/>
    </w:pPr>
    <w:rPr>
      <w:rFonts w:ascii="Arial" w:eastAsia="Times" w:hAnsi="Arial"/>
      <w:lang w:eastAsia="en-US"/>
    </w:rPr>
  </w:style>
  <w:style w:type="character" w:customStyle="1" w:styleId="DHHSbodyChar">
    <w:name w:val="DHHS body Char"/>
    <w:link w:val="DHHSbody"/>
    <w:locked/>
    <w:rsid w:val="00C36663"/>
    <w:rPr>
      <w:rFonts w:ascii="Arial" w:eastAsia="Times" w:hAnsi="Arial"/>
      <w:lang w:eastAsia="en-US"/>
    </w:rPr>
  </w:style>
  <w:style w:type="character" w:styleId="Mention">
    <w:name w:val="Mention"/>
    <w:basedOn w:val="DefaultParagraphFont"/>
    <w:uiPriority w:val="99"/>
    <w:unhideWhenUsed/>
    <w:rsid w:val="00C36663"/>
    <w:rPr>
      <w:color w:val="2B579A"/>
      <w:shd w:val="clear" w:color="auto" w:fill="E1DFDD"/>
    </w:rPr>
  </w:style>
  <w:style w:type="character" w:customStyle="1" w:styleId="normaltextrun">
    <w:name w:val="normaltextrun"/>
    <w:basedOn w:val="DefaultParagraphFont"/>
    <w:rsid w:val="00E23AC5"/>
  </w:style>
  <w:style w:type="table" w:styleId="TableGridLight">
    <w:name w:val="Grid Table Light"/>
    <w:basedOn w:val="TableNormal"/>
    <w:uiPriority w:val="40"/>
    <w:rsid w:val="00CA41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fetyandquality.gov.au/clinical-topics/person-centred-care" TargetMode="External"/><Relationship Id="rId21" Type="http://schemas.openxmlformats.org/officeDocument/2006/relationships/hyperlink" Target="https://www.health.vic.gov.au/community-health/community-health-demand-management-toolkit" TargetMode="External"/><Relationship Id="rId42" Type="http://schemas.openxmlformats.org/officeDocument/2006/relationships/hyperlink" Target="https://www.legislation.vic.gov.au/in-force/acts/commission-children-and-young-people-act-2012/018" TargetMode="External"/><Relationship Id="rId47" Type="http://schemas.openxmlformats.org/officeDocument/2006/relationships/hyperlink" Target="http://rcfv.archive.royalcommission.vic.gov.au/Home.html" TargetMode="External"/><Relationship Id="rId63" Type="http://schemas.openxmlformats.org/officeDocument/2006/relationships/hyperlink" Target="https://www.health.vic.gov.au/patient-care/health-independence-program-overview" TargetMode="External"/><Relationship Id="rId68" Type="http://schemas.openxmlformats.org/officeDocument/2006/relationships/hyperlink" Target="https://www.health.vic.gov.au/end-of-life-care/palliative-care-program" TargetMode="External"/><Relationship Id="rId16" Type="http://schemas.openxmlformats.org/officeDocument/2006/relationships/hyperlink" Target="mailto:hacc-pyp@health.vic.gov.au" TargetMode="External"/><Relationship Id="rId11" Type="http://schemas.openxmlformats.org/officeDocument/2006/relationships/image" Target="media/image1.jpg"/><Relationship Id="rId32" Type="http://schemas.openxmlformats.org/officeDocument/2006/relationships/hyperlink" Target="https://fac.dffh.vic.gov.au/" TargetMode="External"/><Relationship Id="rId37" Type="http://schemas.openxmlformats.org/officeDocument/2006/relationships/hyperlink" Target="https://www.legislation.vic.gov.au/in-force/acts/public-records-act-1973/041" TargetMode="External"/><Relationship Id="rId53" Type="http://schemas.openxmlformats.org/officeDocument/2006/relationships/hyperlink" Target="http://www.cpmanual.vic.gov.au/our-approach/best-interests-case-practice-model" TargetMode="External"/><Relationship Id="rId58" Type="http://schemas.openxmlformats.org/officeDocument/2006/relationships/hyperlink" Target="https://www.worksafe.vic.gov.au/resources/victorian-home-care-industry-occupational-health-and-safety-guide" TargetMode="External"/><Relationship Id="rId74" Type="http://schemas.openxmlformats.org/officeDocument/2006/relationships/hyperlink" Target="https://www.rch.org.au/immigranthealth/other/other_resources/" TargetMode="External"/><Relationship Id="rId79"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www.vic.gov.au/support-carers-program" TargetMode="External"/><Relationship Id="rId82" Type="http://schemas.openxmlformats.org/officeDocument/2006/relationships/theme" Target="theme/theme1.xml"/><Relationship Id="rId19" Type="http://schemas.openxmlformats.org/officeDocument/2006/relationships/hyperlink" Target="https://www.health.vic.gov.au/policy-and-funding-guidelines-for-health-services" TargetMode="External"/><Relationship Id="rId14" Type="http://schemas.openxmlformats.org/officeDocument/2006/relationships/header" Target="header1.xml"/><Relationship Id="rId22" Type="http://schemas.openxmlformats.org/officeDocument/2006/relationships/hyperlink" Target="https://www2.health.vic.gov.au/about/health-strategies/aboriginal-health/korin-korin-balit-djak" TargetMode="External"/><Relationship Id="rId27" Type="http://schemas.openxmlformats.org/officeDocument/2006/relationships/hyperlink" Target="https://www.health.vic.gov.au/home-and-community-care/hacc-program-for-younger-people" TargetMode="External"/><Relationship Id="rId30" Type="http://schemas.openxmlformats.org/officeDocument/2006/relationships/hyperlink" Target="https://www.health.vic.gov.au/policy-and-funding-guidelines-for-health-services" TargetMode="External"/><Relationship Id="rId35" Type="http://schemas.openxmlformats.org/officeDocument/2006/relationships/hyperlink" Target="https://www.legislation.vic.gov.au/in-force/acts/privacy-and-data-protection-act-2014/029" TargetMode="External"/><Relationship Id="rId43" Type="http://schemas.openxmlformats.org/officeDocument/2006/relationships/hyperlink" Target="https://www.health.vic.gov.au/publications/healthcare-that-counts-a-framework-for-improving-care-for-vulnerable-children-in" TargetMode="External"/><Relationship Id="rId48" Type="http://schemas.openxmlformats.org/officeDocument/2006/relationships/hyperlink" Target="https://www.vic.gov.au/family-violence-multi-agency-risk-assessment-and-management-framework" TargetMode="External"/><Relationship Id="rId56" Type="http://schemas.openxmlformats.org/officeDocument/2006/relationships/hyperlink" Target="https://www.legislation.vic.gov.au/in-force/acts/occupational-health-and-safety-act-2004/043" TargetMode="External"/><Relationship Id="rId64" Type="http://schemas.openxmlformats.org/officeDocument/2006/relationships/hyperlink" Target="https://www.health.vic.gov.au/supporting-independent-living/victorian-aids-and-equipment-program" TargetMode="External"/><Relationship Id="rId69" Type="http://schemas.openxmlformats.org/officeDocument/2006/relationships/hyperlink" Target="https://www.continence.org.au/"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legislation.vic.gov.au/in-force/acts/children-youth-and-families-act-2005/134" TargetMode="External"/><Relationship Id="rId72" Type="http://schemas.openxmlformats.org/officeDocument/2006/relationships/hyperlink" Target="https://www.dffh.vic.gov.au/service-provision-framework-complex-needs" TargetMode="External"/><Relationship Id="rId80"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vic.gov.au/home-and-community-care/hacc-program-for-younger-people" TargetMode="External"/><Relationship Id="rId25" Type="http://schemas.openxmlformats.org/officeDocument/2006/relationships/image" Target="media/image2.png"/><Relationship Id="rId33" Type="http://schemas.openxmlformats.org/officeDocument/2006/relationships/hyperlink" Target="https://www.health.vic.gov.au/home-and-community-care/reporting-and-data" TargetMode="External"/><Relationship Id="rId38" Type="http://schemas.openxmlformats.org/officeDocument/2006/relationships/hyperlink" Target="https://www.legislation.vic.gov.au/in-force/acts/crimes-act-1958" TargetMode="External"/><Relationship Id="rId46" Type="http://schemas.openxmlformats.org/officeDocument/2006/relationships/hyperlink" Target="https://www.vic.gov.au/family-violence-information-sharing-scheme" TargetMode="External"/><Relationship Id="rId59" Type="http://schemas.openxmlformats.org/officeDocument/2006/relationships/hyperlink" Target="https://www.worksafe.vic.gov.au/community-support-services-safety-basics" TargetMode="External"/><Relationship Id="rId67" Type="http://schemas.openxmlformats.org/officeDocument/2006/relationships/hyperlink" Target="https://www.health.vic.gov.au/end-of-life-care/palliative-care-program" TargetMode="External"/><Relationship Id="rId20" Type="http://schemas.openxmlformats.org/officeDocument/2006/relationships/hyperlink" Target="https://www.health.vic.gov.au/policy-and-funding-guidelines-for-health-services" TargetMode="External"/><Relationship Id="rId41" Type="http://schemas.openxmlformats.org/officeDocument/2006/relationships/hyperlink" Target="https://providers.dffh.vic.gov.au/child-safe-standards" TargetMode="External"/><Relationship Id="rId54" Type="http://schemas.openxmlformats.org/officeDocument/2006/relationships/hyperlink" Target="https://providers.dffh.vic.gov.au/making-report-child-protection" TargetMode="External"/><Relationship Id="rId62" Type="http://schemas.openxmlformats.org/officeDocument/2006/relationships/hyperlink" Target="https://www.carergateway.gov.au/" TargetMode="External"/><Relationship Id="rId70" Type="http://schemas.openxmlformats.org/officeDocument/2006/relationships/hyperlink" Target="https://www.betterhealth.vic.gov.au/health/servicesandsupports/community-transport-providers" TargetMode="External"/><Relationship Id="rId75" Type="http://schemas.openxmlformats.org/officeDocument/2006/relationships/hyperlink" Target="https://www.myagedcare.gov.au/aged-care-progra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health.vic.gov.au/about/populations" TargetMode="External"/><Relationship Id="rId28" Type="http://schemas.openxmlformats.org/officeDocument/2006/relationships/hyperlink" Target="https://www.safercare.vic.gov.au/best-practice-improvement/clinical-governance/framework" TargetMode="External"/><Relationship Id="rId36" Type="http://schemas.openxmlformats.org/officeDocument/2006/relationships/hyperlink" Target="https://www.legislation.vic.gov.au/in-force/acts/freedom-information-act-1982/111" TargetMode="External"/><Relationship Id="rId49" Type="http://schemas.openxmlformats.org/officeDocument/2006/relationships/hyperlink" Target="https://www.vic.gov.au/maram-practice-guides-and-resources" TargetMode="External"/><Relationship Id="rId57" Type="http://schemas.openxmlformats.org/officeDocument/2006/relationships/hyperlink" Target="https://www.ahpra.gov.au/" TargetMode="External"/><Relationship Id="rId10" Type="http://schemas.openxmlformats.org/officeDocument/2006/relationships/endnotes" Target="endnotes.xml"/><Relationship Id="rId31" Type="http://schemas.openxmlformats.org/officeDocument/2006/relationships/hyperlink" Target="https://www.health.vic.gov.au/home-and-community-care/hacc-pyp-fees-policy-and-schedule-of-fees" TargetMode="External"/><Relationship Id="rId44" Type="http://schemas.openxmlformats.org/officeDocument/2006/relationships/hyperlink" Target="https://www.vic.gov.au/child-information-sharing-scheme-ministerial-guidelines" TargetMode="External"/><Relationship Id="rId52" Type="http://schemas.openxmlformats.org/officeDocument/2006/relationships/hyperlink" Target="https://www.dffh.vic.gov.au/publications/best-interests-case-practice-model-summary-guide" TargetMode="External"/><Relationship Id="rId60" Type="http://schemas.openxmlformats.org/officeDocument/2006/relationships/hyperlink" Target="https://www.worksafe.vic.gov.au/resources/prevention-and-management-violence-and-aggression-health-services" TargetMode="External"/><Relationship Id="rId65" Type="http://schemas.openxmlformats.org/officeDocument/2006/relationships/hyperlink" Target="https://www.health.vic.gov.au/mental-health-services/mental-health-community-support-services" TargetMode="External"/><Relationship Id="rId73" Type="http://schemas.openxmlformats.org/officeDocument/2006/relationships/hyperlink" Target="https://www.ndis.gov.au/contact/find-us/ndis-each-state/victoria" TargetMode="External"/><Relationship Id="rId78" Type="http://schemas.openxmlformats.org/officeDocument/2006/relationships/header" Target="header3.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health.vic.gov.au/our-strategic-plan-2023-27" TargetMode="External"/><Relationship Id="rId39" Type="http://schemas.openxmlformats.org/officeDocument/2006/relationships/hyperlink" Target="https://www.legislation.vic.gov.au/in-force/acts/public-interest-disclosures-act-2012/026" TargetMode="External"/><Relationship Id="rId34" Type="http://schemas.openxmlformats.org/officeDocument/2006/relationships/hyperlink" Target="https://www.health.vic.gov.au/legislation/health-records-act" TargetMode="External"/><Relationship Id="rId50" Type="http://schemas.openxmlformats.org/officeDocument/2006/relationships/hyperlink" Target="https://www.vic.gov.au/family-safety-victoria" TargetMode="External"/><Relationship Id="rId55" Type="http://schemas.openxmlformats.org/officeDocument/2006/relationships/hyperlink" Target="http://www.cpmanual.vic.gov.au/advice-and-protocols/advice/intake/mandatory-reporting" TargetMode="External"/><Relationship Id="rId76" Type="http://schemas.openxmlformats.org/officeDocument/2006/relationships/hyperlink" Target="https://providers.dffh.vic.gov.au/families-fairness-housing-health-activity-search" TargetMode="External"/><Relationship Id="rId7" Type="http://schemas.openxmlformats.org/officeDocument/2006/relationships/settings" Target="settings.xml"/><Relationship Id="rId71" Type="http://schemas.openxmlformats.org/officeDocument/2006/relationships/hyperlink" Target="https://providers.dffh.vic.gov.au/community-food-relief" TargetMode="External"/><Relationship Id="rId2" Type="http://schemas.openxmlformats.org/officeDocument/2006/relationships/customXml" Target="../customXml/item2.xml"/><Relationship Id="rId29" Type="http://schemas.openxmlformats.org/officeDocument/2006/relationships/hyperlink" Target="https://www.safetyandquality.gov.au/resources/2026-national-model-clinical-governance" TargetMode="External"/><Relationship Id="rId24" Type="http://schemas.openxmlformats.org/officeDocument/2006/relationships/hyperlink" Target="https://www.health.vic.gov.au/populations/designing-for-diversity" TargetMode="External"/><Relationship Id="rId40" Type="http://schemas.openxmlformats.org/officeDocument/2006/relationships/hyperlink" Target="https://www.legislation.vic.gov.au/in-force/acts/child-wellbeing-and-safety-act-2005/041" TargetMode="External"/><Relationship Id="rId45" Type="http://schemas.openxmlformats.org/officeDocument/2006/relationships/hyperlink" Target="https://www.legislation.vic.gov.au/in-force/acts/family-violence-protection-act-2008/061" TargetMode="External"/><Relationship Id="rId66" Type="http://schemas.openxmlformats.org/officeDocument/2006/relationships/hyperlink" Target="https://www.health.vic.gov.au/alcohol-and-drugs/alcohol-and-other-drug-treatment-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DH%20visual%20style/DH%20orang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84df6a-26bb-47b5-ae68-96484668070c" xsi:nil="true"/>
    <lcf76f155ced4ddcb4097134ff3c332f xmlns="42389d11-c36f-4541-ad74-ff3ea5d48b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A7DF597B294F4A98F36C861432EF9F" ma:contentTypeVersion="13" ma:contentTypeDescription="Create a new document." ma:contentTypeScope="" ma:versionID="846dd2459f0c56eaaaed0dc2a5a6f4fe">
  <xsd:schema xmlns:xsd="http://www.w3.org/2001/XMLSchema" xmlns:xs="http://www.w3.org/2001/XMLSchema" xmlns:p="http://schemas.microsoft.com/office/2006/metadata/properties" xmlns:ns2="42389d11-c36f-4541-ad74-ff3ea5d48b7b" xmlns:ns3="df84df6a-26bb-47b5-ae68-96484668070c" targetNamespace="http://schemas.microsoft.com/office/2006/metadata/properties" ma:root="true" ma:fieldsID="a070d2dc52ea083283eef48f44479f23" ns2:_="" ns3:_="">
    <xsd:import namespace="42389d11-c36f-4541-ad74-ff3ea5d48b7b"/>
    <xsd:import namespace="df84df6a-26bb-47b5-ae68-9648466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89d11-c36f-4541-ad74-ff3ea5d48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4df6a-26bb-47b5-ae68-9648466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fd89-13b7-4319-8f23-ae245fe09404}" ma:internalName="TaxCatchAll" ma:showField="CatchAllData" ma:web="df84df6a-26bb-47b5-ae68-9648466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f84df6a-26bb-47b5-ae68-96484668070c"/>
    <ds:schemaRef ds:uri="42389d11-c36f-4541-ad74-ff3ea5d48b7b"/>
  </ds:schemaRefs>
</ds:datastoreItem>
</file>

<file path=customXml/itemProps4.xml><?xml version="1.0" encoding="utf-8"?>
<ds:datastoreItem xmlns:ds="http://schemas.openxmlformats.org/officeDocument/2006/customXml" ds:itemID="{ED8B2444-F9DB-45CE-B92B-63DDEEB7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89d11-c36f-4541-ad74-ff3ea5d48b7b"/>
    <ds:schemaRef ds:uri="df84df6a-26bb-47b5-ae68-9648466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DH%20orange%20report.dotx</Template>
  <TotalTime>0</TotalTime>
  <Pages>30</Pages>
  <Words>9570</Words>
  <Characters>54550</Characters>
  <Application>Microsoft Office Word</Application>
  <DocSecurity>0</DocSecurity>
  <Lines>454</Lines>
  <Paragraphs>127</Paragraphs>
  <ScaleCrop>false</ScaleCrop>
  <Manager/>
  <Company>Victoria State Government, Department of Health</Company>
  <LinksUpToDate>false</LinksUpToDate>
  <CharactersWithSpaces>63993</CharactersWithSpaces>
  <SharedDoc>false</SharedDoc>
  <HyperlinkBase/>
  <HLinks>
    <vt:vector size="582" baseType="variant">
      <vt:variant>
        <vt:i4>4128893</vt:i4>
      </vt:variant>
      <vt:variant>
        <vt:i4>414</vt:i4>
      </vt:variant>
      <vt:variant>
        <vt:i4>0</vt:i4>
      </vt:variant>
      <vt:variant>
        <vt:i4>5</vt:i4>
      </vt:variant>
      <vt:variant>
        <vt:lpwstr>https://providers.dffh.vic.gov.au/families-fairness-housing-health-activity-search</vt:lpwstr>
      </vt:variant>
      <vt:variant>
        <vt:lpwstr/>
      </vt:variant>
      <vt:variant>
        <vt:i4>5308431</vt:i4>
      </vt:variant>
      <vt:variant>
        <vt:i4>411</vt:i4>
      </vt:variant>
      <vt:variant>
        <vt:i4>0</vt:i4>
      </vt:variant>
      <vt:variant>
        <vt:i4>5</vt:i4>
      </vt:variant>
      <vt:variant>
        <vt:lpwstr>https://www.myagedcare.gov.au/aged-care-programs</vt:lpwstr>
      </vt:variant>
      <vt:variant>
        <vt:lpwstr/>
      </vt:variant>
      <vt:variant>
        <vt:i4>6225979</vt:i4>
      </vt:variant>
      <vt:variant>
        <vt:i4>408</vt:i4>
      </vt:variant>
      <vt:variant>
        <vt:i4>0</vt:i4>
      </vt:variant>
      <vt:variant>
        <vt:i4>5</vt:i4>
      </vt:variant>
      <vt:variant>
        <vt:lpwstr>https://www.rch.org.au/immigranthealth/other/other_resources/</vt:lpwstr>
      </vt:variant>
      <vt:variant>
        <vt:lpwstr/>
      </vt:variant>
      <vt:variant>
        <vt:i4>1900628</vt:i4>
      </vt:variant>
      <vt:variant>
        <vt:i4>405</vt:i4>
      </vt:variant>
      <vt:variant>
        <vt:i4>0</vt:i4>
      </vt:variant>
      <vt:variant>
        <vt:i4>5</vt:i4>
      </vt:variant>
      <vt:variant>
        <vt:lpwstr>https://www.ndis.gov.au/contact/find-us/ndis-each-state/victoria</vt:lpwstr>
      </vt:variant>
      <vt:variant>
        <vt:lpwstr/>
      </vt:variant>
      <vt:variant>
        <vt:i4>327700</vt:i4>
      </vt:variant>
      <vt:variant>
        <vt:i4>402</vt:i4>
      </vt:variant>
      <vt:variant>
        <vt:i4>0</vt:i4>
      </vt:variant>
      <vt:variant>
        <vt:i4>5</vt:i4>
      </vt:variant>
      <vt:variant>
        <vt:lpwstr>https://www.dffh.vic.gov.au/service-provision-framework-complex-needs</vt:lpwstr>
      </vt:variant>
      <vt:variant>
        <vt:lpwstr/>
      </vt:variant>
      <vt:variant>
        <vt:i4>2883644</vt:i4>
      </vt:variant>
      <vt:variant>
        <vt:i4>399</vt:i4>
      </vt:variant>
      <vt:variant>
        <vt:i4>0</vt:i4>
      </vt:variant>
      <vt:variant>
        <vt:i4>5</vt:i4>
      </vt:variant>
      <vt:variant>
        <vt:lpwstr>https://providers.dffh.vic.gov.au/community-food-relief</vt:lpwstr>
      </vt:variant>
      <vt:variant>
        <vt:lpwstr/>
      </vt:variant>
      <vt:variant>
        <vt:i4>1769487</vt:i4>
      </vt:variant>
      <vt:variant>
        <vt:i4>396</vt:i4>
      </vt:variant>
      <vt:variant>
        <vt:i4>0</vt:i4>
      </vt:variant>
      <vt:variant>
        <vt:i4>5</vt:i4>
      </vt:variant>
      <vt:variant>
        <vt:lpwstr>https://www.betterhealth.vic.gov.au/health/servicesandsupports/community-transport-providers</vt:lpwstr>
      </vt:variant>
      <vt:variant>
        <vt:lpwstr/>
      </vt:variant>
      <vt:variant>
        <vt:i4>7340069</vt:i4>
      </vt:variant>
      <vt:variant>
        <vt:i4>393</vt:i4>
      </vt:variant>
      <vt:variant>
        <vt:i4>0</vt:i4>
      </vt:variant>
      <vt:variant>
        <vt:i4>5</vt:i4>
      </vt:variant>
      <vt:variant>
        <vt:lpwstr>https://www.continence.org.au/</vt:lpwstr>
      </vt:variant>
      <vt:variant>
        <vt:lpwstr/>
      </vt:variant>
      <vt:variant>
        <vt:i4>3866681</vt:i4>
      </vt:variant>
      <vt:variant>
        <vt:i4>390</vt:i4>
      </vt:variant>
      <vt:variant>
        <vt:i4>0</vt:i4>
      </vt:variant>
      <vt:variant>
        <vt:i4>5</vt:i4>
      </vt:variant>
      <vt:variant>
        <vt:lpwstr>https://www.health.vic.gov.au/end-of-life-care/palliative-care-program</vt:lpwstr>
      </vt:variant>
      <vt:variant>
        <vt:lpwstr/>
      </vt:variant>
      <vt:variant>
        <vt:i4>3866681</vt:i4>
      </vt:variant>
      <vt:variant>
        <vt:i4>387</vt:i4>
      </vt:variant>
      <vt:variant>
        <vt:i4>0</vt:i4>
      </vt:variant>
      <vt:variant>
        <vt:i4>5</vt:i4>
      </vt:variant>
      <vt:variant>
        <vt:lpwstr>https://www.health.vic.gov.au/end-of-life-care/palliative-care-program</vt:lpwstr>
      </vt:variant>
      <vt:variant>
        <vt:lpwstr/>
      </vt:variant>
      <vt:variant>
        <vt:i4>589830</vt:i4>
      </vt:variant>
      <vt:variant>
        <vt:i4>384</vt:i4>
      </vt:variant>
      <vt:variant>
        <vt:i4>0</vt:i4>
      </vt:variant>
      <vt:variant>
        <vt:i4>5</vt:i4>
      </vt:variant>
      <vt:variant>
        <vt:lpwstr>https://www.health.vic.gov.au/alcohol-and-drugs/alcohol-and-other-drug-treatment-services</vt:lpwstr>
      </vt:variant>
      <vt:variant>
        <vt:lpwstr/>
      </vt:variant>
      <vt:variant>
        <vt:i4>1900638</vt:i4>
      </vt:variant>
      <vt:variant>
        <vt:i4>381</vt:i4>
      </vt:variant>
      <vt:variant>
        <vt:i4>0</vt:i4>
      </vt:variant>
      <vt:variant>
        <vt:i4>5</vt:i4>
      </vt:variant>
      <vt:variant>
        <vt:lpwstr>https://www.health.vic.gov.au/mental-health-services/mental-health-community-support-services</vt:lpwstr>
      </vt:variant>
      <vt:variant>
        <vt:lpwstr/>
      </vt:variant>
      <vt:variant>
        <vt:i4>917569</vt:i4>
      </vt:variant>
      <vt:variant>
        <vt:i4>378</vt:i4>
      </vt:variant>
      <vt:variant>
        <vt:i4>0</vt:i4>
      </vt:variant>
      <vt:variant>
        <vt:i4>5</vt:i4>
      </vt:variant>
      <vt:variant>
        <vt:lpwstr>https://www.health.vic.gov.au/supporting-independent-living/victorian-aids-and-equipment-program</vt:lpwstr>
      </vt:variant>
      <vt:variant>
        <vt:lpwstr/>
      </vt:variant>
      <vt:variant>
        <vt:i4>6553638</vt:i4>
      </vt:variant>
      <vt:variant>
        <vt:i4>375</vt:i4>
      </vt:variant>
      <vt:variant>
        <vt:i4>0</vt:i4>
      </vt:variant>
      <vt:variant>
        <vt:i4>5</vt:i4>
      </vt:variant>
      <vt:variant>
        <vt:lpwstr>https://www.health.vic.gov.au/patient-care/health-independence-program-overview</vt:lpwstr>
      </vt:variant>
      <vt:variant>
        <vt:lpwstr/>
      </vt:variant>
      <vt:variant>
        <vt:i4>917596</vt:i4>
      </vt:variant>
      <vt:variant>
        <vt:i4>372</vt:i4>
      </vt:variant>
      <vt:variant>
        <vt:i4>0</vt:i4>
      </vt:variant>
      <vt:variant>
        <vt:i4>5</vt:i4>
      </vt:variant>
      <vt:variant>
        <vt:lpwstr>https://www.carergateway.gov.au/</vt:lpwstr>
      </vt:variant>
      <vt:variant>
        <vt:lpwstr/>
      </vt:variant>
      <vt:variant>
        <vt:i4>1638474</vt:i4>
      </vt:variant>
      <vt:variant>
        <vt:i4>369</vt:i4>
      </vt:variant>
      <vt:variant>
        <vt:i4>0</vt:i4>
      </vt:variant>
      <vt:variant>
        <vt:i4>5</vt:i4>
      </vt:variant>
      <vt:variant>
        <vt:lpwstr>https://www.vic.gov.au/support-carers-program</vt:lpwstr>
      </vt:variant>
      <vt:variant>
        <vt:lpwstr/>
      </vt:variant>
      <vt:variant>
        <vt:i4>2555944</vt:i4>
      </vt:variant>
      <vt:variant>
        <vt:i4>366</vt:i4>
      </vt:variant>
      <vt:variant>
        <vt:i4>0</vt:i4>
      </vt:variant>
      <vt:variant>
        <vt:i4>5</vt:i4>
      </vt:variant>
      <vt:variant>
        <vt:lpwstr>https://www.worksafe.vic.gov.au/resources/prevention-and-management-violence-and-aggression-health-services</vt:lpwstr>
      </vt:variant>
      <vt:variant>
        <vt:lpwstr/>
      </vt:variant>
      <vt:variant>
        <vt:i4>5832785</vt:i4>
      </vt:variant>
      <vt:variant>
        <vt:i4>363</vt:i4>
      </vt:variant>
      <vt:variant>
        <vt:i4>0</vt:i4>
      </vt:variant>
      <vt:variant>
        <vt:i4>5</vt:i4>
      </vt:variant>
      <vt:variant>
        <vt:lpwstr>https://www.worksafe.vic.gov.au/community-support-services-safety-basics</vt:lpwstr>
      </vt:variant>
      <vt:variant>
        <vt:lpwstr/>
      </vt:variant>
      <vt:variant>
        <vt:i4>2162789</vt:i4>
      </vt:variant>
      <vt:variant>
        <vt:i4>360</vt:i4>
      </vt:variant>
      <vt:variant>
        <vt:i4>0</vt:i4>
      </vt:variant>
      <vt:variant>
        <vt:i4>5</vt:i4>
      </vt:variant>
      <vt:variant>
        <vt:lpwstr>https://www.worksafe.vic.gov.au/resources/victorian-home-care-industry-occupational-health-and-safety-guide</vt:lpwstr>
      </vt:variant>
      <vt:variant>
        <vt:lpwstr/>
      </vt:variant>
      <vt:variant>
        <vt:i4>4718656</vt:i4>
      </vt:variant>
      <vt:variant>
        <vt:i4>357</vt:i4>
      </vt:variant>
      <vt:variant>
        <vt:i4>0</vt:i4>
      </vt:variant>
      <vt:variant>
        <vt:i4>5</vt:i4>
      </vt:variant>
      <vt:variant>
        <vt:lpwstr>https://www.ahpra.gov.au/</vt:lpwstr>
      </vt:variant>
      <vt:variant>
        <vt:lpwstr/>
      </vt:variant>
      <vt:variant>
        <vt:i4>5439567</vt:i4>
      </vt:variant>
      <vt:variant>
        <vt:i4>354</vt:i4>
      </vt:variant>
      <vt:variant>
        <vt:i4>0</vt:i4>
      </vt:variant>
      <vt:variant>
        <vt:i4>5</vt:i4>
      </vt:variant>
      <vt:variant>
        <vt:lpwstr>https://www.legislation.vic.gov.au/in-force/acts/occupational-health-and-safety-act-2004/043</vt:lpwstr>
      </vt:variant>
      <vt:variant>
        <vt:lpwstr/>
      </vt:variant>
      <vt:variant>
        <vt:i4>4456527</vt:i4>
      </vt:variant>
      <vt:variant>
        <vt:i4>351</vt:i4>
      </vt:variant>
      <vt:variant>
        <vt:i4>0</vt:i4>
      </vt:variant>
      <vt:variant>
        <vt:i4>5</vt:i4>
      </vt:variant>
      <vt:variant>
        <vt:lpwstr>http://www.cpmanual.vic.gov.au/advice-and-protocols/advice/intake/mandatory-reporting</vt:lpwstr>
      </vt:variant>
      <vt:variant>
        <vt:lpwstr/>
      </vt:variant>
      <vt:variant>
        <vt:i4>1048651</vt:i4>
      </vt:variant>
      <vt:variant>
        <vt:i4>348</vt:i4>
      </vt:variant>
      <vt:variant>
        <vt:i4>0</vt:i4>
      </vt:variant>
      <vt:variant>
        <vt:i4>5</vt:i4>
      </vt:variant>
      <vt:variant>
        <vt:lpwstr>https://providers.dffh.vic.gov.au/making-report-child-protection</vt:lpwstr>
      </vt:variant>
      <vt:variant>
        <vt:lpwstr/>
      </vt:variant>
      <vt:variant>
        <vt:i4>6488175</vt:i4>
      </vt:variant>
      <vt:variant>
        <vt:i4>345</vt:i4>
      </vt:variant>
      <vt:variant>
        <vt:i4>0</vt:i4>
      </vt:variant>
      <vt:variant>
        <vt:i4>5</vt:i4>
      </vt:variant>
      <vt:variant>
        <vt:lpwstr>http://www.cpmanual.vic.gov.au/our-approach/best-interests-case-practice-model</vt:lpwstr>
      </vt:variant>
      <vt:variant>
        <vt:lpwstr/>
      </vt:variant>
      <vt:variant>
        <vt:i4>4915230</vt:i4>
      </vt:variant>
      <vt:variant>
        <vt:i4>342</vt:i4>
      </vt:variant>
      <vt:variant>
        <vt:i4>0</vt:i4>
      </vt:variant>
      <vt:variant>
        <vt:i4>5</vt:i4>
      </vt:variant>
      <vt:variant>
        <vt:lpwstr>https://www.dffh.vic.gov.au/publications/best-interests-case-practice-model-summary-guide</vt:lpwstr>
      </vt:variant>
      <vt:variant>
        <vt:lpwstr/>
      </vt:variant>
      <vt:variant>
        <vt:i4>5439517</vt:i4>
      </vt:variant>
      <vt:variant>
        <vt:i4>339</vt:i4>
      </vt:variant>
      <vt:variant>
        <vt:i4>0</vt:i4>
      </vt:variant>
      <vt:variant>
        <vt:i4>5</vt:i4>
      </vt:variant>
      <vt:variant>
        <vt:lpwstr>https://www.legislation.vic.gov.au/in-force/acts/children-youth-and-families-act-2005/134</vt:lpwstr>
      </vt:variant>
      <vt:variant>
        <vt:lpwstr/>
      </vt:variant>
      <vt:variant>
        <vt:i4>2031704</vt:i4>
      </vt:variant>
      <vt:variant>
        <vt:i4>336</vt:i4>
      </vt:variant>
      <vt:variant>
        <vt:i4>0</vt:i4>
      </vt:variant>
      <vt:variant>
        <vt:i4>5</vt:i4>
      </vt:variant>
      <vt:variant>
        <vt:lpwstr>https://www.vic.gov.au/family-safety-victoria</vt:lpwstr>
      </vt:variant>
      <vt:variant>
        <vt:lpwstr/>
      </vt:variant>
      <vt:variant>
        <vt:i4>6357026</vt:i4>
      </vt:variant>
      <vt:variant>
        <vt:i4>333</vt:i4>
      </vt:variant>
      <vt:variant>
        <vt:i4>0</vt:i4>
      </vt:variant>
      <vt:variant>
        <vt:i4>5</vt:i4>
      </vt:variant>
      <vt:variant>
        <vt:lpwstr>https://www.vic.gov.au/maram-practice-guides-and-resources</vt:lpwstr>
      </vt:variant>
      <vt:variant>
        <vt:lpwstr/>
      </vt:variant>
      <vt:variant>
        <vt:i4>4259864</vt:i4>
      </vt:variant>
      <vt:variant>
        <vt:i4>330</vt:i4>
      </vt:variant>
      <vt:variant>
        <vt:i4>0</vt:i4>
      </vt:variant>
      <vt:variant>
        <vt:i4>5</vt:i4>
      </vt:variant>
      <vt:variant>
        <vt:lpwstr>https://www.vic.gov.au/family-violence-multi-agency-risk-assessment-and-management-framework</vt:lpwstr>
      </vt:variant>
      <vt:variant>
        <vt:lpwstr/>
      </vt:variant>
      <vt:variant>
        <vt:i4>8323111</vt:i4>
      </vt:variant>
      <vt:variant>
        <vt:i4>327</vt:i4>
      </vt:variant>
      <vt:variant>
        <vt:i4>0</vt:i4>
      </vt:variant>
      <vt:variant>
        <vt:i4>5</vt:i4>
      </vt:variant>
      <vt:variant>
        <vt:lpwstr>http://rcfv.archive.royalcommission.vic.gov.au/Report-Recommendations.html</vt:lpwstr>
      </vt:variant>
      <vt:variant>
        <vt:lpwstr/>
      </vt:variant>
      <vt:variant>
        <vt:i4>917580</vt:i4>
      </vt:variant>
      <vt:variant>
        <vt:i4>324</vt:i4>
      </vt:variant>
      <vt:variant>
        <vt:i4>0</vt:i4>
      </vt:variant>
      <vt:variant>
        <vt:i4>5</vt:i4>
      </vt:variant>
      <vt:variant>
        <vt:lpwstr>https://www.vic.gov.au/family-violence-information-sharing-scheme</vt:lpwstr>
      </vt:variant>
      <vt:variant>
        <vt:lpwstr/>
      </vt:variant>
      <vt:variant>
        <vt:i4>5636126</vt:i4>
      </vt:variant>
      <vt:variant>
        <vt:i4>321</vt:i4>
      </vt:variant>
      <vt:variant>
        <vt:i4>0</vt:i4>
      </vt:variant>
      <vt:variant>
        <vt:i4>5</vt:i4>
      </vt:variant>
      <vt:variant>
        <vt:lpwstr>https://www.legislation.vic.gov.au/in-force/acts/family-violence-protection-act-2008/061</vt:lpwstr>
      </vt:variant>
      <vt:variant>
        <vt:lpwstr/>
      </vt:variant>
      <vt:variant>
        <vt:i4>2293812</vt:i4>
      </vt:variant>
      <vt:variant>
        <vt:i4>318</vt:i4>
      </vt:variant>
      <vt:variant>
        <vt:i4>0</vt:i4>
      </vt:variant>
      <vt:variant>
        <vt:i4>5</vt:i4>
      </vt:variant>
      <vt:variant>
        <vt:lpwstr>https://www.vic.gov.au/child-information-sharing-scheme-ministerial-guidelines</vt:lpwstr>
      </vt:variant>
      <vt:variant>
        <vt:lpwstr/>
      </vt:variant>
      <vt:variant>
        <vt:i4>3080224</vt:i4>
      </vt:variant>
      <vt:variant>
        <vt:i4>315</vt:i4>
      </vt:variant>
      <vt:variant>
        <vt:i4>0</vt:i4>
      </vt:variant>
      <vt:variant>
        <vt:i4>5</vt:i4>
      </vt:variant>
      <vt:variant>
        <vt:lpwstr>https://www.health.vic.gov.au/publications/healthcare-that-counts-a-framework-for-improving-care-for-vulnerable-children-in</vt:lpwstr>
      </vt:variant>
      <vt:variant>
        <vt:lpwstr/>
      </vt:variant>
      <vt:variant>
        <vt:i4>2293878</vt:i4>
      </vt:variant>
      <vt:variant>
        <vt:i4>312</vt:i4>
      </vt:variant>
      <vt:variant>
        <vt:i4>0</vt:i4>
      </vt:variant>
      <vt:variant>
        <vt:i4>5</vt:i4>
      </vt:variant>
      <vt:variant>
        <vt:lpwstr>https://www.legislation.vic.gov.au/in-force/acts/commission-children-and-young-people-act-2012/018</vt:lpwstr>
      </vt:variant>
      <vt:variant>
        <vt:lpwstr/>
      </vt:variant>
      <vt:variant>
        <vt:i4>3342390</vt:i4>
      </vt:variant>
      <vt:variant>
        <vt:i4>309</vt:i4>
      </vt:variant>
      <vt:variant>
        <vt:i4>0</vt:i4>
      </vt:variant>
      <vt:variant>
        <vt:i4>5</vt:i4>
      </vt:variant>
      <vt:variant>
        <vt:lpwstr>https://providers.dffh.vic.gov.au/child-safe-standards</vt:lpwstr>
      </vt:variant>
      <vt:variant>
        <vt:lpwstr/>
      </vt:variant>
      <vt:variant>
        <vt:i4>196613</vt:i4>
      </vt:variant>
      <vt:variant>
        <vt:i4>306</vt:i4>
      </vt:variant>
      <vt:variant>
        <vt:i4>0</vt:i4>
      </vt:variant>
      <vt:variant>
        <vt:i4>5</vt:i4>
      </vt:variant>
      <vt:variant>
        <vt:lpwstr>https://www.legislation.vic.gov.au/in-force/acts/child-wellbeing-and-safety-act-2005/041</vt:lpwstr>
      </vt:variant>
      <vt:variant>
        <vt:lpwstr/>
      </vt:variant>
      <vt:variant>
        <vt:i4>5701726</vt:i4>
      </vt:variant>
      <vt:variant>
        <vt:i4>303</vt:i4>
      </vt:variant>
      <vt:variant>
        <vt:i4>0</vt:i4>
      </vt:variant>
      <vt:variant>
        <vt:i4>5</vt:i4>
      </vt:variant>
      <vt:variant>
        <vt:lpwstr>https://www.legislation.vic.gov.au/in-force/acts/public-interest-disclosures-act-2012/026</vt:lpwstr>
      </vt:variant>
      <vt:variant>
        <vt:lpwstr/>
      </vt:variant>
      <vt:variant>
        <vt:i4>1310796</vt:i4>
      </vt:variant>
      <vt:variant>
        <vt:i4>300</vt:i4>
      </vt:variant>
      <vt:variant>
        <vt:i4>0</vt:i4>
      </vt:variant>
      <vt:variant>
        <vt:i4>5</vt:i4>
      </vt:variant>
      <vt:variant>
        <vt:lpwstr>https://www.legislation.vic.gov.au/in-force/acts/crimes-act-1958</vt:lpwstr>
      </vt:variant>
      <vt:variant>
        <vt:lpwstr/>
      </vt:variant>
      <vt:variant>
        <vt:i4>4784211</vt:i4>
      </vt:variant>
      <vt:variant>
        <vt:i4>297</vt:i4>
      </vt:variant>
      <vt:variant>
        <vt:i4>0</vt:i4>
      </vt:variant>
      <vt:variant>
        <vt:i4>5</vt:i4>
      </vt:variant>
      <vt:variant>
        <vt:lpwstr>https://www.legislation.vic.gov.au/in-force/acts/public-records-act-1973/041</vt:lpwstr>
      </vt:variant>
      <vt:variant>
        <vt:lpwstr/>
      </vt:variant>
      <vt:variant>
        <vt:i4>655434</vt:i4>
      </vt:variant>
      <vt:variant>
        <vt:i4>294</vt:i4>
      </vt:variant>
      <vt:variant>
        <vt:i4>0</vt:i4>
      </vt:variant>
      <vt:variant>
        <vt:i4>5</vt:i4>
      </vt:variant>
      <vt:variant>
        <vt:lpwstr>https://www.legislation.vic.gov.au/in-force/acts/freedom-information-act-1982/111</vt:lpwstr>
      </vt:variant>
      <vt:variant>
        <vt:lpwstr/>
      </vt:variant>
      <vt:variant>
        <vt:i4>4784142</vt:i4>
      </vt:variant>
      <vt:variant>
        <vt:i4>291</vt:i4>
      </vt:variant>
      <vt:variant>
        <vt:i4>0</vt:i4>
      </vt:variant>
      <vt:variant>
        <vt:i4>5</vt:i4>
      </vt:variant>
      <vt:variant>
        <vt:lpwstr>https://www.legislation.vic.gov.au/in-force/acts/privacy-and-data-protection-act-2014/029</vt:lpwstr>
      </vt:variant>
      <vt:variant>
        <vt:lpwstr/>
      </vt:variant>
      <vt:variant>
        <vt:i4>5439502</vt:i4>
      </vt:variant>
      <vt:variant>
        <vt:i4>288</vt:i4>
      </vt:variant>
      <vt:variant>
        <vt:i4>0</vt:i4>
      </vt:variant>
      <vt:variant>
        <vt:i4>5</vt:i4>
      </vt:variant>
      <vt:variant>
        <vt:lpwstr>https://www.health.vic.gov.au/legislation/health-records-act</vt:lpwstr>
      </vt:variant>
      <vt:variant>
        <vt:lpwstr/>
      </vt:variant>
      <vt:variant>
        <vt:i4>4653137</vt:i4>
      </vt:variant>
      <vt:variant>
        <vt:i4>285</vt:i4>
      </vt:variant>
      <vt:variant>
        <vt:i4>0</vt:i4>
      </vt:variant>
      <vt:variant>
        <vt:i4>5</vt:i4>
      </vt:variant>
      <vt:variant>
        <vt:lpwstr>https://www.health.vic.gov.au/home-and-community-care/reporting-and-data</vt:lpwstr>
      </vt:variant>
      <vt:variant>
        <vt:lpwstr/>
      </vt:variant>
      <vt:variant>
        <vt:i4>1703962</vt:i4>
      </vt:variant>
      <vt:variant>
        <vt:i4>282</vt:i4>
      </vt:variant>
      <vt:variant>
        <vt:i4>0</vt:i4>
      </vt:variant>
      <vt:variant>
        <vt:i4>5</vt:i4>
      </vt:variant>
      <vt:variant>
        <vt:lpwstr>https://fac.dffh.vic.gov.au/</vt:lpwstr>
      </vt:variant>
      <vt:variant>
        <vt:lpwstr/>
      </vt:variant>
      <vt:variant>
        <vt:i4>3407998</vt:i4>
      </vt:variant>
      <vt:variant>
        <vt:i4>279</vt:i4>
      </vt:variant>
      <vt:variant>
        <vt:i4>0</vt:i4>
      </vt:variant>
      <vt:variant>
        <vt:i4>5</vt:i4>
      </vt:variant>
      <vt:variant>
        <vt:lpwstr>https://www.health.vic.gov.au/home-and-community-care/hacc-pyp-fees-policy-and-schedule-of-fees</vt:lpwstr>
      </vt:variant>
      <vt:variant>
        <vt:lpwstr/>
      </vt:variant>
      <vt:variant>
        <vt:i4>8061047</vt:i4>
      </vt:variant>
      <vt:variant>
        <vt:i4>276</vt:i4>
      </vt:variant>
      <vt:variant>
        <vt:i4>0</vt:i4>
      </vt:variant>
      <vt:variant>
        <vt:i4>5</vt:i4>
      </vt:variant>
      <vt:variant>
        <vt:lpwstr>https://www.health.vic.gov.au/policy-and-funding-guidelines-for-health-services</vt:lpwstr>
      </vt:variant>
      <vt:variant>
        <vt:lpwstr/>
      </vt:variant>
      <vt:variant>
        <vt:i4>4325456</vt:i4>
      </vt:variant>
      <vt:variant>
        <vt:i4>273</vt:i4>
      </vt:variant>
      <vt:variant>
        <vt:i4>0</vt:i4>
      </vt:variant>
      <vt:variant>
        <vt:i4>5</vt:i4>
      </vt:variant>
      <vt:variant>
        <vt:lpwstr>https://www.safetyandquality.gov.au/resources/2026-national-model-clinical-governance</vt:lpwstr>
      </vt:variant>
      <vt:variant>
        <vt:lpwstr/>
      </vt:variant>
      <vt:variant>
        <vt:i4>327759</vt:i4>
      </vt:variant>
      <vt:variant>
        <vt:i4>270</vt:i4>
      </vt:variant>
      <vt:variant>
        <vt:i4>0</vt:i4>
      </vt:variant>
      <vt:variant>
        <vt:i4>5</vt:i4>
      </vt:variant>
      <vt:variant>
        <vt:lpwstr>https://www.safercare.vic.gov.au/best-practice-improvement/clinical-governance/framework</vt:lpwstr>
      </vt:variant>
      <vt:variant>
        <vt:lpwstr/>
      </vt:variant>
      <vt:variant>
        <vt:i4>4522075</vt:i4>
      </vt:variant>
      <vt:variant>
        <vt:i4>267</vt:i4>
      </vt:variant>
      <vt:variant>
        <vt:i4>0</vt:i4>
      </vt:variant>
      <vt:variant>
        <vt:i4>5</vt:i4>
      </vt:variant>
      <vt:variant>
        <vt:lpwstr>https://www.health.vic.gov.au/home-and-community-care/hacc-program-for-younger-people</vt:lpwstr>
      </vt:variant>
      <vt:variant>
        <vt:lpwstr/>
      </vt:variant>
      <vt:variant>
        <vt:i4>3342449</vt:i4>
      </vt:variant>
      <vt:variant>
        <vt:i4>264</vt:i4>
      </vt:variant>
      <vt:variant>
        <vt:i4>0</vt:i4>
      </vt:variant>
      <vt:variant>
        <vt:i4>5</vt:i4>
      </vt:variant>
      <vt:variant>
        <vt:lpwstr>https://www.safetyandquality.gov.au/clinical-topics/person-centred-care</vt:lpwstr>
      </vt:variant>
      <vt:variant>
        <vt:lpwstr/>
      </vt:variant>
      <vt:variant>
        <vt:i4>5767175</vt:i4>
      </vt:variant>
      <vt:variant>
        <vt:i4>258</vt:i4>
      </vt:variant>
      <vt:variant>
        <vt:i4>0</vt:i4>
      </vt:variant>
      <vt:variant>
        <vt:i4>5</vt:i4>
      </vt:variant>
      <vt:variant>
        <vt:lpwstr>https://www.health.vic.gov.au/populations/designing-for-diversity</vt:lpwstr>
      </vt:variant>
      <vt:variant>
        <vt:lpwstr/>
      </vt:variant>
      <vt:variant>
        <vt:i4>2556013</vt:i4>
      </vt:variant>
      <vt:variant>
        <vt:i4>255</vt:i4>
      </vt:variant>
      <vt:variant>
        <vt:i4>0</vt:i4>
      </vt:variant>
      <vt:variant>
        <vt:i4>5</vt:i4>
      </vt:variant>
      <vt:variant>
        <vt:lpwstr>https://www.health.vic.gov.au/about/populations</vt:lpwstr>
      </vt:variant>
      <vt:variant>
        <vt:lpwstr/>
      </vt:variant>
      <vt:variant>
        <vt:i4>6815788</vt:i4>
      </vt:variant>
      <vt:variant>
        <vt:i4>252</vt:i4>
      </vt:variant>
      <vt:variant>
        <vt:i4>0</vt:i4>
      </vt:variant>
      <vt:variant>
        <vt:i4>5</vt:i4>
      </vt:variant>
      <vt:variant>
        <vt:lpwstr>https://www2.health.vic.gov.au/about/health-strategies/aboriginal-health/korin-korin-balit-djak</vt:lpwstr>
      </vt:variant>
      <vt:variant>
        <vt:lpwstr/>
      </vt:variant>
      <vt:variant>
        <vt:i4>4980803</vt:i4>
      </vt:variant>
      <vt:variant>
        <vt:i4>249</vt:i4>
      </vt:variant>
      <vt:variant>
        <vt:i4>0</vt:i4>
      </vt:variant>
      <vt:variant>
        <vt:i4>5</vt:i4>
      </vt:variant>
      <vt:variant>
        <vt:lpwstr>https://www.health.vic.gov.au/community-health/community-health-demand-management-toolkit</vt:lpwstr>
      </vt:variant>
      <vt:variant>
        <vt:lpwstr/>
      </vt:variant>
      <vt:variant>
        <vt:i4>8061047</vt:i4>
      </vt:variant>
      <vt:variant>
        <vt:i4>246</vt:i4>
      </vt:variant>
      <vt:variant>
        <vt:i4>0</vt:i4>
      </vt:variant>
      <vt:variant>
        <vt:i4>5</vt:i4>
      </vt:variant>
      <vt:variant>
        <vt:lpwstr>https://www.health.vic.gov.au/policy-and-funding-guidelines-for-health-services</vt:lpwstr>
      </vt:variant>
      <vt:variant>
        <vt:lpwstr/>
      </vt:variant>
      <vt:variant>
        <vt:i4>8061047</vt:i4>
      </vt:variant>
      <vt:variant>
        <vt:i4>243</vt:i4>
      </vt:variant>
      <vt:variant>
        <vt:i4>0</vt:i4>
      </vt:variant>
      <vt:variant>
        <vt:i4>5</vt:i4>
      </vt:variant>
      <vt:variant>
        <vt:lpwstr>https://www.health.vic.gov.au/policy-and-funding-guidelines-for-health-services</vt:lpwstr>
      </vt:variant>
      <vt:variant>
        <vt:lpwstr/>
      </vt:variant>
      <vt:variant>
        <vt:i4>1507329</vt:i4>
      </vt:variant>
      <vt:variant>
        <vt:i4>240</vt:i4>
      </vt:variant>
      <vt:variant>
        <vt:i4>0</vt:i4>
      </vt:variant>
      <vt:variant>
        <vt:i4>5</vt:i4>
      </vt:variant>
      <vt:variant>
        <vt:lpwstr>https://www.health.vic.gov.au/our-strategic-plan-2023-27</vt:lpwstr>
      </vt:variant>
      <vt:variant>
        <vt:lpwstr/>
      </vt:variant>
      <vt:variant>
        <vt:i4>1376316</vt:i4>
      </vt:variant>
      <vt:variant>
        <vt:i4>233</vt:i4>
      </vt:variant>
      <vt:variant>
        <vt:i4>0</vt:i4>
      </vt:variant>
      <vt:variant>
        <vt:i4>5</vt:i4>
      </vt:variant>
      <vt:variant>
        <vt:lpwstr/>
      </vt:variant>
      <vt:variant>
        <vt:lpwstr>_Toc233194449</vt:lpwstr>
      </vt:variant>
      <vt:variant>
        <vt:i4>1376316</vt:i4>
      </vt:variant>
      <vt:variant>
        <vt:i4>227</vt:i4>
      </vt:variant>
      <vt:variant>
        <vt:i4>0</vt:i4>
      </vt:variant>
      <vt:variant>
        <vt:i4>5</vt:i4>
      </vt:variant>
      <vt:variant>
        <vt:lpwstr/>
      </vt:variant>
      <vt:variant>
        <vt:lpwstr>_Toc233194448</vt:lpwstr>
      </vt:variant>
      <vt:variant>
        <vt:i4>1376316</vt:i4>
      </vt:variant>
      <vt:variant>
        <vt:i4>221</vt:i4>
      </vt:variant>
      <vt:variant>
        <vt:i4>0</vt:i4>
      </vt:variant>
      <vt:variant>
        <vt:i4>5</vt:i4>
      </vt:variant>
      <vt:variant>
        <vt:lpwstr/>
      </vt:variant>
      <vt:variant>
        <vt:lpwstr>_Toc233194447</vt:lpwstr>
      </vt:variant>
      <vt:variant>
        <vt:i4>1376316</vt:i4>
      </vt:variant>
      <vt:variant>
        <vt:i4>215</vt:i4>
      </vt:variant>
      <vt:variant>
        <vt:i4>0</vt:i4>
      </vt:variant>
      <vt:variant>
        <vt:i4>5</vt:i4>
      </vt:variant>
      <vt:variant>
        <vt:lpwstr/>
      </vt:variant>
      <vt:variant>
        <vt:lpwstr>_Toc233194446</vt:lpwstr>
      </vt:variant>
      <vt:variant>
        <vt:i4>1376316</vt:i4>
      </vt:variant>
      <vt:variant>
        <vt:i4>209</vt:i4>
      </vt:variant>
      <vt:variant>
        <vt:i4>0</vt:i4>
      </vt:variant>
      <vt:variant>
        <vt:i4>5</vt:i4>
      </vt:variant>
      <vt:variant>
        <vt:lpwstr/>
      </vt:variant>
      <vt:variant>
        <vt:lpwstr>_Toc233194445</vt:lpwstr>
      </vt:variant>
      <vt:variant>
        <vt:i4>1376316</vt:i4>
      </vt:variant>
      <vt:variant>
        <vt:i4>203</vt:i4>
      </vt:variant>
      <vt:variant>
        <vt:i4>0</vt:i4>
      </vt:variant>
      <vt:variant>
        <vt:i4>5</vt:i4>
      </vt:variant>
      <vt:variant>
        <vt:lpwstr/>
      </vt:variant>
      <vt:variant>
        <vt:lpwstr>_Toc233194444</vt:lpwstr>
      </vt:variant>
      <vt:variant>
        <vt:i4>1376316</vt:i4>
      </vt:variant>
      <vt:variant>
        <vt:i4>197</vt:i4>
      </vt:variant>
      <vt:variant>
        <vt:i4>0</vt:i4>
      </vt:variant>
      <vt:variant>
        <vt:i4>5</vt:i4>
      </vt:variant>
      <vt:variant>
        <vt:lpwstr/>
      </vt:variant>
      <vt:variant>
        <vt:lpwstr>_Toc233194443</vt:lpwstr>
      </vt:variant>
      <vt:variant>
        <vt:i4>1376316</vt:i4>
      </vt:variant>
      <vt:variant>
        <vt:i4>191</vt:i4>
      </vt:variant>
      <vt:variant>
        <vt:i4>0</vt:i4>
      </vt:variant>
      <vt:variant>
        <vt:i4>5</vt:i4>
      </vt:variant>
      <vt:variant>
        <vt:lpwstr/>
      </vt:variant>
      <vt:variant>
        <vt:lpwstr>_Toc233194442</vt:lpwstr>
      </vt:variant>
      <vt:variant>
        <vt:i4>1376316</vt:i4>
      </vt:variant>
      <vt:variant>
        <vt:i4>185</vt:i4>
      </vt:variant>
      <vt:variant>
        <vt:i4>0</vt:i4>
      </vt:variant>
      <vt:variant>
        <vt:i4>5</vt:i4>
      </vt:variant>
      <vt:variant>
        <vt:lpwstr/>
      </vt:variant>
      <vt:variant>
        <vt:lpwstr>_Toc233194441</vt:lpwstr>
      </vt:variant>
      <vt:variant>
        <vt:i4>1376316</vt:i4>
      </vt:variant>
      <vt:variant>
        <vt:i4>179</vt:i4>
      </vt:variant>
      <vt:variant>
        <vt:i4>0</vt:i4>
      </vt:variant>
      <vt:variant>
        <vt:i4>5</vt:i4>
      </vt:variant>
      <vt:variant>
        <vt:lpwstr/>
      </vt:variant>
      <vt:variant>
        <vt:lpwstr>_Toc233194440</vt:lpwstr>
      </vt:variant>
      <vt:variant>
        <vt:i4>1179708</vt:i4>
      </vt:variant>
      <vt:variant>
        <vt:i4>173</vt:i4>
      </vt:variant>
      <vt:variant>
        <vt:i4>0</vt:i4>
      </vt:variant>
      <vt:variant>
        <vt:i4>5</vt:i4>
      </vt:variant>
      <vt:variant>
        <vt:lpwstr/>
      </vt:variant>
      <vt:variant>
        <vt:lpwstr>_Toc233194439</vt:lpwstr>
      </vt:variant>
      <vt:variant>
        <vt:i4>1179708</vt:i4>
      </vt:variant>
      <vt:variant>
        <vt:i4>167</vt:i4>
      </vt:variant>
      <vt:variant>
        <vt:i4>0</vt:i4>
      </vt:variant>
      <vt:variant>
        <vt:i4>5</vt:i4>
      </vt:variant>
      <vt:variant>
        <vt:lpwstr/>
      </vt:variant>
      <vt:variant>
        <vt:lpwstr>_Toc233194438</vt:lpwstr>
      </vt:variant>
      <vt:variant>
        <vt:i4>1179708</vt:i4>
      </vt:variant>
      <vt:variant>
        <vt:i4>161</vt:i4>
      </vt:variant>
      <vt:variant>
        <vt:i4>0</vt:i4>
      </vt:variant>
      <vt:variant>
        <vt:i4>5</vt:i4>
      </vt:variant>
      <vt:variant>
        <vt:lpwstr/>
      </vt:variant>
      <vt:variant>
        <vt:lpwstr>_Toc233194437</vt:lpwstr>
      </vt:variant>
      <vt:variant>
        <vt:i4>1179708</vt:i4>
      </vt:variant>
      <vt:variant>
        <vt:i4>155</vt:i4>
      </vt:variant>
      <vt:variant>
        <vt:i4>0</vt:i4>
      </vt:variant>
      <vt:variant>
        <vt:i4>5</vt:i4>
      </vt:variant>
      <vt:variant>
        <vt:lpwstr/>
      </vt:variant>
      <vt:variant>
        <vt:lpwstr>_Toc233194436</vt:lpwstr>
      </vt:variant>
      <vt:variant>
        <vt:i4>1179708</vt:i4>
      </vt:variant>
      <vt:variant>
        <vt:i4>149</vt:i4>
      </vt:variant>
      <vt:variant>
        <vt:i4>0</vt:i4>
      </vt:variant>
      <vt:variant>
        <vt:i4>5</vt:i4>
      </vt:variant>
      <vt:variant>
        <vt:lpwstr/>
      </vt:variant>
      <vt:variant>
        <vt:lpwstr>_Toc233194435</vt:lpwstr>
      </vt:variant>
      <vt:variant>
        <vt:i4>1179708</vt:i4>
      </vt:variant>
      <vt:variant>
        <vt:i4>143</vt:i4>
      </vt:variant>
      <vt:variant>
        <vt:i4>0</vt:i4>
      </vt:variant>
      <vt:variant>
        <vt:i4>5</vt:i4>
      </vt:variant>
      <vt:variant>
        <vt:lpwstr/>
      </vt:variant>
      <vt:variant>
        <vt:lpwstr>_Toc233194434</vt:lpwstr>
      </vt:variant>
      <vt:variant>
        <vt:i4>1179708</vt:i4>
      </vt:variant>
      <vt:variant>
        <vt:i4>137</vt:i4>
      </vt:variant>
      <vt:variant>
        <vt:i4>0</vt:i4>
      </vt:variant>
      <vt:variant>
        <vt:i4>5</vt:i4>
      </vt:variant>
      <vt:variant>
        <vt:lpwstr/>
      </vt:variant>
      <vt:variant>
        <vt:lpwstr>_Toc233194433</vt:lpwstr>
      </vt:variant>
      <vt:variant>
        <vt:i4>1179708</vt:i4>
      </vt:variant>
      <vt:variant>
        <vt:i4>131</vt:i4>
      </vt:variant>
      <vt:variant>
        <vt:i4>0</vt:i4>
      </vt:variant>
      <vt:variant>
        <vt:i4>5</vt:i4>
      </vt:variant>
      <vt:variant>
        <vt:lpwstr/>
      </vt:variant>
      <vt:variant>
        <vt:lpwstr>_Toc233194432</vt:lpwstr>
      </vt:variant>
      <vt:variant>
        <vt:i4>1179708</vt:i4>
      </vt:variant>
      <vt:variant>
        <vt:i4>125</vt:i4>
      </vt:variant>
      <vt:variant>
        <vt:i4>0</vt:i4>
      </vt:variant>
      <vt:variant>
        <vt:i4>5</vt:i4>
      </vt:variant>
      <vt:variant>
        <vt:lpwstr/>
      </vt:variant>
      <vt:variant>
        <vt:lpwstr>_Toc233194431</vt:lpwstr>
      </vt:variant>
      <vt:variant>
        <vt:i4>1179708</vt:i4>
      </vt:variant>
      <vt:variant>
        <vt:i4>119</vt:i4>
      </vt:variant>
      <vt:variant>
        <vt:i4>0</vt:i4>
      </vt:variant>
      <vt:variant>
        <vt:i4>5</vt:i4>
      </vt:variant>
      <vt:variant>
        <vt:lpwstr/>
      </vt:variant>
      <vt:variant>
        <vt:lpwstr>_Toc233194430</vt:lpwstr>
      </vt:variant>
      <vt:variant>
        <vt:i4>1245244</vt:i4>
      </vt:variant>
      <vt:variant>
        <vt:i4>113</vt:i4>
      </vt:variant>
      <vt:variant>
        <vt:i4>0</vt:i4>
      </vt:variant>
      <vt:variant>
        <vt:i4>5</vt:i4>
      </vt:variant>
      <vt:variant>
        <vt:lpwstr/>
      </vt:variant>
      <vt:variant>
        <vt:lpwstr>_Toc233194429</vt:lpwstr>
      </vt:variant>
      <vt:variant>
        <vt:i4>1245244</vt:i4>
      </vt:variant>
      <vt:variant>
        <vt:i4>107</vt:i4>
      </vt:variant>
      <vt:variant>
        <vt:i4>0</vt:i4>
      </vt:variant>
      <vt:variant>
        <vt:i4>5</vt:i4>
      </vt:variant>
      <vt:variant>
        <vt:lpwstr/>
      </vt:variant>
      <vt:variant>
        <vt:lpwstr>_Toc233194428</vt:lpwstr>
      </vt:variant>
      <vt:variant>
        <vt:i4>1245244</vt:i4>
      </vt:variant>
      <vt:variant>
        <vt:i4>101</vt:i4>
      </vt:variant>
      <vt:variant>
        <vt:i4>0</vt:i4>
      </vt:variant>
      <vt:variant>
        <vt:i4>5</vt:i4>
      </vt:variant>
      <vt:variant>
        <vt:lpwstr/>
      </vt:variant>
      <vt:variant>
        <vt:lpwstr>_Toc233194427</vt:lpwstr>
      </vt:variant>
      <vt:variant>
        <vt:i4>1245244</vt:i4>
      </vt:variant>
      <vt:variant>
        <vt:i4>95</vt:i4>
      </vt:variant>
      <vt:variant>
        <vt:i4>0</vt:i4>
      </vt:variant>
      <vt:variant>
        <vt:i4>5</vt:i4>
      </vt:variant>
      <vt:variant>
        <vt:lpwstr/>
      </vt:variant>
      <vt:variant>
        <vt:lpwstr>_Toc233194426</vt:lpwstr>
      </vt:variant>
      <vt:variant>
        <vt:i4>1245244</vt:i4>
      </vt:variant>
      <vt:variant>
        <vt:i4>89</vt:i4>
      </vt:variant>
      <vt:variant>
        <vt:i4>0</vt:i4>
      </vt:variant>
      <vt:variant>
        <vt:i4>5</vt:i4>
      </vt:variant>
      <vt:variant>
        <vt:lpwstr/>
      </vt:variant>
      <vt:variant>
        <vt:lpwstr>_Toc233194425</vt:lpwstr>
      </vt:variant>
      <vt:variant>
        <vt:i4>1245244</vt:i4>
      </vt:variant>
      <vt:variant>
        <vt:i4>83</vt:i4>
      </vt:variant>
      <vt:variant>
        <vt:i4>0</vt:i4>
      </vt:variant>
      <vt:variant>
        <vt:i4>5</vt:i4>
      </vt:variant>
      <vt:variant>
        <vt:lpwstr/>
      </vt:variant>
      <vt:variant>
        <vt:lpwstr>_Toc233194424</vt:lpwstr>
      </vt:variant>
      <vt:variant>
        <vt:i4>1245244</vt:i4>
      </vt:variant>
      <vt:variant>
        <vt:i4>77</vt:i4>
      </vt:variant>
      <vt:variant>
        <vt:i4>0</vt:i4>
      </vt:variant>
      <vt:variant>
        <vt:i4>5</vt:i4>
      </vt:variant>
      <vt:variant>
        <vt:lpwstr/>
      </vt:variant>
      <vt:variant>
        <vt:lpwstr>_Toc233194423</vt:lpwstr>
      </vt:variant>
      <vt:variant>
        <vt:i4>1245244</vt:i4>
      </vt:variant>
      <vt:variant>
        <vt:i4>71</vt:i4>
      </vt:variant>
      <vt:variant>
        <vt:i4>0</vt:i4>
      </vt:variant>
      <vt:variant>
        <vt:i4>5</vt:i4>
      </vt:variant>
      <vt:variant>
        <vt:lpwstr/>
      </vt:variant>
      <vt:variant>
        <vt:lpwstr>_Toc233194422</vt:lpwstr>
      </vt:variant>
      <vt:variant>
        <vt:i4>1245244</vt:i4>
      </vt:variant>
      <vt:variant>
        <vt:i4>65</vt:i4>
      </vt:variant>
      <vt:variant>
        <vt:i4>0</vt:i4>
      </vt:variant>
      <vt:variant>
        <vt:i4>5</vt:i4>
      </vt:variant>
      <vt:variant>
        <vt:lpwstr/>
      </vt:variant>
      <vt:variant>
        <vt:lpwstr>_Toc233194421</vt:lpwstr>
      </vt:variant>
      <vt:variant>
        <vt:i4>1245244</vt:i4>
      </vt:variant>
      <vt:variant>
        <vt:i4>59</vt:i4>
      </vt:variant>
      <vt:variant>
        <vt:i4>0</vt:i4>
      </vt:variant>
      <vt:variant>
        <vt:i4>5</vt:i4>
      </vt:variant>
      <vt:variant>
        <vt:lpwstr/>
      </vt:variant>
      <vt:variant>
        <vt:lpwstr>_Toc233194420</vt:lpwstr>
      </vt:variant>
      <vt:variant>
        <vt:i4>1048636</vt:i4>
      </vt:variant>
      <vt:variant>
        <vt:i4>53</vt:i4>
      </vt:variant>
      <vt:variant>
        <vt:i4>0</vt:i4>
      </vt:variant>
      <vt:variant>
        <vt:i4>5</vt:i4>
      </vt:variant>
      <vt:variant>
        <vt:lpwstr/>
      </vt:variant>
      <vt:variant>
        <vt:lpwstr>_Toc233194419</vt:lpwstr>
      </vt:variant>
      <vt:variant>
        <vt:i4>1048636</vt:i4>
      </vt:variant>
      <vt:variant>
        <vt:i4>47</vt:i4>
      </vt:variant>
      <vt:variant>
        <vt:i4>0</vt:i4>
      </vt:variant>
      <vt:variant>
        <vt:i4>5</vt:i4>
      </vt:variant>
      <vt:variant>
        <vt:lpwstr/>
      </vt:variant>
      <vt:variant>
        <vt:lpwstr>_Toc233194418</vt:lpwstr>
      </vt:variant>
      <vt:variant>
        <vt:i4>1048636</vt:i4>
      </vt:variant>
      <vt:variant>
        <vt:i4>41</vt:i4>
      </vt:variant>
      <vt:variant>
        <vt:i4>0</vt:i4>
      </vt:variant>
      <vt:variant>
        <vt:i4>5</vt:i4>
      </vt:variant>
      <vt:variant>
        <vt:lpwstr/>
      </vt:variant>
      <vt:variant>
        <vt:lpwstr>_Toc233194417</vt:lpwstr>
      </vt:variant>
      <vt:variant>
        <vt:i4>1048636</vt:i4>
      </vt:variant>
      <vt:variant>
        <vt:i4>35</vt:i4>
      </vt:variant>
      <vt:variant>
        <vt:i4>0</vt:i4>
      </vt:variant>
      <vt:variant>
        <vt:i4>5</vt:i4>
      </vt:variant>
      <vt:variant>
        <vt:lpwstr/>
      </vt:variant>
      <vt:variant>
        <vt:lpwstr>_Toc233194416</vt:lpwstr>
      </vt:variant>
      <vt:variant>
        <vt:i4>1048636</vt:i4>
      </vt:variant>
      <vt:variant>
        <vt:i4>29</vt:i4>
      </vt:variant>
      <vt:variant>
        <vt:i4>0</vt:i4>
      </vt:variant>
      <vt:variant>
        <vt:i4>5</vt:i4>
      </vt:variant>
      <vt:variant>
        <vt:lpwstr/>
      </vt:variant>
      <vt:variant>
        <vt:lpwstr>_Toc233194415</vt:lpwstr>
      </vt:variant>
      <vt:variant>
        <vt:i4>1048636</vt:i4>
      </vt:variant>
      <vt:variant>
        <vt:i4>23</vt:i4>
      </vt:variant>
      <vt:variant>
        <vt:i4>0</vt:i4>
      </vt:variant>
      <vt:variant>
        <vt:i4>5</vt:i4>
      </vt:variant>
      <vt:variant>
        <vt:lpwstr/>
      </vt:variant>
      <vt:variant>
        <vt:lpwstr>_Toc233194414</vt:lpwstr>
      </vt:variant>
      <vt:variant>
        <vt:i4>1048636</vt:i4>
      </vt:variant>
      <vt:variant>
        <vt:i4>17</vt:i4>
      </vt:variant>
      <vt:variant>
        <vt:i4>0</vt:i4>
      </vt:variant>
      <vt:variant>
        <vt:i4>5</vt:i4>
      </vt:variant>
      <vt:variant>
        <vt:lpwstr/>
      </vt:variant>
      <vt:variant>
        <vt:lpwstr>_Toc233194413</vt:lpwstr>
      </vt:variant>
      <vt:variant>
        <vt:i4>1048636</vt:i4>
      </vt:variant>
      <vt:variant>
        <vt:i4>11</vt:i4>
      </vt:variant>
      <vt:variant>
        <vt:i4>0</vt:i4>
      </vt:variant>
      <vt:variant>
        <vt:i4>5</vt:i4>
      </vt:variant>
      <vt:variant>
        <vt:lpwstr/>
      </vt:variant>
      <vt:variant>
        <vt:lpwstr>_Toc233194412</vt:lpwstr>
      </vt:variant>
      <vt:variant>
        <vt:i4>1048636</vt:i4>
      </vt:variant>
      <vt:variant>
        <vt:i4>5</vt:i4>
      </vt:variant>
      <vt:variant>
        <vt:i4>0</vt:i4>
      </vt:variant>
      <vt:variant>
        <vt:i4>5</vt:i4>
      </vt:variant>
      <vt:variant>
        <vt:lpwstr/>
      </vt:variant>
      <vt:variant>
        <vt:lpwstr>_Toc233194411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 PYP Guidelines July 2026</dc:title>
  <dc:subject/>
  <dc:creator>Mark Blencowe (Health)</dc:creator>
  <cp:keywords/>
  <dc:description/>
  <cp:lastModifiedBy>Mark Blencowe (Health)</cp:lastModifiedBy>
  <cp:revision>2</cp:revision>
  <cp:lastPrinted>2021-01-29T05:27:00Z</cp:lastPrinted>
  <dcterms:created xsi:type="dcterms:W3CDTF">2026-07-01T04:02:00Z</dcterms:created>
  <dcterms:modified xsi:type="dcterms:W3CDTF">2026-07-01T04:02:00Z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0x0101008BA7DF597B294F4A98F36C861432EF9F</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